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77193"/>
      <w:bookmarkStart w:id="4" w:name="_Toc15377425"/>
      <w:bookmarkStart w:id="5" w:name="_Toc15396475"/>
      <w:r>
        <w:rPr>
          <w:rFonts w:ascii="黑体" w:hAnsi="黑体" w:eastAsia="黑体"/>
          <w:color w:val="000000"/>
          <w:sz w:val="72"/>
          <w:szCs w:val="72"/>
        </w:rPr>
        <w:t>20</w:t>
      </w:r>
      <w:r>
        <w:rPr>
          <w:rFonts w:hint="eastAsia" w:ascii="黑体" w:hAnsi="黑体" w:eastAsia="黑体"/>
          <w:color w:val="000000"/>
          <w:sz w:val="72"/>
          <w:szCs w:val="72"/>
          <w:lang w:val="en-US" w:eastAsia="zh-CN"/>
        </w:rPr>
        <w:t>21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96598"/>
      <w:bookmarkStart w:id="9" w:name="_Toc15377194"/>
      <w:bookmarkStart w:id="10" w:name="_Toc15396476"/>
      <w:r>
        <w:rPr>
          <w:rFonts w:hint="eastAsia" w:ascii="方正小标宋简体" w:hAnsi="宋体" w:eastAsia="方正小标宋简体"/>
          <w:color w:val="000000"/>
          <w:sz w:val="72"/>
          <w:szCs w:val="72"/>
          <w:lang w:eastAsia="zh-CN"/>
        </w:rPr>
        <w:t>大竹县</w:t>
      </w:r>
      <w:bookmarkEnd w:id="0"/>
      <w:bookmarkStart w:id="11" w:name="_Toc15306268"/>
      <w:r>
        <w:rPr>
          <w:rFonts w:hint="eastAsia" w:ascii="方正小标宋简体" w:hAnsi="宋体" w:eastAsia="方正小标宋简体"/>
          <w:color w:val="000000"/>
          <w:sz w:val="72"/>
          <w:szCs w:val="72"/>
          <w:lang w:eastAsia="zh-CN"/>
        </w:rPr>
        <w:t>城乡规划编制中心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w:t>
      </w: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.............................................................................6</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w:t>
      </w:r>
      <w:r>
        <w:rPr>
          <w:rFonts w:hint="eastAsia"/>
          <w:sz w:val="24"/>
          <w:lang w:val="en-US" w:eastAsia="zh-CN"/>
        </w:rPr>
        <w:t xml:space="preserve"> </w:t>
      </w:r>
      <w:r>
        <w:rPr>
          <w:rFonts w:hint="eastAsia"/>
          <w:sz w:val="24"/>
        </w:rPr>
        <w:t>部门决算情况说明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 ...12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 ..14</w:t>
      </w:r>
    </w:p>
    <w:p>
      <w:pPr>
        <w:pStyle w:val="11"/>
        <w:adjustRightInd w:val="0"/>
        <w:snapToGrid w:val="0"/>
        <w:spacing w:line="440" w:lineRule="exact"/>
        <w:ind w:leftChars="0"/>
        <w:jc w:val="left"/>
        <w:rPr>
          <w:rFonts w:hint="default" w:eastAsia="宋体"/>
          <w:sz w:val="24"/>
          <w:lang w:val="en-US" w:eastAsia="zh-CN"/>
        </w:rPr>
      </w:pPr>
      <w:r>
        <w:rPr>
          <w:rFonts w:hint="eastAsia" w:ascii="仿宋" w:hAnsi="仿宋" w:eastAsia="仿宋"/>
          <w:sz w:val="24"/>
        </w:rPr>
        <w:t>九、</w:t>
      </w:r>
      <w:r>
        <w:rPr>
          <w:sz w:val="24"/>
        </w:rPr>
        <w:t>国</w:t>
      </w:r>
      <w:r>
        <w:rPr>
          <w:rFonts w:hint="eastAsia"/>
          <w:sz w:val="24"/>
        </w:rPr>
        <w:t>有资本经营预算支出决算情况说明</w:t>
      </w:r>
      <w:r>
        <w:rPr>
          <w:rFonts w:hint="eastAsia"/>
          <w:sz w:val="24"/>
          <w:lang w:val="en-US" w:eastAsia="zh-CN"/>
        </w:rPr>
        <w:t>.......................... .14</w:t>
      </w:r>
    </w:p>
    <w:p>
      <w:pPr>
        <w:pStyle w:val="11"/>
        <w:adjustRightInd w:val="0"/>
        <w:snapToGrid w:val="0"/>
        <w:spacing w:line="440" w:lineRule="exact"/>
        <w:ind w:leftChars="0"/>
        <w:jc w:val="left"/>
        <w:rPr>
          <w:rFonts w:hint="default" w:ascii="仿宋" w:hAnsi="仿宋" w:eastAsia="宋体" w:cstheme="minorBidi"/>
          <w:sz w:val="24"/>
          <w:lang w:val="en-US" w:eastAsia="zh-CN"/>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hint="eastAsia"/>
          <w:sz w:val="24"/>
          <w:lang w:val="en-US" w:eastAsia="zh-CN"/>
        </w:rPr>
        <w:t>............................................. ...15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.20</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 .23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 . ..23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 ... ..26</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.30</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lang w:eastAsia="zh-CN"/>
        </w:rPr>
        <w:t>十三、国有资本经营预算财政拨款收入支出决算表</w:t>
      </w:r>
    </w:p>
    <w:p>
      <w:pPr>
        <w:pStyle w:val="11"/>
        <w:adjustRightInd w:val="0"/>
        <w:snapToGrid w:val="0"/>
        <w:spacing w:line="440" w:lineRule="exact"/>
        <w:jc w:val="left"/>
        <w:rPr>
          <w:rFonts w:hint="eastAsia"/>
          <w:sz w:val="24"/>
        </w:rPr>
      </w:pPr>
      <w:r>
        <w:rPr>
          <w:rFonts w:hint="eastAsia" w:ascii="仿宋" w:hAnsi="仿宋" w:eastAsia="仿宋"/>
          <w:sz w:val="24"/>
        </w:rPr>
        <w:t>十</w:t>
      </w:r>
      <w:r>
        <w:rPr>
          <w:rFonts w:hint="eastAsia" w:ascii="仿宋" w:hAnsi="仿宋" w:eastAsia="仿宋"/>
          <w:sz w:val="24"/>
          <w:lang w:eastAsia="zh-CN"/>
        </w:rPr>
        <w:t>四</w:t>
      </w:r>
      <w:r>
        <w:rPr>
          <w:rFonts w:hint="eastAsia" w:ascii="仿宋" w:hAnsi="仿宋" w:eastAsia="仿宋"/>
          <w:sz w:val="24"/>
        </w:rPr>
        <w:t>、</w:t>
      </w:r>
      <w:r>
        <w:rPr>
          <w:rFonts w:hint="eastAsia"/>
          <w:sz w:val="24"/>
        </w:rPr>
        <w:t>国有资本经营预算</w:t>
      </w:r>
      <w:r>
        <w:rPr>
          <w:rFonts w:hint="eastAsia"/>
          <w:sz w:val="24"/>
          <w:lang w:eastAsia="zh-CN"/>
        </w:rPr>
        <w:t>财政拨款</w:t>
      </w:r>
      <w:r>
        <w:rPr>
          <w:rFonts w:hint="eastAsia"/>
          <w:sz w:val="24"/>
        </w:rPr>
        <w:t>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ind w:firstLine="640" w:firstLineChars="200"/>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napToGrid w:val="0"/>
        <w:spacing w:line="520" w:lineRule="exact"/>
        <w:ind w:firstLine="640" w:firstLineChars="200"/>
        <w:rPr>
          <w:rFonts w:hint="eastAsia" w:ascii="仿宋_GB2312" w:hAnsi="仿宋_GB2312" w:eastAsia="仿宋_GB2312" w:cs="仿宋_GB2312"/>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_GB2312" w:hAnsi="仿宋_GB2312" w:eastAsia="仿宋_GB2312" w:cs="仿宋_GB2312"/>
          <w:sz w:val="32"/>
          <w:szCs w:val="32"/>
        </w:rPr>
        <w:t>（一）贯彻执行国土空间规划有关法律、法规、规章和方针 政策。组织全县国土空间发展战略规划和有关政策研究，拟订具 体实施意见（方案）。组织编制全县全局性、指令性规划。参与 拟订全县国土空间规划管理相关技术标准、规定。根据全县经济 社会发展需求，拟订国土空间规划研究课题、项目和计划，并承 担部分研究项目。（二）组织编制全县国土空间规划、详细规划、相关概念性 规划、专项规划及城市设计等。对全县村镇规划编制业务工作进 行指导。（三）负责城乡规划建设项目方案设计、初步设计、施工图设计的规划技术审核，以及用地红线、技术指标的制定及放线、 验线、规划核实工作。 （四）根据全县国土空间规划，提出城乡规划建设项目计划 建议并开展规划论证工作。参与重点项目、特殊要求项目规划选 址论证及规划设计前期研究。（五）组织城乡规划涉及的地质勘察、地形图测绘、工程测 绘等相关工作。（六）负责职责范围内的安全生产和职业健康、生态环境保 护、服务便民化工作。（七）完成县委、县政府交办的其他任务。</w:t>
      </w:r>
    </w:p>
    <w:p>
      <w:pPr>
        <w:spacing w:line="578"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21</w:t>
      </w:r>
      <w:r>
        <w:rPr>
          <w:rFonts w:hint="eastAsia" w:ascii="仿宋" w:hAnsi="仿宋" w:eastAsia="仿宋"/>
          <w:bCs/>
          <w:color w:val="000000"/>
          <w:sz w:val="32"/>
          <w:szCs w:val="32"/>
        </w:rPr>
        <w:t>年重点工作完成情况。</w:t>
      </w:r>
      <w:bookmarkEnd w:id="18"/>
      <w:bookmarkEnd w:id="19"/>
    </w:p>
    <w:p>
      <w:r>
        <w:rPr>
          <w:rFonts w:hint="eastAsia" w:ascii="仿宋_GB2312" w:hAnsi="仿宋_GB2312" w:eastAsia="仿宋_GB2312" w:cs="仿宋_GB2312"/>
          <w:color w:val="000000"/>
          <w:sz w:val="32"/>
          <w:szCs w:val="32"/>
          <w:lang w:val="en-US" w:eastAsia="zh-CN"/>
        </w:rPr>
        <w:t xml:space="preserve">   </w:t>
      </w:r>
      <w:r>
        <w:rPr>
          <w:rStyle w:val="37"/>
          <w:rFonts w:hint="eastAsia" w:eastAsia="楷体_GB2312"/>
          <w:b/>
          <w:bCs/>
          <w:sz w:val="32"/>
          <w:szCs w:val="32"/>
          <w:lang w:val="en-US" w:eastAsia="zh-CN"/>
        </w:rPr>
        <w:t>1.</w:t>
      </w:r>
      <w:r>
        <w:rPr>
          <w:rStyle w:val="37"/>
          <w:rFonts w:ascii="Times New Roman" w:hAnsi="Times New Roman" w:eastAsia="楷体_GB2312"/>
          <w:b/>
          <w:bCs/>
          <w:sz w:val="32"/>
          <w:szCs w:val="32"/>
        </w:rPr>
        <w:t>加强党性锻炼，强化政治意识。</w:t>
      </w:r>
      <w:r>
        <w:rPr>
          <w:rStyle w:val="37"/>
          <w:rFonts w:ascii="Times New Roman" w:hAnsi="Times New Roman" w:eastAsia="仿宋_GB2312"/>
          <w:sz w:val="32"/>
          <w:szCs w:val="32"/>
        </w:rPr>
        <w:t>今年以来先后召开中心组学习11次，党组（或扩大）会8次、专题会20余次以上，对“党史”学习、党风廉政建设、意识形态标准化建设、疫情防控等工作进行专题研究、安排部署，推动党风廉政建设工作责任层层落实到位。</w:t>
      </w:r>
    </w:p>
    <w:p>
      <w:pPr>
        <w:ind w:firstLine="643" w:firstLineChars="200"/>
        <w:rPr>
          <w:rFonts w:hint="eastAsia" w:eastAsia="仿宋_GB2312"/>
          <w:lang w:eastAsia="zh-CN"/>
        </w:rPr>
      </w:pPr>
      <w:r>
        <w:rPr>
          <w:rStyle w:val="37"/>
          <w:rFonts w:hint="eastAsia" w:eastAsia="楷体_GB2312"/>
          <w:b/>
          <w:bCs/>
          <w:sz w:val="32"/>
          <w:szCs w:val="32"/>
          <w:lang w:val="en-US" w:eastAsia="zh-CN"/>
        </w:rPr>
        <w:t>2.</w:t>
      </w:r>
      <w:r>
        <w:rPr>
          <w:rStyle w:val="37"/>
          <w:rFonts w:ascii="Times New Roman" w:hAnsi="Times New Roman" w:eastAsia="楷体_GB2312"/>
          <w:b/>
          <w:bCs/>
          <w:sz w:val="32"/>
          <w:szCs w:val="32"/>
        </w:rPr>
        <w:t>深化发展认识，明确发展思路。</w:t>
      </w:r>
      <w:r>
        <w:rPr>
          <w:rStyle w:val="37"/>
          <w:rFonts w:ascii="Times New Roman" w:hAnsi="Times New Roman" w:eastAsia="仿宋_GB2312"/>
          <w:sz w:val="32"/>
          <w:szCs w:val="32"/>
        </w:rPr>
        <w:t>开展党员与诉求群众结对子。结对党员对群众诉求的问题进行上门询问、办理、回访“三步”工作法开展党员示范活动。舆情转办各类咨询诉求25件，办结率100%</w:t>
      </w:r>
      <w:r>
        <w:rPr>
          <w:rStyle w:val="37"/>
          <w:rFonts w:hint="eastAsia" w:eastAsia="仿宋_GB2312"/>
          <w:sz w:val="32"/>
          <w:szCs w:val="32"/>
          <w:lang w:eastAsia="zh-CN"/>
        </w:rPr>
        <w:t>。</w:t>
      </w:r>
      <w:r>
        <w:rPr>
          <w:rStyle w:val="37"/>
          <w:rFonts w:ascii="Times New Roman" w:hAnsi="仿宋_GB2312" w:eastAsia="仿宋_GB2312"/>
          <w:sz w:val="32"/>
          <w:szCs w:val="32"/>
        </w:rPr>
        <w:t>深入基层</w:t>
      </w:r>
      <w:r>
        <w:rPr>
          <w:rStyle w:val="37"/>
          <w:rFonts w:ascii="Times New Roman" w:hAnsi="Times New Roman" w:eastAsia="仿宋_GB2312"/>
          <w:sz w:val="32"/>
          <w:szCs w:val="32"/>
        </w:rPr>
        <w:t>15</w:t>
      </w:r>
      <w:r>
        <w:rPr>
          <w:rStyle w:val="37"/>
          <w:rFonts w:ascii="Times New Roman" w:hAnsi="仿宋_GB2312" w:eastAsia="仿宋_GB2312"/>
          <w:sz w:val="32"/>
          <w:szCs w:val="32"/>
        </w:rPr>
        <w:t>次，慰问困难群众</w:t>
      </w:r>
      <w:r>
        <w:rPr>
          <w:rStyle w:val="37"/>
          <w:rFonts w:ascii="Times New Roman" w:hAnsi="Times New Roman" w:eastAsia="仿宋_GB2312"/>
          <w:sz w:val="32"/>
          <w:szCs w:val="32"/>
        </w:rPr>
        <w:t>3</w:t>
      </w:r>
      <w:r>
        <w:rPr>
          <w:rStyle w:val="37"/>
          <w:rFonts w:ascii="Times New Roman" w:hAnsi="仿宋_GB2312" w:eastAsia="仿宋_GB2312"/>
          <w:sz w:val="32"/>
          <w:szCs w:val="32"/>
        </w:rPr>
        <w:t>人。特别对乌木村</w:t>
      </w:r>
      <w:r>
        <w:rPr>
          <w:rStyle w:val="37"/>
          <w:rFonts w:ascii="Times New Roman" w:hAnsi="Times New Roman" w:eastAsia="仿宋_GB2312"/>
          <w:sz w:val="32"/>
          <w:szCs w:val="32"/>
        </w:rPr>
        <w:t>“8.8”</w:t>
      </w:r>
      <w:r>
        <w:rPr>
          <w:rStyle w:val="37"/>
          <w:rFonts w:ascii="Times New Roman" w:hAnsi="仿宋_GB2312" w:eastAsia="仿宋_GB2312"/>
          <w:sz w:val="32"/>
          <w:szCs w:val="32"/>
        </w:rPr>
        <w:t>洪灾受灾群众黄富贵等人进行的及时慰问</w:t>
      </w:r>
      <w:r>
        <w:rPr>
          <w:rStyle w:val="37"/>
          <w:rFonts w:hint="eastAsia" w:hAnsi="仿宋_GB2312" w:eastAsia="仿宋_GB2312"/>
          <w:sz w:val="32"/>
          <w:szCs w:val="32"/>
          <w:lang w:eastAsia="zh-CN"/>
        </w:rPr>
        <w:t>。</w:t>
      </w:r>
    </w:p>
    <w:p>
      <w:pPr>
        <w:pStyle w:val="38"/>
        <w:spacing w:after="0" w:line="570" w:lineRule="exact"/>
        <w:ind w:firstLine="643" w:firstLineChars="200"/>
        <w:rPr>
          <w:rStyle w:val="37"/>
          <w:rFonts w:ascii="Times New Roman" w:hAnsi="Times New Roman" w:eastAsia="仿宋_GB2312"/>
          <w:sz w:val="32"/>
          <w:szCs w:val="32"/>
        </w:rPr>
      </w:pPr>
      <w:r>
        <w:rPr>
          <w:rStyle w:val="37"/>
          <w:rFonts w:hint="eastAsia" w:eastAsia="楷体_GB2312"/>
          <w:b/>
          <w:bCs/>
          <w:sz w:val="32"/>
          <w:szCs w:val="32"/>
          <w:lang w:val="en-US" w:eastAsia="zh-CN"/>
        </w:rPr>
        <w:t>3.</w:t>
      </w:r>
      <w:r>
        <w:rPr>
          <w:rStyle w:val="37"/>
          <w:rFonts w:ascii="Times New Roman" w:hAnsi="Times New Roman" w:eastAsia="楷体_GB2312"/>
          <w:b/>
          <w:bCs/>
          <w:sz w:val="32"/>
          <w:szCs w:val="32"/>
        </w:rPr>
        <w:t>村镇规划全覆盖，科学引领乡村振兴。</w:t>
      </w:r>
      <w:r>
        <w:rPr>
          <w:rStyle w:val="37"/>
          <w:rFonts w:ascii="Times New Roman" w:hAnsi="Times New Roman" w:eastAsia="仿宋_GB2312"/>
          <w:sz w:val="32"/>
          <w:szCs w:val="32"/>
        </w:rPr>
        <w:t>认真分解落实了2021年县委、县政府民生工作目标，对标对表进行乡村振兴各项规划。</w:t>
      </w:r>
      <w:r>
        <w:rPr>
          <w:rStyle w:val="37"/>
          <w:rFonts w:ascii="Times New Roman" w:hAnsi="Times New Roman" w:eastAsia="仿宋_GB2312"/>
          <w:b/>
          <w:bCs/>
          <w:sz w:val="32"/>
          <w:szCs w:val="32"/>
        </w:rPr>
        <w:t>一是</w:t>
      </w:r>
      <w:r>
        <w:rPr>
          <w:rFonts w:ascii="Times New Roman" w:hAnsi="仿宋_GB2312" w:eastAsia="仿宋_GB2312"/>
          <w:sz w:val="32"/>
          <w:szCs w:val="32"/>
        </w:rPr>
        <w:t>对</w:t>
      </w:r>
      <w:r>
        <w:rPr>
          <w:rFonts w:ascii="Times New Roman" w:hAnsi="仿宋" w:eastAsia="仿宋"/>
          <w:sz w:val="32"/>
          <w:szCs w:val="32"/>
        </w:rPr>
        <w:t>全县农村宅基地建房进行审查，完成乡镇场镇居民住房新建、改建手续共计</w:t>
      </w:r>
      <w:r>
        <w:rPr>
          <w:rFonts w:ascii="Times New Roman" w:hAnsi="Times New Roman" w:eastAsia="仿宋"/>
          <w:sz w:val="32"/>
          <w:szCs w:val="32"/>
        </w:rPr>
        <w:t>60</w:t>
      </w:r>
      <w:r>
        <w:rPr>
          <w:rFonts w:ascii="Times New Roman" w:hAnsi="仿宋" w:eastAsia="仿宋"/>
          <w:sz w:val="32"/>
          <w:szCs w:val="32"/>
        </w:rPr>
        <w:t>余户，对易地搬迁项目的</w:t>
      </w:r>
      <w:r>
        <w:rPr>
          <w:rFonts w:ascii="Times New Roman" w:hAnsi="Times New Roman" w:eastAsia="仿宋"/>
          <w:sz w:val="32"/>
          <w:szCs w:val="32"/>
        </w:rPr>
        <w:t>300</w:t>
      </w:r>
      <w:r>
        <w:rPr>
          <w:rFonts w:ascii="Times New Roman" w:hAnsi="仿宋" w:eastAsia="仿宋"/>
          <w:sz w:val="32"/>
          <w:szCs w:val="32"/>
        </w:rPr>
        <w:t>余户进行了补办手续。</w:t>
      </w:r>
      <w:r>
        <w:rPr>
          <w:rFonts w:ascii="Times New Roman" w:hAnsi="仿宋_GB2312" w:eastAsia="仿宋_GB2312"/>
          <w:sz w:val="32"/>
          <w:szCs w:val="32"/>
        </w:rPr>
        <w:t>出具</w:t>
      </w:r>
      <w:r>
        <w:rPr>
          <w:rFonts w:ascii="Times New Roman" w:hAnsi="Times New Roman" w:eastAsia="仿宋_GB2312"/>
          <w:sz w:val="32"/>
          <w:szCs w:val="32"/>
        </w:rPr>
        <w:t>“</w:t>
      </w:r>
      <w:r>
        <w:rPr>
          <w:rFonts w:ascii="Times New Roman" w:hAnsi="仿宋_GB2312" w:eastAsia="仿宋_GB2312"/>
          <w:sz w:val="32"/>
          <w:szCs w:val="32"/>
        </w:rPr>
        <w:t>两所一庭</w:t>
      </w:r>
      <w:r>
        <w:rPr>
          <w:rFonts w:ascii="Times New Roman" w:hAnsi="Times New Roman" w:eastAsia="仿宋_GB2312"/>
          <w:sz w:val="32"/>
          <w:szCs w:val="32"/>
        </w:rPr>
        <w:t>”</w:t>
      </w:r>
      <w:r>
        <w:rPr>
          <w:rFonts w:ascii="Times New Roman" w:hAnsi="仿宋_GB2312" w:eastAsia="仿宋_GB2312"/>
          <w:sz w:val="32"/>
          <w:szCs w:val="32"/>
        </w:rPr>
        <w:t>（人民法庭、派出所、司法所）</w:t>
      </w:r>
      <w:r>
        <w:rPr>
          <w:rFonts w:ascii="Times New Roman" w:hAnsi="Times New Roman" w:eastAsia="仿宋_GB2312"/>
          <w:sz w:val="32"/>
          <w:szCs w:val="32"/>
        </w:rPr>
        <w:t>18</w:t>
      </w:r>
      <w:r>
        <w:rPr>
          <w:rFonts w:ascii="Times New Roman" w:hAnsi="仿宋_GB2312" w:eastAsia="仿宋_GB2312"/>
          <w:sz w:val="32"/>
          <w:szCs w:val="32"/>
        </w:rPr>
        <w:t>处用地规划指标和用地规划图；完成了欧家客运站等</w:t>
      </w:r>
      <w:r>
        <w:rPr>
          <w:rFonts w:ascii="Times New Roman" w:hAnsi="Times New Roman" w:eastAsia="仿宋_GB2312"/>
          <w:sz w:val="32"/>
          <w:szCs w:val="32"/>
        </w:rPr>
        <w:t>30</w:t>
      </w:r>
      <w:r>
        <w:rPr>
          <w:rFonts w:ascii="Times New Roman" w:hAnsi="仿宋_GB2312" w:eastAsia="仿宋_GB2312"/>
          <w:sz w:val="32"/>
          <w:szCs w:val="32"/>
        </w:rPr>
        <w:t>余处惠及民生新建项目的规划选址和用地规划图及方案审定工作。</w:t>
      </w:r>
      <w:r>
        <w:rPr>
          <w:rFonts w:ascii="Times New Roman" w:hAnsi="仿宋_GB2312" w:eastAsia="仿宋_GB2312"/>
          <w:b/>
          <w:bCs/>
          <w:sz w:val="32"/>
          <w:szCs w:val="32"/>
        </w:rPr>
        <w:t>二</w:t>
      </w:r>
      <w:r>
        <w:rPr>
          <w:rStyle w:val="37"/>
          <w:rFonts w:ascii="Times New Roman" w:hAnsi="Times New Roman" w:eastAsia="仿宋_GB2312"/>
          <w:b/>
          <w:bCs/>
          <w:sz w:val="32"/>
          <w:szCs w:val="32"/>
        </w:rPr>
        <w:t>是</w:t>
      </w:r>
      <w:r>
        <w:rPr>
          <w:rStyle w:val="37"/>
          <w:rFonts w:ascii="Times New Roman" w:hAnsi="Times New Roman" w:eastAsia="仿宋_GB2312"/>
          <w:sz w:val="32"/>
          <w:szCs w:val="32"/>
        </w:rPr>
        <w:t>结合全县经济片区划分，按照11月1日全省统筹推进乡村国土空间规划编制和两项改革“后半篇”文章工作会议部署，积极加快推进试点规划的编制工作，预计2023年6月前完成乡镇片区国土空间规划，2024年12月前完成村级片区规划编制。</w:t>
      </w:r>
    </w:p>
    <w:p>
      <w:pPr>
        <w:pStyle w:val="38"/>
        <w:spacing w:after="0" w:line="540" w:lineRule="exact"/>
        <w:ind w:firstLine="643" w:firstLineChars="200"/>
        <w:rPr>
          <w:rStyle w:val="37"/>
          <w:rFonts w:ascii="Times New Roman" w:hAnsi="Times New Roman" w:eastAsia="仿宋_GB2312"/>
          <w:sz w:val="32"/>
          <w:szCs w:val="32"/>
        </w:rPr>
      </w:pPr>
      <w:bookmarkStart w:id="20" w:name="_Toc15396601"/>
      <w:bookmarkStart w:id="21" w:name="_Toc15377200"/>
      <w:r>
        <w:rPr>
          <w:rStyle w:val="37"/>
          <w:rFonts w:hint="eastAsia" w:eastAsia="楷体_GB2312"/>
          <w:b/>
          <w:bCs/>
          <w:sz w:val="32"/>
          <w:szCs w:val="32"/>
          <w:lang w:val="en-US" w:eastAsia="zh-CN"/>
        </w:rPr>
        <w:t>4.</w:t>
      </w:r>
      <w:r>
        <w:rPr>
          <w:rStyle w:val="37"/>
          <w:rFonts w:ascii="Times New Roman" w:hAnsi="Times New Roman" w:eastAsia="楷体_GB2312"/>
          <w:b/>
          <w:bCs/>
          <w:sz w:val="32"/>
          <w:szCs w:val="32"/>
        </w:rPr>
        <w:t>注重立足发展形势，深耕城乡空间布局。</w:t>
      </w:r>
      <w:r>
        <w:rPr>
          <w:rStyle w:val="37"/>
          <w:rFonts w:ascii="Times New Roman" w:hAnsi="Times New Roman" w:eastAsia="仿宋_GB2312"/>
          <w:b/>
          <w:bCs/>
          <w:sz w:val="32"/>
          <w:szCs w:val="32"/>
        </w:rPr>
        <w:t>一是</w:t>
      </w:r>
      <w:r>
        <w:rPr>
          <w:rStyle w:val="37"/>
          <w:rFonts w:ascii="Times New Roman" w:hAnsi="Times New Roman" w:eastAsia="仿宋_GB2312"/>
          <w:sz w:val="32"/>
          <w:szCs w:val="32"/>
        </w:rPr>
        <w:t>我中心多次组织召开国土空间规划专题动员会、座谈会、推进会，充分听取意见和诉求，进一步拓宽规划的深度和广度。现阶段，开展了永久基本农田整改与补足、城镇开发边界试划工作，完善能交水等重大项目清单，已完成“三区三线”国土空间规划第二轮试划成果并上报市自然资源局。</w:t>
      </w:r>
      <w:r>
        <w:rPr>
          <w:rStyle w:val="37"/>
          <w:rFonts w:ascii="Times New Roman" w:hAnsi="Times New Roman" w:eastAsia="仿宋_GB2312"/>
          <w:b/>
          <w:bCs/>
          <w:sz w:val="32"/>
          <w:szCs w:val="32"/>
        </w:rPr>
        <w:t>二是</w:t>
      </w:r>
      <w:r>
        <w:rPr>
          <w:rStyle w:val="37"/>
          <w:rFonts w:ascii="Times New Roman" w:hAnsi="Times New Roman" w:eastAsia="仿宋_GB2312"/>
          <w:sz w:val="32"/>
          <w:szCs w:val="32"/>
        </w:rPr>
        <w:t>会同县水务局和盛洁供水积极推进“引水入竹”路由规划方案及前期论证工作。</w:t>
      </w:r>
      <w:r>
        <w:rPr>
          <w:rStyle w:val="37"/>
          <w:rFonts w:ascii="Times New Roman" w:hAnsi="Times New Roman" w:eastAsia="仿宋_GB2312"/>
          <w:b/>
          <w:bCs/>
          <w:sz w:val="32"/>
          <w:szCs w:val="32"/>
        </w:rPr>
        <w:t>三是</w:t>
      </w:r>
      <w:r>
        <w:rPr>
          <w:rStyle w:val="37"/>
          <w:rFonts w:ascii="Times New Roman" w:hAnsi="Times New Roman" w:eastAsia="仿宋_GB2312"/>
          <w:sz w:val="32"/>
          <w:szCs w:val="32"/>
        </w:rPr>
        <w:t>补充完善国土空间规划现状基数转换成果佐证资料。</w:t>
      </w:r>
      <w:r>
        <w:rPr>
          <w:rStyle w:val="37"/>
          <w:rFonts w:ascii="Times New Roman" w:hAnsi="Times New Roman" w:eastAsia="仿宋_GB2312"/>
          <w:b/>
          <w:bCs/>
          <w:sz w:val="32"/>
          <w:szCs w:val="32"/>
        </w:rPr>
        <w:t>四是</w:t>
      </w:r>
      <w:r>
        <w:rPr>
          <w:rStyle w:val="37"/>
          <w:rFonts w:ascii="Times New Roman" w:hAnsi="Times New Roman" w:eastAsia="仿宋_GB2312"/>
          <w:sz w:val="32"/>
          <w:szCs w:val="32"/>
        </w:rPr>
        <w:t>县委县政府主要领导关于“两项改革”经济片区划分的重要指示，开展县域内经济片区划分初步方案。</w:t>
      </w:r>
      <w:r>
        <w:rPr>
          <w:rStyle w:val="37"/>
          <w:rFonts w:ascii="Times New Roman" w:hAnsi="Times New Roman" w:eastAsia="仿宋_GB2312"/>
          <w:b/>
          <w:bCs/>
          <w:sz w:val="32"/>
          <w:szCs w:val="32"/>
        </w:rPr>
        <w:t>五是</w:t>
      </w:r>
      <w:r>
        <w:rPr>
          <w:rStyle w:val="37"/>
          <w:rFonts w:ascii="Times New Roman" w:hAnsi="Times New Roman" w:eastAsia="仿宋_GB2312"/>
          <w:sz w:val="32"/>
          <w:szCs w:val="32"/>
        </w:rPr>
        <w:t>按照省自然资源厅工作要求，开展大竹县国土空间规划2021年度城市体检评估工作。</w:t>
      </w:r>
    </w:p>
    <w:p>
      <w:pPr>
        <w:ind w:firstLine="643" w:firstLineChars="200"/>
        <w:rPr>
          <w:rStyle w:val="37"/>
          <w:rFonts w:ascii="Times New Roman" w:hAnsi="Times New Roman" w:eastAsia="仿宋_GB2312"/>
          <w:sz w:val="32"/>
          <w:szCs w:val="32"/>
        </w:rPr>
      </w:pPr>
      <w:r>
        <w:rPr>
          <w:rStyle w:val="37"/>
          <w:rFonts w:hint="eastAsia" w:eastAsia="楷体_GB2312"/>
          <w:b/>
          <w:bCs/>
          <w:sz w:val="32"/>
          <w:szCs w:val="32"/>
          <w:lang w:val="en-US" w:eastAsia="zh-CN"/>
        </w:rPr>
        <w:t>5.</w:t>
      </w:r>
      <w:r>
        <w:rPr>
          <w:rStyle w:val="37"/>
          <w:rFonts w:ascii="Times New Roman" w:hAnsi="Times New Roman" w:eastAsia="楷体_GB2312"/>
          <w:b/>
          <w:bCs/>
          <w:sz w:val="32"/>
          <w:szCs w:val="32"/>
        </w:rPr>
        <w:t>以规划编制为抓手，统筹抓好重大项目建设。</w:t>
      </w:r>
      <w:r>
        <w:rPr>
          <w:rStyle w:val="37"/>
          <w:rFonts w:ascii="Times New Roman" w:hAnsi="Times New Roman" w:eastAsia="仿宋_GB2312"/>
          <w:b/>
          <w:bCs/>
          <w:sz w:val="32"/>
          <w:szCs w:val="32"/>
        </w:rPr>
        <w:t>一是积极筹办规委会4次。</w:t>
      </w:r>
      <w:r>
        <w:rPr>
          <w:rStyle w:val="37"/>
          <w:rFonts w:ascii="Times New Roman" w:hAnsi="Times New Roman" w:eastAsia="仿宋_GB2312"/>
          <w:sz w:val="32"/>
          <w:szCs w:val="32"/>
        </w:rPr>
        <w:t>审议通过大竹县人民医院北城院区、北湖酒店综合体等32个项目的规划设计方案。</w:t>
      </w:r>
      <w:r>
        <w:rPr>
          <w:rStyle w:val="37"/>
          <w:rFonts w:ascii="Times New Roman" w:hAnsi="Times New Roman" w:eastAsia="仿宋_GB2312"/>
          <w:b/>
          <w:bCs/>
          <w:sz w:val="32"/>
          <w:szCs w:val="32"/>
        </w:rPr>
        <w:t>二是筹办2021年建设方案内审会4次。</w:t>
      </w:r>
      <w:r>
        <w:rPr>
          <w:rStyle w:val="37"/>
          <w:rFonts w:ascii="Times New Roman" w:hAnsi="Times New Roman" w:eastAsia="仿宋_GB2312"/>
          <w:sz w:val="32"/>
          <w:szCs w:val="32"/>
        </w:rPr>
        <w:t>审议通过大竹县第十小学幼儿园建设项目规划设计方案、长乐壹品规划设计方案等19个项目规划设计方案。</w:t>
      </w:r>
      <w:r>
        <w:rPr>
          <w:rFonts w:ascii="Times New Roman" w:hAnsi="Times New Roman" w:eastAsia="仿宋_GB2312"/>
          <w:sz w:val="32"/>
          <w:szCs w:val="32"/>
        </w:rPr>
        <w:t>另审查大竹县既有住宅增设电梯规划方案22个。</w:t>
      </w:r>
      <w:r>
        <w:rPr>
          <w:rFonts w:ascii="Times New Roman" w:hAnsi="Times New Roman" w:eastAsia="仿宋_GB2312"/>
          <w:b/>
          <w:sz w:val="32"/>
          <w:szCs w:val="32"/>
        </w:rPr>
        <w:t>三</w:t>
      </w:r>
      <w:r>
        <w:rPr>
          <w:rStyle w:val="37"/>
          <w:rFonts w:ascii="Times New Roman" w:hAnsi="Times New Roman" w:eastAsia="仿宋_GB2312"/>
          <w:b/>
          <w:bCs/>
          <w:sz w:val="32"/>
          <w:szCs w:val="32"/>
        </w:rPr>
        <w:t>是西渝高铁前期建设有序。</w:t>
      </w:r>
      <w:r>
        <w:rPr>
          <w:rStyle w:val="37"/>
          <w:rFonts w:ascii="Times New Roman" w:hAnsi="Times New Roman" w:eastAsia="仿宋_GB2312"/>
          <w:sz w:val="32"/>
          <w:szCs w:val="32"/>
        </w:rPr>
        <w:t>会同县高铁指挥部完成了西渝高铁综合开发土地规划前期工作。</w:t>
      </w:r>
      <w:r>
        <w:rPr>
          <w:rStyle w:val="37"/>
          <w:rFonts w:ascii="Times New Roman" w:hAnsi="Times New Roman" w:eastAsia="仿宋_GB2312"/>
          <w:b/>
          <w:bCs/>
          <w:sz w:val="32"/>
          <w:szCs w:val="32"/>
        </w:rPr>
        <w:t>四是推动达渝高速北出口前期规划论证。</w:t>
      </w:r>
      <w:r>
        <w:rPr>
          <w:rStyle w:val="37"/>
          <w:rFonts w:ascii="Times New Roman" w:hAnsi="Times New Roman" w:eastAsia="仿宋_GB2312"/>
          <w:sz w:val="32"/>
          <w:szCs w:val="32"/>
        </w:rPr>
        <w:t>会同住建局、交通局开展高铁组团规划布局和双马互通迁建规划的前期论证。</w:t>
      </w:r>
      <w:r>
        <w:rPr>
          <w:rStyle w:val="37"/>
          <w:rFonts w:ascii="Times New Roman" w:hAnsi="Times New Roman" w:eastAsia="仿宋_GB2312"/>
          <w:b/>
          <w:sz w:val="32"/>
          <w:szCs w:val="32"/>
        </w:rPr>
        <w:t>五</w:t>
      </w:r>
      <w:r>
        <w:rPr>
          <w:rStyle w:val="37"/>
          <w:rFonts w:ascii="Times New Roman" w:hAnsi="Times New Roman" w:eastAsia="仿宋_GB2312"/>
          <w:b/>
          <w:bCs/>
          <w:sz w:val="32"/>
          <w:szCs w:val="32"/>
        </w:rPr>
        <w:t>是</w:t>
      </w:r>
      <w:r>
        <w:rPr>
          <w:rStyle w:val="37"/>
          <w:rFonts w:ascii="Times New Roman" w:hAnsi="Times New Roman" w:eastAsia="仿宋_GB2312"/>
          <w:b/>
          <w:sz w:val="32"/>
          <w:szCs w:val="32"/>
        </w:rPr>
        <w:t>市政项目的测绘、土方测量、规划放验线工作方面。</w:t>
      </w:r>
      <w:r>
        <w:rPr>
          <w:rFonts w:ascii="Times New Roman" w:hAnsi="仿宋_GB2312" w:eastAsia="仿宋_GB2312"/>
          <w:sz w:val="32"/>
          <w:szCs w:val="32"/>
        </w:rPr>
        <w:t>完成雨污管线物探</w:t>
      </w:r>
      <w:r>
        <w:rPr>
          <w:rFonts w:ascii="Times New Roman" w:hAnsi="Times New Roman" w:eastAsia="仿宋_GB2312"/>
          <w:sz w:val="32"/>
          <w:szCs w:val="32"/>
        </w:rPr>
        <w:t>510</w:t>
      </w:r>
      <w:r>
        <w:rPr>
          <w:rFonts w:ascii="Times New Roman" w:hAnsi="仿宋_GB2312" w:eastAsia="仿宋_GB2312"/>
          <w:sz w:val="32"/>
          <w:szCs w:val="32"/>
        </w:rPr>
        <w:t>余公里，雨污管道内部检测</w:t>
      </w:r>
      <w:r>
        <w:rPr>
          <w:rFonts w:ascii="Times New Roman" w:hAnsi="Times New Roman" w:eastAsia="仿宋_GB2312"/>
          <w:sz w:val="32"/>
          <w:szCs w:val="32"/>
        </w:rPr>
        <w:t>360</w:t>
      </w:r>
      <w:r>
        <w:rPr>
          <w:rFonts w:ascii="Times New Roman" w:hAnsi="仿宋_GB2312" w:eastAsia="仿宋_GB2312"/>
          <w:sz w:val="32"/>
          <w:szCs w:val="32"/>
        </w:rPr>
        <w:t>公里，供水管道排查</w:t>
      </w:r>
      <w:r>
        <w:rPr>
          <w:rFonts w:ascii="Times New Roman" w:hAnsi="Times New Roman" w:eastAsia="仿宋_GB2312"/>
          <w:sz w:val="32"/>
          <w:szCs w:val="32"/>
        </w:rPr>
        <w:t>150</w:t>
      </w:r>
      <w:r>
        <w:rPr>
          <w:rFonts w:ascii="Times New Roman" w:hAnsi="仿宋_GB2312" w:eastAsia="仿宋_GB2312"/>
          <w:sz w:val="32"/>
          <w:szCs w:val="32"/>
        </w:rPr>
        <w:t>公里。</w:t>
      </w:r>
      <w:r>
        <w:rPr>
          <w:rStyle w:val="37"/>
          <w:rFonts w:ascii="Times New Roman" w:hAnsi="Times New Roman" w:eastAsia="仿宋_GB2312"/>
          <w:sz w:val="32"/>
          <w:szCs w:val="32"/>
        </w:rPr>
        <w:t>进行了现状地形图测绘128次。放、验线工作64次。控制点测量37次。这些规划方案的编制和实施，将进一步优化城市空间结构和产业布局，提升城市的产业支撑能力。</w:t>
      </w:r>
    </w:p>
    <w:p>
      <w:pPr>
        <w:pStyle w:val="38"/>
        <w:spacing w:after="0" w:line="540" w:lineRule="exact"/>
        <w:ind w:firstLine="640" w:firstLineChars="200"/>
        <w:rPr>
          <w:rStyle w:val="37"/>
          <w:rFonts w:ascii="Times New Roman" w:hAnsi="Times New Roman" w:eastAsia="仿宋_GB2312"/>
          <w:sz w:val="32"/>
          <w:szCs w:val="32"/>
        </w:rPr>
      </w:pPr>
    </w:p>
    <w:p>
      <w:pPr>
        <w:pStyle w:val="3"/>
        <w:ind w:firstLine="640" w:firstLineChars="200"/>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大竹县城乡规划编制中心</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5"/>
        <w:adjustRightInd w:val="0"/>
        <w:snapToGrid w:val="0"/>
        <w:spacing w:before="93" w:line="600" w:lineRule="exact"/>
        <w:ind w:firstLine="672" w:firstLineChars="210"/>
        <w:rPr>
          <w:rFonts w:hint="eastAsia" w:ascii="仿宋" w:hAnsi="仿宋" w:eastAsia="仿宋"/>
          <w:color w:val="000000"/>
          <w:sz w:val="32"/>
          <w:szCs w:val="32"/>
          <w:lang w:eastAsia="zh-CN"/>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大竹县城乡规划编制中心</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eastAsia="zh-CN"/>
        </w:rPr>
        <w:t>无。</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hint="eastAsia" w:ascii="黑体" w:hAnsi="黑体" w:eastAsia="黑体"/>
          <w:b w:val="0"/>
          <w:bCs w:val="0"/>
          <w:lang w:val="en-US" w:eastAsia="zh-CN"/>
        </w:rPr>
        <w:t>21</w:t>
      </w:r>
      <w:r>
        <w:rPr>
          <w:rStyle w:val="25"/>
          <w:rFonts w:hint="eastAsia" w:ascii="黑体" w:hAnsi="黑体" w:eastAsia="黑体"/>
          <w:b w:val="0"/>
          <w:bCs w:val="0"/>
        </w:rPr>
        <w:t>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1089.91</w:t>
      </w:r>
      <w:r>
        <w:rPr>
          <w:rFonts w:hint="eastAsia" w:ascii="仿宋" w:hAnsi="仿宋" w:eastAsia="仿宋"/>
          <w:color w:val="000000"/>
          <w:sz w:val="32"/>
          <w:szCs w:val="32"/>
        </w:rPr>
        <w:t>万元。</w:t>
      </w:r>
      <w:r>
        <w:rPr>
          <w:rFonts w:hint="eastAsia" w:ascii="仿宋_GB2312" w:hAnsi="仿宋_GB2312" w:eastAsia="仿宋_GB2312" w:cs="仿宋_GB2312"/>
          <w:sz w:val="32"/>
          <w:szCs w:val="32"/>
        </w:rPr>
        <w:t>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670.12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159.63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人员增加，业务范围及业务量增大，国土空间规划编制</w:t>
      </w:r>
      <w:r>
        <w:rPr>
          <w:rFonts w:hint="eastAsia" w:ascii="仿宋_GB2312" w:hAnsi="仿宋_GB2312" w:eastAsia="仿宋_GB2312" w:cs="仿宋_GB2312"/>
          <w:sz w:val="32"/>
          <w:szCs w:val="32"/>
          <w:lang w:val="en-US" w:eastAsia="zh-CN"/>
        </w:rPr>
        <w:t>及车辆购置等工作</w:t>
      </w:r>
      <w:r>
        <w:rPr>
          <w:rFonts w:hint="eastAsia" w:ascii="仿宋" w:hAnsi="仿宋" w:eastAsia="仿宋"/>
          <w:color w:val="000000"/>
          <w:sz w:val="32"/>
          <w:szCs w:val="32"/>
          <w:lang w:eastAsia="zh-CN"/>
        </w:rPr>
        <w:t>。</w:t>
      </w:r>
    </w:p>
    <w:p>
      <w:pPr>
        <w:spacing w:line="600" w:lineRule="exact"/>
        <w:jc w:val="center"/>
        <w:rPr>
          <w:rFonts w:hint="default" w:ascii="仿宋_GB2312" w:eastAsia="仿宋_GB2312"/>
          <w:color w:val="000000"/>
          <w:sz w:val="32"/>
          <w:szCs w:val="32"/>
          <w:lang w:val="en-US" w:eastAsia="zh-CN"/>
        </w:rPr>
      </w:pPr>
      <w:r>
        <w:rPr>
          <w:rFonts w:hint="eastAsia" w:ascii="仿宋" w:hAnsi="仿宋" w:eastAsia="仿宋"/>
          <w:color w:val="FF0000"/>
          <w:sz w:val="32"/>
          <w:szCs w:val="32"/>
        </w:rPr>
        <w:t>图</w:t>
      </w:r>
      <w:r>
        <w:rPr>
          <w:rFonts w:ascii="仿宋" w:hAnsi="仿宋" w:eastAsia="仿宋"/>
          <w:color w:val="FF0000"/>
          <w:sz w:val="32"/>
          <w:szCs w:val="32"/>
        </w:rPr>
        <w:t>1</w:t>
      </w:r>
      <w:r>
        <w:rPr>
          <w:rFonts w:hint="eastAsia" w:ascii="仿宋" w:hAnsi="仿宋" w:eastAsia="仿宋"/>
          <w:color w:val="FF0000"/>
          <w:sz w:val="32"/>
          <w:szCs w:val="32"/>
        </w:rPr>
        <w:t>：收、支决算总计</w:t>
      </w:r>
      <w:r>
        <w:rPr>
          <w:rFonts w:hint="eastAsia" w:ascii="仿宋" w:hAnsi="仿宋" w:eastAsia="仿宋"/>
          <w:color w:val="FF0000"/>
          <w:sz w:val="32"/>
          <w:szCs w:val="32"/>
          <w:lang w:eastAsia="zh-CN"/>
        </w:rPr>
        <w:t>变动</w:t>
      </w:r>
      <w:r>
        <w:rPr>
          <w:rFonts w:hint="eastAsia" w:ascii="仿宋" w:hAnsi="仿宋" w:eastAsia="仿宋"/>
          <w:color w:val="FF0000"/>
          <w:sz w:val="32"/>
          <w:szCs w:val="32"/>
        </w:rPr>
        <w:t>情况图</w:t>
      </w:r>
      <w:r>
        <w:rPr>
          <w:rFonts w:hint="eastAsia" w:ascii="仿宋" w:hAnsi="仿宋" w:eastAsia="仿宋"/>
          <w:color w:val="FF0000"/>
          <w:sz w:val="32"/>
          <w:szCs w:val="32"/>
          <w:lang w:eastAsia="zh-CN"/>
        </w:rPr>
        <w:t>（单位：万元）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3557270" cy="2266950"/>
            <wp:effectExtent l="4445" t="4445" r="1968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1089.91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480.91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609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jc w:val="center"/>
        <w:rPr>
          <w:rFonts w:hint="eastAsia" w:ascii="仿宋" w:hAnsi="仿宋" w:eastAsia="仿宋"/>
          <w:color w:val="FF0000"/>
          <w:sz w:val="32"/>
          <w:szCs w:val="32"/>
        </w:rPr>
      </w:pPr>
    </w:p>
    <w:p>
      <w:pPr>
        <w:spacing w:line="600" w:lineRule="exact"/>
        <w:jc w:val="both"/>
        <w:rPr>
          <w:rFonts w:hint="eastAsia" w:ascii="仿宋" w:hAnsi="仿宋" w:eastAsia="仿宋"/>
          <w:color w:val="FF0000"/>
          <w:sz w:val="32"/>
          <w:szCs w:val="32"/>
        </w:rPr>
      </w:pPr>
    </w:p>
    <w:p>
      <w:pPr>
        <w:spacing w:line="600" w:lineRule="exact"/>
        <w:jc w:val="center"/>
        <w:rPr>
          <w:rFonts w:ascii="仿宋" w:hAnsi="仿宋" w:eastAsia="仿宋"/>
          <w:color w:val="FF0000"/>
          <w:sz w:val="32"/>
          <w:szCs w:val="32"/>
        </w:rPr>
      </w:pPr>
      <w:r>
        <w:rPr>
          <w:rFonts w:hint="eastAsia" w:ascii="仿宋" w:hAnsi="仿宋" w:eastAsia="仿宋"/>
          <w:color w:val="FF0000"/>
          <w:sz w:val="32"/>
          <w:szCs w:val="32"/>
        </w:rPr>
        <w:t>图2：收入决算结构图（</w:t>
      </w:r>
      <w:r>
        <w:rPr>
          <w:rFonts w:hint="eastAsia" w:ascii="仿宋" w:hAnsi="仿宋" w:eastAsia="仿宋"/>
          <w:color w:val="FF0000"/>
          <w:sz w:val="32"/>
          <w:szCs w:val="32"/>
          <w:lang w:eastAsia="zh-CN"/>
        </w:rPr>
        <w:t>单位：万元</w:t>
      </w:r>
      <w:r>
        <w:rPr>
          <w:rFonts w:hint="eastAsia" w:ascii="仿宋" w:hAnsi="仿宋" w:eastAsia="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3976370" cy="2546350"/>
            <wp:effectExtent l="4445" t="4445" r="19685" b="209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1089.91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357.08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32.76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732.83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67.24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jc w:val="center"/>
        <w:rPr>
          <w:rFonts w:ascii="仿宋" w:hAnsi="仿宋" w:eastAsia="仿宋"/>
          <w:color w:val="FF0000"/>
          <w:sz w:val="32"/>
          <w:szCs w:val="32"/>
        </w:rPr>
      </w:pPr>
      <w:r>
        <w:rPr>
          <w:rFonts w:hint="eastAsia" w:ascii="仿宋" w:hAnsi="仿宋" w:eastAsia="仿宋"/>
          <w:color w:val="FF0000"/>
          <w:sz w:val="32"/>
          <w:szCs w:val="32"/>
        </w:rPr>
        <w:t>图3：支出决算结构图（</w:t>
      </w:r>
      <w:r>
        <w:rPr>
          <w:rFonts w:hint="eastAsia" w:ascii="仿宋" w:hAnsi="仿宋" w:eastAsia="仿宋"/>
          <w:color w:val="FF0000"/>
          <w:sz w:val="32"/>
          <w:szCs w:val="32"/>
          <w:lang w:eastAsia="zh-CN"/>
        </w:rPr>
        <w:t>单位：万元</w:t>
      </w:r>
      <w:r>
        <w:rPr>
          <w:rFonts w:hint="eastAsia" w:ascii="仿宋" w:hAnsi="仿宋" w:eastAsia="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075430" cy="2546350"/>
            <wp:effectExtent l="4445" t="4445" r="15875"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1089.91</w:t>
      </w:r>
      <w:r>
        <w:rPr>
          <w:rFonts w:hint="eastAsia" w:ascii="仿宋" w:hAnsi="仿宋" w:eastAsia="仿宋"/>
          <w:color w:val="000000"/>
          <w:sz w:val="32"/>
          <w:szCs w:val="32"/>
        </w:rPr>
        <w:t>万元。</w:t>
      </w:r>
      <w:r>
        <w:rPr>
          <w:rFonts w:hint="eastAsia" w:ascii="仿宋" w:hAnsi="仿宋" w:eastAsia="仿宋" w:cs="仿宋"/>
          <w:sz w:val="32"/>
          <w:szCs w:val="32"/>
        </w:rPr>
        <w:t>与20</w:t>
      </w:r>
      <w:r>
        <w:rPr>
          <w:rFonts w:hint="eastAsia" w:ascii="仿宋" w:hAnsi="仿宋" w:eastAsia="仿宋" w:cs="仿宋"/>
          <w:sz w:val="32"/>
          <w:szCs w:val="32"/>
          <w:lang w:val="en-US" w:eastAsia="zh-CN"/>
        </w:rPr>
        <w:t>20</w:t>
      </w:r>
      <w:r>
        <w:rPr>
          <w:rFonts w:hint="eastAsia" w:ascii="仿宋" w:hAnsi="仿宋" w:eastAsia="仿宋" w:cs="仿宋"/>
          <w:sz w:val="32"/>
          <w:szCs w:val="32"/>
        </w:rPr>
        <w:t>年相比，财政拨款收、支总计各增加</w:t>
      </w:r>
      <w:r>
        <w:rPr>
          <w:rFonts w:hint="eastAsia" w:ascii="仿宋" w:hAnsi="仿宋" w:eastAsia="仿宋" w:cs="仿宋"/>
          <w:sz w:val="32"/>
          <w:szCs w:val="32"/>
          <w:lang w:val="en-US" w:eastAsia="zh-CN"/>
        </w:rPr>
        <w:t>670.12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159.63</w:t>
      </w:r>
      <w:r>
        <w:rPr>
          <w:rFonts w:hint="eastAsia" w:ascii="仿宋" w:hAnsi="仿宋" w:eastAsia="仿宋" w:cs="仿宋"/>
          <w:sz w:val="32"/>
          <w:szCs w:val="32"/>
        </w:rPr>
        <w:t>%。主要变动原因是：</w:t>
      </w:r>
      <w:r>
        <w:rPr>
          <w:rFonts w:hint="eastAsia" w:ascii="仿宋_GB2312" w:hAnsi="仿宋_GB2312" w:eastAsia="仿宋_GB2312" w:cs="仿宋_GB2312"/>
          <w:sz w:val="32"/>
          <w:szCs w:val="32"/>
          <w:lang w:eastAsia="zh-CN"/>
        </w:rPr>
        <w:t>人员增加，业务范围及业务量增大，国土空间规划编制</w:t>
      </w:r>
      <w:r>
        <w:rPr>
          <w:rFonts w:hint="eastAsia" w:ascii="仿宋_GB2312" w:hAnsi="仿宋_GB2312" w:eastAsia="仿宋_GB2312" w:cs="仿宋_GB2312"/>
          <w:sz w:val="32"/>
          <w:szCs w:val="32"/>
          <w:lang w:val="en-US" w:eastAsia="zh-CN"/>
        </w:rPr>
        <w:t>及车辆购买等</w:t>
      </w:r>
      <w:r>
        <w:rPr>
          <w:rFonts w:hint="eastAsia" w:ascii="仿宋_GB2312" w:hAnsi="仿宋_GB2312" w:eastAsia="仿宋_GB2312" w:cs="仿宋_GB2312"/>
          <w:sz w:val="32"/>
          <w:szCs w:val="32"/>
          <w:lang w:eastAsia="zh-CN"/>
        </w:rPr>
        <w:t>工作</w:t>
      </w:r>
      <w:r>
        <w:rPr>
          <w:rFonts w:hint="eastAsia" w:ascii="仿宋" w:hAnsi="仿宋" w:eastAsia="仿宋"/>
          <w:color w:val="000000"/>
          <w:sz w:val="32"/>
          <w:szCs w:val="32"/>
          <w:lang w:eastAsia="zh-CN"/>
        </w:rPr>
        <w:t>。</w:t>
      </w:r>
    </w:p>
    <w:p>
      <w:pPr>
        <w:spacing w:line="600" w:lineRule="exact"/>
        <w:jc w:val="center"/>
        <w:rPr>
          <w:rFonts w:ascii="仿宋" w:hAnsi="仿宋" w:eastAsia="仿宋"/>
          <w:color w:val="FF0000"/>
          <w:sz w:val="32"/>
          <w:szCs w:val="32"/>
        </w:rPr>
      </w:pPr>
      <w:r>
        <w:rPr>
          <w:rFonts w:hint="eastAsia" w:ascii="仿宋" w:hAnsi="仿宋" w:eastAsia="仿宋"/>
          <w:color w:val="FF0000"/>
          <w:sz w:val="32"/>
          <w:szCs w:val="32"/>
        </w:rPr>
        <w:t>图4：财政拨款收、支决算总计变动情况（</w:t>
      </w:r>
      <w:r>
        <w:rPr>
          <w:rFonts w:hint="eastAsia" w:ascii="仿宋" w:hAnsi="仿宋" w:eastAsia="仿宋"/>
          <w:color w:val="FF0000"/>
          <w:sz w:val="32"/>
          <w:szCs w:val="32"/>
          <w:lang w:eastAsia="zh-CN"/>
        </w:rPr>
        <w:t>单位：万元</w:t>
      </w:r>
      <w:r>
        <w:rPr>
          <w:rFonts w:hint="eastAsia" w:ascii="仿宋" w:hAnsi="仿宋" w:eastAsia="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4158615" cy="2084705"/>
            <wp:effectExtent l="4445" t="4445" r="8890"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480.91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44.12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年相比，一般公共预算财政拨款增加</w:t>
      </w:r>
      <w:r>
        <w:rPr>
          <w:rFonts w:hint="eastAsia" w:ascii="仿宋_GB2312" w:hAnsi="仿宋_GB2312" w:eastAsia="仿宋_GB2312" w:cs="仿宋_GB2312"/>
          <w:sz w:val="32"/>
          <w:szCs w:val="32"/>
          <w:lang w:val="en-US" w:eastAsia="zh-CN"/>
        </w:rPr>
        <w:t>61.12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14.56</w:t>
      </w:r>
      <w:r>
        <w:rPr>
          <w:rFonts w:hint="eastAsia" w:ascii="仿宋_GB2312" w:hAnsi="仿宋_GB2312" w:eastAsia="仿宋_GB2312" w:cs="仿宋_GB2312"/>
          <w:sz w:val="32"/>
          <w:szCs w:val="32"/>
        </w:rPr>
        <w:t>%。主要变动原因是：</w:t>
      </w:r>
      <w:r>
        <w:rPr>
          <w:rFonts w:hint="eastAsia" w:ascii="仿宋" w:hAnsi="仿宋" w:eastAsia="仿宋"/>
          <w:color w:val="000000"/>
          <w:sz w:val="32"/>
          <w:szCs w:val="32"/>
          <w:lang w:eastAsia="zh-CN"/>
        </w:rPr>
        <w:t>人员增加，业务范围及业务量增大，</w:t>
      </w:r>
      <w:r>
        <w:rPr>
          <w:rFonts w:hint="eastAsia" w:ascii="仿宋" w:hAnsi="仿宋" w:eastAsia="仿宋"/>
          <w:color w:val="000000"/>
          <w:sz w:val="32"/>
          <w:szCs w:val="32"/>
          <w:lang w:val="en-US" w:eastAsia="zh-CN"/>
        </w:rPr>
        <w:t>车辆及专用设备购置等</w:t>
      </w:r>
      <w:r>
        <w:rPr>
          <w:rFonts w:hint="eastAsia" w:ascii="仿宋" w:hAnsi="仿宋" w:eastAsia="仿宋"/>
          <w:color w:val="000000"/>
          <w:sz w:val="32"/>
          <w:szCs w:val="32"/>
          <w:lang w:eastAsia="zh-CN"/>
        </w:rPr>
        <w:t>。</w:t>
      </w:r>
    </w:p>
    <w:p>
      <w:pPr>
        <w:spacing w:line="600" w:lineRule="exact"/>
        <w:jc w:val="center"/>
        <w:rPr>
          <w:rFonts w:hint="eastAsia" w:ascii="仿宋" w:hAnsi="仿宋" w:eastAsia="仿宋"/>
          <w:color w:val="FF0000"/>
          <w:sz w:val="32"/>
          <w:szCs w:val="32"/>
        </w:rPr>
      </w:pPr>
      <w:r>
        <w:rPr>
          <w:rFonts w:hint="eastAsia" w:ascii="仿宋" w:hAnsi="仿宋" w:eastAsia="仿宋"/>
          <w:color w:val="FF0000"/>
          <w:sz w:val="32"/>
          <w:szCs w:val="32"/>
        </w:rPr>
        <w:t>图5：一般公共预算财政拨款支出决算变动情况</w:t>
      </w:r>
    </w:p>
    <w:p>
      <w:pPr>
        <w:spacing w:line="600" w:lineRule="exact"/>
        <w:jc w:val="center"/>
        <w:rPr>
          <w:rFonts w:ascii="仿宋" w:hAnsi="仿宋" w:eastAsia="仿宋"/>
          <w:color w:val="FF0000"/>
          <w:sz w:val="32"/>
          <w:szCs w:val="32"/>
        </w:rPr>
      </w:pPr>
      <w:r>
        <w:rPr>
          <w:rFonts w:hint="eastAsia" w:ascii="仿宋" w:hAnsi="仿宋" w:eastAsia="仿宋"/>
          <w:color w:val="FF0000"/>
          <w:sz w:val="32"/>
          <w:szCs w:val="32"/>
        </w:rPr>
        <w:t>（</w:t>
      </w:r>
      <w:r>
        <w:rPr>
          <w:rFonts w:hint="eastAsia" w:ascii="仿宋" w:hAnsi="仿宋" w:eastAsia="仿宋"/>
          <w:color w:val="FF0000"/>
          <w:sz w:val="32"/>
          <w:szCs w:val="32"/>
          <w:lang w:eastAsia="zh-CN"/>
        </w:rPr>
        <w:t>单位：万元</w:t>
      </w:r>
      <w:r>
        <w:rPr>
          <w:rFonts w:hint="eastAsia" w:ascii="仿宋" w:hAnsi="仿宋" w:eastAsia="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3878580" cy="1995170"/>
            <wp:effectExtent l="4445" t="4445" r="22225" b="196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480.91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城乡社区支出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411.55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85.58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33.72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7.01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13.48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22.15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4.61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jc w:val="center"/>
        <w:rPr>
          <w:rFonts w:ascii="仿宋" w:hAnsi="仿宋" w:eastAsia="仿宋"/>
          <w:color w:val="FF0000"/>
          <w:sz w:val="32"/>
          <w:szCs w:val="32"/>
        </w:rPr>
      </w:pPr>
      <w:r>
        <w:rPr>
          <w:rFonts w:hint="eastAsia" w:ascii="仿宋" w:hAnsi="仿宋" w:eastAsia="仿宋"/>
          <w:color w:val="FF0000"/>
          <w:sz w:val="32"/>
          <w:szCs w:val="32"/>
        </w:rPr>
        <w:t>图6：一般公共预算财政拨款支出决算结构（</w:t>
      </w:r>
      <w:r>
        <w:rPr>
          <w:rFonts w:hint="eastAsia" w:ascii="仿宋" w:hAnsi="仿宋" w:eastAsia="仿宋"/>
          <w:color w:val="FF0000"/>
          <w:sz w:val="32"/>
          <w:szCs w:val="32"/>
          <w:lang w:eastAsia="zh-CN"/>
        </w:rPr>
        <w:t>单位：万元</w:t>
      </w:r>
      <w:r>
        <w:rPr>
          <w:rFonts w:hint="eastAsia" w:ascii="仿宋" w:hAnsi="仿宋" w:eastAsia="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469130" cy="2755900"/>
            <wp:effectExtent l="5080" t="4445" r="21590"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21</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480.91</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20805</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事业单位离退休</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2080599</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4.19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20805</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2080505</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29.54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Cs/>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20805</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2080506</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2101102</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13.48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cs="仿宋"/>
          <w:b/>
          <w:bCs/>
          <w:sz w:val="32"/>
          <w:szCs w:val="32"/>
          <w:lang w:val="en-US" w:eastAsia="zh-CN"/>
        </w:rPr>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其他行政事业单位医疗支出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2101199</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578"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、城乡社区支出（212）城乡社区规划与管理（21202）城乡社区规划与管理（2120201）：</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287.42</w:t>
      </w:r>
      <w:r>
        <w:rPr>
          <w:rFonts w:hint="eastAsia" w:ascii="仿宋" w:hAnsi="仿宋" w:eastAsia="仿宋" w:cs="仿宋"/>
          <w:sz w:val="32"/>
          <w:szCs w:val="32"/>
        </w:rPr>
        <w:t>万元，完成预算100%。</w:t>
      </w:r>
    </w:p>
    <w:p>
      <w:pPr>
        <w:spacing w:line="578" w:lineRule="exact"/>
        <w:ind w:firstLine="643" w:firstLineChars="200"/>
        <w:rPr>
          <w:rFonts w:ascii="仿宋" w:hAnsi="仿宋" w:eastAsia="仿宋"/>
          <w:b/>
          <w:color w:val="000000"/>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、住房保障支出（221）住房改革支出（2</w:t>
      </w: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02）住房公积金（2</w:t>
      </w: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0201）：</w:t>
      </w:r>
      <w:r>
        <w:rPr>
          <w:rFonts w:hint="eastAsia" w:ascii="仿宋_GB2312" w:hAnsi="仿宋_GB2312" w:eastAsia="仿宋_GB2312" w:cs="仿宋_GB2312"/>
          <w:sz w:val="32"/>
          <w:szCs w:val="32"/>
        </w:rPr>
        <w:t>支出决算数</w:t>
      </w:r>
      <w:r>
        <w:rPr>
          <w:rFonts w:hint="eastAsia" w:ascii="仿宋_GB2312" w:hAnsi="仿宋_GB2312" w:eastAsia="仿宋_GB2312" w:cs="仿宋_GB2312"/>
          <w:sz w:val="32"/>
          <w:szCs w:val="32"/>
          <w:lang w:val="en-US" w:eastAsia="zh-CN"/>
        </w:rPr>
        <w:t>22.15</w:t>
      </w:r>
      <w:r>
        <w:rPr>
          <w:rFonts w:hint="eastAsia" w:ascii="仿宋_GB2312" w:hAnsi="仿宋_GB2312" w:eastAsia="仿宋_GB2312" w:cs="仿宋_GB2312"/>
          <w:sz w:val="32"/>
          <w:szCs w:val="32"/>
        </w:rPr>
        <w:t>万元，完成预算数100%。</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480.91</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343.77</w:t>
      </w:r>
      <w:r>
        <w:rPr>
          <w:rFonts w:hint="eastAsia" w:ascii="仿宋" w:hAnsi="仿宋" w:eastAsia="仿宋"/>
          <w:color w:val="000000"/>
          <w:sz w:val="32"/>
          <w:szCs w:val="32"/>
        </w:rPr>
        <w:t>万元，主要包括：基本工资、津贴补贴、奖金、绩效工资、机关事业单位基本养老保险缴费、职业年金缴费、</w:t>
      </w:r>
      <w:r>
        <w:rPr>
          <w:rFonts w:hint="eastAsia" w:ascii="仿宋" w:hAnsi="仿宋" w:eastAsia="仿宋"/>
          <w:color w:val="000000"/>
          <w:sz w:val="32"/>
          <w:szCs w:val="32"/>
          <w:lang w:eastAsia="zh-CN"/>
        </w:rPr>
        <w:t>职工医疗保险缴费、</w:t>
      </w:r>
      <w:r>
        <w:rPr>
          <w:rFonts w:hint="eastAsia" w:ascii="仿宋" w:hAnsi="仿宋" w:eastAsia="仿宋"/>
          <w:color w:val="000000"/>
          <w:sz w:val="32"/>
          <w:szCs w:val="32"/>
        </w:rPr>
        <w:t>其他社会保障缴费、住房公积金、其他工资福利支出、生活补助等。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13.31</w:t>
      </w:r>
      <w:r>
        <w:rPr>
          <w:rFonts w:hint="eastAsia" w:ascii="仿宋" w:hAnsi="仿宋" w:eastAsia="仿宋"/>
          <w:color w:val="000000"/>
          <w:sz w:val="32"/>
          <w:szCs w:val="32"/>
        </w:rPr>
        <w:t>万元，主要包括：办公费、印刷费、水费、电费、邮电费、差旅费、维修（护）费、租赁费、会议费、培训费、公务接待费、工会经费、福利费、公务用车运行维护费、其他商品和服务支出等。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23.67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105.29%</w:t>
      </w:r>
      <w:r>
        <w:rPr>
          <w:rFonts w:hint="eastAsia" w:ascii="仿宋" w:hAnsi="仿宋" w:eastAsia="仿宋"/>
          <w:color w:val="000000"/>
          <w:sz w:val="32"/>
          <w:szCs w:val="32"/>
          <w:lang w:eastAsia="zh-CN"/>
        </w:rPr>
        <w:t>，决算数</w:t>
      </w:r>
      <w:r>
        <w:rPr>
          <w:rFonts w:hint="eastAsia" w:ascii="仿宋" w:hAnsi="仿宋" w:eastAsia="仿宋"/>
          <w:color w:val="000000"/>
          <w:sz w:val="32"/>
          <w:szCs w:val="32"/>
          <w:lang w:val="en-US" w:eastAsia="zh-CN"/>
        </w:rPr>
        <w:t>大</w:t>
      </w:r>
      <w:r>
        <w:rPr>
          <w:rFonts w:hint="eastAsia" w:ascii="仿宋" w:hAnsi="仿宋" w:eastAsia="仿宋"/>
          <w:color w:val="000000"/>
          <w:sz w:val="32"/>
          <w:szCs w:val="32"/>
          <w:lang w:eastAsia="zh-CN"/>
        </w:rPr>
        <w:t>于预算数的原因是</w:t>
      </w:r>
      <w:r>
        <w:rPr>
          <w:rFonts w:hint="eastAsia" w:ascii="仿宋" w:hAnsi="仿宋" w:eastAsia="仿宋"/>
          <w:color w:val="000000"/>
          <w:sz w:val="32"/>
          <w:szCs w:val="32"/>
          <w:lang w:val="en-US" w:eastAsia="zh-CN"/>
        </w:rPr>
        <w:t>新车保险及装饰费</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22.21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93.93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6.07</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jc w:val="center"/>
        <w:rPr>
          <w:rFonts w:ascii="仿宋" w:hAnsi="仿宋" w:eastAsia="仿宋"/>
          <w:color w:val="FF0000"/>
          <w:sz w:val="32"/>
          <w:szCs w:val="32"/>
        </w:rPr>
      </w:pPr>
      <w:r>
        <w:rPr>
          <w:rFonts w:hint="eastAsia" w:ascii="仿宋" w:hAnsi="仿宋" w:eastAsia="仿宋"/>
          <w:color w:val="FF0000"/>
          <w:sz w:val="32"/>
          <w:szCs w:val="32"/>
        </w:rPr>
        <w:t>图7：“三公”经费财政拨款支出结构（</w:t>
      </w:r>
      <w:r>
        <w:rPr>
          <w:rFonts w:hint="eastAsia" w:ascii="仿宋" w:hAnsi="仿宋" w:eastAsia="仿宋"/>
          <w:color w:val="FF0000"/>
          <w:sz w:val="32"/>
          <w:szCs w:val="32"/>
          <w:lang w:eastAsia="zh-CN"/>
        </w:rPr>
        <w:t>单位：万元</w:t>
      </w:r>
      <w:r>
        <w:rPr>
          <w:rFonts w:hint="eastAsia" w:ascii="仿宋" w:hAnsi="仿宋" w:eastAsia="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drawing>
          <wp:inline distT="0" distB="0" distL="114300" distR="114300">
            <wp:extent cx="4488180" cy="2266950"/>
            <wp:effectExtent l="4445" t="4445" r="2222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。主要原因是未安排因公出国（境）事项</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22.21</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增加18.04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 xml:space="preserve">增加432.61 </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购置新车</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17.98</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17.98</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eastAsia="zh-CN"/>
        </w:rPr>
        <w:t>业务用</w:t>
      </w:r>
      <w:r>
        <w:rPr>
          <w:rFonts w:hint="eastAsia" w:ascii="仿宋_GB2312" w:hAnsi="仿宋_GB2312" w:eastAsia="仿宋_GB2312" w:cs="仿宋_GB2312"/>
          <w:sz w:val="32"/>
          <w:szCs w:val="32"/>
        </w:rPr>
        <w:t>车1辆（长安面包）</w:t>
      </w:r>
      <w:r>
        <w:rPr>
          <w:rFonts w:hint="eastAsia" w:ascii="仿宋_GB2312" w:hAnsi="仿宋_GB2312" w:eastAsia="仿宋_GB2312" w:cs="仿宋_GB2312"/>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4.23</w:t>
      </w:r>
      <w:r>
        <w:rPr>
          <w:rFonts w:hint="eastAsia" w:ascii="仿宋_GB2312" w:eastAsia="仿宋_GB2312"/>
          <w:color w:val="000000"/>
          <w:sz w:val="32"/>
          <w:szCs w:val="32"/>
        </w:rPr>
        <w:t>万元。主要用于</w:t>
      </w:r>
      <w:r>
        <w:rPr>
          <w:rFonts w:hint="eastAsia" w:ascii="仿宋_GB2312" w:eastAsia="仿宋_GB2312"/>
          <w:sz w:val="32"/>
          <w:szCs w:val="32"/>
        </w:rPr>
        <w:t>城乡规划</w:t>
      </w:r>
      <w:r>
        <w:rPr>
          <w:rFonts w:hint="eastAsia" w:ascii="仿宋_GB2312" w:eastAsia="仿宋_GB2312"/>
          <w:sz w:val="32"/>
          <w:szCs w:val="32"/>
          <w:lang w:eastAsia="zh-CN"/>
        </w:rPr>
        <w:t>编制、管理及</w:t>
      </w:r>
      <w:r>
        <w:rPr>
          <w:rFonts w:hint="eastAsia" w:ascii="仿宋_GB2312" w:eastAsia="仿宋_GB2312"/>
          <w:sz w:val="32"/>
          <w:szCs w:val="32"/>
        </w:rPr>
        <w:t>勘</w:t>
      </w:r>
      <w:r>
        <w:rPr>
          <w:rFonts w:hint="eastAsia" w:ascii="仿宋_GB2312" w:eastAsia="仿宋_GB2312"/>
          <w:sz w:val="32"/>
          <w:szCs w:val="32"/>
          <w:lang w:eastAsia="zh-CN"/>
        </w:rPr>
        <w:t>测</w:t>
      </w:r>
      <w:r>
        <w:rPr>
          <w:rFonts w:hint="eastAsia" w:ascii="仿宋_GB2312" w:eastAsia="仿宋_GB2312"/>
          <w:sz w:val="32"/>
          <w:szCs w:val="32"/>
        </w:rPr>
        <w:t>设计</w:t>
      </w:r>
      <w:r>
        <w:rPr>
          <w:rFonts w:hint="eastAsia" w:ascii="仿宋_GB2312" w:eastAsia="仿宋_GB2312"/>
          <w:color w:val="000000"/>
          <w:sz w:val="32"/>
          <w:szCs w:val="32"/>
        </w:rPr>
        <w:t>等所需的公务用车燃料费、维修费、过路过桥费、保险费等支出。</w:t>
      </w:r>
    </w:p>
    <w:p>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1.46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97.33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减少0.4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减少26.67%</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市县相互交流、学习次数减少</w:t>
      </w:r>
      <w:r>
        <w:rPr>
          <w:rFonts w:hint="eastAsia" w:ascii="仿宋" w:hAnsi="仿宋" w:eastAsia="仿宋" w:cs="仿宋"/>
          <w:color w:val="000000"/>
          <w:sz w:val="32"/>
          <w:szCs w:val="32"/>
          <w:lang w:eastAsia="zh-CN"/>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1.46</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规划编制、管理及勘测设计、检查工作、市县相互交流学习等方面（</w:t>
      </w:r>
      <w:r>
        <w:rPr>
          <w:rFonts w:hint="eastAsia" w:ascii="仿宋_GB2312" w:eastAsia="仿宋_GB2312"/>
          <w:color w:val="000000"/>
          <w:sz w:val="32"/>
          <w:szCs w:val="32"/>
        </w:rPr>
        <w:t>执行公务、开展业务活动开支的交通费、住宿费、用餐费等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301</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1.46</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规划编制及管理来人学习交流</w:t>
      </w:r>
      <w:r>
        <w:rPr>
          <w:rFonts w:hint="eastAsia" w:ascii="仿宋_GB2312" w:eastAsia="仿宋_GB2312"/>
          <w:color w:val="000000"/>
          <w:sz w:val="32"/>
          <w:szCs w:val="32"/>
          <w:lang w:val="en-US" w:eastAsia="zh-CN"/>
        </w:rPr>
        <w:t>5次3520元，勘测设计19次6230元，来人检查工作9次4850元</w:t>
      </w:r>
      <w:r>
        <w:rPr>
          <w:rFonts w:hint="eastAsia" w:ascii="仿宋_GB2312" w:eastAsia="仿宋_GB2312"/>
          <w:color w:val="000000"/>
          <w:sz w:val="32"/>
          <w:szCs w:val="32"/>
        </w:rPr>
        <w:t>。</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609</w:t>
      </w:r>
      <w:r>
        <w:rPr>
          <w:rFonts w:hint="eastAsia" w:ascii="仿宋_GB2312" w:eastAsia="仿宋_GB2312"/>
          <w:color w:val="000000"/>
          <w:sz w:val="32"/>
          <w:szCs w:val="32"/>
        </w:rPr>
        <w:t>万元。</w:t>
      </w:r>
    </w:p>
    <w:p>
      <w:pPr>
        <w:numPr>
          <w:ilvl w:val="0"/>
          <w:numId w:val="3"/>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w:t>
      </w:r>
      <w:r>
        <w:rPr>
          <w:rFonts w:hint="eastAsia" w:ascii="仿宋" w:hAnsi="仿宋" w:eastAsia="仿宋"/>
          <w:b/>
          <w:color w:val="000000"/>
          <w:sz w:val="32"/>
          <w:szCs w:val="32"/>
          <w:lang w:eastAsia="zh-CN"/>
        </w:rPr>
        <w:t>事业</w:t>
      </w:r>
      <w:r>
        <w:rPr>
          <w:rFonts w:hint="eastAsia" w:ascii="仿宋" w:hAnsi="仿宋" w:eastAsia="仿宋"/>
          <w:b/>
          <w:color w:val="000000"/>
          <w:sz w:val="32"/>
          <w:szCs w:val="32"/>
        </w:rPr>
        <w:t>运行经费支出情况</w:t>
      </w:r>
      <w:bookmarkEnd w:id="52"/>
    </w:p>
    <w:p>
      <w:pPr>
        <w:numPr>
          <w:ilvl w:val="0"/>
          <w:numId w:val="0"/>
        </w:num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大竹县城乡规划编制中心</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86.06</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21.02</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34.44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sz w:val="32"/>
          <w:szCs w:val="32"/>
          <w:lang w:val="en-US" w:eastAsia="zh-CN"/>
        </w:rPr>
        <w:t>业务范围扩大、业务量增加，人员增加后运行经费相应增加</w:t>
      </w:r>
      <w:r>
        <w:rPr>
          <w:rFonts w:hint="eastAsia" w:ascii="仿宋" w:hAnsi="仿宋" w:eastAsia="仿宋" w:cs="仿宋"/>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大竹县城乡规划编中心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大竹县城乡规划编制中心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规划管理、勘测设计业务，</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公务用车购置项目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国土空间规划项目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专用设备购置项目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sz w:val="32"/>
          <w:szCs w:val="32"/>
          <w:lang w:val="en-US" w:eastAsia="zh-CN"/>
        </w:rPr>
        <w:t>主要从预算管理、评价应用、存在的问题及建议等多方面进行了自评</w:t>
      </w:r>
      <w:r>
        <w:rPr>
          <w:rFonts w:hint="eastAsia" w:ascii="仿宋_GB2312" w:hAnsi="仿宋_GB2312" w:eastAsia="仿宋_GB2312" w:cs="仿宋_GB2312"/>
          <w:sz w:val="32"/>
          <w:szCs w:val="32"/>
        </w:rPr>
        <w:t>。从评价情况来看</w:t>
      </w:r>
      <w:r>
        <w:rPr>
          <w:rFonts w:hint="eastAsia" w:ascii="仿宋_GB2312" w:hAnsi="仿宋_GB2312" w:eastAsia="仿宋_GB2312" w:cs="仿宋_GB2312"/>
          <w:sz w:val="32"/>
          <w:szCs w:val="32"/>
          <w:lang w:eastAsia="zh-CN"/>
        </w:rPr>
        <w:t>效果良好。</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个项目支出绩效评价（本部门无</w:t>
      </w:r>
      <w:r>
        <w:rPr>
          <w:rFonts w:hint="eastAsia" w:ascii="仿宋_GB2312" w:hAnsi="仿宋_GB2312" w:eastAsia="仿宋_GB2312" w:cs="仿宋_GB2312"/>
          <w:sz w:val="32"/>
          <w:szCs w:val="32"/>
          <w:lang w:val="en-US" w:eastAsia="zh-CN"/>
        </w:rPr>
        <w:t>规定标准以上的</w:t>
      </w:r>
      <w:r>
        <w:rPr>
          <w:rFonts w:hint="eastAsia" w:ascii="仿宋_GB2312" w:hAnsi="仿宋_GB2312" w:eastAsia="仿宋_GB2312" w:cs="仿宋_GB2312"/>
          <w:sz w:val="32"/>
          <w:szCs w:val="32"/>
        </w:rPr>
        <w:t>专项预算项目，因此未组织开展项目支出绩效评价）。</w:t>
      </w:r>
    </w:p>
    <w:p>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公务用车购置项目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国土空间规划项目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专用设备购置项目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个项目绩效目标实际完成情况。</w:t>
      </w:r>
    </w:p>
    <w:p>
      <w:pPr>
        <w:pStyle w:val="31"/>
        <w:spacing w:line="578"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公务用车购置项目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17.98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Times New Roman" w:hAnsi="Times New Roman" w:eastAsia="仿宋_GB2312" w:cs="Times New Roman"/>
          <w:sz w:val="32"/>
          <w:szCs w:val="32"/>
          <w:lang w:val="en-US" w:eastAsia="zh-CN"/>
        </w:rPr>
        <w:t>大大提升工作效率，为单位人员创造了便利。</w:t>
      </w:r>
      <w:r>
        <w:rPr>
          <w:rFonts w:hint="eastAsia" w:ascii="仿宋_GB2312" w:hAnsi="仿宋_GB2312" w:eastAsia="仿宋_GB2312" w:cs="仿宋_GB2312"/>
          <w:sz w:val="32"/>
          <w:szCs w:val="32"/>
        </w:rPr>
        <w:t>，发现的主要问题：</w:t>
      </w:r>
      <w:r>
        <w:rPr>
          <w:rFonts w:hint="eastAsia" w:ascii="Times New Roman" w:hAnsi="Times New Roman" w:eastAsia="仿宋_GB2312" w:cs="Times New Roman"/>
          <w:sz w:val="32"/>
          <w:szCs w:val="32"/>
          <w:lang w:val="en-US" w:eastAsia="zh-CN"/>
        </w:rPr>
        <w:t>车辆市场及规格缺乏了解</w:t>
      </w:r>
      <w:r>
        <w:rPr>
          <w:rFonts w:hint="eastAsia" w:ascii="仿宋_GB2312" w:hAnsi="仿宋_GB2312" w:eastAsia="仿宋_GB2312" w:cs="仿宋_GB2312"/>
          <w:sz w:val="32"/>
          <w:szCs w:val="32"/>
        </w:rPr>
        <w:t>。下一步改进措施：</w:t>
      </w:r>
      <w:r>
        <w:rPr>
          <w:rFonts w:hint="eastAsia" w:ascii="Times New Roman" w:hAnsi="Times New Roman" w:eastAsia="仿宋_GB2312" w:cs="Times New Roman"/>
          <w:sz w:val="32"/>
          <w:szCs w:val="32"/>
          <w:lang w:val="en-US" w:eastAsia="zh-CN"/>
        </w:rPr>
        <w:t>学习了解车辆规格及行业情况。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国土空间规划项目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Times New Roman" w:hAnsi="Times New Roman" w:eastAsia="仿宋_GB2312" w:cs="Times New Roman"/>
          <w:sz w:val="32"/>
          <w:szCs w:val="32"/>
          <w:lang w:eastAsia="zh-CN"/>
        </w:rPr>
        <w:t>有利于节约土地，达到合理利用土地资源，加快出市建设，提高城市建设品味</w:t>
      </w:r>
      <w:r>
        <w:rPr>
          <w:rFonts w:hint="eastAsia" w:ascii="Times New Roman" w:hAnsi="Times New Roman" w:eastAsia="仿宋_GB2312" w:cs="Times New Roman"/>
          <w:sz w:val="32"/>
          <w:szCs w:val="32"/>
          <w:lang w:val="en-US" w:eastAsia="zh-CN"/>
        </w:rPr>
        <w:t>等</w:t>
      </w:r>
      <w:r>
        <w:rPr>
          <w:rFonts w:hint="eastAsia" w:ascii="仿宋_GB2312" w:hAnsi="仿宋_GB2312" w:eastAsia="仿宋_GB2312" w:cs="仿宋_GB2312"/>
          <w:sz w:val="32"/>
          <w:szCs w:val="32"/>
        </w:rPr>
        <w:t>，发现的主要问题：</w:t>
      </w:r>
      <w:r>
        <w:rPr>
          <w:rFonts w:hint="eastAsia" w:ascii="Times New Roman" w:hAnsi="Times New Roman" w:eastAsia="仿宋_GB2312" w:cs="Times New Roman"/>
          <w:sz w:val="32"/>
          <w:szCs w:val="32"/>
          <w:lang w:val="en-US" w:eastAsia="zh-CN"/>
        </w:rPr>
        <w:t>由于政策变化，需要重新修改、补充和完善很多资料</w:t>
      </w:r>
      <w:r>
        <w:rPr>
          <w:rFonts w:hint="eastAsia" w:ascii="仿宋_GB2312" w:hAnsi="仿宋_GB2312" w:eastAsia="仿宋_GB2312" w:cs="仿宋_GB2312"/>
          <w:sz w:val="32"/>
          <w:szCs w:val="32"/>
        </w:rPr>
        <w:t>。下一步改进措施：</w:t>
      </w:r>
      <w:r>
        <w:rPr>
          <w:rFonts w:hint="eastAsia" w:ascii="仿宋" w:hAnsi="仿宋" w:eastAsia="仿宋" w:cs="仿宋"/>
          <w:color w:val="000000"/>
          <w:sz w:val="30"/>
          <w:szCs w:val="30"/>
          <w:shd w:val="clear" w:color="auto" w:fill="FFFFFF"/>
        </w:rPr>
        <w:t>进一步加强单位内部机构各股室的预算</w:t>
      </w:r>
      <w:r>
        <w:rPr>
          <w:rFonts w:hint="eastAsia" w:ascii="仿宋" w:hAnsi="仿宋" w:eastAsia="仿宋" w:cs="仿宋"/>
          <w:color w:val="000000"/>
          <w:sz w:val="30"/>
          <w:szCs w:val="30"/>
          <w:shd w:val="clear" w:color="auto" w:fill="FFFFFF"/>
          <w:lang w:eastAsia="zh-CN"/>
        </w:rPr>
        <w:t>执行、预算</w:t>
      </w:r>
      <w:r>
        <w:rPr>
          <w:rFonts w:hint="eastAsia" w:ascii="仿宋" w:hAnsi="仿宋" w:eastAsia="仿宋" w:cs="仿宋"/>
          <w:color w:val="000000"/>
          <w:sz w:val="30"/>
          <w:szCs w:val="30"/>
          <w:shd w:val="clear" w:color="auto" w:fill="FFFFFF"/>
        </w:rPr>
        <w:t>管理意识，</w:t>
      </w:r>
      <w:r>
        <w:rPr>
          <w:rFonts w:hint="eastAsia" w:ascii="仿宋" w:hAnsi="仿宋" w:eastAsia="仿宋" w:cs="仿宋"/>
          <w:color w:val="000000"/>
          <w:sz w:val="30"/>
          <w:szCs w:val="30"/>
        </w:rPr>
        <w:t>加强绩效目标动态监控和评价</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提升</w:t>
      </w:r>
      <w:r>
        <w:rPr>
          <w:rFonts w:hint="eastAsia" w:ascii="仿宋" w:hAnsi="仿宋" w:eastAsia="仿宋" w:cs="仿宋"/>
          <w:color w:val="000000"/>
          <w:sz w:val="30"/>
          <w:szCs w:val="30"/>
          <w:lang w:eastAsia="zh-CN"/>
        </w:rPr>
        <w:t>城乡规划编制和城乡规划管理水平，</w:t>
      </w:r>
      <w:r>
        <w:rPr>
          <w:rFonts w:hint="eastAsia" w:ascii="仿宋" w:hAnsi="仿宋" w:eastAsia="仿宋" w:cs="仿宋"/>
          <w:color w:val="000000"/>
          <w:sz w:val="30"/>
          <w:szCs w:val="30"/>
          <w:lang w:val="en-US" w:eastAsia="zh-CN"/>
        </w:rPr>
        <w:t>顺利完成全年拟定工作目标任务。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专用设备购置项目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25.85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25.85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Times New Roman" w:hAnsi="Times New Roman" w:eastAsia="仿宋_GB2312" w:cs="Times New Roman"/>
          <w:sz w:val="32"/>
          <w:szCs w:val="32"/>
          <w:lang w:val="en-US" w:eastAsia="zh-CN"/>
        </w:rPr>
        <w:t>大大提升工作效率，为单位创造了技术性支持</w:t>
      </w:r>
      <w:r>
        <w:rPr>
          <w:rFonts w:hint="eastAsia" w:ascii="仿宋_GB2312" w:hAnsi="仿宋_GB2312" w:eastAsia="仿宋_GB2312" w:cs="仿宋_GB2312"/>
          <w:sz w:val="32"/>
          <w:szCs w:val="32"/>
        </w:rPr>
        <w:t>，发现的主要问题：</w:t>
      </w:r>
      <w:r>
        <w:rPr>
          <w:rFonts w:hint="eastAsia" w:ascii="Times New Roman" w:hAnsi="Times New Roman" w:eastAsia="仿宋_GB2312" w:cs="Times New Roman"/>
          <w:sz w:val="32"/>
          <w:szCs w:val="32"/>
          <w:lang w:val="en-US" w:eastAsia="zh-CN"/>
        </w:rPr>
        <w:t>绘图仪市场缺乏了解</w:t>
      </w:r>
      <w:r>
        <w:rPr>
          <w:rFonts w:hint="eastAsia" w:ascii="仿宋_GB2312" w:hAnsi="仿宋_GB2312" w:eastAsia="仿宋_GB2312" w:cs="仿宋_GB2312"/>
          <w:sz w:val="32"/>
          <w:szCs w:val="32"/>
        </w:rPr>
        <w:t>。下一步改进措施：</w:t>
      </w:r>
      <w:r>
        <w:rPr>
          <w:rFonts w:hint="eastAsia" w:ascii="Times New Roman" w:hAnsi="Times New Roman" w:eastAsia="仿宋_GB2312" w:cs="Times New Roman"/>
          <w:sz w:val="32"/>
          <w:szCs w:val="32"/>
          <w:lang w:val="en-US" w:eastAsia="zh-CN"/>
        </w:rPr>
        <w:t>学习了解绘图仪行业情况。</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大竹县城乡规划编制中心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年部门整体支出绩效评价报告》见附件（附件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公务用车购置项目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国土空间规划项目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专用设备购置项目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开展了绩效评价，见附件（附件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rPr>
          <w:rFonts w:ascii="仿宋_GB2312" w:hAnsi="仿宋_GB2312" w:eastAsia="仿宋_GB2312" w:cs="仿宋_GB2312"/>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20805</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2080505</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w:t>
      </w:r>
      <w:r>
        <w:rPr>
          <w:rFonts w:hint="eastAsia" w:ascii="仿宋_GB2312" w:hAnsi="仿宋_GB2312" w:eastAsia="仿宋_GB2312" w:cs="仿宋_GB2312"/>
          <w:sz w:val="32"/>
          <w:szCs w:val="32"/>
        </w:rPr>
        <w:t>机关事业单位实施养老保险制度由单位缴纳的基本养老保险支出。</w:t>
      </w:r>
    </w:p>
    <w:p>
      <w:pPr>
        <w:spacing w:line="600" w:lineRule="exact"/>
        <w:ind w:firstLine="640"/>
        <w:rPr>
          <w:rFonts w:ascii="仿宋_GB2312" w:hAnsi="仿宋_GB2312" w:eastAsia="仿宋_GB2312" w:cs="仿宋_GB2312"/>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20805</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事业单位离退休支出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2080502</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反映事业单位开支的离退休经费</w:t>
      </w:r>
      <w:r>
        <w:rPr>
          <w:rFonts w:hint="eastAsia"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事业单位养老支出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20805</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2080506</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w:t>
      </w:r>
      <w:r>
        <w:rPr>
          <w:rFonts w:hint="eastAsia" w:ascii="仿宋_GB2312" w:hAnsi="仿宋_GB2312" w:eastAsia="仿宋_GB2312" w:cs="仿宋_GB2312"/>
          <w:sz w:val="32"/>
          <w:szCs w:val="32"/>
        </w:rPr>
        <w:t>机关事业单位实施养老保险制度由单位</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缴纳的</w:t>
      </w:r>
      <w:r>
        <w:rPr>
          <w:rFonts w:hint="eastAsia" w:ascii="仿宋_GB2312" w:hAnsi="仿宋_GB2312" w:eastAsia="仿宋_GB2312" w:cs="仿宋_GB2312"/>
          <w:sz w:val="32"/>
          <w:szCs w:val="32"/>
          <w:lang w:eastAsia="zh-CN"/>
        </w:rPr>
        <w:t>职业年金</w:t>
      </w:r>
      <w:r>
        <w:rPr>
          <w:rFonts w:hint="eastAsia" w:ascii="仿宋_GB2312" w:hAnsi="仿宋_GB2312" w:eastAsia="仿宋_GB2312" w:cs="仿宋_GB2312"/>
          <w:sz w:val="32"/>
          <w:szCs w:val="32"/>
        </w:rPr>
        <w:t>支出。</w:t>
      </w:r>
    </w:p>
    <w:p>
      <w:pPr>
        <w:numPr>
          <w:ilvl w:val="0"/>
          <w:numId w:val="0"/>
        </w:num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21011</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2101102</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21011</w:t>
      </w:r>
      <w:r>
        <w:rPr>
          <w:rFonts w:hint="eastAsia" w:ascii="仿宋_GB2312" w:eastAsia="仿宋_GB2312"/>
          <w:color w:val="000000"/>
          <w:sz w:val="32"/>
          <w:szCs w:val="32"/>
        </w:rPr>
        <w:t>）</w:t>
      </w:r>
      <w:r>
        <w:rPr>
          <w:rFonts w:hint="eastAsia" w:ascii="仿宋_GB2312" w:eastAsia="仿宋_GB2312"/>
          <w:color w:val="000000"/>
          <w:sz w:val="32"/>
          <w:szCs w:val="32"/>
          <w:lang w:eastAsia="zh-CN"/>
        </w:rPr>
        <w:t>其他行政事业单位医疗支出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2101199</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反映除上述项目以外的其他用于行政事业单位医疗方面的支出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城乡社区</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（212）城乡社区规划与管理（21202）城乡社区规划与管理（2120201）：指反映社区、防灾减灾、历史名城规划制定与管理等方面的支出。</w:t>
      </w:r>
    </w:p>
    <w:p>
      <w:pPr>
        <w:spacing w:line="600" w:lineRule="exact"/>
        <w:ind w:firstLine="640"/>
        <w:rPr>
          <w:rFonts w:ascii="仿宋_GB2312" w:hAnsi="仿宋_GB2312" w:eastAsia="仿宋_GB2312" w:cs="仿宋_GB2312"/>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22102</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2210201</w:t>
      </w:r>
      <w:r>
        <w:rPr>
          <w:rFonts w:hint="eastAsia" w:ascii="仿宋_GB2312" w:eastAsia="仿宋_GB2312"/>
          <w:color w:val="000000"/>
          <w:sz w:val="32"/>
          <w:szCs w:val="32"/>
        </w:rPr>
        <w:t>）：指</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tbl>
      <w:tblPr>
        <w:tblStyle w:val="13"/>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12"/>
        <w:gridCol w:w="660"/>
        <w:gridCol w:w="1081"/>
        <w:gridCol w:w="1031"/>
        <w:gridCol w:w="3016"/>
        <w:gridCol w:w="13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225"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国土空间规划编制项目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大竹县城乡规划编制中心</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大竹县城乡规划编制中心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7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上级财政资金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7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33"/>
                <w:lang w:val="en-US" w:eastAsia="zh-CN" w:bidi="ar"/>
              </w:rPr>
              <w:t xml:space="preserve">      县级资金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7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33"/>
                <w:lang w:val="en-US" w:eastAsia="zh-CN" w:bidi="ar"/>
              </w:rPr>
              <w:t xml:space="preserve">  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启动国土空间规划编制；规划方案审查；建设项目选址；规划放线及测绘；规划核实；村镇规划管理；其他工作。</w:t>
            </w:r>
          </w:p>
        </w:tc>
        <w:tc>
          <w:tcPr>
            <w:tcW w:w="5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启动国土空间规划编制；规划方案审查；建设项目选址；规划放线及测绘；规划核实；村镇规划管理；其他工作。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启动国土空间规划编制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规划方案审查</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方案审查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建设项目选址</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选址完成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规划放线及测绘</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放线及测绘完成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竣工规划审核</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竣工规划审查完成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村镇规划管理</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村镇规划管理完成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个人106户，规划50个项目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承办规委会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规委会完成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5次47个项目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建设项目选址、放线、测绘及规划核实</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达到规划设计条件和要求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启动国土空间规划编制</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形成规划编制大纲和阶段性成果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承办规委会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通过规划设计方案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5次47个项目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完成上级下达的规划编制任务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按期完成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国土空间规划编制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国土空间规划编制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节约土地，合理利用土地资源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加快城市建设、提高城市品位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为城市高标准建设服务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国土空间规划编制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保护生态环境，节约土地，促进社区文明、健康发展，构建自然生态和谐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国土空间规划编制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将生态保护贯彻国土空间规划编制就管理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编制国土空间规划控制性详规</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加快城市建设，保护生态环境，服务便民化，提高城市建设品味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村镇规划管理</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推动乡村振兴，改善人居环境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国土空间规划编制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近期目标、远期目标、远景目标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2020-2025；2020-2035；2020-2050；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职能机构满意度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34"/>
                <w:lang w:val="en-US" w:eastAsia="zh-CN"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34"/>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34"/>
                <w:lang w:val="en-US" w:eastAsia="zh-CN"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34"/>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34"/>
                <w:lang w:val="en-US" w:eastAsia="zh-CN"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Style w:val="34"/>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922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注：1.其他资金包括和中央、地方财政资金共同投入到同一项目的自有资金、社会资金，以及以前年度的结转结余资金等。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2.定量指标，主管部门对资金使用单位填写的实际完成值汇总时，对绝对值直接累加计算，相对值按资金额度加权平均计算。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3.定性指标，资金使用单位分别按照100%-80%（含）、80%-60%（含）、60-0%合理填写实际完成值，主管部门汇总时，按照资金额度加权平均计算。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4.全年执行数是指按照国库集中支付制度要求，支付到商品和劳务供应者或者用款单位形成的实际支出。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22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22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22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2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580" w:lineRule="exact"/>
        <w:jc w:val="center"/>
        <w:rPr>
          <w:rFonts w:ascii="方正小标宋简体" w:hAnsi="方正小标宋简体" w:eastAsia="方正小标宋简体" w:cs="方正小标宋简体"/>
          <w:sz w:val="44"/>
          <w:szCs w:val="44"/>
        </w:rPr>
      </w:pPr>
    </w:p>
    <w:p>
      <w:pPr>
        <w:pStyle w:val="12"/>
        <w:widowControl/>
        <w:shd w:val="clear" w:color="auto" w:fill="FFFFFF"/>
        <w:spacing w:beforeAutospacing="0" w:afterAutospacing="0"/>
        <w:ind w:firstLine="640" w:firstLineChars="200"/>
        <w:jc w:val="both"/>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jc w:val="left"/>
        <w:rPr>
          <w:rFonts w:hint="eastAsia" w:ascii="仿宋" w:hAnsi="仿宋" w:eastAsia="仿宋" w:cs="仿宋"/>
          <w:b/>
          <w:bCs/>
          <w:sz w:val="36"/>
          <w:szCs w:val="36"/>
        </w:rPr>
      </w:pPr>
      <w:r>
        <w:rPr>
          <w:rFonts w:hint="eastAsia" w:ascii="仿宋" w:hAnsi="仿宋" w:eastAsia="仿宋" w:cs="仿宋"/>
          <w:b/>
          <w:bCs/>
          <w:sz w:val="36"/>
          <w:szCs w:val="36"/>
        </w:rPr>
        <w:t>附件2</w:t>
      </w:r>
    </w:p>
    <w:p>
      <w:pPr>
        <w:widowControl/>
        <w:spacing w:beforeLines="0" w:afterLines="0" w:line="36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大竹县城乡规划编制中心</w:t>
      </w:r>
    </w:p>
    <w:p>
      <w:pPr>
        <w:widowControl/>
        <w:spacing w:beforeLines="0" w:afterLines="0" w:line="36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1</w:t>
      </w:r>
      <w:r>
        <w:rPr>
          <w:rFonts w:hint="eastAsia" w:ascii="方正小标宋简体" w:hAnsi="黑体" w:eastAsia="方正小标宋简体" w:cs="黑体"/>
          <w:sz w:val="44"/>
          <w:szCs w:val="44"/>
        </w:rPr>
        <w:t>年部门整体支出绩效报告</w:t>
      </w:r>
    </w:p>
    <w:p>
      <w:pPr>
        <w:pStyle w:val="12"/>
        <w:widowControl/>
        <w:shd w:val="clear" w:color="auto" w:fill="FFFFFF"/>
        <w:spacing w:beforeLines="0" w:beforeAutospacing="0" w:afterLines="0" w:afterAutospacing="0" w:line="360" w:lineRule="auto"/>
        <w:ind w:firstLine="640" w:firstLineChars="200"/>
        <w:rPr>
          <w:rFonts w:hint="eastAsia" w:ascii="仿宋_GB2312" w:hAnsi="仿宋_GB2312" w:cs="仿宋_GB2312"/>
          <w:color w:val="212529"/>
          <w:sz w:val="32"/>
          <w:szCs w:val="32"/>
          <w:shd w:val="clear" w:color="auto" w:fill="FFFFFF"/>
        </w:rPr>
      </w:pPr>
    </w:p>
    <w:p>
      <w:pPr>
        <w:pStyle w:val="12"/>
        <w:widowControl/>
        <w:shd w:val="clear" w:color="auto" w:fill="FFFFFF"/>
        <w:spacing w:beforeLines="0" w:beforeAutospacing="0" w:afterLines="0" w:afterAutospacing="0" w:line="360" w:lineRule="auto"/>
        <w:rPr>
          <w:rFonts w:hint="eastAsia" w:ascii="仿宋_GB2312" w:hAnsi="仿宋_GB2312" w:cs="仿宋_GB2312"/>
          <w:color w:val="212529"/>
          <w:sz w:val="32"/>
          <w:szCs w:val="32"/>
          <w:shd w:val="clear" w:color="auto" w:fill="FFFFFF"/>
        </w:rPr>
      </w:pPr>
      <w:r>
        <w:rPr>
          <w:rFonts w:hint="eastAsia" w:ascii="仿宋_GB2312" w:hAnsi="仿宋_GB2312" w:cs="仿宋_GB2312"/>
          <w:color w:val="212529"/>
          <w:sz w:val="32"/>
          <w:szCs w:val="32"/>
          <w:shd w:val="clear" w:color="auto" w:fill="FFFFFF"/>
        </w:rPr>
        <w:t>大竹县财政局：</w:t>
      </w:r>
    </w:p>
    <w:p>
      <w:pPr>
        <w:pStyle w:val="12"/>
        <w:widowControl/>
        <w:shd w:val="clear" w:color="auto" w:fill="FFFFFF"/>
        <w:spacing w:beforeLines="0" w:beforeAutospacing="0" w:afterLines="0" w:afterAutospacing="0" w:line="360" w:lineRule="auto"/>
        <w:ind w:firstLine="640" w:firstLineChars="200"/>
        <w:rPr>
          <w:rFonts w:hint="eastAsia" w:ascii="黑体" w:hAnsi="黑体" w:eastAsia="黑体" w:cs="宋体"/>
          <w:color w:val="000000"/>
          <w:sz w:val="24"/>
          <w:szCs w:val="32"/>
          <w:shd w:val="clear" w:color="auto" w:fill="FFFFFF"/>
        </w:rPr>
      </w:pPr>
      <w:r>
        <w:rPr>
          <w:rFonts w:hint="eastAsia" w:ascii="仿宋_GB2312" w:hAnsi="仿宋_GB2312" w:cs="仿宋_GB2312"/>
          <w:color w:val="212529"/>
          <w:sz w:val="32"/>
          <w:szCs w:val="32"/>
          <w:shd w:val="clear" w:color="auto" w:fill="FFFFFF"/>
        </w:rPr>
        <w:t>根据《大竹县财政局关于开展202</w:t>
      </w:r>
      <w:r>
        <w:rPr>
          <w:rFonts w:hint="eastAsia" w:ascii="仿宋_GB2312" w:hAnsi="仿宋_GB2312" w:cs="仿宋_GB2312"/>
          <w:color w:val="212529"/>
          <w:sz w:val="32"/>
          <w:szCs w:val="32"/>
          <w:shd w:val="clear" w:color="auto" w:fill="FFFFFF"/>
          <w:lang w:val="en-US" w:eastAsia="zh-CN"/>
        </w:rPr>
        <w:t>1</w:t>
      </w:r>
      <w:r>
        <w:rPr>
          <w:rFonts w:hint="eastAsia" w:ascii="仿宋_GB2312" w:hAnsi="仿宋_GB2312" w:cs="仿宋_GB2312"/>
          <w:color w:val="212529"/>
          <w:sz w:val="32"/>
          <w:szCs w:val="32"/>
          <w:shd w:val="clear" w:color="auto" w:fill="FFFFFF"/>
        </w:rPr>
        <w:t>年部门、政策和项目支出绩效评价工作的通知》竹财绩〔202</w:t>
      </w:r>
      <w:r>
        <w:rPr>
          <w:rFonts w:hint="eastAsia" w:ascii="仿宋_GB2312" w:hAnsi="仿宋_GB2312" w:cs="仿宋_GB2312"/>
          <w:color w:val="212529"/>
          <w:sz w:val="32"/>
          <w:szCs w:val="32"/>
          <w:shd w:val="clear" w:color="auto" w:fill="FFFFFF"/>
          <w:lang w:val="en-US" w:eastAsia="zh-CN"/>
        </w:rPr>
        <w:t>1</w:t>
      </w:r>
      <w:bookmarkStart w:id="73" w:name="_GoBack"/>
      <w:bookmarkEnd w:id="73"/>
      <w:r>
        <w:rPr>
          <w:rFonts w:hint="eastAsia" w:ascii="仿宋_GB2312" w:hAnsi="仿宋_GB2312" w:cs="仿宋_GB2312"/>
          <w:color w:val="212529"/>
          <w:sz w:val="32"/>
          <w:szCs w:val="32"/>
          <w:shd w:val="clear" w:color="auto" w:fill="FFFFFF"/>
        </w:rPr>
        <w:t>〕7号文件精神，我中心高度重视，</w:t>
      </w:r>
      <w:r>
        <w:rPr>
          <w:rFonts w:hint="eastAsia" w:ascii="仿宋_GB2312" w:hAnsi="仿宋_GB2312" w:cs="仿宋_GB2312"/>
          <w:sz w:val="32"/>
          <w:szCs w:val="32"/>
        </w:rPr>
        <w:t>立即组织预算绩效管理小组有关成员，按照整体预算支出绩效评价指标，通过检查支出有关账目，收集整理支出相关资料，</w:t>
      </w:r>
      <w:r>
        <w:rPr>
          <w:rFonts w:hint="eastAsia" w:ascii="仿宋_GB2312" w:hAnsi="仿宋_GB2312" w:cs="仿宋_GB2312"/>
          <w:color w:val="212529"/>
          <w:sz w:val="32"/>
          <w:szCs w:val="32"/>
          <w:shd w:val="clear" w:color="auto" w:fill="FFFFFF"/>
        </w:rPr>
        <w:t>对202</w:t>
      </w:r>
      <w:r>
        <w:rPr>
          <w:rFonts w:hint="eastAsia" w:ascii="仿宋_GB2312" w:hAnsi="仿宋_GB2312" w:cs="仿宋_GB2312"/>
          <w:color w:val="212529"/>
          <w:sz w:val="32"/>
          <w:szCs w:val="32"/>
          <w:shd w:val="clear" w:color="auto" w:fill="FFFFFF"/>
          <w:lang w:val="en-US" w:eastAsia="zh-CN"/>
        </w:rPr>
        <w:t>1</w:t>
      </w:r>
      <w:r>
        <w:rPr>
          <w:rFonts w:hint="eastAsia" w:ascii="仿宋_GB2312" w:hAnsi="仿宋_GB2312" w:cs="仿宋_GB2312"/>
          <w:color w:val="212529"/>
          <w:sz w:val="32"/>
          <w:szCs w:val="32"/>
          <w:shd w:val="clear" w:color="auto" w:fill="FFFFFF"/>
        </w:rPr>
        <w:t>年</w:t>
      </w:r>
      <w:r>
        <w:rPr>
          <w:rFonts w:hint="eastAsia" w:ascii="仿宋_GB2312" w:hAnsi="仿宋_GB2312" w:cs="仿宋_GB2312"/>
          <w:sz w:val="32"/>
          <w:szCs w:val="32"/>
        </w:rPr>
        <w:t>我中心整体预算支出绩效进行了自评，</w:t>
      </w:r>
      <w:r>
        <w:rPr>
          <w:rFonts w:hint="eastAsia" w:ascii="仿宋_GB2312" w:hAnsi="仿宋_GB2312" w:cs="仿宋_GB2312"/>
          <w:color w:val="212529"/>
          <w:sz w:val="32"/>
          <w:szCs w:val="32"/>
          <w:shd w:val="clear" w:color="auto" w:fill="FFFFFF"/>
        </w:rPr>
        <w:t>现将自评工作情况报告如下：</w:t>
      </w:r>
    </w:p>
    <w:p>
      <w:pPr>
        <w:widowControl/>
        <w:adjustRightInd w:val="0"/>
        <w:snapToGrid w:val="0"/>
        <w:spacing w:beforeLines="0" w:afterLines="0" w:line="360" w:lineRule="auto"/>
        <w:ind w:firstLine="640" w:firstLineChars="200"/>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一、部门（单位）概况</w:t>
      </w:r>
    </w:p>
    <w:p>
      <w:pPr>
        <w:widowControl/>
        <w:adjustRightInd w:val="0"/>
        <w:snapToGrid w:val="0"/>
        <w:spacing w:beforeLines="0" w:afterLines="0" w:line="360" w:lineRule="auto"/>
        <w:ind w:firstLine="643" w:firstLineChars="200"/>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（一）机构组成。</w:t>
      </w:r>
      <w:r>
        <w:rPr>
          <w:rFonts w:hint="eastAsia" w:ascii="仿宋_GB2312" w:hAnsi="仿宋"/>
          <w:sz w:val="32"/>
          <w:szCs w:val="24"/>
        </w:rPr>
        <w:t>大竹县城乡规划编制中心成立于2019年3月，</w:t>
      </w:r>
      <w:r>
        <w:rPr>
          <w:rFonts w:hint="eastAsia" w:ascii="仿宋_GB2312" w:hAnsi="仿宋_GB2312" w:cs="仿宋_GB2312"/>
          <w:sz w:val="32"/>
          <w:szCs w:val="32"/>
        </w:rPr>
        <w:t>属于政府直属收支统筹、全额保障的公益一类正科级事业单位。</w:t>
      </w:r>
      <w:r>
        <w:rPr>
          <w:rFonts w:hint="eastAsia" w:ascii="仿宋_GB2312" w:hAnsi="仿宋"/>
          <w:sz w:val="32"/>
          <w:szCs w:val="24"/>
        </w:rPr>
        <w:t>核编30人，下设四股一室（空间规划股、项目规划股、村镇规划股、勘测设计室股、办公室）。</w:t>
      </w:r>
    </w:p>
    <w:p>
      <w:pPr>
        <w:snapToGrid w:val="0"/>
        <w:spacing w:beforeLines="0" w:afterLines="0" w:line="360" w:lineRule="auto"/>
        <w:ind w:firstLine="643" w:firstLineChars="200"/>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（二）机构职能。</w:t>
      </w:r>
      <w:r>
        <w:rPr>
          <w:rFonts w:hint="eastAsia" w:ascii="仿宋_GB2312" w:hAnsi="仿宋_GB2312" w:cs="仿宋_GB2312"/>
          <w:sz w:val="32"/>
          <w:szCs w:val="32"/>
        </w:rPr>
        <w:t>（一）贯彻执行国土空间规划有关法律、法规、规章和方针 政策。组织全县国土空间发展战略规划和有关政策研究，拟订具 体实施意见（方案）。组织编制全县全局性、指令性规划。参与 拟订全县国土空间规划管理相关技术标准、规定。根据全县经济 社会发展需求，拟订国土空间规划研究课题、项目和计划，并承 担部分研究项目。（二）组织编制全县国土空间规划、详细规划、相关概念性 规划、专项规划及城市设计等。对全县村镇规划编制业务工作进 行指导。（三）负责城乡规划建设项目方案设计、初步设计、施工图设计的规划技术审核，以及用地红线、技术指标的制定及放线、 验线、规划核实工作。 （四）根据全县国土空间规划，提出城乡规划建设项目计划 建议并开展规划论证工作。参与重点项目、特殊要求项目规划选 址论证及规划设计前期研究。（五）组织城乡规划涉及的地质勘察、地形图测绘、工程测 绘等相关工作。（六）负责职责范围内的安全生产和职业健康、生态环境保 护、服务便民化工作。（七）完成县委、县政府交办的其他任务。</w:t>
      </w:r>
    </w:p>
    <w:p>
      <w:pPr>
        <w:snapToGrid w:val="0"/>
        <w:spacing w:beforeLines="0" w:afterLines="0" w:line="360" w:lineRule="auto"/>
        <w:ind w:firstLine="640" w:firstLineChars="200"/>
        <w:rPr>
          <w:rFonts w:hint="eastAsia" w:ascii="仿宋_GB2312" w:hAnsi="宋体" w:cs="宋体"/>
          <w:color w:val="000000"/>
          <w:kern w:val="0"/>
          <w:sz w:val="32"/>
          <w:szCs w:val="32"/>
          <w:shd w:val="clear" w:color="auto" w:fill="FFFFFF"/>
        </w:rPr>
      </w:pPr>
      <w:r>
        <w:rPr>
          <w:rFonts w:hint="eastAsia" w:ascii="仿宋_GB2312" w:hAnsi="宋体" w:cs="宋体"/>
          <w:color w:val="000000"/>
          <w:kern w:val="0"/>
          <w:sz w:val="32"/>
          <w:szCs w:val="32"/>
          <w:shd w:val="clear" w:color="auto" w:fill="FFFFFF"/>
        </w:rPr>
        <w:t>（</w:t>
      </w:r>
      <w:r>
        <w:rPr>
          <w:rFonts w:hint="eastAsia" w:ascii="楷体_GB2312" w:hAnsi="宋体" w:eastAsia="楷体_GB2312" w:cs="宋体"/>
          <w:b/>
          <w:color w:val="000000"/>
          <w:kern w:val="0"/>
          <w:sz w:val="32"/>
          <w:szCs w:val="32"/>
          <w:shd w:val="clear" w:color="auto" w:fill="FFFFFF"/>
        </w:rPr>
        <w:t>三）人员概况。</w:t>
      </w:r>
      <w:r>
        <w:rPr>
          <w:rFonts w:hint="eastAsia" w:ascii="仿宋_GB2312" w:hAnsi="仿宋"/>
          <w:sz w:val="32"/>
          <w:szCs w:val="24"/>
        </w:rPr>
        <w:t>2021年末中心在职职工28人，退休职工2人，临时工7人，共计35人。</w:t>
      </w:r>
    </w:p>
    <w:p>
      <w:pPr>
        <w:widowControl/>
        <w:adjustRightInd w:val="0"/>
        <w:snapToGrid w:val="0"/>
        <w:spacing w:beforeLines="0" w:afterLines="0" w:line="360" w:lineRule="auto"/>
        <w:ind w:firstLine="640" w:firstLineChars="200"/>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beforeLines="0" w:afterLines="0" w:line="360" w:lineRule="auto"/>
        <w:ind w:firstLine="643" w:firstLineChars="200"/>
        <w:jc w:val="left"/>
        <w:rPr>
          <w:rFonts w:hint="eastAsia" w:ascii="仿宋_GB2312" w:hAnsi="仿宋"/>
          <w:sz w:val="32"/>
          <w:szCs w:val="24"/>
        </w:rPr>
      </w:pPr>
      <w:r>
        <w:rPr>
          <w:rFonts w:hint="eastAsia" w:ascii="楷体_GB2312" w:hAnsi="宋体" w:eastAsia="楷体_GB2312" w:cs="宋体"/>
          <w:b/>
          <w:color w:val="000000"/>
          <w:kern w:val="0"/>
          <w:sz w:val="32"/>
          <w:szCs w:val="32"/>
          <w:shd w:val="clear" w:color="auto" w:fill="FFFFFF"/>
        </w:rPr>
        <w:t>（一）部门财政资金收入情况。</w:t>
      </w:r>
      <w:r>
        <w:rPr>
          <w:rFonts w:hint="eastAsia" w:ascii="仿宋_GB2312" w:hAnsi="仿宋"/>
          <w:sz w:val="32"/>
          <w:szCs w:val="24"/>
        </w:rPr>
        <w:t>2021年财政资金收入1089.91万元（其中：一般公共预算拨款480.91万元，其中：社会保障和就业支出33.72万元，卫生健康支出13.48万元，城乡社区支出1020.55万元，住房保障支出22.15万元）。</w:t>
      </w:r>
    </w:p>
    <w:p>
      <w:pPr>
        <w:widowControl/>
        <w:adjustRightInd w:val="0"/>
        <w:snapToGrid w:val="0"/>
        <w:spacing w:beforeLines="0" w:afterLines="0" w:line="360" w:lineRule="auto"/>
        <w:ind w:firstLine="643" w:firstLineChars="200"/>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（二）部门财政资金支出情况。</w:t>
      </w:r>
      <w:r>
        <w:rPr>
          <w:rFonts w:hint="eastAsia" w:ascii="仿宋_GB2312" w:hAnsi="仿宋"/>
          <w:sz w:val="32"/>
          <w:szCs w:val="24"/>
        </w:rPr>
        <w:t>2021年财政资金支出1089.91万元（其中：一般公共预算拨款480.91万元，其中：社会保障和就业支出33.72万元，卫生健康支出13.48万元，城乡社区支出1020.55万元，住房保障支出22.15万元）；按支出性质：基本支出357.08万元，项目支出732.83万元；按经济分类：工资福利支出339.58万元，商品和服务支出102.15万元，对家庭和个人补助支出4.19万元，资本性支出643.99万元。</w:t>
      </w:r>
    </w:p>
    <w:p>
      <w:pPr>
        <w:widowControl/>
        <w:adjustRightInd w:val="0"/>
        <w:snapToGrid w:val="0"/>
        <w:spacing w:beforeLines="0" w:afterLines="0" w:line="360" w:lineRule="auto"/>
        <w:ind w:firstLine="640" w:firstLineChars="200"/>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beforeLines="0" w:afterLines="0" w:line="360" w:lineRule="auto"/>
        <w:ind w:firstLine="643" w:firstLineChars="200"/>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（一）部门预算管理</w:t>
      </w:r>
    </w:p>
    <w:p>
      <w:pPr>
        <w:widowControl/>
        <w:adjustRightInd w:val="0"/>
        <w:snapToGrid w:val="0"/>
        <w:spacing w:beforeLines="0" w:afterLines="0" w:line="360" w:lineRule="auto"/>
        <w:ind w:firstLine="720"/>
        <w:jc w:val="left"/>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zh-CN"/>
        </w:rPr>
        <w:t>确定绩效目标，准确编制预算</w:t>
      </w:r>
    </w:p>
    <w:p>
      <w:pPr>
        <w:widowControl/>
        <w:adjustRightInd w:val="0"/>
        <w:snapToGrid w:val="0"/>
        <w:spacing w:beforeLines="0" w:afterLines="0" w:line="360" w:lineRule="auto"/>
        <w:ind w:firstLine="720"/>
        <w:jc w:val="left"/>
        <w:rPr>
          <w:rFonts w:hint="eastAsia" w:ascii="仿宋_GB2312" w:hAnsi="宋体" w:cs="宋体"/>
          <w:kern w:val="0"/>
          <w:sz w:val="32"/>
          <w:szCs w:val="32"/>
          <w:lang w:val="zh-CN"/>
        </w:rPr>
      </w:pPr>
      <w:r>
        <w:rPr>
          <w:rFonts w:hint="eastAsia" w:ascii="仿宋_GB2312" w:hAnsi="宋体" w:cs="宋体"/>
          <w:kern w:val="0"/>
          <w:sz w:val="32"/>
          <w:szCs w:val="32"/>
          <w:lang w:val="zh-CN"/>
        </w:rPr>
        <w:t>按照县财政的要求及时组织相关人员制定了全年预算绩效目标，结合全年工作规划和重点工作情况认真编制预算，预算编制工作严格遵循合法性、真实性、完整性、重点性、绩效性原则，实行零基预算，按标准、按定额编制部门预算，做到收支平衡，并在规定的时间完成了预算编制及预算公开。</w:t>
      </w:r>
    </w:p>
    <w:p>
      <w:pPr>
        <w:widowControl/>
        <w:adjustRightInd w:val="0"/>
        <w:snapToGrid w:val="0"/>
        <w:spacing w:beforeLines="0" w:afterLines="0" w:line="360" w:lineRule="auto"/>
        <w:ind w:firstLine="720"/>
        <w:jc w:val="left"/>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rPr>
        <w:t>2、加强资金管理，严格</w:t>
      </w:r>
      <w:r>
        <w:rPr>
          <w:rFonts w:hint="eastAsia" w:ascii="楷体_GB2312" w:hAnsi="宋体" w:eastAsia="楷体_GB2312" w:cs="宋体"/>
          <w:b/>
          <w:kern w:val="0"/>
          <w:sz w:val="32"/>
          <w:szCs w:val="32"/>
          <w:lang w:val="zh-CN"/>
        </w:rPr>
        <w:t>执行预算</w:t>
      </w:r>
    </w:p>
    <w:p>
      <w:pPr>
        <w:widowControl/>
        <w:adjustRightInd w:val="0"/>
        <w:snapToGrid w:val="0"/>
        <w:spacing w:beforeLines="0" w:afterLines="0" w:line="360" w:lineRule="auto"/>
        <w:ind w:firstLine="720"/>
        <w:jc w:val="left"/>
        <w:rPr>
          <w:rFonts w:hint="eastAsia" w:ascii="仿宋_GB2312" w:hAnsi="宋体" w:cs="宋体"/>
          <w:kern w:val="0"/>
          <w:sz w:val="32"/>
          <w:szCs w:val="32"/>
          <w:lang w:val="zh-CN"/>
        </w:rPr>
      </w:pPr>
      <w:r>
        <w:rPr>
          <w:rFonts w:hint="eastAsia" w:ascii="仿宋_GB2312" w:hAnsi="仿宋_GB2312" w:cs="仿宋_GB2312"/>
          <w:sz w:val="32"/>
          <w:szCs w:val="32"/>
        </w:rPr>
        <w:t>在执行预算过程中进行绩效监控，</w:t>
      </w:r>
      <w:r>
        <w:rPr>
          <w:rFonts w:hint="eastAsia" w:ascii="仿宋_GB2312" w:hAnsi="宋体" w:cs="宋体"/>
          <w:kern w:val="0"/>
          <w:sz w:val="32"/>
          <w:szCs w:val="32"/>
          <w:lang w:val="zh-CN"/>
        </w:rPr>
        <w:t>严格按照财经纪律和财务制度要求，制定了一系列的内控管理制度，从严控制经费开支；资金拨付有完整的审批程序和手续，有计划地安排、使用资金，保证资金使用合法合规；无截留、挤占、挪用、虚列支出等情况，机构运转正常。</w:t>
      </w:r>
    </w:p>
    <w:p>
      <w:pPr>
        <w:numPr>
          <w:ilvl w:val="0"/>
          <w:numId w:val="5"/>
        </w:numPr>
        <w:adjustRightInd w:val="0"/>
        <w:snapToGrid w:val="0"/>
        <w:spacing w:beforeLines="0" w:afterLines="0" w:line="360" w:lineRule="auto"/>
        <w:ind w:firstLine="720"/>
        <w:jc w:val="left"/>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rPr>
        <w:t>加强绩效管理，完成预算目标</w:t>
      </w:r>
    </w:p>
    <w:p>
      <w:pPr>
        <w:numPr>
          <w:ilvl w:val="0"/>
          <w:numId w:val="0"/>
        </w:numPr>
        <w:adjustRightInd w:val="0"/>
        <w:snapToGrid w:val="0"/>
        <w:spacing w:beforeLines="0" w:afterLines="0" w:line="360" w:lineRule="auto"/>
        <w:ind w:firstLine="640" w:firstLineChars="200"/>
        <w:jc w:val="left"/>
        <w:outlineLvl w:val="0"/>
        <w:rPr>
          <w:rFonts w:hint="eastAsia" w:ascii="楷体_GB2312" w:hAnsi="宋体" w:eastAsia="楷体_GB2312" w:cs="宋体"/>
          <w:b/>
          <w:kern w:val="0"/>
          <w:sz w:val="32"/>
          <w:szCs w:val="32"/>
          <w:lang w:val="zh-CN"/>
        </w:rPr>
      </w:pPr>
      <w:r>
        <w:rPr>
          <w:rFonts w:hint="eastAsia" w:ascii="仿宋_GB2312" w:hAnsi="仿宋_GB2312" w:cs="仿宋_GB2312"/>
          <w:sz w:val="32"/>
          <w:szCs w:val="32"/>
        </w:rPr>
        <w:t>2021年，根据年初工作规划，以规划编制和规划管理为中心开展工作，全中心上下团结一心，锐意进取，各项工作取得了较大成绩，较好的完成了年度工作目标；通过加强预算绩效管理，不断建立健全内控管理制度，梳理内部管理流程，</w:t>
      </w:r>
      <w:r>
        <w:rPr>
          <w:rFonts w:hint="eastAsia" w:ascii="仿宋_GB2312" w:hAnsi="仿宋_GB2312" w:cs="仿宋_GB2312"/>
          <w:color w:val="000000"/>
          <w:sz w:val="32"/>
          <w:szCs w:val="32"/>
          <w:shd w:val="clear" w:color="auto" w:fill="FFFFFF"/>
        </w:rPr>
        <w:t>部门整体支出管理情况得到了很大的提升</w:t>
      </w:r>
      <w:r>
        <w:rPr>
          <w:rFonts w:hint="eastAsia" w:ascii="仿宋_GB2312" w:hAnsi="仿宋_GB2312" w:cs="仿宋_GB2312"/>
          <w:sz w:val="32"/>
          <w:szCs w:val="32"/>
        </w:rPr>
        <w:t>；在执行预算过程中无违规记录等情况发生，</w:t>
      </w:r>
      <w:r>
        <w:rPr>
          <w:rFonts w:hint="eastAsia" w:ascii="仿宋_GB2312" w:hAnsi="宋体" w:cs="宋体"/>
          <w:kern w:val="0"/>
          <w:sz w:val="32"/>
          <w:szCs w:val="32"/>
        </w:rPr>
        <w:t>依法接受财政、审计等部门的监督检查</w:t>
      </w:r>
      <w:r>
        <w:rPr>
          <w:rFonts w:hint="eastAsia" w:ascii="仿宋_GB2312" w:hAnsi="宋体" w:cs="宋体"/>
          <w:kern w:val="0"/>
          <w:sz w:val="32"/>
          <w:szCs w:val="32"/>
          <w:lang w:val="zh-CN"/>
        </w:rPr>
        <w:t>。</w:t>
      </w:r>
    </w:p>
    <w:p>
      <w:pPr>
        <w:spacing w:beforeLines="0" w:afterLines="0" w:line="360" w:lineRule="auto"/>
        <w:ind w:firstLine="643" w:firstLineChars="200"/>
        <w:rPr>
          <w:rFonts w:hint="eastAsia" w:ascii="仿宋_GB2312" w:hAnsi="仿宋_GB2312" w:cs="仿宋_GB2312"/>
          <w:sz w:val="32"/>
          <w:szCs w:val="32"/>
        </w:rPr>
      </w:pPr>
      <w:r>
        <w:rPr>
          <w:rFonts w:hint="eastAsia" w:ascii="楷体_GB2312" w:hAnsi="宋体" w:eastAsia="楷体_GB2312" w:cs="宋体"/>
          <w:b/>
          <w:color w:val="000000"/>
          <w:kern w:val="0"/>
          <w:sz w:val="32"/>
          <w:szCs w:val="32"/>
          <w:shd w:val="clear" w:color="auto" w:fill="FFFFFF"/>
        </w:rPr>
        <w:t>（二）绩效结果应用情况</w:t>
      </w:r>
    </w:p>
    <w:p>
      <w:pPr>
        <w:spacing w:beforeLines="0" w:afterLines="0" w:line="360" w:lineRule="auto"/>
        <w:ind w:firstLine="640" w:firstLineChars="200"/>
        <w:rPr>
          <w:rFonts w:hint="eastAsia" w:ascii="仿宋_GB2312" w:hAnsi="仿宋"/>
          <w:sz w:val="32"/>
          <w:szCs w:val="24"/>
        </w:rPr>
      </w:pPr>
      <w:r>
        <w:rPr>
          <w:rFonts w:hint="eastAsia" w:ascii="仿宋_GB2312" w:hAnsi="仿宋_GB2312" w:cs="仿宋_GB2312"/>
          <w:sz w:val="32"/>
          <w:szCs w:val="32"/>
        </w:rPr>
        <w:t>建立了部分内控制度，及时公开部门预、决算和绩效目标；开展了国土空间规划的编制，提升了城乡规划管理水平，达到协作部门满意、管理对象满意、社会公众满意。</w:t>
      </w:r>
    </w:p>
    <w:p>
      <w:pPr>
        <w:widowControl/>
        <w:adjustRightInd w:val="0"/>
        <w:snapToGrid w:val="0"/>
        <w:spacing w:beforeLines="0" w:afterLines="0" w:line="360" w:lineRule="auto"/>
        <w:ind w:firstLine="640" w:firstLineChars="200"/>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beforeLines="0" w:afterLines="0" w:line="360" w:lineRule="auto"/>
        <w:ind w:firstLine="720"/>
        <w:jc w:val="left"/>
        <w:outlineLvl w:val="0"/>
        <w:rPr>
          <w:rFonts w:hint="eastAsia" w:ascii="仿宋" w:hAnsi="仿宋" w:eastAsia="仿宋" w:cs="仿宋"/>
          <w:kern w:val="0"/>
          <w:sz w:val="32"/>
          <w:szCs w:val="32"/>
          <w:lang w:val="zh-CN"/>
        </w:rPr>
      </w:pPr>
      <w:r>
        <w:rPr>
          <w:rFonts w:hint="eastAsia" w:ascii="楷体_GB2312" w:hAnsi="宋体" w:eastAsia="楷体_GB2312" w:cs="宋体"/>
          <w:b/>
          <w:color w:val="000000"/>
          <w:kern w:val="0"/>
          <w:sz w:val="32"/>
          <w:szCs w:val="32"/>
          <w:shd w:val="clear" w:color="auto" w:fill="FFFFFF"/>
        </w:rPr>
        <w:t>（一）评价结论。</w:t>
      </w:r>
      <w:r>
        <w:rPr>
          <w:rFonts w:hint="eastAsia" w:ascii="仿宋" w:hAnsi="仿宋" w:eastAsia="仿宋" w:cs="仿宋"/>
          <w:kern w:val="0"/>
          <w:sz w:val="32"/>
          <w:szCs w:val="32"/>
        </w:rPr>
        <w:t>2021年</w:t>
      </w:r>
      <w:r>
        <w:rPr>
          <w:rFonts w:hint="eastAsia" w:ascii="仿宋" w:hAnsi="仿宋" w:eastAsia="仿宋" w:cs="仿宋"/>
          <w:kern w:val="0"/>
          <w:sz w:val="32"/>
          <w:szCs w:val="32"/>
          <w:lang w:val="zh-CN"/>
        </w:rPr>
        <w:t>大竹县城乡规划编制中心各项制度执行总体较为有效，</w:t>
      </w:r>
      <w:r>
        <w:rPr>
          <w:rFonts w:hint="eastAsia" w:ascii="仿宋" w:hAnsi="仿宋" w:eastAsia="仿宋" w:cs="仿宋"/>
          <w:kern w:val="0"/>
          <w:sz w:val="32"/>
          <w:szCs w:val="32"/>
        </w:rPr>
        <w:t>预算执行情况良好，无不良记录及违规违法行为，整体支出绩效评价自评96分。</w:t>
      </w:r>
    </w:p>
    <w:p>
      <w:pPr>
        <w:spacing w:beforeLines="0" w:afterLines="0" w:line="360" w:lineRule="auto"/>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 xml:space="preserve">    （二）存在问题。</w:t>
      </w:r>
      <w:r>
        <w:rPr>
          <w:rFonts w:hint="eastAsia" w:ascii="仿宋_GB2312" w:hAnsi="仿宋_GB2312" w:cs="仿宋_GB2312"/>
          <w:color w:val="000000"/>
          <w:sz w:val="32"/>
          <w:szCs w:val="32"/>
        </w:rPr>
        <w:t>一是内控制度不够健全完整，二是财务基础工作有待进一步加强，资金使用计划有待进一步细化，三是财政预算资金不足、到位比较迟缓，部分经费支出不能及时到位。</w:t>
      </w:r>
    </w:p>
    <w:p>
      <w:pPr>
        <w:numPr>
          <w:ilvl w:val="0"/>
          <w:numId w:val="6"/>
        </w:numPr>
        <w:spacing w:beforeLines="0" w:afterLines="0" w:line="360" w:lineRule="auto"/>
        <w:ind w:firstLine="643" w:firstLineChars="200"/>
        <w:rPr>
          <w:rFonts w:hint="eastAsia" w:ascii="仿宋_GB2312" w:hAnsi="仿宋_GB2312" w:cs="仿宋_GB2312"/>
          <w:color w:val="000000"/>
          <w:sz w:val="32"/>
          <w:szCs w:val="32"/>
        </w:rPr>
      </w:pPr>
      <w:r>
        <w:rPr>
          <w:rFonts w:hint="eastAsia" w:ascii="楷体_GB2312" w:hAnsi="宋体" w:eastAsia="楷体_GB2312" w:cs="宋体"/>
          <w:b/>
          <w:color w:val="000000"/>
          <w:kern w:val="0"/>
          <w:sz w:val="32"/>
          <w:szCs w:val="32"/>
          <w:shd w:val="clear" w:color="auto" w:fill="FFFFFF"/>
        </w:rPr>
        <w:t>改进建议。</w:t>
      </w:r>
    </w:p>
    <w:p>
      <w:pPr>
        <w:pStyle w:val="12"/>
        <w:widowControl/>
        <w:shd w:val="clear" w:color="auto" w:fill="FFFFFF"/>
        <w:spacing w:beforeLines="0" w:beforeAutospacing="0" w:afterLines="0" w:afterAutospacing="0" w:line="360" w:lineRule="auto"/>
        <w:ind w:firstLine="640" w:firstLineChars="200"/>
        <w:jc w:val="both"/>
        <w:rPr>
          <w:rFonts w:hint="eastAsia" w:ascii="仿宋_GB2312" w:hAnsi="仿宋_GB2312" w:cs="仿宋_GB2312"/>
          <w:color w:val="000000"/>
          <w:sz w:val="32"/>
          <w:szCs w:val="32"/>
          <w:shd w:val="clear" w:color="auto" w:fill="FFFFFF"/>
        </w:rPr>
      </w:pPr>
      <w:r>
        <w:rPr>
          <w:rFonts w:hint="eastAsia" w:ascii="仿宋_GB2312" w:hAnsi="仿宋_GB2312" w:cs="仿宋_GB2312"/>
          <w:color w:val="000000"/>
          <w:sz w:val="32"/>
          <w:szCs w:val="32"/>
          <w:shd w:val="clear" w:color="auto" w:fill="FFFFFF"/>
        </w:rPr>
        <w:t>一是建立健全完整的内控制度。进一步加强单位财务管理，严格财务审核，健全单位财务管理制度体系，规范单位财务行为，杜绝超支现象发生。</w:t>
      </w:r>
    </w:p>
    <w:p>
      <w:pPr>
        <w:numPr>
          <w:ilvl w:val="0"/>
          <w:numId w:val="0"/>
        </w:numPr>
        <w:spacing w:beforeLines="0" w:afterLines="0" w:line="360" w:lineRule="auto"/>
        <w:ind w:firstLine="640" w:firstLineChars="200"/>
        <w:rPr>
          <w:rFonts w:hint="eastAsia" w:ascii="仿宋_GB2312" w:hAnsi="仿宋_GB2312" w:cs="仿宋_GB2312"/>
          <w:color w:val="000000"/>
          <w:sz w:val="32"/>
          <w:szCs w:val="32"/>
          <w:shd w:val="clear" w:color="auto" w:fill="FFFFFF"/>
        </w:rPr>
      </w:pPr>
      <w:r>
        <w:rPr>
          <w:rFonts w:hint="eastAsia" w:ascii="仿宋_GB2312" w:hAnsi="仿宋_GB2312" w:cs="仿宋_GB2312"/>
          <w:color w:val="000000"/>
          <w:sz w:val="32"/>
          <w:szCs w:val="32"/>
          <w:shd w:val="clear" w:color="auto" w:fill="FFFFFF"/>
        </w:rPr>
        <w:t>二是细化预算编制工作，认真做好预算的编制。进一步加强单位内部机构各股室的预算管理意识，严格按照预算编制的相关制度和要求进行预算编制。</w:t>
      </w:r>
    </w:p>
    <w:p>
      <w:pPr>
        <w:numPr>
          <w:ilvl w:val="0"/>
          <w:numId w:val="0"/>
        </w:numPr>
        <w:spacing w:beforeLines="0" w:afterLines="0" w:line="360" w:lineRule="auto"/>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三是加强预算执行情况的跟踪和绩效目标动态监控及评价结果的运用，确保预算绩效目标的完成。</w:t>
      </w:r>
    </w:p>
    <w:p>
      <w:pPr>
        <w:pStyle w:val="12"/>
        <w:widowControl/>
        <w:shd w:val="clear" w:color="auto" w:fill="FFFFFF"/>
        <w:spacing w:beforeLines="0" w:beforeAutospacing="0" w:afterLines="0" w:afterAutospacing="0" w:line="360" w:lineRule="auto"/>
        <w:ind w:firstLine="640" w:firstLineChars="200"/>
        <w:jc w:val="both"/>
        <w:rPr>
          <w:rFonts w:hint="eastAsia" w:ascii="仿宋_GB2312" w:hAnsi="仿宋_GB2312" w:cs="仿宋_GB2312"/>
          <w:color w:val="000000"/>
          <w:sz w:val="32"/>
          <w:szCs w:val="32"/>
          <w:shd w:val="clear" w:color="auto" w:fill="FFFFFF"/>
        </w:rPr>
      </w:pPr>
      <w:r>
        <w:rPr>
          <w:rFonts w:hint="eastAsia" w:ascii="仿宋_GB2312" w:hAnsi="仿宋_GB2312" w:cs="仿宋_GB2312"/>
          <w:color w:val="000000"/>
          <w:sz w:val="32"/>
          <w:szCs w:val="32"/>
          <w:shd w:val="clear" w:color="auto" w:fill="FFFFFF"/>
        </w:rPr>
        <w:t>四是加强对相关人员预算绩效管理和预算支出绩效评价的培训，搞清部门预算支出绩效评价指标口径，切实提高部门预算绩效管理水平。</w:t>
      </w:r>
    </w:p>
    <w:p>
      <w:pPr>
        <w:pStyle w:val="12"/>
        <w:widowControl/>
        <w:shd w:val="clear" w:color="auto" w:fill="FFFFFF"/>
        <w:spacing w:beforeLines="0" w:beforeAutospacing="0" w:afterLines="0" w:afterAutospacing="0" w:line="360" w:lineRule="auto"/>
        <w:ind w:firstLine="640" w:firstLineChars="200"/>
        <w:jc w:val="both"/>
        <w:rPr>
          <w:rFonts w:hint="eastAsia" w:ascii="仿宋_GB2312" w:hAnsi="仿宋_GB2312" w:cs="仿宋_GB2312"/>
          <w:color w:val="000000"/>
          <w:sz w:val="32"/>
          <w:szCs w:val="32"/>
          <w:shd w:val="clear" w:color="auto" w:fill="FFFFFF"/>
        </w:rPr>
      </w:pPr>
    </w:p>
    <w:p>
      <w:pPr>
        <w:pStyle w:val="12"/>
        <w:widowControl/>
        <w:shd w:val="clear" w:color="auto" w:fill="FFFFFF"/>
        <w:spacing w:beforeLines="0" w:beforeAutospacing="0" w:afterLines="0" w:afterAutospacing="0" w:line="360" w:lineRule="auto"/>
        <w:ind w:firstLine="640" w:firstLineChars="200"/>
        <w:jc w:val="both"/>
        <w:rPr>
          <w:rFonts w:hint="eastAsia" w:ascii="仿宋_GB2312" w:hAnsi="仿宋_GB2312" w:cs="仿宋_GB2312"/>
          <w:color w:val="000000"/>
          <w:sz w:val="32"/>
          <w:szCs w:val="32"/>
          <w:shd w:val="clear" w:color="auto" w:fill="FFFFFF"/>
        </w:rPr>
      </w:pPr>
    </w:p>
    <w:p>
      <w:pPr>
        <w:pStyle w:val="12"/>
        <w:widowControl/>
        <w:shd w:val="clear" w:color="auto" w:fill="FFFFFF"/>
        <w:spacing w:beforeLines="0" w:beforeAutospacing="0" w:afterLines="0" w:afterAutospacing="0" w:line="360" w:lineRule="auto"/>
        <w:ind w:firstLine="640" w:firstLineChars="200"/>
        <w:jc w:val="both"/>
        <w:rPr>
          <w:rFonts w:hint="eastAsia" w:ascii="仿宋_GB2312" w:hAnsi="仿宋_GB2312" w:cs="仿宋_GB2312"/>
          <w:color w:val="000000"/>
          <w:sz w:val="32"/>
          <w:szCs w:val="32"/>
          <w:shd w:val="clear" w:color="auto" w:fill="FFFFFF"/>
        </w:rPr>
      </w:pPr>
    </w:p>
    <w:p>
      <w:pPr>
        <w:widowControl/>
        <w:adjustRightInd w:val="0"/>
        <w:snapToGrid w:val="0"/>
        <w:spacing w:beforeLines="0" w:afterLines="0"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adjustRightInd w:val="0"/>
        <w:snapToGrid w:val="0"/>
        <w:spacing w:beforeLines="0" w:afterLines="0" w:line="360" w:lineRule="auto"/>
        <w:ind w:firstLine="640" w:firstLineChars="200"/>
        <w:jc w:val="left"/>
        <w:rPr>
          <w:rFonts w:hint="eastAsia" w:ascii="黑体" w:hAnsi="黑体" w:eastAsia="黑体" w:cs="黑体"/>
          <w:sz w:val="32"/>
          <w:szCs w:val="32"/>
          <w:lang w:val="en-US" w:eastAsia="zh-CN"/>
        </w:rPr>
      </w:pPr>
    </w:p>
    <w:p>
      <w:pPr>
        <w:keepNext w:val="0"/>
        <w:keepLines w:val="0"/>
        <w:pageBreakBefore w:val="0"/>
        <w:tabs>
          <w:tab w:val="left" w:pos="1440"/>
        </w:tabs>
        <w:kinsoku/>
        <w:wordWrap/>
        <w:overflowPunct/>
        <w:topLinePunct w:val="0"/>
        <w:autoSpaceDE/>
        <w:autoSpaceDN/>
        <w:bidi w:val="0"/>
        <w:spacing w:line="600" w:lineRule="exact"/>
        <w:ind w:firstLine="1760" w:firstLineChars="400"/>
        <w:jc w:val="both"/>
        <w:textAlignment w:val="auto"/>
        <w:rPr>
          <w:rFonts w:hint="eastAsia" w:ascii="Times New Roman" w:hAnsi="Times New Roman" w:eastAsia="黑体" w:cs="Times New Roman"/>
          <w:b w:val="0"/>
          <w:sz w:val="44"/>
          <w:szCs w:val="44"/>
          <w:lang w:val="en-US" w:eastAsia="zh-CN"/>
        </w:rPr>
      </w:pPr>
      <w:r>
        <w:rPr>
          <w:rFonts w:hint="eastAsia" w:ascii="宋体" w:hAnsi="宋体" w:eastAsia="宋体"/>
          <w:b w:val="0"/>
          <w:bCs w:val="0"/>
          <w:sz w:val="44"/>
          <w:szCs w:val="44"/>
          <w:lang w:val="en-US" w:eastAsia="zh-CN"/>
        </w:rPr>
        <w:t>大竹县城乡规划编制中心</w:t>
      </w:r>
    </w:p>
    <w:p>
      <w:pPr>
        <w:pStyle w:val="31"/>
        <w:spacing w:after="140" w:line="556" w:lineRule="atLeast"/>
        <w:ind w:firstLine="0"/>
        <w:jc w:val="center"/>
        <w:rPr>
          <w:rFonts w:hint="eastAsia" w:ascii="宋体" w:hAnsi="宋体" w:eastAsia="宋体" w:cs="宋体"/>
          <w:sz w:val="44"/>
          <w:szCs w:val="44"/>
        </w:rPr>
      </w:pPr>
      <w:r>
        <w:rPr>
          <w:rFonts w:hint="eastAsia" w:ascii="宋体" w:hAnsi="宋体" w:eastAsia="宋体" w:cs="宋体"/>
          <w:b w:val="0"/>
          <w:sz w:val="44"/>
          <w:szCs w:val="44"/>
          <w:lang w:val="en-US" w:eastAsia="zh-CN"/>
        </w:rPr>
        <w:t>公务用车购置项目2021年绩效评价报告</w:t>
      </w:r>
    </w:p>
    <w:p>
      <w:pPr>
        <w:pStyle w:val="35"/>
        <w:tabs>
          <w:tab w:val="left" w:pos="1871"/>
        </w:tabs>
        <w:spacing w:line="578" w:lineRule="atLeast"/>
        <w:ind w:left="0" w:firstLine="640" w:firstLineChars="200"/>
        <w:jc w:val="both"/>
        <w:rPr>
          <w:rFonts w:hint="eastAsia" w:ascii="Times New Roman" w:hAnsi="Times New Roman" w:eastAsia="黑体" w:cs="Times New Roman"/>
          <w:b w:val="0"/>
          <w:sz w:val="32"/>
          <w:szCs w:val="32"/>
          <w:lang w:val="en-US" w:eastAsia="zh-CN"/>
        </w:rPr>
      </w:pPr>
    </w:p>
    <w:p>
      <w:pPr>
        <w:pStyle w:val="35"/>
        <w:tabs>
          <w:tab w:val="left" w:pos="1871"/>
        </w:tabs>
        <w:spacing w:line="578" w:lineRule="atLeast"/>
        <w:ind w:left="0" w:firstLine="640" w:firstLineChars="200"/>
        <w:jc w:val="both"/>
        <w:rPr>
          <w:rFonts w:ascii="Times New Roman" w:hAnsi="Times New Roman" w:eastAsia="黑体" w:cs="Times New Roman"/>
          <w:b w:val="0"/>
          <w:sz w:val="32"/>
          <w:szCs w:val="32"/>
        </w:rPr>
      </w:pPr>
      <w:r>
        <w:rPr>
          <w:rFonts w:ascii="Times New Roman" w:hAnsi="Times New Roman" w:eastAsia="黑体" w:cs="Times New Roman"/>
          <w:b w:val="0"/>
          <w:sz w:val="32"/>
          <w:szCs w:val="32"/>
          <w:lang w:val="en-US" w:eastAsia="zh-CN"/>
        </w:rPr>
        <w:t xml:space="preserve">一、项目基本情况 </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（一）项目名称 </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（二）项目起止日期 </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2021年1月完成购置。</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（三）项目主要内容、涉及范围 </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从达州市天裕汽车服务有限公司处完成公务用车购置（红旗牌H7公务版轿车）1辆。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（四）项目资金申报及批复情况。：截止202</w:t>
      </w:r>
      <w:r>
        <w:rPr>
          <w:rFonts w:hint="eastAsia" w:cs="Times New Roman"/>
          <w:sz w:val="32"/>
          <w:szCs w:val="32"/>
          <w:lang w:val="en-US" w:eastAsia="zh-CN"/>
        </w:rPr>
        <w:t>1</w:t>
      </w:r>
      <w:r>
        <w:rPr>
          <w:rFonts w:hint="eastAsia" w:ascii="Times New Roman" w:hAnsi="Times New Roman" w:eastAsia="仿宋_GB2312" w:cs="Times New Roman"/>
          <w:sz w:val="32"/>
          <w:szCs w:val="32"/>
          <w:lang w:val="en-US" w:eastAsia="zh-CN"/>
        </w:rPr>
        <w:t>年底，公务用车购置项目</w:t>
      </w:r>
      <w:r>
        <w:rPr>
          <w:rFonts w:hint="eastAsia" w:cs="Times New Roman"/>
          <w:sz w:val="32"/>
          <w:szCs w:val="32"/>
          <w:lang w:val="en-US" w:eastAsia="zh-CN"/>
        </w:rPr>
        <w:t>申报17.98万元，</w:t>
      </w:r>
      <w:r>
        <w:rPr>
          <w:rFonts w:hint="eastAsia" w:ascii="Times New Roman" w:hAnsi="Times New Roman" w:eastAsia="仿宋_GB2312" w:cs="Times New Roman"/>
          <w:sz w:val="32"/>
          <w:szCs w:val="32"/>
          <w:lang w:val="en-US" w:eastAsia="zh-CN"/>
        </w:rPr>
        <w:t>实拨资金</w:t>
      </w:r>
      <w:r>
        <w:rPr>
          <w:rFonts w:hint="eastAsia" w:cs="Times New Roman"/>
          <w:sz w:val="32"/>
          <w:szCs w:val="32"/>
          <w:lang w:val="en-US" w:eastAsia="zh-CN"/>
        </w:rPr>
        <w:t>17.98</w:t>
      </w:r>
      <w:r>
        <w:rPr>
          <w:rFonts w:hint="eastAsia" w:ascii="Times New Roman" w:hAnsi="Times New Roman" w:eastAsia="仿宋_GB2312" w:cs="Times New Roman"/>
          <w:sz w:val="32"/>
          <w:szCs w:val="32"/>
          <w:lang w:val="en-US" w:eastAsia="zh-CN"/>
        </w:rPr>
        <w:t>万元</w:t>
      </w:r>
      <w:r>
        <w:rPr>
          <w:rFonts w:hint="eastAsia" w:cs="Times New Roman"/>
          <w:sz w:val="32"/>
          <w:szCs w:val="32"/>
          <w:lang w:val="en-US" w:eastAsia="zh-CN"/>
        </w:rPr>
        <w:t>。</w:t>
      </w:r>
      <w:r>
        <w:rPr>
          <w:rFonts w:hint="eastAsia" w:ascii="仿宋_GB2312" w:hAnsi="宋体"/>
          <w:sz w:val="32"/>
          <w:szCs w:val="32"/>
          <w:lang w:val="zh-CN"/>
        </w:rPr>
        <w:t>符合资金管理办法等相关规定。</w:t>
      </w:r>
    </w:p>
    <w:p>
      <w:pPr>
        <w:pStyle w:val="31"/>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五</w:t>
      </w:r>
      <w:r>
        <w:rPr>
          <w:rFonts w:hint="eastAsia" w:ascii="Times New Roman" w:hAnsi="Times New Roman" w:eastAsia="仿宋_GB2312" w:cs="Times New Roman"/>
          <w:sz w:val="32"/>
          <w:szCs w:val="32"/>
          <w:lang w:val="en-US" w:eastAsia="zh-CN"/>
        </w:rPr>
        <w:t>）项目绩效目标：公务用车购置项目2021年</w:t>
      </w:r>
      <w:r>
        <w:rPr>
          <w:rFonts w:hint="eastAsia" w:ascii="Times New Roman" w:hAnsi="Times New Roman" w:eastAsia="仿宋_GB2312" w:cs="Times New Roman"/>
          <w:sz w:val="32"/>
          <w:szCs w:val="32"/>
          <w:lang w:eastAsia="zh-CN"/>
        </w:rPr>
        <w:t>按照绩效指标设定了数量指标、质量指标、时效指标和成本指标。</w:t>
      </w:r>
      <w:r>
        <w:rPr>
          <w:rFonts w:hint="eastAsia" w:ascii="Times New Roman" w:hAnsi="Times New Roman" w:eastAsia="仿宋_GB2312" w:cs="Times New Roman"/>
          <w:sz w:val="32"/>
          <w:szCs w:val="32"/>
          <w:lang w:val="en-US" w:eastAsia="zh-CN"/>
        </w:rPr>
        <w:t>并于2021年完成成果报批。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六</w:t>
      </w:r>
      <w:r>
        <w:rPr>
          <w:rFonts w:hint="eastAsia" w:ascii="Times New Roman" w:hAnsi="Times New Roman" w:eastAsia="仿宋_GB2312" w:cs="Times New Roman"/>
          <w:sz w:val="32"/>
          <w:szCs w:val="32"/>
          <w:lang w:val="en-US" w:eastAsia="zh-CN"/>
        </w:rPr>
        <w:t>）项目资金申报相符性：</w:t>
      </w:r>
      <w:r>
        <w:rPr>
          <w:rFonts w:hint="eastAsia" w:ascii="仿宋_GB2312" w:hAnsi="宋体"/>
          <w:sz w:val="32"/>
          <w:szCs w:val="32"/>
          <w:lang w:val="zh-CN"/>
        </w:rPr>
        <w:t>项目申报内容与具体实施内容相符、申报目标合理可行</w:t>
      </w:r>
      <w:r>
        <w:rPr>
          <w:rFonts w:hint="eastAsia" w:ascii="Times New Roman" w:hAnsi="Times New Roman" w:eastAsia="仿宋_GB2312" w:cs="Times New Roman"/>
          <w:sz w:val="32"/>
          <w:szCs w:val="32"/>
          <w:lang w:val="en-US" w:eastAsia="zh-CN"/>
        </w:rPr>
        <w:t>。</w:t>
      </w:r>
    </w:p>
    <w:p>
      <w:pPr>
        <w:pStyle w:val="35"/>
        <w:tabs>
          <w:tab w:val="left" w:pos="1871"/>
        </w:tabs>
        <w:spacing w:line="578" w:lineRule="atLeast"/>
        <w:ind w:left="0" w:firstLine="640" w:firstLineChars="200"/>
        <w:jc w:val="both"/>
        <w:rPr>
          <w:rFonts w:ascii="Times New Roman" w:hAnsi="Times New Roman" w:eastAsia="黑体" w:cs="Times New Roman"/>
          <w:b w:val="0"/>
          <w:sz w:val="32"/>
          <w:szCs w:val="32"/>
        </w:rPr>
      </w:pPr>
      <w:r>
        <w:rPr>
          <w:rFonts w:ascii="Times New Roman" w:hAnsi="Times New Roman" w:eastAsia="黑体" w:cs="Times New Roman"/>
          <w:b w:val="0"/>
          <w:sz w:val="32"/>
          <w:szCs w:val="32"/>
          <w:lang w:val="en-US" w:eastAsia="zh-CN"/>
        </w:rPr>
        <w:t xml:space="preserve">二、绩效目标的核对和确定情况 </w:t>
      </w:r>
    </w:p>
    <w:p>
      <w:pPr>
        <w:adjustRightInd w:val="0"/>
        <w:snapToGrid w:val="0"/>
        <w:spacing w:beforeLines="0" w:afterLines="0"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pPr>
        <w:adjustRightInd w:val="0"/>
        <w:snapToGrid w:val="0"/>
        <w:spacing w:beforeLines="0" w:afterLines="0" w:line="600" w:lineRule="exact"/>
        <w:ind w:firstLine="720"/>
        <w:rPr>
          <w:rFonts w:hint="eastAsia" w:ascii="楷体_GB2312" w:hAnsi="宋体" w:eastAsia="楷体_GB2312"/>
          <w:sz w:val="32"/>
          <w:szCs w:val="32"/>
        </w:rPr>
      </w:pPr>
      <w:r>
        <w:rPr>
          <w:rFonts w:hint="eastAsia" w:ascii="楷体_GB2312" w:hAnsi="宋体" w:eastAsia="楷体_GB2312"/>
          <w:sz w:val="32"/>
          <w:szCs w:val="32"/>
          <w:lang w:val="zh-CN"/>
        </w:rPr>
        <w:t>1．资金计划及到位。</w:t>
      </w:r>
      <w:r>
        <w:rPr>
          <w:rFonts w:hint="eastAsia" w:ascii="仿宋_GB2312" w:hAnsi="宋体"/>
          <w:sz w:val="32"/>
          <w:szCs w:val="32"/>
          <w:lang w:val="zh-CN"/>
        </w:rPr>
        <w:t>该项目资金计划及截止评价时点实际到位</w:t>
      </w:r>
      <w:r>
        <w:rPr>
          <w:rFonts w:hint="eastAsia" w:ascii="仿宋_GB2312" w:hAnsi="宋体" w:eastAsia="宋体"/>
          <w:sz w:val="32"/>
          <w:szCs w:val="32"/>
          <w:lang w:val="en-US" w:eastAsia="zh-CN"/>
        </w:rPr>
        <w:t>17.98</w:t>
      </w:r>
      <w:r>
        <w:rPr>
          <w:rFonts w:hint="eastAsia" w:ascii="仿宋_GB2312" w:hAnsi="宋体"/>
          <w:sz w:val="32"/>
          <w:szCs w:val="32"/>
        </w:rPr>
        <w:t>万元，计划资金</w:t>
      </w:r>
      <w:r>
        <w:rPr>
          <w:rFonts w:hint="eastAsia" w:ascii="仿宋_GB2312" w:hAnsi="宋体" w:eastAsia="宋体"/>
          <w:sz w:val="32"/>
          <w:szCs w:val="32"/>
          <w:lang w:val="en-US" w:eastAsia="zh-CN"/>
        </w:rPr>
        <w:t>17.98</w:t>
      </w:r>
      <w:r>
        <w:rPr>
          <w:rFonts w:hint="eastAsia" w:ascii="仿宋_GB2312" w:hAnsi="宋体"/>
          <w:sz w:val="32"/>
          <w:szCs w:val="32"/>
        </w:rPr>
        <w:t>万元，到位率100%。</w:t>
      </w:r>
    </w:p>
    <w:p>
      <w:pPr>
        <w:numPr>
          <w:ilvl w:val="0"/>
          <w:numId w:val="7"/>
        </w:numPr>
        <w:adjustRightInd w:val="0"/>
        <w:snapToGrid w:val="0"/>
        <w:spacing w:beforeLines="0" w:afterLines="0"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r>
        <w:rPr>
          <w:rFonts w:hint="eastAsia" w:ascii="仿宋_GB2312" w:hAnsi="宋体"/>
          <w:sz w:val="32"/>
          <w:szCs w:val="32"/>
          <w:lang w:val="zh-CN"/>
        </w:rPr>
        <w:t>截止评价时点项目资金的实际支出</w:t>
      </w:r>
      <w:r>
        <w:rPr>
          <w:rFonts w:hint="eastAsia" w:ascii="仿宋_GB2312" w:hAnsi="宋体" w:eastAsia="宋体"/>
          <w:sz w:val="32"/>
          <w:szCs w:val="32"/>
          <w:lang w:val="en-US" w:eastAsia="zh-CN"/>
        </w:rPr>
        <w:t>17.98</w:t>
      </w:r>
      <w:r>
        <w:rPr>
          <w:rFonts w:hint="eastAsia" w:ascii="仿宋_GB2312" w:hAnsi="宋体"/>
          <w:sz w:val="32"/>
          <w:szCs w:val="32"/>
        </w:rPr>
        <w:t>万元，用于支付</w:t>
      </w:r>
      <w:r>
        <w:rPr>
          <w:rFonts w:hint="eastAsia" w:ascii="Times New Roman" w:hAnsi="Times New Roman" w:eastAsia="仿宋_GB2312" w:cs="Times New Roman"/>
          <w:sz w:val="32"/>
          <w:szCs w:val="32"/>
          <w:lang w:val="en-US" w:eastAsia="zh-CN"/>
        </w:rPr>
        <w:t>公务用车购置</w:t>
      </w:r>
      <w:r>
        <w:rPr>
          <w:rFonts w:hint="eastAsia" w:ascii="仿宋_GB2312" w:hAnsi="宋体"/>
          <w:sz w:val="32"/>
          <w:szCs w:val="32"/>
        </w:rPr>
        <w:t>费用，</w:t>
      </w:r>
      <w:r>
        <w:rPr>
          <w:rFonts w:hint="eastAsia" w:ascii="仿宋_GB2312" w:hAnsi="宋体"/>
          <w:sz w:val="32"/>
          <w:szCs w:val="32"/>
          <w:lang w:val="zh-CN"/>
        </w:rPr>
        <w:t>支付依据合规合法。</w:t>
      </w:r>
    </w:p>
    <w:p>
      <w:pPr>
        <w:snapToGrid w:val="0"/>
        <w:spacing w:beforeLines="0" w:afterLines="0" w:line="520" w:lineRule="exact"/>
        <w:ind w:firstLine="707" w:firstLineChars="2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（二）项目财务管理情况。</w:t>
      </w:r>
      <w:r>
        <w:rPr>
          <w:rFonts w:hint="eastAsia" w:ascii="仿宋" w:hAnsi="仿宋" w:eastAsia="仿宋"/>
          <w:snapToGrid w:val="0"/>
          <w:color w:val="auto"/>
          <w:kern w:val="10"/>
          <w:sz w:val="32"/>
          <w:szCs w:val="32"/>
        </w:rPr>
        <w:t>本中心的采购项目在《政府采购目录》以内、达到限额标准以上的项目依法进行政府采购；对适用单位自行采购的项目，按内部控制制度办理，从预算立项到验收付款都要参照政府采购业务管理，依照严格的审批手续进行。按内控要求，明确采购相关部门和岗位的职责、权限，确保采购业务的预算编制与执行、需求制定与审批、招标文件准备与复核、合同签订审核与项目验收、采购活动组织与监督检查等不相容岗位相互分离、制约、监督。</w:t>
      </w:r>
    </w:p>
    <w:p>
      <w:pPr>
        <w:snapToGrid w:val="0"/>
        <w:spacing w:beforeLines="0" w:afterLines="0" w:line="520" w:lineRule="exact"/>
        <w:ind w:firstLine="707" w:firstLineChars="2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政府集中采购</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1.采购预算</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本中心必须按规定程序和要求编制、调整采购预算和实施计划。采购预算的编制和执行不得由一人或同一部门负责。在进行采购预算编制以前要通过市场调查，使编制的预算科学合理。</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2.需求申请</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应按预算或采购计划提出采购申请，采购申请应明确采购类别、质量等级、规格、数量、相关要求和标准、到货时间等，经单位负责人审核是否合理，若合理则签字并上报上级主管部门审批。</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3.签订委托协议</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单位按项目与集中采购机构签订委托代理协议，按照平等自愿原则确定委托代理事项，约定双方在编制采购文件、确定评标办法与中标标准、评标、定标等方面的权利与义务。</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4.制定操作方案，组织采购</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单位与集中采购机构协商制定操作方案，根据操作方案由集中采购机构依照法定程序进行采购。单位应当自中标、成交通知书发出30日内，与中标成交供应商签订采购合同。采购合同应一式四份，并由合同审核人员对合同及相关材料的真实性、合法性、完整性进行审核，合同审核人必须是具备相应法律知识的人员。</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5.采购的验收</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采购验收应由使用人、财务人员、邀请的专家或专业技术人员、后勤管理人员等相关部门，在现场对照采购合同，对品种、规格、数量、质量、到货时间等相关内容进行验收，合格则出具验收证明。在验收过程中发现异常情况，应当及时报告，查明原因，并进行妥善处理。验收合格后按程序移交保管员或使用部门接收。采购合同的签订人、审核人不得参与验收工作。</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6.付款</w:t>
      </w:r>
    </w:p>
    <w:p>
      <w:pPr>
        <w:snapToGrid w:val="0"/>
        <w:spacing w:beforeLines="0" w:afterLines="0" w:line="520" w:lineRule="exact"/>
        <w:ind w:firstLine="704" w:firstLineChars="220"/>
        <w:rPr>
          <w:rFonts w:hint="eastAsia" w:ascii="楷体_GB2312" w:hAnsi="宋体" w:eastAsia="楷体_GB2312"/>
          <w:sz w:val="32"/>
          <w:szCs w:val="32"/>
          <w:lang w:val="zh-CN"/>
        </w:rPr>
      </w:pPr>
      <w:r>
        <w:rPr>
          <w:rFonts w:hint="eastAsia" w:ascii="仿宋" w:hAnsi="仿宋" w:eastAsia="仿宋"/>
          <w:snapToGrid w:val="0"/>
          <w:color w:val="auto"/>
          <w:kern w:val="10"/>
          <w:sz w:val="32"/>
          <w:szCs w:val="32"/>
        </w:rPr>
        <w:t>本中心</w:t>
      </w:r>
      <w:r>
        <w:rPr>
          <w:rFonts w:hint="eastAsia" w:ascii="仿宋" w:hAnsi="仿宋" w:eastAsia="仿宋"/>
          <w:color w:val="auto"/>
          <w:sz w:val="32"/>
          <w:szCs w:val="32"/>
        </w:rPr>
        <w:t>计财股</w:t>
      </w:r>
      <w:r>
        <w:rPr>
          <w:rFonts w:hint="eastAsia" w:ascii="仿宋" w:hAnsi="仿宋" w:eastAsia="仿宋"/>
          <w:snapToGrid w:val="0"/>
          <w:color w:val="auto"/>
          <w:kern w:val="10"/>
          <w:sz w:val="32"/>
          <w:szCs w:val="32"/>
        </w:rPr>
        <w:t>应对采购项目的预算、合同、审批程序、发票、验收入库单等进行审核，审核无误后，送负责人审批。按合同约定及财经制度办理结算付款。</w:t>
      </w:r>
    </w:p>
    <w:p>
      <w:pPr>
        <w:pStyle w:val="35"/>
        <w:tabs>
          <w:tab w:val="left" w:pos="1871"/>
        </w:tabs>
        <w:spacing w:line="578" w:lineRule="atLeast"/>
        <w:ind w:left="0" w:firstLine="640" w:firstLineChars="200"/>
        <w:jc w:val="both"/>
        <w:rPr>
          <w:rFonts w:hint="eastAsia"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三、项目资金使用情况</w:t>
      </w:r>
    </w:p>
    <w:p>
      <w:pPr>
        <w:pStyle w:val="31"/>
        <w:spacing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（一）项目资金实际拨付情况</w:t>
      </w:r>
    </w:p>
    <w:p>
      <w:pPr>
        <w:pStyle w:val="31"/>
        <w:spacing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截止2021年底，公务用车购置项目实拨资金17.98万元，完成全年预算的100%。</w:t>
      </w:r>
    </w:p>
    <w:p>
      <w:pPr>
        <w:pStyle w:val="31"/>
        <w:numPr>
          <w:ilvl w:val="0"/>
          <w:numId w:val="8"/>
        </w:numPr>
        <w:spacing w:line="578" w:lineRule="atLeas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项目完成进度或合同拨付等应拨付情况</w:t>
      </w:r>
    </w:p>
    <w:p>
      <w:pPr>
        <w:pStyle w:val="31"/>
        <w:numPr>
          <w:ilvl w:val="0"/>
          <w:numId w:val="0"/>
        </w:numPr>
        <w:spacing w:line="578" w:lineRule="atLeast"/>
        <w:ind w:leftChars="200" w:firstLine="32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公务用车购置项目已完成当年目标任务的100%，完成全部目标任务的100%。</w:t>
      </w:r>
    </w:p>
    <w:p>
      <w:pPr>
        <w:pStyle w:val="31"/>
        <w:numPr>
          <w:ilvl w:val="0"/>
          <w:numId w:val="8"/>
        </w:numPr>
        <w:spacing w:line="578" w:lineRule="atLeas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差异分析</w:t>
      </w:r>
    </w:p>
    <w:p>
      <w:pPr>
        <w:pStyle w:val="31"/>
        <w:numPr>
          <w:ilvl w:val="0"/>
          <w:numId w:val="0"/>
        </w:numPr>
        <w:spacing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无差异。</w:t>
      </w:r>
    </w:p>
    <w:p>
      <w:pPr>
        <w:pStyle w:val="35"/>
        <w:tabs>
          <w:tab w:val="left" w:pos="1871"/>
        </w:tabs>
        <w:spacing w:line="578" w:lineRule="atLeast"/>
        <w:ind w:left="0" w:firstLine="640" w:firstLineChars="200"/>
        <w:jc w:val="both"/>
        <w:rPr>
          <w:rFonts w:ascii="Times New Roman" w:hAnsi="Times New Roman" w:eastAsia="黑体" w:cs="Times New Roman"/>
          <w:b w:val="0"/>
          <w:sz w:val="32"/>
          <w:szCs w:val="32"/>
        </w:rPr>
      </w:pPr>
      <w:r>
        <w:rPr>
          <w:rFonts w:hint="eastAsia" w:ascii="Times New Roman" w:hAnsi="Times New Roman" w:eastAsia="黑体" w:cs="Times New Roman"/>
          <w:b w:val="0"/>
          <w:sz w:val="32"/>
          <w:szCs w:val="32"/>
          <w:lang w:val="en-US" w:eastAsia="zh-CN"/>
        </w:rPr>
        <w:t>四</w:t>
      </w:r>
      <w:r>
        <w:rPr>
          <w:rFonts w:ascii="Times New Roman" w:hAnsi="Times New Roman" w:eastAsia="黑体" w:cs="Times New Roman"/>
          <w:b w:val="0"/>
          <w:sz w:val="32"/>
          <w:szCs w:val="32"/>
          <w:lang w:val="en-US" w:eastAsia="zh-CN"/>
        </w:rPr>
        <w:t xml:space="preserve">、项目绩效情况 </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（一）项目产出目标、效果目标的实现情况 </w:t>
      </w:r>
    </w:p>
    <w:p>
      <w:pPr>
        <w:pStyle w:val="31"/>
        <w:spacing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车辆正常运行，能够满足公务用车需要。</w:t>
      </w:r>
    </w:p>
    <w:p>
      <w:pPr>
        <w:pStyle w:val="31"/>
        <w:numPr>
          <w:ilvl w:val="0"/>
          <w:numId w:val="9"/>
        </w:numPr>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项目绩效情况分析</w:t>
      </w:r>
    </w:p>
    <w:p>
      <w:pPr>
        <w:pStyle w:val="31"/>
        <w:numPr>
          <w:ilvl w:val="0"/>
          <w:numId w:val="0"/>
        </w:numPr>
        <w:spacing w:line="578" w:lineRule="atLeas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购买公务车大大提升工作效率，为单位人员创造了便利。</w:t>
      </w:r>
    </w:p>
    <w:p>
      <w:pPr>
        <w:pStyle w:val="31"/>
        <w:numPr>
          <w:ilvl w:val="0"/>
          <w:numId w:val="9"/>
        </w:numPr>
        <w:spacing w:line="578" w:lineRule="atLeast"/>
        <w:ind w:left="0" w:leftChars="0"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项目实际绩效与目标的差异情况，以及对差异原因的详细说明 </w:t>
      </w:r>
    </w:p>
    <w:p>
      <w:pPr>
        <w:pStyle w:val="31"/>
        <w:numPr>
          <w:ilvl w:val="0"/>
          <w:numId w:val="0"/>
        </w:numPr>
        <w:spacing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无差异。</w:t>
      </w:r>
    </w:p>
    <w:p>
      <w:pPr>
        <w:pStyle w:val="35"/>
        <w:tabs>
          <w:tab w:val="left" w:pos="1871"/>
        </w:tabs>
        <w:spacing w:line="578" w:lineRule="atLeast"/>
        <w:ind w:left="0" w:firstLine="640" w:firstLineChars="200"/>
        <w:jc w:val="both"/>
        <w:rPr>
          <w:rFonts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五</w:t>
      </w:r>
      <w:r>
        <w:rPr>
          <w:rFonts w:ascii="Times New Roman" w:hAnsi="Times New Roman" w:eastAsia="黑体" w:cs="Times New Roman"/>
          <w:b w:val="0"/>
          <w:sz w:val="32"/>
          <w:szCs w:val="32"/>
          <w:lang w:val="en-US" w:eastAsia="zh-CN"/>
        </w:rPr>
        <w:t xml:space="preserve">、问题、纠偏措施和建议 </w:t>
      </w:r>
    </w:p>
    <w:p>
      <w:pPr>
        <w:pStyle w:val="31"/>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（一）主要问题 </w:t>
      </w:r>
    </w:p>
    <w:p>
      <w:pPr>
        <w:pStyle w:val="31"/>
        <w:spacing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车辆市场及规格缺乏了解。</w:t>
      </w:r>
    </w:p>
    <w:p>
      <w:pPr>
        <w:pStyle w:val="31"/>
        <w:numPr>
          <w:ilvl w:val="0"/>
          <w:numId w:val="10"/>
        </w:numPr>
        <w:spacing w:line="578" w:lineRule="atLeas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改进措施 </w:t>
      </w:r>
    </w:p>
    <w:p>
      <w:pPr>
        <w:pStyle w:val="31"/>
        <w:numPr>
          <w:ilvl w:val="0"/>
          <w:numId w:val="0"/>
        </w:numPr>
        <w:spacing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学习了解车辆规格及行业情况。</w:t>
      </w:r>
    </w:p>
    <w:p>
      <w:pPr>
        <w:pStyle w:val="31"/>
        <w:numPr>
          <w:ilvl w:val="0"/>
          <w:numId w:val="10"/>
        </w:numPr>
        <w:spacing w:line="578" w:lineRule="atLeast"/>
        <w:ind w:left="0" w:leftChars="0"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纠偏情况 </w:t>
      </w:r>
    </w:p>
    <w:p>
      <w:pPr>
        <w:pStyle w:val="31"/>
        <w:numPr>
          <w:ilvl w:val="0"/>
          <w:numId w:val="0"/>
        </w:numPr>
        <w:spacing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31"/>
        <w:numPr>
          <w:ilvl w:val="0"/>
          <w:numId w:val="10"/>
        </w:numPr>
        <w:spacing w:line="578" w:lineRule="atLeast"/>
        <w:ind w:left="0" w:leftChars="0"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有关建议 </w:t>
      </w:r>
    </w:p>
    <w:p>
      <w:pPr>
        <w:pStyle w:val="31"/>
        <w:numPr>
          <w:ilvl w:val="0"/>
          <w:numId w:val="0"/>
        </w:numPr>
        <w:spacing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了解车辆规格差异，合理安排资金。</w:t>
      </w:r>
    </w:p>
    <w:p>
      <w:pPr>
        <w:pStyle w:val="35"/>
        <w:tabs>
          <w:tab w:val="left" w:pos="1871"/>
        </w:tabs>
        <w:spacing w:line="578" w:lineRule="atLeast"/>
        <w:ind w:left="0" w:firstLine="640" w:firstLineChars="200"/>
        <w:jc w:val="both"/>
        <w:rPr>
          <w:rFonts w:hint="eastAsia"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 xml:space="preserve">六、其他需要说明的问题 </w:t>
      </w:r>
    </w:p>
    <w:p>
      <w:pPr>
        <w:pStyle w:val="31"/>
        <w:spacing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财政年初在安排项目资金时，应考虑项目实施进度和招标合同等情况，尽量足额安排。</w:t>
      </w:r>
    </w:p>
    <w:p>
      <w:pPr>
        <w:widowControl/>
        <w:adjustRightInd w:val="0"/>
        <w:snapToGrid w:val="0"/>
        <w:spacing w:beforeLines="0" w:afterLines="0" w:line="360" w:lineRule="auto"/>
        <w:ind w:firstLine="640" w:firstLineChars="200"/>
        <w:jc w:val="left"/>
        <w:rPr>
          <w:rFonts w:hint="eastAsia" w:ascii="黑体" w:hAnsi="黑体" w:eastAsia="黑体" w:cs="黑体"/>
          <w:sz w:val="32"/>
          <w:szCs w:val="32"/>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adjustRightInd w:val="0"/>
        <w:snapToGrid w:val="0"/>
        <w:spacing w:beforeLines="0" w:afterLines="0" w:line="360" w:lineRule="auto"/>
        <w:ind w:firstLine="643" w:firstLineChars="200"/>
        <w:jc w:val="both"/>
        <w:rPr>
          <w:rFonts w:hint="eastAsia" w:ascii="楷体_GB2312" w:hAnsi="宋体" w:eastAsia="楷体_GB2312" w:cs="宋体"/>
          <w:b/>
          <w:color w:val="000000"/>
          <w:kern w:val="0"/>
          <w:sz w:val="32"/>
          <w:szCs w:val="32"/>
          <w:shd w:val="clear" w:color="auto" w:fill="FFFFFF"/>
        </w:rPr>
      </w:pPr>
    </w:p>
    <w:p>
      <w:pPr>
        <w:tabs>
          <w:tab w:val="left" w:pos="1440"/>
        </w:tabs>
        <w:spacing w:beforeLines="0" w:afterLines="0" w:line="600" w:lineRule="exact"/>
        <w:ind w:firstLine="1767" w:firstLineChars="400"/>
        <w:jc w:val="both"/>
        <w:rPr>
          <w:rFonts w:hint="default" w:ascii="宋体" w:hAnsi="宋体" w:eastAsia="宋体"/>
          <w:b/>
          <w:sz w:val="44"/>
          <w:szCs w:val="44"/>
        </w:rPr>
      </w:pPr>
      <w:r>
        <w:rPr>
          <w:rFonts w:hint="default" w:ascii="宋体" w:hAnsi="宋体" w:eastAsia="宋体"/>
          <w:b/>
          <w:sz w:val="44"/>
          <w:szCs w:val="44"/>
        </w:rPr>
        <w:t>大竹县城乡规划编制中心</w:t>
      </w:r>
    </w:p>
    <w:p>
      <w:pPr>
        <w:tabs>
          <w:tab w:val="left" w:pos="1440"/>
        </w:tabs>
        <w:spacing w:beforeLines="0" w:afterLines="0" w:line="600" w:lineRule="exact"/>
        <w:ind w:firstLine="1767" w:firstLineChars="400"/>
        <w:jc w:val="both"/>
        <w:rPr>
          <w:rFonts w:hint="default" w:ascii="宋体" w:hAnsi="宋体" w:eastAsia="宋体"/>
          <w:b/>
          <w:sz w:val="44"/>
          <w:szCs w:val="44"/>
        </w:rPr>
      </w:pPr>
      <w:r>
        <w:rPr>
          <w:rFonts w:hint="default" w:ascii="宋体" w:hAnsi="宋体" w:eastAsia="宋体"/>
          <w:b/>
          <w:sz w:val="44"/>
          <w:szCs w:val="44"/>
        </w:rPr>
        <w:t>大竹县国土空间规划项目</w:t>
      </w:r>
    </w:p>
    <w:p>
      <w:pPr>
        <w:pStyle w:val="36"/>
        <w:spacing w:beforeLines="0" w:afterLines="0" w:line="600" w:lineRule="exact"/>
        <w:ind w:firstLine="640"/>
        <w:jc w:val="center"/>
        <w:rPr>
          <w:rFonts w:hint="eastAsia" w:ascii="宋体" w:hAnsi="宋体" w:eastAsia="宋体" w:cs="宋体"/>
          <w:b/>
          <w:bCs/>
          <w:color w:val="auto"/>
          <w:kern w:val="2"/>
          <w:sz w:val="32"/>
          <w:szCs w:val="32"/>
        </w:rPr>
      </w:pPr>
      <w:r>
        <w:rPr>
          <w:rFonts w:hint="eastAsia" w:ascii="宋体" w:hAnsi="宋体" w:eastAsia="宋体" w:cs="宋体"/>
          <w:b/>
          <w:bCs/>
          <w:color w:val="000000"/>
          <w:kern w:val="0"/>
          <w:sz w:val="44"/>
          <w:szCs w:val="44"/>
        </w:rPr>
        <w:t>20</w:t>
      </w:r>
      <w:r>
        <w:rPr>
          <w:rFonts w:hint="eastAsia" w:ascii="宋体" w:hAnsi="宋体" w:eastAsia="宋体" w:cs="宋体"/>
          <w:b/>
          <w:bCs/>
          <w:color w:val="000000"/>
          <w:kern w:val="0"/>
          <w:sz w:val="44"/>
          <w:szCs w:val="44"/>
          <w:lang w:val="en-US" w:eastAsia="zh-CN"/>
        </w:rPr>
        <w:t>21</w:t>
      </w:r>
      <w:r>
        <w:rPr>
          <w:rFonts w:hint="eastAsia" w:ascii="宋体" w:hAnsi="宋体" w:eastAsia="宋体" w:cs="宋体"/>
          <w:b/>
          <w:bCs/>
          <w:color w:val="000000"/>
          <w:kern w:val="0"/>
          <w:sz w:val="44"/>
          <w:szCs w:val="44"/>
        </w:rPr>
        <w:t>年</w:t>
      </w:r>
      <w:r>
        <w:rPr>
          <w:rFonts w:hint="eastAsia" w:ascii="宋体" w:hAnsi="宋体" w:eastAsia="宋体" w:cs="宋体"/>
          <w:b/>
          <w:bCs/>
          <w:color w:val="000000"/>
          <w:kern w:val="0"/>
          <w:sz w:val="44"/>
          <w:szCs w:val="44"/>
          <w:lang w:val="zh-CN"/>
        </w:rPr>
        <w:t>绩效评价报告</w:t>
      </w:r>
    </w:p>
    <w:p>
      <w:pPr>
        <w:adjustRightInd w:val="0"/>
        <w:snapToGrid w:val="0"/>
        <w:spacing w:beforeLines="0" w:afterLines="0" w:line="600" w:lineRule="exact"/>
        <w:ind w:firstLine="720"/>
        <w:rPr>
          <w:rFonts w:hint="eastAsia"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Style w:val="31"/>
        <w:spacing w:beforeLines="0" w:afterLines="0"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（一）项目名称 ：大竹县国土空间规划项目。</w:t>
      </w:r>
    </w:p>
    <w:p>
      <w:pPr>
        <w:pStyle w:val="31"/>
        <w:spacing w:beforeLines="0" w:afterLines="0" w:line="578" w:lineRule="exact"/>
        <w:ind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（二）项目主要内容 ：大竹县行政辖区内的全部国土空间。大竹县辖3个街道、23个镇、5个乡，幅员面积2076.8平方公里。启动国土空间规划编制；规划方案审查；建设项目选址；规划放线及测绘；规划核实。</w:t>
      </w:r>
    </w:p>
    <w:p>
      <w:pPr>
        <w:adjustRightInd w:val="0"/>
        <w:snapToGrid w:val="0"/>
        <w:spacing w:beforeLines="0" w:afterLines="0" w:line="600" w:lineRule="exact"/>
        <w:ind w:firstLine="720"/>
        <w:rPr>
          <w:rFonts w:hint="eastAsia"/>
          <w:sz w:val="32"/>
          <w:szCs w:val="32"/>
        </w:rPr>
      </w:pPr>
      <w:r>
        <w:rPr>
          <w:rFonts w:hint="eastAsia"/>
          <w:sz w:val="32"/>
          <w:szCs w:val="32"/>
        </w:rPr>
        <w:t>（三）项目资金申报及批复情况。：截止2021年底，大竹县国土空间规划项目申报600万元，实拨资金600万元。</w:t>
      </w:r>
      <w:r>
        <w:rPr>
          <w:rFonts w:hint="eastAsia" w:ascii="仿宋_GB2312" w:hAnsi="宋体"/>
          <w:sz w:val="32"/>
          <w:szCs w:val="32"/>
          <w:lang w:val="zh-CN"/>
        </w:rPr>
        <w:t>符合资金管理办法等相关规定。</w:t>
      </w:r>
    </w:p>
    <w:p>
      <w:pPr>
        <w:pStyle w:val="31"/>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cs="Times New Roman"/>
          <w:sz w:val="32"/>
          <w:szCs w:val="32"/>
          <w:lang w:val="en-US" w:eastAsia="zh-CN"/>
        </w:rPr>
        <w:t>四</w:t>
      </w:r>
      <w:r>
        <w:rPr>
          <w:rFonts w:hint="eastAsia" w:ascii="Times New Roman" w:hAnsi="Times New Roman" w:eastAsia="仿宋_GB2312" w:cs="Times New Roman"/>
          <w:sz w:val="32"/>
          <w:szCs w:val="32"/>
          <w:lang w:val="en-US" w:eastAsia="zh-CN"/>
        </w:rPr>
        <w:t>）项目绩效目标：大竹县国土空间规划项目2021年</w:t>
      </w:r>
      <w:r>
        <w:rPr>
          <w:rFonts w:hint="eastAsia" w:ascii="Times New Roman" w:hAnsi="Times New Roman" w:eastAsia="仿宋_GB2312" w:cs="Times New Roman"/>
          <w:sz w:val="32"/>
          <w:szCs w:val="32"/>
          <w:lang w:eastAsia="zh-CN"/>
        </w:rPr>
        <w:t>按照绩效指标设定了数量指标、质量指标、时效指标和成本指标。</w:t>
      </w:r>
      <w:r>
        <w:rPr>
          <w:rFonts w:hint="eastAsia" w:ascii="Times New Roman" w:hAnsi="Times New Roman" w:eastAsia="仿宋_GB2312" w:cs="Times New Roman"/>
          <w:sz w:val="32"/>
          <w:szCs w:val="32"/>
          <w:lang w:val="en-US" w:eastAsia="zh-CN"/>
        </w:rPr>
        <w:t>并于2021年完成成果报批。</w:t>
      </w:r>
    </w:p>
    <w:p>
      <w:pPr>
        <w:adjustRightInd w:val="0"/>
        <w:snapToGrid w:val="0"/>
        <w:spacing w:beforeLines="0" w:afterLines="0" w:line="600" w:lineRule="exact"/>
        <w:ind w:firstLine="720"/>
        <w:rPr>
          <w:rFonts w:hint="eastAsia"/>
          <w:sz w:val="32"/>
          <w:szCs w:val="32"/>
        </w:rPr>
      </w:pPr>
      <w:r>
        <w:rPr>
          <w:rFonts w:hint="eastAsia"/>
          <w:sz w:val="32"/>
          <w:szCs w:val="32"/>
        </w:rPr>
        <w:t>（五）项目资金申报相符性：</w:t>
      </w:r>
      <w:r>
        <w:rPr>
          <w:rFonts w:hint="eastAsia" w:ascii="仿宋_GB2312" w:hAnsi="宋体"/>
          <w:sz w:val="32"/>
          <w:szCs w:val="32"/>
          <w:lang w:val="zh-CN"/>
        </w:rPr>
        <w:t>项目申报内容与具体实施内容相符、申报目标合理可行</w:t>
      </w:r>
      <w:r>
        <w:rPr>
          <w:rFonts w:hint="eastAsia"/>
          <w:sz w:val="32"/>
          <w:szCs w:val="32"/>
        </w:rPr>
        <w:t>。</w:t>
      </w:r>
    </w:p>
    <w:p>
      <w:pPr>
        <w:adjustRightInd w:val="0"/>
        <w:snapToGrid w:val="0"/>
        <w:spacing w:beforeLines="0" w:afterLines="0" w:line="600" w:lineRule="exact"/>
        <w:ind w:firstLine="720"/>
        <w:rPr>
          <w:rFonts w:hint="eastAsia" w:ascii="黑体" w:hAnsi="宋体" w:eastAsia="黑体"/>
          <w:sz w:val="32"/>
          <w:szCs w:val="32"/>
        </w:rPr>
      </w:pPr>
      <w:r>
        <w:rPr>
          <w:rFonts w:hint="eastAsia" w:ascii="黑体" w:hAnsi="宋体" w:eastAsia="黑体"/>
          <w:sz w:val="32"/>
          <w:szCs w:val="32"/>
        </w:rPr>
        <w:t>二、项目实施及管理情况</w:t>
      </w:r>
    </w:p>
    <w:p>
      <w:pPr>
        <w:adjustRightInd w:val="0"/>
        <w:snapToGrid w:val="0"/>
        <w:spacing w:beforeLines="0" w:afterLines="0"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pPr>
        <w:adjustRightInd w:val="0"/>
        <w:snapToGrid w:val="0"/>
        <w:spacing w:beforeLines="0" w:afterLines="0" w:line="600" w:lineRule="exact"/>
        <w:ind w:firstLine="720"/>
        <w:rPr>
          <w:rFonts w:hint="eastAsia" w:ascii="楷体_GB2312" w:hAnsi="宋体" w:eastAsia="楷体_GB2312"/>
          <w:sz w:val="32"/>
          <w:szCs w:val="32"/>
        </w:rPr>
      </w:pPr>
      <w:r>
        <w:rPr>
          <w:rFonts w:hint="eastAsia" w:ascii="楷体_GB2312" w:hAnsi="宋体" w:eastAsia="楷体_GB2312"/>
          <w:sz w:val="32"/>
          <w:szCs w:val="32"/>
          <w:lang w:val="zh-CN"/>
        </w:rPr>
        <w:t>1．资金计划及到位。</w:t>
      </w:r>
      <w:r>
        <w:rPr>
          <w:rFonts w:hint="eastAsia" w:ascii="仿宋_GB2312" w:hAnsi="宋体"/>
          <w:sz w:val="32"/>
          <w:szCs w:val="32"/>
          <w:lang w:val="zh-CN"/>
        </w:rPr>
        <w:t>该项目资金计划及截止评价时点实际到位</w:t>
      </w:r>
      <w:r>
        <w:rPr>
          <w:rFonts w:hint="eastAsia" w:ascii="仿宋_GB2312" w:hAnsi="宋体"/>
          <w:sz w:val="32"/>
          <w:szCs w:val="32"/>
        </w:rPr>
        <w:t>600万元，计划资金600万元，到位率100%。</w:t>
      </w:r>
    </w:p>
    <w:p>
      <w:pPr>
        <w:numPr>
          <w:ilvl w:val="0"/>
          <w:numId w:val="7"/>
        </w:numPr>
        <w:adjustRightInd w:val="0"/>
        <w:snapToGrid w:val="0"/>
        <w:spacing w:beforeLines="0" w:afterLines="0"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r>
        <w:rPr>
          <w:rFonts w:hint="eastAsia" w:ascii="仿宋_GB2312" w:hAnsi="宋体"/>
          <w:sz w:val="32"/>
          <w:szCs w:val="32"/>
          <w:lang w:val="zh-CN"/>
        </w:rPr>
        <w:t>截止评价时点项目资金的实际支出</w:t>
      </w:r>
      <w:r>
        <w:rPr>
          <w:rFonts w:hint="eastAsia" w:ascii="仿宋_GB2312" w:hAnsi="宋体"/>
          <w:sz w:val="32"/>
          <w:szCs w:val="32"/>
        </w:rPr>
        <w:t>600万元，用于支付国土空间编制费用，</w:t>
      </w:r>
      <w:r>
        <w:rPr>
          <w:rFonts w:hint="eastAsia" w:ascii="仿宋_GB2312" w:hAnsi="宋体"/>
          <w:sz w:val="32"/>
          <w:szCs w:val="32"/>
          <w:lang w:val="zh-CN"/>
        </w:rPr>
        <w:t>支付依据合规合法。</w:t>
      </w:r>
    </w:p>
    <w:p>
      <w:pPr>
        <w:snapToGrid w:val="0"/>
        <w:spacing w:beforeLines="0" w:afterLines="0" w:line="520" w:lineRule="exact"/>
        <w:ind w:firstLine="707" w:firstLineChars="2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（二）项目财务管理情况。</w:t>
      </w:r>
      <w:r>
        <w:rPr>
          <w:rFonts w:hint="eastAsia" w:ascii="仿宋" w:hAnsi="仿宋" w:eastAsia="仿宋"/>
          <w:snapToGrid w:val="0"/>
          <w:color w:val="auto"/>
          <w:kern w:val="10"/>
          <w:sz w:val="32"/>
          <w:szCs w:val="32"/>
        </w:rPr>
        <w:t>本中心的采购项目在《政府采购目录》以内、达到限额标准以上的项目依法进行政府采购；对适用单位自行采购的项目，按内部控制制度办理，从预算立项到验收付款都要参照政府采购业务管理，依照严格的审批手续进行。按内控要求，明确采购相关部门和岗位的职责、权限，确保采购业务的预算编制与执行、需求制定与审批、招标文件准备与复核、合同签订审核与项目验收、采购活动组织与监督检查等不相容岗位相互分离、制约、监督。</w:t>
      </w:r>
    </w:p>
    <w:p>
      <w:pPr>
        <w:snapToGrid w:val="0"/>
        <w:spacing w:beforeLines="0" w:afterLines="0" w:line="520" w:lineRule="exact"/>
        <w:ind w:firstLine="707" w:firstLineChars="2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政府集中采购</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1.采购预算</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本中心必须按规定程序和要求编制、调整采购预算和实施计划。采购预算的编制和执行不得由一人或同一部门负责。在进行采购预算编制以前要通过市场调查，使编制的预算科学合理。</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2.需求申请</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应按预算或采购计划提出采购申请，采购申请应明确采购类别、质量等级、规格、数量、相关要求和标准、到货时间等，经单位负责人审核是否合理，若合理则签字并上报上级主管部门审批。</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3.签订委托协议</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单位按项目与集中采购机构签订委托代理协议，按照平等自愿原则确定委托代理事项，约定双方在编制采购文件、确定评标办法与中标标准、评标、定标等方面的权利与义务。</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4.制定操作方案，组织采购</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单位与集中采购机构协商制定操作方案，根据操作方案由集中采购机构依照法定程序进行采购。单位应当自中标、成交通知书发出30日内，与中标成交供应商签订采购合同。采购合同应一式四份，并由合同审核人员对合同及相关材料的真实性、合法性、完整性进行审核，合同审核人必须是具备相应法律知识的人员。</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5.采购的验收</w:t>
      </w:r>
    </w:p>
    <w:p>
      <w:pPr>
        <w:snapToGrid w:val="0"/>
        <w:spacing w:beforeLines="0" w:afterLines="0"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采购验收应由使用人、财务人员、邀请的专家或专业技术人员、后勤管理人员等相关部门，在现场对照采购合同，对品种、规格、数量、质量、到货时间等相关内容进行验收，合格则出具验收证明。在验收过程中发现异常情况，应当及时报告，查明原因，并进行妥善处理。验收合格后按程序移交保管员或使用部门接收。采购合同的签订人、审核人不得参与验收工作。</w:t>
      </w:r>
    </w:p>
    <w:p>
      <w:pPr>
        <w:snapToGrid w:val="0"/>
        <w:spacing w:beforeLines="0" w:afterLines="0"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6.付款</w:t>
      </w:r>
    </w:p>
    <w:p>
      <w:pPr>
        <w:snapToGrid w:val="0"/>
        <w:spacing w:beforeLines="0" w:afterLines="0" w:line="520" w:lineRule="exact"/>
        <w:ind w:firstLine="704" w:firstLineChars="220"/>
        <w:rPr>
          <w:rFonts w:hint="eastAsia" w:ascii="楷体_GB2312" w:hAnsi="宋体" w:eastAsia="楷体_GB2312"/>
          <w:sz w:val="32"/>
          <w:szCs w:val="32"/>
          <w:lang w:val="zh-CN"/>
        </w:rPr>
      </w:pPr>
      <w:r>
        <w:rPr>
          <w:rFonts w:hint="eastAsia" w:ascii="仿宋" w:hAnsi="仿宋" w:eastAsia="仿宋"/>
          <w:snapToGrid w:val="0"/>
          <w:color w:val="auto"/>
          <w:kern w:val="10"/>
          <w:sz w:val="32"/>
          <w:szCs w:val="32"/>
        </w:rPr>
        <w:t>本中心</w:t>
      </w:r>
      <w:r>
        <w:rPr>
          <w:rFonts w:hint="eastAsia" w:ascii="仿宋" w:hAnsi="仿宋" w:eastAsia="仿宋"/>
          <w:color w:val="auto"/>
          <w:sz w:val="32"/>
          <w:szCs w:val="32"/>
        </w:rPr>
        <w:t>计财股</w:t>
      </w:r>
      <w:r>
        <w:rPr>
          <w:rFonts w:hint="eastAsia" w:ascii="仿宋" w:hAnsi="仿宋" w:eastAsia="仿宋"/>
          <w:snapToGrid w:val="0"/>
          <w:color w:val="auto"/>
          <w:kern w:val="10"/>
          <w:sz w:val="32"/>
          <w:szCs w:val="32"/>
        </w:rPr>
        <w:t>应对采购项目的预算、合同、审批程序、发票、验收入库单等进行审核，审核无误后，送负责人审批。按合同约定及财经制度办理结算付款。</w:t>
      </w:r>
    </w:p>
    <w:p>
      <w:pPr>
        <w:adjustRightInd w:val="0"/>
        <w:snapToGrid w:val="0"/>
        <w:spacing w:beforeLines="0" w:afterLines="0" w:line="600" w:lineRule="exact"/>
        <w:ind w:firstLine="720"/>
        <w:rPr>
          <w:rFonts w:hint="eastAsia"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pStyle w:val="31"/>
        <w:spacing w:beforeLines="0" w:afterLines="0" w:line="578" w:lineRule="exact"/>
        <w:ind w:firstLine="640" w:firstLineChars="200"/>
        <w:rPr>
          <w:rFonts w:hint="eastAsia" w:ascii="仿宋" w:hAnsi="仿宋" w:eastAsia="仿宋" w:cs="仿宋"/>
          <w:sz w:val="30"/>
          <w:szCs w:val="30"/>
          <w:lang w:val="en-US" w:eastAsia="zh-CN"/>
        </w:rPr>
      </w:pPr>
      <w:r>
        <w:rPr>
          <w:rFonts w:hint="eastAsia" w:ascii="Times New Roman" w:hAnsi="Times New Roman" w:eastAsia="仿宋_GB2312" w:cs="Times New Roman"/>
          <w:sz w:val="32"/>
          <w:szCs w:val="32"/>
          <w:lang w:val="en-US" w:eastAsia="zh-CN"/>
        </w:rPr>
        <w:t>（一）项目产出目标、效果目标的实现情况 ：（1）数量指标：</w:t>
      </w:r>
      <w:r>
        <w:rPr>
          <w:rFonts w:hint="eastAsia" w:ascii="仿宋" w:hAnsi="仿宋" w:eastAsia="仿宋" w:cs="仿宋"/>
          <w:sz w:val="30"/>
          <w:szCs w:val="30"/>
        </w:rPr>
        <w:t>专题报告集、文本、图集、数</w:t>
      </w:r>
      <w:r>
        <w:rPr>
          <w:rFonts w:hint="eastAsia" w:ascii="仿宋" w:hAnsi="仿宋" w:eastAsia="仿宋" w:cs="仿宋"/>
          <w:sz w:val="30"/>
          <w:szCs w:val="30"/>
          <w:lang w:eastAsia="zh-CN"/>
        </w:rPr>
        <w:t>据库，</w:t>
      </w:r>
      <w:r>
        <w:rPr>
          <w:rFonts w:hint="eastAsia" w:ascii="仿宋" w:hAnsi="仿宋" w:eastAsia="仿宋" w:cs="仿宋"/>
          <w:sz w:val="30"/>
          <w:szCs w:val="30"/>
          <w:lang w:val="en-US" w:eastAsia="zh-CN"/>
        </w:rPr>
        <w:t>完成了100%；（2）质量指标：</w:t>
      </w:r>
      <w:r>
        <w:rPr>
          <w:rFonts w:hint="eastAsia" w:ascii="仿宋" w:hAnsi="仿宋" w:eastAsia="仿宋" w:cs="仿宋"/>
          <w:sz w:val="30"/>
          <w:szCs w:val="30"/>
        </w:rPr>
        <w:t>按规范要求完成报批成果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完成了100%；（3）时效指标：完成了100%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）成本指标：</w:t>
      </w:r>
      <w:r>
        <w:rPr>
          <w:rFonts w:hint="eastAsia" w:ascii="仿宋" w:hAnsi="仿宋" w:eastAsia="仿宋" w:cs="仿宋"/>
          <w:sz w:val="30"/>
          <w:szCs w:val="30"/>
          <w:lang w:val="en-US" w:eastAsia="zh-CN"/>
        </w:rPr>
        <w:t>实际支付600万元，完成100%。</w:t>
      </w:r>
    </w:p>
    <w:p>
      <w:pPr>
        <w:pStyle w:val="31"/>
        <w:spacing w:beforeLines="0" w:afterLines="0" w:line="36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（二）项目绩效情况分析（从经济性、效率性、效益性和公正性等方面进行具体分析）：</w:t>
      </w:r>
      <w:r>
        <w:rPr>
          <w:rFonts w:hint="eastAsia" w:ascii="Times New Roman" w:hAnsi="Times New Roman" w:eastAsia="仿宋_GB2312" w:cs="Times New Roman"/>
          <w:sz w:val="32"/>
          <w:szCs w:val="32"/>
          <w:lang w:eastAsia="zh-CN"/>
        </w:rPr>
        <w:t>建立统一、清晰、科学高效的国土空间规划，整体谋划国土空间开发保护格局，综合考虑人口分布、经济分布、国土利用、生态环境保护等因素，科学布局生产空间、生活空间、生态空间；有利于节约土地，达到合理利用土地资源，加快出市建设，提高城市建设品味，促进社区文明和城市健康发展，构建人与自然和谐共处的环境；以此达到职能机构、服务对象以及全县人民</w:t>
      </w:r>
      <w:r>
        <w:rPr>
          <w:rFonts w:hint="eastAsia" w:ascii="Times New Roman" w:hAnsi="Times New Roman" w:eastAsia="仿宋_GB2312" w:cs="Times New Roman"/>
          <w:sz w:val="32"/>
          <w:szCs w:val="32"/>
          <w:lang w:val="en-US" w:eastAsia="zh-CN"/>
        </w:rPr>
        <w:t>95%以上的满意。</w:t>
      </w:r>
    </w:p>
    <w:p>
      <w:pPr>
        <w:adjustRightInd w:val="0"/>
        <w:snapToGrid w:val="0"/>
        <w:spacing w:beforeLines="0" w:afterLines="0" w:line="600" w:lineRule="exact"/>
        <w:ind w:firstLine="720"/>
        <w:rPr>
          <w:rFonts w:hint="eastAsia" w:ascii="黑体" w:hAnsi="宋体" w:eastAsia="黑体"/>
          <w:sz w:val="32"/>
          <w:szCs w:val="32"/>
        </w:rPr>
      </w:pPr>
      <w:r>
        <w:rPr>
          <w:rFonts w:hint="eastAsia" w:ascii="黑体" w:hAnsi="宋体" w:eastAsia="黑体"/>
          <w:sz w:val="32"/>
          <w:szCs w:val="32"/>
        </w:rPr>
        <w:t>四、问题及建议</w:t>
      </w:r>
    </w:p>
    <w:p>
      <w:pPr>
        <w:pStyle w:val="31"/>
        <w:spacing w:beforeLines="0" w:afterLines="0" w:line="36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（一）主要问题 ：一是由于政策变化，需要重新修改、补充和完善很多资料。二是根据上级要求，加快了项目实施进度，超前完成预定的目标任务。</w:t>
      </w:r>
    </w:p>
    <w:p>
      <w:pPr>
        <w:pStyle w:val="12"/>
        <w:widowControl/>
        <w:shd w:val="clear" w:color="auto" w:fill="FFFFFF"/>
        <w:spacing w:beforeLines="0" w:beforeAutospacing="0" w:afterLines="0" w:afterAutospacing="0" w:line="360" w:lineRule="auto"/>
        <w:ind w:firstLine="640" w:firstLineChars="200"/>
        <w:jc w:val="both"/>
        <w:rPr>
          <w:rFonts w:hint="default"/>
          <w:sz w:val="32"/>
          <w:szCs w:val="32"/>
        </w:rPr>
      </w:pPr>
      <w:r>
        <w:rPr>
          <w:rFonts w:hint="eastAsia"/>
          <w:sz w:val="32"/>
          <w:szCs w:val="32"/>
        </w:rPr>
        <w:t>（二）改进措施及建议：</w:t>
      </w:r>
      <w:r>
        <w:rPr>
          <w:rFonts w:hint="default"/>
          <w:sz w:val="32"/>
          <w:szCs w:val="32"/>
        </w:rPr>
        <w:t xml:space="preserve"> </w:t>
      </w:r>
    </w:p>
    <w:p>
      <w:pPr>
        <w:pStyle w:val="12"/>
        <w:widowControl/>
        <w:shd w:val="clear" w:color="auto" w:fill="FFFFFF"/>
        <w:spacing w:beforeLines="0" w:beforeAutospacing="0" w:afterLines="0" w:afterAutospacing="0"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一是</w:t>
      </w:r>
      <w:r>
        <w:rPr>
          <w:rFonts w:hint="eastAsia" w:ascii="仿宋" w:hAnsi="仿宋" w:eastAsia="仿宋" w:cs="仿宋"/>
          <w:color w:val="000000"/>
          <w:sz w:val="30"/>
          <w:szCs w:val="30"/>
          <w:shd w:val="clear" w:color="auto" w:fill="FFFFFF"/>
        </w:rPr>
        <w:t>进一步加强单位内部机构各股室的预算执行、预算管理意识，</w:t>
      </w:r>
      <w:r>
        <w:rPr>
          <w:rFonts w:hint="eastAsia" w:ascii="仿宋" w:hAnsi="仿宋" w:eastAsia="仿宋" w:cs="仿宋"/>
          <w:color w:val="000000"/>
          <w:sz w:val="30"/>
          <w:szCs w:val="30"/>
        </w:rPr>
        <w:t>加强绩效目标动态监控和评价，提升城乡规划编制和城乡规划管理水平，顺利完成全年拟定工作目标任务。</w:t>
      </w:r>
    </w:p>
    <w:p>
      <w:pPr>
        <w:pStyle w:val="12"/>
        <w:widowControl/>
        <w:shd w:val="clear" w:color="auto" w:fill="FFFFFF"/>
        <w:spacing w:beforeLines="0" w:beforeAutospacing="0" w:afterLines="0" w:afterAutospacing="0" w:line="360" w:lineRule="auto"/>
        <w:ind w:firstLine="600" w:firstLineChars="200"/>
        <w:jc w:val="both"/>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二是建立健全完整的内控制度，加强单位财务管理，健全单位财务管理制度体系，规范单位财务行为。</w:t>
      </w:r>
    </w:p>
    <w:p>
      <w:pPr>
        <w:pStyle w:val="12"/>
        <w:widowControl/>
        <w:shd w:val="clear" w:color="auto" w:fill="FFFFFF"/>
        <w:spacing w:beforeLines="0" w:beforeAutospacing="0" w:afterLines="0" w:afterAutospacing="0" w:line="360" w:lineRule="auto"/>
        <w:ind w:firstLine="600" w:firstLineChars="200"/>
        <w:jc w:val="both"/>
        <w:rPr>
          <w:rFonts w:hint="default"/>
          <w:sz w:val="32"/>
          <w:szCs w:val="32"/>
        </w:rPr>
      </w:pPr>
      <w:r>
        <w:rPr>
          <w:rFonts w:hint="eastAsia" w:ascii="仿宋" w:hAnsi="仿宋" w:eastAsia="仿宋" w:cs="仿宋"/>
          <w:color w:val="000000"/>
          <w:sz w:val="30"/>
          <w:szCs w:val="30"/>
        </w:rPr>
        <w:t>三是</w:t>
      </w:r>
      <w:r>
        <w:rPr>
          <w:rFonts w:hint="eastAsia" w:ascii="仿宋" w:hAnsi="仿宋" w:eastAsia="仿宋" w:cs="仿宋"/>
          <w:color w:val="000000"/>
          <w:sz w:val="30"/>
          <w:szCs w:val="30"/>
          <w:shd w:val="clear" w:color="auto" w:fill="FFFFFF"/>
        </w:rPr>
        <w:t>加强学习，特别是针对《会计法》、《预算法》和绩效管理等方面的各项政策、规定进行学习培训，规范部门预算收支核算，切实提高部门预算绩效执行管理水平。</w:t>
      </w:r>
    </w:p>
    <w:p>
      <w:pPr>
        <w:widowControl/>
        <w:adjustRightInd w:val="0"/>
        <w:snapToGrid w:val="0"/>
        <w:spacing w:beforeLines="0" w:afterLines="0" w:line="360" w:lineRule="auto"/>
        <w:ind w:firstLine="643" w:firstLineChars="200"/>
        <w:jc w:val="left"/>
        <w:rPr>
          <w:rFonts w:hint="eastAsia" w:ascii="楷体_GB2312" w:hAnsi="宋体" w:eastAsia="楷体_GB2312" w:cs="宋体"/>
          <w:b/>
          <w:color w:val="000000"/>
          <w:kern w:val="0"/>
          <w:sz w:val="32"/>
          <w:szCs w:val="32"/>
          <w:shd w:val="clear" w:color="auto" w:fill="FFFFFF"/>
        </w:rPr>
      </w:pPr>
    </w:p>
    <w:p>
      <w:pPr>
        <w:pStyle w:val="31"/>
        <w:spacing w:beforeLines="0" w:after="140" w:afterLines="0" w:line="556" w:lineRule="atLeast"/>
        <w:ind w:firstLine="0"/>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大竹县城乡规划编制中心</w:t>
      </w:r>
    </w:p>
    <w:p>
      <w:pPr>
        <w:pStyle w:val="31"/>
        <w:spacing w:beforeLines="0" w:after="140" w:afterLines="0" w:line="556" w:lineRule="atLeast"/>
        <w:ind w:firstLine="0"/>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专用设备购置项目</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Style w:val="35"/>
        <w:tabs>
          <w:tab w:val="left" w:pos="1871"/>
        </w:tabs>
        <w:spacing w:beforeLines="0" w:afterLines="0" w:line="578" w:lineRule="atLeast"/>
        <w:ind w:left="0" w:firstLine="640" w:firstLineChars="200"/>
        <w:jc w:val="both"/>
        <w:rPr>
          <w:rFonts w:hint="default" w:ascii="Times New Roman" w:hAnsi="Times New Roman" w:eastAsia="黑体" w:cs="Times New Roman"/>
          <w:b w:val="0"/>
          <w:sz w:val="32"/>
          <w:szCs w:val="32"/>
        </w:rPr>
      </w:pPr>
      <w:r>
        <w:rPr>
          <w:rFonts w:hint="eastAsia" w:ascii="Times New Roman" w:hAnsi="Times New Roman" w:eastAsia="黑体" w:cs="Times New Roman"/>
          <w:b w:val="0"/>
          <w:sz w:val="32"/>
          <w:szCs w:val="32"/>
          <w:lang w:val="en-US" w:eastAsia="zh-CN"/>
        </w:rPr>
        <w:t xml:space="preserve">一、项目基本情况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（一）项目名称 </w:t>
      </w:r>
    </w:p>
    <w:p>
      <w:pPr>
        <w:pStyle w:val="31"/>
        <w:spacing w:beforeLines="0" w:afterLines="0"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专用设备购置（绘图仪）。</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（二）项目起止日期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2021年2月完成购置。</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（三）项目主要内容、涉及范围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从成都捷航科技发展有限公司处完成专用设备购置（惠普pw4100型绘图仪）1台。</w:t>
      </w:r>
    </w:p>
    <w:p>
      <w:pPr>
        <w:adjustRightInd w:val="0"/>
        <w:snapToGrid w:val="0"/>
        <w:spacing w:beforeLines="0" w:afterLines="0" w:line="600" w:lineRule="exact"/>
        <w:ind w:firstLine="720"/>
        <w:rPr>
          <w:rFonts w:hint="eastAsia" w:eastAsia="仿宋_GB2312"/>
          <w:sz w:val="32"/>
          <w:szCs w:val="32"/>
          <w:lang w:eastAsia="zh-CN"/>
        </w:rPr>
      </w:pPr>
      <w:r>
        <w:rPr>
          <w:rFonts w:hint="eastAsia" w:eastAsia="仿宋_GB2312"/>
          <w:sz w:val="32"/>
          <w:szCs w:val="32"/>
          <w:lang w:eastAsia="zh-CN"/>
        </w:rPr>
        <w:t>（四）项目资金申报及批复情况。：截止202</w:t>
      </w:r>
      <w:r>
        <w:rPr>
          <w:rFonts w:hint="default"/>
          <w:sz w:val="32"/>
          <w:szCs w:val="32"/>
          <w:lang w:eastAsia="zh-CN"/>
        </w:rPr>
        <w:t>1</w:t>
      </w:r>
      <w:r>
        <w:rPr>
          <w:rFonts w:hint="eastAsia" w:eastAsia="仿宋_GB2312"/>
          <w:sz w:val="32"/>
          <w:szCs w:val="32"/>
          <w:lang w:eastAsia="zh-CN"/>
        </w:rPr>
        <w:t>年底，专用设备购置（绘图仪）项目</w:t>
      </w:r>
      <w:r>
        <w:rPr>
          <w:rFonts w:hint="default"/>
          <w:sz w:val="32"/>
          <w:szCs w:val="32"/>
          <w:lang w:eastAsia="zh-CN"/>
        </w:rPr>
        <w:t>申报25.85万元，</w:t>
      </w:r>
      <w:r>
        <w:rPr>
          <w:rFonts w:hint="eastAsia" w:eastAsia="仿宋_GB2312"/>
          <w:sz w:val="32"/>
          <w:szCs w:val="32"/>
          <w:lang w:eastAsia="zh-CN"/>
        </w:rPr>
        <w:t>实拨资金</w:t>
      </w:r>
      <w:r>
        <w:rPr>
          <w:rFonts w:hint="default"/>
          <w:sz w:val="32"/>
          <w:szCs w:val="32"/>
          <w:lang w:eastAsia="zh-CN"/>
        </w:rPr>
        <w:t>25.85</w:t>
      </w:r>
      <w:r>
        <w:rPr>
          <w:rFonts w:hint="eastAsia" w:eastAsia="仿宋_GB2312"/>
          <w:sz w:val="32"/>
          <w:szCs w:val="32"/>
          <w:lang w:eastAsia="zh-CN"/>
        </w:rPr>
        <w:t>万元</w:t>
      </w:r>
      <w:r>
        <w:rPr>
          <w:rFonts w:hint="default"/>
          <w:sz w:val="32"/>
          <w:szCs w:val="32"/>
          <w:lang w:eastAsia="zh-CN"/>
        </w:rPr>
        <w:t>。</w:t>
      </w:r>
      <w:r>
        <w:rPr>
          <w:rFonts w:hint="default" w:hAnsi="宋体"/>
          <w:sz w:val="32"/>
          <w:szCs w:val="32"/>
          <w:lang w:val="zh-CN"/>
        </w:rPr>
        <w:t>符合资金管理办法等相关规定。</w:t>
      </w:r>
    </w:p>
    <w:p>
      <w:pPr>
        <w:pStyle w:val="31"/>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cs="Times New Roman"/>
          <w:sz w:val="32"/>
          <w:szCs w:val="32"/>
          <w:lang w:val="en-US" w:eastAsia="zh-CN"/>
        </w:rPr>
        <w:t>五</w:t>
      </w:r>
      <w:r>
        <w:rPr>
          <w:rFonts w:hint="eastAsia" w:ascii="Times New Roman" w:hAnsi="Times New Roman" w:eastAsia="仿宋_GB2312" w:cs="Times New Roman"/>
          <w:sz w:val="32"/>
          <w:szCs w:val="32"/>
          <w:lang w:val="en-US" w:eastAsia="zh-CN"/>
        </w:rPr>
        <w:t>）项目绩效目标：专用设备购置（绘图仪）项目2021年</w:t>
      </w:r>
      <w:r>
        <w:rPr>
          <w:rFonts w:hint="eastAsia" w:ascii="Times New Roman" w:hAnsi="Times New Roman" w:eastAsia="仿宋_GB2312" w:cs="Times New Roman"/>
          <w:sz w:val="32"/>
          <w:szCs w:val="32"/>
          <w:lang w:eastAsia="zh-CN"/>
        </w:rPr>
        <w:t>按照绩效指标设定了数量指标、质量指标、时效指标和成本指标。</w:t>
      </w:r>
      <w:r>
        <w:rPr>
          <w:rFonts w:hint="eastAsia" w:ascii="Times New Roman" w:hAnsi="Times New Roman" w:eastAsia="仿宋_GB2312" w:cs="Times New Roman"/>
          <w:sz w:val="32"/>
          <w:szCs w:val="32"/>
          <w:lang w:val="en-US" w:eastAsia="zh-CN"/>
        </w:rPr>
        <w:t>并于2021年完成成果报批。</w:t>
      </w:r>
    </w:p>
    <w:p>
      <w:pPr>
        <w:adjustRightInd w:val="0"/>
        <w:snapToGrid w:val="0"/>
        <w:spacing w:beforeLines="0" w:afterLines="0" w:line="600" w:lineRule="exact"/>
        <w:ind w:firstLine="720"/>
        <w:rPr>
          <w:rFonts w:hint="eastAsia" w:eastAsia="仿宋_GB2312"/>
          <w:sz w:val="32"/>
          <w:szCs w:val="32"/>
          <w:lang w:eastAsia="zh-CN"/>
        </w:rPr>
      </w:pPr>
      <w:r>
        <w:rPr>
          <w:rFonts w:hint="eastAsia" w:eastAsia="仿宋_GB2312"/>
          <w:sz w:val="32"/>
          <w:szCs w:val="32"/>
          <w:lang w:eastAsia="zh-CN"/>
        </w:rPr>
        <w:t>（</w:t>
      </w:r>
      <w:r>
        <w:rPr>
          <w:rFonts w:hint="default"/>
          <w:sz w:val="32"/>
          <w:szCs w:val="32"/>
          <w:lang w:eastAsia="zh-CN"/>
        </w:rPr>
        <w:t>六</w:t>
      </w:r>
      <w:r>
        <w:rPr>
          <w:rFonts w:hint="eastAsia" w:eastAsia="仿宋_GB2312"/>
          <w:sz w:val="32"/>
          <w:szCs w:val="32"/>
          <w:lang w:eastAsia="zh-CN"/>
        </w:rPr>
        <w:t>）项目资金申报相符性：</w:t>
      </w:r>
      <w:r>
        <w:rPr>
          <w:rFonts w:hint="default" w:hAnsi="宋体"/>
          <w:sz w:val="32"/>
          <w:szCs w:val="32"/>
          <w:lang w:val="zh-CN"/>
        </w:rPr>
        <w:t>项目申报内容与具体实施内容相符、申报目标合理可行</w:t>
      </w:r>
      <w:r>
        <w:rPr>
          <w:rFonts w:hint="eastAsia" w:eastAsia="仿宋_GB2312"/>
          <w:sz w:val="32"/>
          <w:szCs w:val="32"/>
          <w:lang w:eastAsia="zh-CN"/>
        </w:rPr>
        <w:t>。</w:t>
      </w:r>
    </w:p>
    <w:p>
      <w:pPr>
        <w:pStyle w:val="35"/>
        <w:tabs>
          <w:tab w:val="left" w:pos="1871"/>
        </w:tabs>
        <w:spacing w:beforeLines="0" w:afterLines="0" w:line="578" w:lineRule="atLeast"/>
        <w:ind w:left="0" w:firstLine="640" w:firstLineChars="200"/>
        <w:jc w:val="both"/>
        <w:rPr>
          <w:rFonts w:hint="default" w:ascii="Times New Roman" w:hAnsi="Times New Roman" w:eastAsia="黑体" w:cs="Times New Roman"/>
          <w:b w:val="0"/>
          <w:sz w:val="32"/>
          <w:szCs w:val="32"/>
        </w:rPr>
      </w:pPr>
      <w:r>
        <w:rPr>
          <w:rFonts w:hint="eastAsia" w:ascii="Times New Roman" w:hAnsi="Times New Roman" w:eastAsia="黑体" w:cs="Times New Roman"/>
          <w:b w:val="0"/>
          <w:sz w:val="32"/>
          <w:szCs w:val="32"/>
          <w:lang w:val="en-US" w:eastAsia="zh-CN"/>
        </w:rPr>
        <w:t xml:space="preserve">二、绩效目标的核对和确定情况 </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hint="eastAsia" w:ascii="楷体_GB2312" w:hAnsi="宋体" w:eastAsia="楷体_GB2312"/>
          <w:sz w:val="32"/>
          <w:szCs w:val="32"/>
        </w:rPr>
      </w:pPr>
      <w:r>
        <w:rPr>
          <w:rFonts w:hint="eastAsia" w:ascii="楷体_GB2312" w:hAnsi="宋体" w:eastAsia="楷体_GB2312"/>
          <w:sz w:val="32"/>
          <w:szCs w:val="32"/>
          <w:lang w:val="zh-CN"/>
        </w:rPr>
        <w:t>1．资金计划及到位。</w:t>
      </w:r>
      <w:r>
        <w:rPr>
          <w:rFonts w:hint="default" w:hAnsi="宋体"/>
          <w:sz w:val="32"/>
          <w:szCs w:val="32"/>
          <w:lang w:val="zh-CN"/>
        </w:rPr>
        <w:t>该项目资金计划及截止评价时点实际到位</w:t>
      </w:r>
      <w:r>
        <w:rPr>
          <w:rFonts w:hint="default" w:ascii="宋体" w:hAnsi="宋体" w:eastAsia="宋体"/>
          <w:sz w:val="32"/>
          <w:szCs w:val="32"/>
          <w:lang w:eastAsia="zh-CN"/>
        </w:rPr>
        <w:t>25.85</w:t>
      </w:r>
      <w:r>
        <w:rPr>
          <w:rFonts w:hint="default" w:hAnsi="宋体"/>
          <w:sz w:val="32"/>
          <w:szCs w:val="32"/>
        </w:rPr>
        <w:t>万元，计划资金</w:t>
      </w:r>
      <w:r>
        <w:rPr>
          <w:rFonts w:hint="default" w:ascii="宋体" w:hAnsi="宋体" w:eastAsia="宋体"/>
          <w:sz w:val="32"/>
          <w:szCs w:val="32"/>
          <w:lang w:eastAsia="zh-CN"/>
        </w:rPr>
        <w:t>25.85</w:t>
      </w:r>
      <w:r>
        <w:rPr>
          <w:rFonts w:hint="default" w:hAnsi="宋体"/>
          <w:sz w:val="32"/>
          <w:szCs w:val="32"/>
        </w:rPr>
        <w:t>万元，到位率100%。</w:t>
      </w:r>
    </w:p>
    <w:p>
      <w:pPr>
        <w:numPr>
          <w:ilvl w:val="0"/>
          <w:numId w:val="7"/>
        </w:num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r>
        <w:rPr>
          <w:rFonts w:hint="default" w:hAnsi="宋体"/>
          <w:sz w:val="32"/>
          <w:szCs w:val="32"/>
          <w:lang w:val="zh-CN"/>
        </w:rPr>
        <w:t>截止评价时点项目资金的实际支出</w:t>
      </w:r>
      <w:r>
        <w:rPr>
          <w:rFonts w:hint="default" w:ascii="宋体" w:hAnsi="宋体" w:eastAsia="宋体"/>
          <w:sz w:val="32"/>
          <w:szCs w:val="32"/>
          <w:lang w:eastAsia="zh-CN"/>
        </w:rPr>
        <w:t>25.85</w:t>
      </w:r>
      <w:r>
        <w:rPr>
          <w:rFonts w:hint="default" w:hAnsi="宋体"/>
          <w:sz w:val="32"/>
          <w:szCs w:val="32"/>
        </w:rPr>
        <w:t>万元，用于支付</w:t>
      </w:r>
      <w:r>
        <w:rPr>
          <w:rFonts w:hint="eastAsia" w:eastAsia="仿宋_GB2312"/>
          <w:sz w:val="32"/>
          <w:szCs w:val="32"/>
          <w:lang w:eastAsia="zh-CN"/>
        </w:rPr>
        <w:t>专用设备购置（绘图仪）</w:t>
      </w:r>
      <w:r>
        <w:rPr>
          <w:rFonts w:hint="default" w:hAnsi="宋体"/>
          <w:sz w:val="32"/>
          <w:szCs w:val="32"/>
        </w:rPr>
        <w:t>费用，</w:t>
      </w:r>
      <w:r>
        <w:rPr>
          <w:rFonts w:hint="default" w:hAnsi="宋体"/>
          <w:sz w:val="32"/>
          <w:szCs w:val="32"/>
          <w:lang w:val="zh-CN"/>
        </w:rPr>
        <w:t>支付依据合规合法。</w:t>
      </w:r>
    </w:p>
    <w:p>
      <w:pPr>
        <w:snapToGrid w:val="0"/>
        <w:spacing w:line="520" w:lineRule="exact"/>
        <w:ind w:firstLine="707" w:firstLineChars="2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（二）项目财务管理情况。</w:t>
      </w:r>
      <w:r>
        <w:rPr>
          <w:rFonts w:hint="eastAsia" w:ascii="仿宋" w:hAnsi="仿宋" w:eastAsia="仿宋"/>
          <w:snapToGrid w:val="0"/>
          <w:color w:val="auto"/>
          <w:kern w:val="10"/>
          <w:sz w:val="32"/>
          <w:szCs w:val="32"/>
        </w:rPr>
        <w:t>本中心的采购项目在《政府采购目录》以内、达到限额标准以上的项目依法进行政府采购；对适用单位自行采购的项目，按内部控制制度办理，从预算立项到验收付款都要参照政府采购业务管理，依照严格的审批手续进行。按内控要求，明确采购相关部门和岗位的职责、权限，确保采购业务的预算编制与执行、需求制定与审批、招标文件准备与复核、合同签订审核与项目验收、采购活动组织与监督检查等不相容岗位相互分离、制约、监督。</w:t>
      </w:r>
    </w:p>
    <w:p>
      <w:pPr>
        <w:snapToGrid w:val="0"/>
        <w:spacing w:line="520" w:lineRule="exact"/>
        <w:ind w:firstLine="707" w:firstLineChars="2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政府集中采购</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1.采购预算</w:t>
      </w:r>
    </w:p>
    <w:p>
      <w:pPr>
        <w:snapToGrid w:val="0"/>
        <w:spacing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本中心必须按规定程序和要求编制、调整采购预算和实施计划。采购预算的编制和执行不得由一人或同一部门负责。在进行采购预算编制以前要通过市场调查，使编制的预算科学合理。</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2.需求申请</w:t>
      </w:r>
    </w:p>
    <w:p>
      <w:pPr>
        <w:snapToGrid w:val="0"/>
        <w:spacing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应按预算或采购计划提出采购申请，采购申请应明确采购类别、质量等级、规格、数量、相关要求和标准、到货时间等，经单位负责人审核是否合理，若合理则签字并上报上级主管部门审批。</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3.签订委托协议</w:t>
      </w:r>
    </w:p>
    <w:p>
      <w:pPr>
        <w:snapToGrid w:val="0"/>
        <w:spacing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单位按项目与集中采购机构签订委托代理协议，按照平等自愿原则确定委托代理事项，约定双方在编制采购文件、确定评标办法与中标标准、评标、定标等方面的权利与义务。</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4.制定操作方案，组织采购</w:t>
      </w:r>
    </w:p>
    <w:p>
      <w:pPr>
        <w:snapToGrid w:val="0"/>
        <w:spacing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单位与集中采购机构协商制定操作方案，根据操作方案由集中采购机构依照法定程序进行采购。单位应当自中标、成交通知书发出30日内，与中标成交供应商签订采购合同。采购合同应一式四份，并由合同审核人员对合同及相关材料的真实性、合法性、完整性进行审核，合同审核人必须是具备相应法律知识的人员。</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5.采购的验收</w:t>
      </w:r>
    </w:p>
    <w:p>
      <w:pPr>
        <w:snapToGrid w:val="0"/>
        <w:spacing w:line="520" w:lineRule="exact"/>
        <w:ind w:firstLine="704" w:firstLineChars="220"/>
        <w:rPr>
          <w:rFonts w:hint="eastAsia" w:ascii="仿宋" w:hAnsi="仿宋" w:eastAsia="仿宋"/>
          <w:color w:val="auto"/>
          <w:sz w:val="32"/>
          <w:szCs w:val="32"/>
        </w:rPr>
      </w:pPr>
      <w:r>
        <w:rPr>
          <w:rFonts w:hint="eastAsia" w:ascii="仿宋" w:hAnsi="仿宋" w:eastAsia="仿宋"/>
          <w:snapToGrid w:val="0"/>
          <w:color w:val="auto"/>
          <w:kern w:val="10"/>
          <w:sz w:val="32"/>
          <w:szCs w:val="32"/>
        </w:rPr>
        <w:t>采购验收应由使用人、财务人员、邀请的专家或专业技术人员、后勤管理人员等相关部门，在现场对照采购合同，对品种、规格、数量、质量、到货时间等相关内容进行验收，合格则出具验收证明。在验收过程中发现异常情况，应当及时报告，查明原因，并进行妥善处理。验收合格后按程序移交保管员或使用部门接收。采购合同的签订人、审核人不得参与验收工作。</w:t>
      </w:r>
    </w:p>
    <w:p>
      <w:pPr>
        <w:snapToGrid w:val="0"/>
        <w:spacing w:line="520" w:lineRule="exact"/>
        <w:ind w:firstLine="707" w:firstLineChars="220"/>
        <w:rPr>
          <w:rFonts w:hint="eastAsia" w:ascii="仿宋" w:hAnsi="仿宋" w:eastAsia="仿宋"/>
          <w:color w:val="auto"/>
          <w:sz w:val="32"/>
          <w:szCs w:val="32"/>
        </w:rPr>
      </w:pPr>
      <w:r>
        <w:rPr>
          <w:rFonts w:hint="eastAsia" w:ascii="仿宋" w:hAnsi="仿宋" w:eastAsia="仿宋"/>
          <w:b/>
          <w:snapToGrid w:val="0"/>
          <w:color w:val="auto"/>
          <w:kern w:val="10"/>
          <w:sz w:val="32"/>
          <w:szCs w:val="32"/>
        </w:rPr>
        <w:t>6.付款</w:t>
      </w:r>
    </w:p>
    <w:p>
      <w:pPr>
        <w:snapToGrid w:val="0"/>
        <w:spacing w:line="520" w:lineRule="exact"/>
        <w:ind w:firstLine="704" w:firstLineChars="220"/>
        <w:rPr>
          <w:rFonts w:hint="eastAsia" w:ascii="楷体_GB2312" w:hAnsi="宋体" w:eastAsia="楷体_GB2312"/>
          <w:sz w:val="32"/>
          <w:szCs w:val="32"/>
          <w:lang w:val="zh-CN"/>
        </w:rPr>
      </w:pPr>
      <w:r>
        <w:rPr>
          <w:rFonts w:hint="eastAsia" w:ascii="仿宋" w:hAnsi="仿宋" w:eastAsia="仿宋"/>
          <w:snapToGrid w:val="0"/>
          <w:color w:val="auto"/>
          <w:kern w:val="10"/>
          <w:sz w:val="32"/>
          <w:szCs w:val="32"/>
        </w:rPr>
        <w:t>本中心</w:t>
      </w:r>
      <w:r>
        <w:rPr>
          <w:rFonts w:hint="eastAsia" w:ascii="仿宋" w:hAnsi="仿宋" w:eastAsia="仿宋"/>
          <w:color w:val="auto"/>
          <w:sz w:val="32"/>
          <w:szCs w:val="32"/>
        </w:rPr>
        <w:t>计财股</w:t>
      </w:r>
      <w:r>
        <w:rPr>
          <w:rFonts w:hint="eastAsia" w:ascii="仿宋" w:hAnsi="仿宋" w:eastAsia="仿宋"/>
          <w:snapToGrid w:val="0"/>
          <w:color w:val="auto"/>
          <w:kern w:val="10"/>
          <w:sz w:val="32"/>
          <w:szCs w:val="32"/>
        </w:rPr>
        <w:t>应对采购项目的预算、合同、审批程序、发票、验收入库单等进行审核，审核无误后，送负责人审批。按合同约定及财经制度办理结算付款。</w:t>
      </w:r>
    </w:p>
    <w:p>
      <w:pPr>
        <w:pStyle w:val="35"/>
        <w:tabs>
          <w:tab w:val="left" w:pos="1871"/>
        </w:tabs>
        <w:spacing w:beforeLines="0" w:afterLines="0" w:line="578" w:lineRule="atLeast"/>
        <w:ind w:left="0" w:firstLine="640" w:firstLineChars="200"/>
        <w:jc w:val="both"/>
        <w:rPr>
          <w:rFonts w:hint="eastAsia"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三、项目资金使用情况</w:t>
      </w:r>
    </w:p>
    <w:p>
      <w:pPr>
        <w:pStyle w:val="31"/>
        <w:spacing w:beforeLines="0" w:afterLines="0"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（一）项目资金实际拨付情况</w:t>
      </w:r>
    </w:p>
    <w:p>
      <w:pPr>
        <w:pStyle w:val="31"/>
        <w:spacing w:beforeLines="0" w:afterLines="0"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截止2021年底，专用设备购置（绘图仪）项目实拨资金25.85万元，完成全年预算的100%。</w:t>
      </w:r>
    </w:p>
    <w:p>
      <w:pPr>
        <w:pStyle w:val="31"/>
        <w:numPr>
          <w:ilvl w:val="0"/>
          <w:numId w:val="8"/>
        </w:numPr>
        <w:spacing w:beforeLines="0" w:afterLines="0"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项目完成进度或合同拨付等应拨付情况</w:t>
      </w:r>
    </w:p>
    <w:p>
      <w:pPr>
        <w:pStyle w:val="31"/>
        <w:numPr>
          <w:ilvl w:val="0"/>
          <w:numId w:val="0"/>
        </w:numPr>
        <w:spacing w:beforeLines="0" w:afterLines="0" w:line="578" w:lineRule="atLeast"/>
        <w:ind w:leftChars="200" w:firstLine="32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专用设备购置（绘图仪）项目已完成当年目标任务的100%，完成全部目标任务的100%。</w:t>
      </w:r>
    </w:p>
    <w:p>
      <w:pPr>
        <w:pStyle w:val="31"/>
        <w:numPr>
          <w:ilvl w:val="0"/>
          <w:numId w:val="8"/>
        </w:numPr>
        <w:spacing w:beforeLines="0" w:afterLines="0"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差异分析</w:t>
      </w:r>
    </w:p>
    <w:p>
      <w:pPr>
        <w:pStyle w:val="31"/>
        <w:numPr>
          <w:ilvl w:val="0"/>
          <w:numId w:val="0"/>
        </w:numPr>
        <w:spacing w:beforeLines="0" w:afterLines="0"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无差异。</w:t>
      </w:r>
    </w:p>
    <w:p>
      <w:pPr>
        <w:pStyle w:val="35"/>
        <w:tabs>
          <w:tab w:val="left" w:pos="1871"/>
        </w:tabs>
        <w:spacing w:beforeLines="0" w:afterLines="0" w:line="578" w:lineRule="atLeast"/>
        <w:ind w:left="0" w:firstLine="640" w:firstLineChars="200"/>
        <w:jc w:val="both"/>
        <w:rPr>
          <w:rFonts w:hint="default" w:ascii="Times New Roman" w:hAnsi="Times New Roman" w:eastAsia="黑体" w:cs="Times New Roman"/>
          <w:b w:val="0"/>
          <w:sz w:val="32"/>
          <w:szCs w:val="32"/>
        </w:rPr>
      </w:pPr>
      <w:r>
        <w:rPr>
          <w:rFonts w:hint="eastAsia" w:ascii="Times New Roman" w:hAnsi="Times New Roman" w:eastAsia="黑体" w:cs="Times New Roman"/>
          <w:b w:val="0"/>
          <w:sz w:val="32"/>
          <w:szCs w:val="32"/>
          <w:lang w:val="en-US" w:eastAsia="zh-CN"/>
        </w:rPr>
        <w:t xml:space="preserve">四、项目绩效情况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（一）项目产出目标、效果目标的实现情况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绘图仪正常运行，能够满足工作需要。</w:t>
      </w:r>
    </w:p>
    <w:p>
      <w:pPr>
        <w:pStyle w:val="31"/>
        <w:numPr>
          <w:ilvl w:val="0"/>
          <w:numId w:val="9"/>
        </w:numPr>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项目绩效情况分析</w:t>
      </w:r>
    </w:p>
    <w:p>
      <w:pPr>
        <w:pStyle w:val="31"/>
        <w:numPr>
          <w:ilvl w:val="0"/>
          <w:numId w:val="0"/>
        </w:numPr>
        <w:spacing w:beforeLines="0" w:afterLines="0" w:line="578" w:lineRule="atLeast"/>
        <w:ind w:firstLine="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购买绘图仪大大提升工作效率，为单位创造了技术性支持。</w:t>
      </w:r>
    </w:p>
    <w:p>
      <w:pPr>
        <w:pStyle w:val="31"/>
        <w:numPr>
          <w:ilvl w:val="0"/>
          <w:numId w:val="9"/>
        </w:numPr>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项目实际绩效与目标的差异情况，以及对差异原因的详细说明 </w:t>
      </w:r>
    </w:p>
    <w:p>
      <w:pPr>
        <w:pStyle w:val="31"/>
        <w:numPr>
          <w:ilvl w:val="0"/>
          <w:numId w:val="0"/>
        </w:numPr>
        <w:spacing w:beforeLines="0" w:afterLines="0"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无差异。</w:t>
      </w:r>
    </w:p>
    <w:p>
      <w:pPr>
        <w:pStyle w:val="35"/>
        <w:tabs>
          <w:tab w:val="left" w:pos="1871"/>
        </w:tabs>
        <w:spacing w:beforeLines="0" w:afterLines="0" w:line="578" w:lineRule="atLeast"/>
        <w:ind w:left="0" w:firstLine="640" w:firstLineChars="200"/>
        <w:jc w:val="both"/>
        <w:rPr>
          <w:rFonts w:hint="default"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 xml:space="preserve">五、问题、纠偏措施和建议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（一）主要问题 </w:t>
      </w:r>
    </w:p>
    <w:p>
      <w:pPr>
        <w:pStyle w:val="31"/>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绘图仪市场缺乏了解。</w:t>
      </w:r>
    </w:p>
    <w:p>
      <w:pPr>
        <w:pStyle w:val="31"/>
        <w:numPr>
          <w:ilvl w:val="0"/>
          <w:numId w:val="10"/>
        </w:numPr>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改进措施 </w:t>
      </w:r>
    </w:p>
    <w:p>
      <w:pPr>
        <w:pStyle w:val="31"/>
        <w:numPr>
          <w:ilvl w:val="0"/>
          <w:numId w:val="0"/>
        </w:numPr>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学习了解绘图仪行业情况。</w:t>
      </w:r>
    </w:p>
    <w:p>
      <w:pPr>
        <w:pStyle w:val="31"/>
        <w:numPr>
          <w:ilvl w:val="0"/>
          <w:numId w:val="10"/>
        </w:numPr>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纠偏情况 </w:t>
      </w:r>
    </w:p>
    <w:p>
      <w:pPr>
        <w:pStyle w:val="31"/>
        <w:numPr>
          <w:ilvl w:val="0"/>
          <w:numId w:val="0"/>
        </w:numPr>
        <w:spacing w:beforeLines="0" w:afterLines="0"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31"/>
        <w:numPr>
          <w:ilvl w:val="0"/>
          <w:numId w:val="10"/>
        </w:numPr>
        <w:spacing w:beforeLines="0" w:afterLines="0" w:line="578" w:lineRule="atLeas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有关建议 </w:t>
      </w:r>
    </w:p>
    <w:p>
      <w:pPr>
        <w:pStyle w:val="31"/>
        <w:numPr>
          <w:ilvl w:val="0"/>
          <w:numId w:val="0"/>
        </w:numPr>
        <w:spacing w:beforeLines="0" w:afterLines="0" w:line="578" w:lineRule="atLeast"/>
        <w:ind w:leftChars="200" w:firstLine="320" w:firstLineChars="1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了解绘图仪规格差异，合理安排资金。</w:t>
      </w:r>
    </w:p>
    <w:p>
      <w:pPr>
        <w:pStyle w:val="35"/>
        <w:tabs>
          <w:tab w:val="left" w:pos="1871"/>
        </w:tabs>
        <w:spacing w:beforeLines="0" w:afterLines="0" w:line="578" w:lineRule="atLeast"/>
        <w:ind w:left="0" w:firstLine="640" w:firstLineChars="200"/>
        <w:jc w:val="both"/>
        <w:rPr>
          <w:rFonts w:hint="eastAsia"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 xml:space="preserve">六、其他需要说明的问题 </w:t>
      </w:r>
    </w:p>
    <w:p>
      <w:pPr>
        <w:pStyle w:val="31"/>
        <w:spacing w:beforeLines="0" w:afterLines="0" w:line="578"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财政年初在安排项目资金时，应考虑项目实施进度和招标合同等情况，尽量足额安排。</w:t>
      </w:r>
    </w:p>
    <w:p>
      <w:pPr>
        <w:widowControl/>
        <w:adjustRightInd w:val="0"/>
        <w:snapToGrid w:val="0"/>
        <w:spacing w:beforeLines="0" w:afterLines="0" w:line="360" w:lineRule="auto"/>
        <w:jc w:val="left"/>
        <w:rPr>
          <w:rFonts w:hint="eastAsia" w:ascii="仿宋_GB2312" w:hAnsi="宋体" w:cs="宋体"/>
          <w:color w:val="000000"/>
          <w:kern w:val="0"/>
          <w:sz w:val="32"/>
          <w:szCs w:val="32"/>
          <w:shd w:val="clear" w:color="auto" w:fill="FFFFFF"/>
        </w:rPr>
      </w:pPr>
    </w:p>
    <w:p>
      <w:pPr>
        <w:widowControl/>
        <w:adjustRightInd w:val="0"/>
        <w:snapToGrid w:val="0"/>
        <w:spacing w:beforeLines="0" w:afterLines="0" w:line="360" w:lineRule="auto"/>
        <w:jc w:val="left"/>
        <w:rPr>
          <w:rFonts w:hint="eastAsia" w:ascii="仿宋_GB2312" w:hAnsi="宋体" w:cs="宋体"/>
          <w:color w:val="000000"/>
          <w:kern w:val="0"/>
          <w:sz w:val="32"/>
          <w:szCs w:val="32"/>
          <w:shd w:val="clear" w:color="auto" w:fill="FFFFFF"/>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Style w:val="26"/>
          <w:rFonts w:hint="eastAsia" w:ascii="仿宋" w:hAnsi="仿宋" w:eastAsia="仿宋"/>
          <w:b w:val="0"/>
          <w:bCs w:val="0"/>
          <w:lang w:eastAsia="zh-CN"/>
        </w:rPr>
      </w:pPr>
      <w:bookmarkStart w:id="72" w:name="_Toc15396631"/>
      <w:r>
        <w:rPr>
          <w:rStyle w:val="26"/>
          <w:rFonts w:hint="eastAsia" w:ascii="仿宋" w:hAnsi="仿宋" w:eastAsia="仿宋"/>
          <w:b w:val="0"/>
          <w:bCs w:val="0"/>
          <w:lang w:eastAsia="zh-CN"/>
        </w:rPr>
        <w:t>十三、</w:t>
      </w:r>
      <w:r>
        <w:rPr>
          <w:rFonts w:hint="eastAsia" w:ascii="仿宋" w:hAnsi="仿宋" w:eastAsia="仿宋"/>
          <w:b w:val="0"/>
          <w:color w:val="000000"/>
        </w:rPr>
        <w:t>国</w:t>
      </w:r>
      <w:r>
        <w:rPr>
          <w:rStyle w:val="26"/>
          <w:rFonts w:hint="eastAsia" w:ascii="仿宋" w:hAnsi="仿宋" w:eastAsia="仿宋"/>
          <w:b w:val="0"/>
          <w:bCs w:val="0"/>
        </w:rPr>
        <w:t>有资本经营预算</w:t>
      </w:r>
      <w:r>
        <w:rPr>
          <w:rStyle w:val="26"/>
          <w:rFonts w:hint="eastAsia" w:ascii="仿宋" w:hAnsi="仿宋" w:eastAsia="仿宋"/>
          <w:b w:val="0"/>
          <w:bCs w:val="0"/>
          <w:lang w:eastAsia="zh-CN"/>
        </w:rPr>
        <w:t>财政拨款收入</w:t>
      </w:r>
      <w:r>
        <w:rPr>
          <w:rStyle w:val="26"/>
          <w:rFonts w:hint="eastAsia" w:ascii="仿宋" w:hAnsi="仿宋" w:eastAsia="仿宋"/>
          <w:b w:val="0"/>
          <w:bCs w:val="0"/>
        </w:rPr>
        <w:t>支出决算表</w:t>
      </w:r>
    </w:p>
    <w:p>
      <w:pPr>
        <w:pStyle w:val="3"/>
        <w:rPr>
          <w:rFonts w:ascii="仿宋" w:hAnsi="仿宋" w:eastAsia="仿宋"/>
          <w:color w:val="000000" w:themeColor="text1"/>
          <w14:textFill>
            <w14:solidFill>
              <w14:schemeClr w14:val="tx1"/>
            </w14:solidFill>
          </w14:textFill>
        </w:rPr>
      </w:pPr>
      <w:r>
        <w:rPr>
          <w:rStyle w:val="26"/>
          <w:rFonts w:hint="eastAsia" w:ascii="仿宋" w:hAnsi="仿宋" w:eastAsia="仿宋"/>
          <w:b w:val="0"/>
          <w:bCs w:val="0"/>
        </w:rPr>
        <w:t>十</w:t>
      </w:r>
      <w:r>
        <w:rPr>
          <w:rStyle w:val="26"/>
          <w:rFonts w:hint="eastAsia" w:ascii="仿宋" w:hAnsi="仿宋" w:eastAsia="仿宋"/>
          <w:b w:val="0"/>
          <w:bCs w:val="0"/>
          <w:lang w:eastAsia="zh-CN"/>
        </w:rPr>
        <w:t>四</w:t>
      </w:r>
      <w:r>
        <w:rPr>
          <w:rStyle w:val="26"/>
          <w:rFonts w:hint="eastAsia" w:ascii="仿宋" w:hAnsi="仿宋" w:eastAsia="仿宋"/>
          <w:b w:val="0"/>
          <w:bCs w:val="0"/>
        </w:rPr>
        <w:t>、</w:t>
      </w:r>
      <w:r>
        <w:rPr>
          <w:rFonts w:hint="eastAsia" w:ascii="仿宋" w:hAnsi="仿宋" w:eastAsia="仿宋"/>
          <w:b w:val="0"/>
          <w:color w:val="000000"/>
        </w:rPr>
        <w:t>国</w:t>
      </w:r>
      <w:r>
        <w:rPr>
          <w:rStyle w:val="26"/>
          <w:rFonts w:hint="eastAsia" w:ascii="仿宋" w:hAnsi="仿宋" w:eastAsia="仿宋"/>
          <w:b w:val="0"/>
          <w:bCs w:val="0"/>
        </w:rPr>
        <w:t>有资本经营预算</w:t>
      </w:r>
      <w:r>
        <w:rPr>
          <w:rStyle w:val="26"/>
          <w:rFonts w:hint="eastAsia" w:ascii="仿宋" w:hAnsi="仿宋" w:eastAsia="仿宋"/>
          <w:b w:val="0"/>
          <w:bCs w:val="0"/>
          <w:lang w:eastAsia="zh-CN"/>
        </w:rPr>
        <w:t>财政拨款</w:t>
      </w:r>
      <w:r>
        <w:rPr>
          <w:rStyle w:val="26"/>
          <w:rFonts w:hint="eastAsia" w:ascii="仿宋" w:hAnsi="仿宋" w:eastAsia="仿宋"/>
          <w:b w:val="0"/>
          <w:bCs w:val="0"/>
        </w:rPr>
        <w:t>支出决算表</w:t>
      </w:r>
      <w:bookmarkEnd w:id="72"/>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FFC7"/>
    <w:multiLevelType w:val="multilevel"/>
    <w:tmpl w:val="85D9FFC7"/>
    <w:lvl w:ilvl="0" w:tentative="0">
      <w:start w:val="2"/>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78AF93A"/>
    <w:multiLevelType w:val="multilevel"/>
    <w:tmpl w:val="A78AF93A"/>
    <w:lvl w:ilvl="0" w:tentative="0">
      <w:start w:val="3"/>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CAEF6621"/>
    <w:multiLevelType w:val="multilevel"/>
    <w:tmpl w:val="CAEF6621"/>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0887305B"/>
    <w:multiLevelType w:val="singleLevel"/>
    <w:tmpl w:val="0887305B"/>
    <w:lvl w:ilvl="0" w:tentative="0">
      <w:start w:val="3"/>
      <w:numFmt w:val="decimal"/>
      <w:lvlText w:val="%1."/>
      <w:lvlJc w:val="left"/>
      <w:pPr>
        <w:tabs>
          <w:tab w:val="left" w:pos="312"/>
        </w:tabs>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286637F"/>
    <w:multiLevelType w:val="multilevel"/>
    <w:tmpl w:val="3286637F"/>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E49FE2E"/>
    <w:multiLevelType w:val="multilevel"/>
    <w:tmpl w:val="5E49FE2E"/>
    <w:lvl w:ilvl="0" w:tentative="0">
      <w:start w:val="3"/>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679640EB"/>
    <w:multiLevelType w:val="multilevel"/>
    <w:tmpl w:val="679640EB"/>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6"/>
  </w:num>
  <w:num w:numId="2">
    <w:abstractNumId w:val="5"/>
  </w:num>
  <w:num w:numId="3">
    <w:abstractNumId w:val="3"/>
  </w:num>
  <w:num w:numId="4">
    <w:abstractNumId w:val="4"/>
  </w:num>
  <w:num w:numId="5">
    <w:abstractNumId w:val="1"/>
  </w:num>
  <w:num w:numId="6">
    <w:abstractNumId w:val="8"/>
  </w:num>
  <w:num w:numId="7">
    <w:abstractNumId w:val="0"/>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jVmYTgwMjgxYWEwOTNhMTY0NDE1MmExNDE0Nz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2F07"/>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27680"/>
    <w:rsid w:val="02371589"/>
    <w:rsid w:val="02767722"/>
    <w:rsid w:val="03B91C8D"/>
    <w:rsid w:val="03DA0F9F"/>
    <w:rsid w:val="03ED6B7D"/>
    <w:rsid w:val="04486D7F"/>
    <w:rsid w:val="04E13DEA"/>
    <w:rsid w:val="04EB0BDD"/>
    <w:rsid w:val="04EE57FB"/>
    <w:rsid w:val="052926C0"/>
    <w:rsid w:val="08FB3937"/>
    <w:rsid w:val="090268D1"/>
    <w:rsid w:val="090D5997"/>
    <w:rsid w:val="095909B8"/>
    <w:rsid w:val="0A784E2D"/>
    <w:rsid w:val="0BE802F7"/>
    <w:rsid w:val="0C2A5C64"/>
    <w:rsid w:val="0C725439"/>
    <w:rsid w:val="0D004F9F"/>
    <w:rsid w:val="0DC51429"/>
    <w:rsid w:val="0E1102DF"/>
    <w:rsid w:val="0E796039"/>
    <w:rsid w:val="0E9D6241"/>
    <w:rsid w:val="0F4B3D8A"/>
    <w:rsid w:val="10C055FF"/>
    <w:rsid w:val="11FA7E7E"/>
    <w:rsid w:val="12A63EA9"/>
    <w:rsid w:val="12CD675B"/>
    <w:rsid w:val="132A2A06"/>
    <w:rsid w:val="143E625F"/>
    <w:rsid w:val="15463A79"/>
    <w:rsid w:val="15980326"/>
    <w:rsid w:val="15E55408"/>
    <w:rsid w:val="16BB723D"/>
    <w:rsid w:val="17D36355"/>
    <w:rsid w:val="19025A88"/>
    <w:rsid w:val="1A35798F"/>
    <w:rsid w:val="1AAE5F72"/>
    <w:rsid w:val="1AFE6EBE"/>
    <w:rsid w:val="1B6A2A8F"/>
    <w:rsid w:val="1BBB662F"/>
    <w:rsid w:val="1BD2570B"/>
    <w:rsid w:val="1C37392F"/>
    <w:rsid w:val="1CC5264C"/>
    <w:rsid w:val="1CF509D2"/>
    <w:rsid w:val="1D040EE9"/>
    <w:rsid w:val="1D8634EC"/>
    <w:rsid w:val="1E170102"/>
    <w:rsid w:val="1E916577"/>
    <w:rsid w:val="20B03B59"/>
    <w:rsid w:val="212325C1"/>
    <w:rsid w:val="219A0FB3"/>
    <w:rsid w:val="21B61363"/>
    <w:rsid w:val="2268656E"/>
    <w:rsid w:val="2379561F"/>
    <w:rsid w:val="23E205D6"/>
    <w:rsid w:val="240371BF"/>
    <w:rsid w:val="243711C2"/>
    <w:rsid w:val="248C2D2F"/>
    <w:rsid w:val="24A1379D"/>
    <w:rsid w:val="2539451C"/>
    <w:rsid w:val="25620AB5"/>
    <w:rsid w:val="26DB45FF"/>
    <w:rsid w:val="282947FD"/>
    <w:rsid w:val="28B86CEF"/>
    <w:rsid w:val="2929263D"/>
    <w:rsid w:val="29966C92"/>
    <w:rsid w:val="299C71E1"/>
    <w:rsid w:val="29FD04D3"/>
    <w:rsid w:val="2B7F0A41"/>
    <w:rsid w:val="2BD64A14"/>
    <w:rsid w:val="2C034B1A"/>
    <w:rsid w:val="2D432736"/>
    <w:rsid w:val="2E0C53E7"/>
    <w:rsid w:val="315F7585"/>
    <w:rsid w:val="31696E48"/>
    <w:rsid w:val="319F7F4E"/>
    <w:rsid w:val="32182733"/>
    <w:rsid w:val="32941A25"/>
    <w:rsid w:val="35033D20"/>
    <w:rsid w:val="35A013D6"/>
    <w:rsid w:val="36CC4EF6"/>
    <w:rsid w:val="36E42069"/>
    <w:rsid w:val="37920FDD"/>
    <w:rsid w:val="38D60AFD"/>
    <w:rsid w:val="38DC5C78"/>
    <w:rsid w:val="3AFF7219"/>
    <w:rsid w:val="3B50626C"/>
    <w:rsid w:val="3B59517E"/>
    <w:rsid w:val="3B6D2626"/>
    <w:rsid w:val="3BE95E2B"/>
    <w:rsid w:val="3CB91023"/>
    <w:rsid w:val="3D5C0B3F"/>
    <w:rsid w:val="3D863E11"/>
    <w:rsid w:val="3E4A137F"/>
    <w:rsid w:val="406B16C6"/>
    <w:rsid w:val="40ED6B73"/>
    <w:rsid w:val="42657E93"/>
    <w:rsid w:val="42AD0938"/>
    <w:rsid w:val="43C10BC6"/>
    <w:rsid w:val="442B1F02"/>
    <w:rsid w:val="447865E8"/>
    <w:rsid w:val="45672A04"/>
    <w:rsid w:val="45854DD8"/>
    <w:rsid w:val="45CC17B0"/>
    <w:rsid w:val="45DA0FD2"/>
    <w:rsid w:val="46FC090A"/>
    <w:rsid w:val="47096FC3"/>
    <w:rsid w:val="4736458E"/>
    <w:rsid w:val="4750049A"/>
    <w:rsid w:val="49AE555F"/>
    <w:rsid w:val="4AAA0D13"/>
    <w:rsid w:val="4CFF7346"/>
    <w:rsid w:val="4D7A776C"/>
    <w:rsid w:val="4D8A6A0E"/>
    <w:rsid w:val="4DDB679E"/>
    <w:rsid w:val="4E207AA2"/>
    <w:rsid w:val="4E2A087D"/>
    <w:rsid w:val="4ECE2238"/>
    <w:rsid w:val="4F094EA9"/>
    <w:rsid w:val="4F177DAA"/>
    <w:rsid w:val="51AC3BE3"/>
    <w:rsid w:val="520D487B"/>
    <w:rsid w:val="53067F24"/>
    <w:rsid w:val="533E580D"/>
    <w:rsid w:val="53777B6E"/>
    <w:rsid w:val="544A2261"/>
    <w:rsid w:val="55C31C86"/>
    <w:rsid w:val="573A078F"/>
    <w:rsid w:val="573E69A9"/>
    <w:rsid w:val="57733733"/>
    <w:rsid w:val="57827895"/>
    <w:rsid w:val="58280AC1"/>
    <w:rsid w:val="58842F27"/>
    <w:rsid w:val="58EC4F19"/>
    <w:rsid w:val="5A137FA8"/>
    <w:rsid w:val="5A8E7485"/>
    <w:rsid w:val="5BB502D3"/>
    <w:rsid w:val="5BC615FF"/>
    <w:rsid w:val="5C8E6669"/>
    <w:rsid w:val="5CF83799"/>
    <w:rsid w:val="5DA00D2B"/>
    <w:rsid w:val="5DD01514"/>
    <w:rsid w:val="5DFF28DE"/>
    <w:rsid w:val="5E9D6E5F"/>
    <w:rsid w:val="5EC91F9B"/>
    <w:rsid w:val="5ECB71ED"/>
    <w:rsid w:val="5FA10D17"/>
    <w:rsid w:val="5FC3005B"/>
    <w:rsid w:val="608C2094"/>
    <w:rsid w:val="61DA5F11"/>
    <w:rsid w:val="6302152C"/>
    <w:rsid w:val="632C0B66"/>
    <w:rsid w:val="6630760C"/>
    <w:rsid w:val="67642615"/>
    <w:rsid w:val="67651F63"/>
    <w:rsid w:val="67FD36F3"/>
    <w:rsid w:val="68ED3426"/>
    <w:rsid w:val="69076E32"/>
    <w:rsid w:val="691456C2"/>
    <w:rsid w:val="69DC778F"/>
    <w:rsid w:val="69ED2CBB"/>
    <w:rsid w:val="6A4730B1"/>
    <w:rsid w:val="6B532345"/>
    <w:rsid w:val="6B662F74"/>
    <w:rsid w:val="6B8C413A"/>
    <w:rsid w:val="6BB928F9"/>
    <w:rsid w:val="6BD5414B"/>
    <w:rsid w:val="6E2225EE"/>
    <w:rsid w:val="7049750E"/>
    <w:rsid w:val="7166734B"/>
    <w:rsid w:val="72734D90"/>
    <w:rsid w:val="72CA5816"/>
    <w:rsid w:val="737B41C3"/>
    <w:rsid w:val="73AF6A08"/>
    <w:rsid w:val="74486A16"/>
    <w:rsid w:val="7570512C"/>
    <w:rsid w:val="758E01AD"/>
    <w:rsid w:val="75E326DD"/>
    <w:rsid w:val="76140776"/>
    <w:rsid w:val="76223042"/>
    <w:rsid w:val="76FD684C"/>
    <w:rsid w:val="791A3CA8"/>
    <w:rsid w:val="7986750C"/>
    <w:rsid w:val="7CCF58B5"/>
    <w:rsid w:val="7CD6043B"/>
    <w:rsid w:val="7DED08D2"/>
    <w:rsid w:val="7FA671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32">
    <w:name w:val="font31"/>
    <w:basedOn w:val="14"/>
    <w:uiPriority w:val="0"/>
    <w:rPr>
      <w:rFonts w:hint="eastAsia" w:ascii="宋体" w:hAnsi="宋体" w:eastAsia="宋体" w:cs="宋体"/>
      <w:color w:val="000000"/>
      <w:sz w:val="32"/>
      <w:szCs w:val="32"/>
      <w:u w:val="none"/>
    </w:rPr>
  </w:style>
  <w:style w:type="character" w:customStyle="1" w:styleId="33">
    <w:name w:val="font141"/>
    <w:basedOn w:val="14"/>
    <w:uiPriority w:val="0"/>
    <w:rPr>
      <w:rFonts w:hint="eastAsia" w:ascii="宋体" w:hAnsi="宋体" w:eastAsia="宋体" w:cs="宋体"/>
      <w:color w:val="000000"/>
      <w:sz w:val="20"/>
      <w:szCs w:val="20"/>
      <w:u w:val="none"/>
    </w:rPr>
  </w:style>
  <w:style w:type="character" w:customStyle="1" w:styleId="34">
    <w:name w:val="font13"/>
    <w:basedOn w:val="14"/>
    <w:uiPriority w:val="0"/>
    <w:rPr>
      <w:rFonts w:hint="eastAsia" w:ascii="宋体" w:hAnsi="宋体" w:eastAsia="宋体" w:cs="宋体"/>
      <w:color w:val="000000"/>
      <w:sz w:val="20"/>
      <w:szCs w:val="20"/>
      <w:u w:val="none"/>
    </w:rPr>
  </w:style>
  <w:style w:type="paragraph" w:customStyle="1" w:styleId="35">
    <w:name w:val="Heading #3|1"/>
    <w:basedOn w:val="1"/>
    <w:qFormat/>
    <w:uiPriority w:val="0"/>
    <w:pPr>
      <w:spacing w:line="598" w:lineRule="exact"/>
      <w:ind w:left="1220"/>
      <w:outlineLvl w:val="2"/>
    </w:pPr>
    <w:rPr>
      <w:rFonts w:ascii="宋体" w:hAnsi="宋体" w:eastAsia="宋体" w:cs="宋体"/>
      <w:b/>
      <w:bCs/>
      <w:sz w:val="30"/>
      <w:szCs w:val="30"/>
      <w:lang w:val="zh-TW" w:eastAsia="zh-TW" w:bidi="zh-TW"/>
    </w:rPr>
  </w:style>
  <w:style w:type="paragraph" w:customStyle="1" w:styleId="36">
    <w:name w:val="四号正文"/>
    <w:basedOn w:val="1"/>
    <w:unhideWhenUsed/>
    <w:qFormat/>
    <w:uiPriority w:val="0"/>
    <w:pPr>
      <w:spacing w:beforeLines="0" w:afterLines="0" w:line="360" w:lineRule="auto"/>
    </w:pPr>
    <w:rPr>
      <w:rFonts w:hint="default" w:ascii="??" w:hAnsi="??" w:eastAsia="宋体"/>
      <w:color w:val="000000"/>
      <w:kern w:val="0"/>
      <w:sz w:val="28"/>
      <w:szCs w:val="21"/>
      <w:lang w:val="zh-CN"/>
    </w:rPr>
  </w:style>
  <w:style w:type="character" w:customStyle="1" w:styleId="37">
    <w:name w:val="NormalCharacter"/>
    <w:qFormat/>
    <w:uiPriority w:val="0"/>
  </w:style>
  <w:style w:type="paragraph" w:customStyle="1" w:styleId="38">
    <w:name w:val="BodyText"/>
    <w:basedOn w:val="1"/>
    <w:qFormat/>
    <w:uiPriority w:val="0"/>
    <w:pPr>
      <w:widowControl/>
      <w:spacing w:after="120"/>
      <w:textAlignment w:val="baseline"/>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8296422487223"/>
          <c:y val="0.241015496208375"/>
          <c:w val="0.901771720613288"/>
          <c:h val="0.43930102209034"/>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1089.91</c:v>
                </c:pt>
                <c:pt idx="1">
                  <c:v>1089.91</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419.79</c:v>
                </c:pt>
                <c:pt idx="1">
                  <c:v>419.79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总收入</c:v>
                </c:pt>
                <c:pt idx="1">
                  <c:v>总支出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50214127"/>
        <c:axId val="777473562"/>
      </c:barChart>
      <c:catAx>
        <c:axId val="9502141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473562"/>
        <c:crosses val="autoZero"/>
        <c:auto val="1"/>
        <c:lblAlgn val="ctr"/>
        <c:lblOffset val="100"/>
        <c:noMultiLvlLbl val="0"/>
      </c:catAx>
      <c:valAx>
        <c:axId val="7774735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2141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附属单位上缴收入</c:v>
                </c:pt>
                <c:pt idx="5">
                  <c:v>其他收入</c:v>
                </c:pt>
                <c:pt idx="6">
                  <c:v>经营收入</c:v>
                </c:pt>
              </c:strCache>
            </c:strRef>
          </c:cat>
          <c:val>
            <c:numRef>
              <c:f>Sheet1!$B$2:$B$8</c:f>
              <c:numCache>
                <c:formatCode>0%</c:formatCode>
                <c:ptCount val="7"/>
                <c:pt idx="0">
                  <c:v>0.4412</c:v>
                </c:pt>
                <c:pt idx="1" c:formatCode="0.00%">
                  <c:v>0.56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207936485474301"/>
                  <c:y val="0.0004873295397778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0.3276</c:v>
                </c:pt>
                <c:pt idx="1">
                  <c:v>0.6724</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2">
                  <c:v>财政拨款支出</c:v>
                </c:pt>
              </c:strCache>
            </c:strRef>
          </c:cat>
          <c:val>
            <c:numRef>
              <c:f>Sheet1!$B$2:$B$5</c:f>
              <c:numCache>
                <c:formatCode>General</c:formatCode>
                <c:ptCount val="4"/>
                <c:pt idx="0">
                  <c:v>1089.91</c:v>
                </c:pt>
                <c:pt idx="2">
                  <c:v>1089.91</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2">
                  <c:v>财政拨款支出</c:v>
                </c:pt>
              </c:strCache>
            </c:strRef>
          </c:cat>
          <c:val>
            <c:numRef>
              <c:f>Sheet1!$C$2:$C$5</c:f>
              <c:numCache>
                <c:formatCode>General</c:formatCode>
                <c:ptCount val="4"/>
                <c:pt idx="0">
                  <c:v>419.79</c:v>
                </c:pt>
                <c:pt idx="2">
                  <c:v>419.79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财政拨款收入</c:v>
                </c:pt>
                <c:pt idx="2">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90774580"/>
        <c:axId val="835871947"/>
      </c:barChart>
      <c:catAx>
        <c:axId val="4907745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871947"/>
        <c:crosses val="autoZero"/>
        <c:auto val="1"/>
        <c:lblAlgn val="ctr"/>
        <c:lblOffset val="100"/>
        <c:noMultiLvlLbl val="0"/>
      </c:catAx>
      <c:valAx>
        <c:axId val="8358719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774580"/>
        <c:crosses val="autoZero"/>
        <c:crossBetween val="between"/>
      </c:valAx>
      <c:spPr>
        <a:noFill/>
        <a:ln>
          <a:noFill/>
        </a:ln>
        <a:effectLst/>
      </c:spPr>
    </c:plotArea>
    <c:legend>
      <c:legendPos val="b"/>
      <c:legendEntry>
        <c:idx val="2"/>
        <c:delete val="1"/>
      </c:legendEntry>
      <c:layout>
        <c:manualLayout>
          <c:xMode val="edge"/>
          <c:yMode val="edge"/>
          <c:x val="0.3560625"/>
          <c:y val="0.92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480.91</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419.79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70229519"/>
        <c:axId val="635122459"/>
      </c:barChart>
      <c:catAx>
        <c:axId val="770229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122459"/>
        <c:crosses val="autoZero"/>
        <c:auto val="1"/>
        <c:lblAlgn val="ctr"/>
        <c:lblOffset val="100"/>
        <c:noMultiLvlLbl val="0"/>
      </c:catAx>
      <c:valAx>
        <c:axId val="6351224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22951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2"/>
              <c:layout>
                <c:manualLayout>
                  <c:x val="-0.035860711903405"/>
                  <c:y val="-0.4183652811058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37937776985174"/>
                  <c:y val="-0.005927479388503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教育支出</c:v>
                </c:pt>
                <c:pt idx="2">
                  <c:v>城乡社区支出</c:v>
                </c:pt>
                <c:pt idx="3">
                  <c:v>文化旅游体育与传媒</c:v>
                </c:pt>
                <c:pt idx="4">
                  <c:v>社会保障和就业</c:v>
                </c:pt>
                <c:pt idx="5">
                  <c:v>卫生健康支出</c:v>
                </c:pt>
                <c:pt idx="6">
                  <c:v>住房保障支出</c:v>
                </c:pt>
              </c:strCache>
            </c:strRef>
          </c:cat>
          <c:val>
            <c:numRef>
              <c:f>Sheet1!$B$2:$B$8</c:f>
              <c:numCache>
                <c:formatCode>General</c:formatCode>
                <c:ptCount val="7"/>
                <c:pt idx="2" c:formatCode="0.00%">
                  <c:v>0.8558</c:v>
                </c:pt>
                <c:pt idx="4" c:formatCode="0.00%">
                  <c:v>0.0701</c:v>
                </c:pt>
                <c:pt idx="5" c:formatCode="0.00%">
                  <c:v>0.028</c:v>
                </c:pt>
                <c:pt idx="6" c:formatCode="0.00%">
                  <c:v>0.0461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formatCode="0.00%">
                  <c:v>0.9393</c:v>
                </c:pt>
                <c:pt idx="2" c:formatCode="0.00%">
                  <c:v>0.0607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15937</Words>
  <Characters>17916</Characters>
  <Lines>7</Lines>
  <Paragraphs>17</Paragraphs>
  <TotalTime>1</TotalTime>
  <ScaleCrop>false</ScaleCrop>
  <LinksUpToDate>false</LinksUpToDate>
  <CharactersWithSpaces>18064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kjkk</cp:lastModifiedBy>
  <cp:lastPrinted>2021-10-09T06:20:00Z</cp:lastPrinted>
  <dcterms:modified xsi:type="dcterms:W3CDTF">2022-08-29T02:06:07Z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FCAACCDBD56E41658DB3C14550A97206</vt:lpwstr>
  </property>
</Properties>
</file>