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auto"/>
          <w:sz w:val="21"/>
          <w:szCs w:val="21"/>
          <w:highlight w:val="none"/>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96475"/>
      <w:bookmarkStart w:id="2" w:name="_Toc15377193"/>
      <w:bookmarkStart w:id="3" w:name="_Toc15378441"/>
      <w:bookmarkStart w:id="4" w:name="_Toc15377425"/>
      <w:bookmarkStart w:id="5" w:name="_Toc15396597"/>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lang w:eastAsia="zh-CN"/>
        </w:rPr>
      </w:pPr>
      <w:bookmarkStart w:id="6" w:name="_Toc15377426"/>
      <w:bookmarkStart w:id="7" w:name="_Toc15396598"/>
      <w:bookmarkStart w:id="8" w:name="_Toc15378442"/>
      <w:bookmarkStart w:id="9" w:name="_Toc15377194"/>
      <w:bookmarkStart w:id="10" w:name="_Toc15396476"/>
      <w:r>
        <w:rPr>
          <w:rFonts w:hint="eastAsia" w:ascii="方正小标宋简体" w:hAnsi="方正小标宋简体" w:eastAsia="方正小标宋简体" w:cs="方正小标宋简体"/>
          <w:color w:val="auto"/>
          <w:sz w:val="72"/>
          <w:szCs w:val="72"/>
          <w:highlight w:val="none"/>
          <w:lang w:eastAsia="zh-CN"/>
        </w:rPr>
        <w:t>大竹县</w:t>
      </w:r>
      <w:bookmarkEnd w:id="0"/>
      <w:bookmarkStart w:id="11" w:name="_Toc15306268"/>
      <w:r>
        <w:rPr>
          <w:rFonts w:hint="eastAsia" w:ascii="方正小标宋简体" w:hAnsi="方正小标宋简体" w:eastAsia="方正小标宋简体" w:cs="方正小标宋简体"/>
          <w:color w:val="auto"/>
          <w:sz w:val="72"/>
          <w:szCs w:val="72"/>
          <w:highlight w:val="none"/>
          <w:lang w:eastAsia="zh-CN"/>
        </w:rPr>
        <w:t>综合行政执法局</w:t>
      </w: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0"/>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10</w:t>
      </w:r>
      <w:r>
        <w:rPr>
          <w:rFonts w:hint="eastAsia"/>
          <w:color w:val="auto"/>
          <w:highlight w:val="none"/>
        </w:rPr>
        <w:t>月</w:t>
      </w:r>
      <w:r>
        <w:rPr>
          <w:rFonts w:hint="eastAsia"/>
          <w:color w:val="auto"/>
          <w:highlight w:val="none"/>
          <w:lang w:val="en-US" w:eastAsia="zh-CN"/>
        </w:rPr>
        <w:t xml:space="preserve">10 </w:t>
      </w:r>
      <w:r>
        <w:rPr>
          <w:rFonts w:hint="eastAsia"/>
          <w:color w:val="auto"/>
          <w:highlight w:val="none"/>
        </w:rPr>
        <w:t>日</w:t>
      </w:r>
    </w:p>
    <w:p>
      <w:pPr>
        <w:rPr>
          <w:color w:val="auto"/>
          <w:highlight w:val="none"/>
        </w:rPr>
      </w:pPr>
    </w:p>
    <w:p>
      <w:pPr>
        <w:pStyle w:val="10"/>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第一部分</w:t>
      </w:r>
      <w:r>
        <w:rPr>
          <w:color w:val="auto"/>
          <w:sz w:val="24"/>
          <w:highlight w:val="none"/>
        </w:rPr>
        <w:t xml:space="preserve"> </w:t>
      </w:r>
      <w:r>
        <w:rPr>
          <w:rFonts w:hint="eastAsia"/>
          <w:color w:val="auto"/>
          <w:sz w:val="24"/>
          <w:highlight w:val="none"/>
          <w:lang w:eastAsia="zh-CN"/>
        </w:rPr>
        <w:t>单位</w:t>
      </w:r>
      <w:r>
        <w:rPr>
          <w:rFonts w:hint="eastAsia"/>
          <w:color w:val="auto"/>
          <w:sz w:val="24"/>
          <w:highlight w:val="none"/>
        </w:rPr>
        <w:t>概况</w:t>
      </w:r>
      <w:r>
        <w:rPr>
          <w:rFonts w:hint="eastAsia"/>
          <w:color w:val="auto"/>
          <w:sz w:val="24"/>
          <w:highlight w:val="none"/>
          <w:lang w:val="en-US" w:eastAsia="zh-CN"/>
        </w:rPr>
        <w:t>...........................................4</w:t>
      </w:r>
    </w:p>
    <w:p>
      <w:pPr>
        <w:pStyle w:val="12"/>
        <w:adjustRightInd w:val="0"/>
        <w:snapToGrid w:val="0"/>
        <w:spacing w:line="440" w:lineRule="exact"/>
        <w:jc w:val="left"/>
        <w:rPr>
          <w:rFonts w:hint="default"/>
          <w:lang w:val="en-US" w:eastAsia="zh-CN"/>
        </w:rPr>
      </w:pPr>
      <w:r>
        <w:rPr>
          <w:rFonts w:hint="eastAsia"/>
          <w:color w:val="auto"/>
          <w:sz w:val="24"/>
          <w:highlight w:val="none"/>
        </w:rPr>
        <w:t>一、</w:t>
      </w:r>
      <w:r>
        <w:rPr>
          <w:rFonts w:hint="eastAsia"/>
          <w:color w:val="auto"/>
          <w:sz w:val="24"/>
          <w:highlight w:val="none"/>
          <w:lang w:eastAsia="zh-CN"/>
        </w:rPr>
        <w:t>主要职责</w:t>
      </w:r>
      <w:r>
        <w:rPr>
          <w:rFonts w:hint="eastAsia"/>
          <w:color w:val="auto"/>
          <w:sz w:val="24"/>
          <w:highlight w:val="none"/>
          <w:lang w:val="en-US" w:eastAsia="zh-CN"/>
        </w:rPr>
        <w:t>.........................................................................................4</w:t>
      </w:r>
    </w:p>
    <w:p>
      <w:pPr>
        <w:pStyle w:val="12"/>
        <w:numPr>
          <w:ilvl w:val="0"/>
          <w:numId w:val="1"/>
        </w:numPr>
        <w:adjustRightInd w:val="0"/>
        <w:snapToGrid w:val="0"/>
        <w:spacing w:line="440" w:lineRule="exact"/>
        <w:jc w:val="left"/>
        <w:rPr>
          <w:rFonts w:hint="eastAsia"/>
          <w:color w:val="auto"/>
          <w:sz w:val="24"/>
          <w:highlight w:val="none"/>
          <w:lang w:eastAsia="zh-CN"/>
        </w:rPr>
      </w:pPr>
      <w:r>
        <w:rPr>
          <w:rFonts w:hint="eastAsia"/>
          <w:color w:val="auto"/>
          <w:sz w:val="24"/>
          <w:highlight w:val="none"/>
          <w:lang w:eastAsia="zh-CN"/>
        </w:rPr>
        <w:t>机构设置</w:t>
      </w:r>
      <w:r>
        <w:rPr>
          <w:rFonts w:hint="eastAsia"/>
          <w:color w:val="auto"/>
          <w:sz w:val="24"/>
          <w:highlight w:val="none"/>
          <w:lang w:val="en-US" w:eastAsia="zh-CN"/>
        </w:rPr>
        <w:t>..........................................................................................4</w:t>
      </w:r>
    </w:p>
    <w:p>
      <w:pPr>
        <w:pStyle w:val="10"/>
        <w:adjustRightInd w:val="0"/>
        <w:snapToGrid w:val="0"/>
        <w:spacing w:before="0" w:line="440" w:lineRule="exact"/>
        <w:jc w:val="left"/>
        <w:rPr>
          <w:rFonts w:hint="default" w:eastAsia="仿宋"/>
          <w:color w:val="auto"/>
          <w:sz w:val="24"/>
          <w:szCs w:val="24"/>
          <w:highlight w:val="none"/>
          <w:lang w:val="en-US" w:eastAsia="zh-CN"/>
        </w:rPr>
      </w:pPr>
      <w:r>
        <w:rPr>
          <w:rFonts w:hint="eastAsia"/>
          <w:color w:val="auto"/>
          <w:sz w:val="24"/>
          <w:highlight w:val="none"/>
        </w:rPr>
        <w:t>第二部分</w:t>
      </w:r>
      <w:r>
        <w:rPr>
          <w:rFonts w:hint="eastAsia"/>
          <w:color w:val="auto"/>
          <w:sz w:val="24"/>
          <w:highlight w:val="none"/>
          <w:lang w:val="en-US" w:eastAsia="zh-CN"/>
        </w:rPr>
        <w:t xml:space="preserve"> 2022年度</w:t>
      </w:r>
      <w:r>
        <w:rPr>
          <w:rFonts w:hint="eastAsia"/>
          <w:color w:val="auto"/>
          <w:sz w:val="24"/>
          <w:highlight w:val="none"/>
          <w:lang w:eastAsia="zh-CN"/>
        </w:rPr>
        <w:t>单位</w:t>
      </w:r>
      <w:r>
        <w:rPr>
          <w:rFonts w:hint="eastAsia"/>
          <w:color w:val="auto"/>
          <w:sz w:val="24"/>
          <w:highlight w:val="none"/>
        </w:rPr>
        <w:t>决算情况说明</w:t>
      </w:r>
      <w:r>
        <w:rPr>
          <w:rFonts w:hint="eastAsia"/>
          <w:color w:val="auto"/>
          <w:sz w:val="24"/>
          <w:highlight w:val="none"/>
          <w:lang w:val="en-US" w:eastAsia="zh-CN"/>
        </w:rPr>
        <w:t>...........................5</w:t>
      </w:r>
    </w:p>
    <w:p>
      <w:pPr>
        <w:pStyle w:val="12"/>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一、收入支出决算总体情况说明</w:t>
      </w:r>
      <w:r>
        <w:rPr>
          <w:rFonts w:hint="eastAsia"/>
          <w:color w:val="auto"/>
          <w:sz w:val="24"/>
          <w:highlight w:val="none"/>
          <w:lang w:val="en-US" w:eastAsia="zh-CN"/>
        </w:rPr>
        <w:t>..........................................................5</w:t>
      </w:r>
    </w:p>
    <w:p>
      <w:pPr>
        <w:pStyle w:val="12"/>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二、收入决算情况说明</w:t>
      </w:r>
      <w:r>
        <w:rPr>
          <w:rFonts w:hint="eastAsia"/>
          <w:color w:val="auto"/>
          <w:sz w:val="24"/>
          <w:highlight w:val="none"/>
          <w:lang w:val="en-US" w:eastAsia="zh-CN"/>
        </w:rPr>
        <w:t>..........................................................................5</w:t>
      </w:r>
    </w:p>
    <w:p>
      <w:pPr>
        <w:pStyle w:val="12"/>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三、支出决算情况说明</w:t>
      </w:r>
      <w:r>
        <w:rPr>
          <w:rFonts w:hint="eastAsia"/>
          <w:color w:val="auto"/>
          <w:sz w:val="24"/>
          <w:highlight w:val="none"/>
          <w:lang w:val="en-US" w:eastAsia="zh-CN"/>
        </w:rPr>
        <w:t>...........................................................................6</w:t>
      </w:r>
    </w:p>
    <w:p>
      <w:pPr>
        <w:pStyle w:val="12"/>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四、财政拨款收入支出决算总体情况说明</w:t>
      </w:r>
      <w:r>
        <w:rPr>
          <w:rFonts w:hint="eastAsia"/>
          <w:color w:val="auto"/>
          <w:sz w:val="24"/>
          <w:highlight w:val="none"/>
          <w:lang w:val="en-US" w:eastAsia="zh-CN"/>
        </w:rPr>
        <w:t>...........................................7</w:t>
      </w:r>
    </w:p>
    <w:p>
      <w:pPr>
        <w:pStyle w:val="12"/>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五、一般公共预算财政拨款支出决算情况说明</w:t>
      </w:r>
      <w:r>
        <w:rPr>
          <w:rFonts w:hint="eastAsia"/>
          <w:color w:val="auto"/>
          <w:sz w:val="24"/>
          <w:highlight w:val="none"/>
          <w:lang w:val="en-US" w:eastAsia="zh-CN"/>
        </w:rPr>
        <w:t>...................................7</w:t>
      </w:r>
    </w:p>
    <w:p>
      <w:pPr>
        <w:pStyle w:val="12"/>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六、一般公共预算财政拨款基本支出决算情况说明</w:t>
      </w:r>
      <w:r>
        <w:rPr>
          <w:rFonts w:hint="eastAsia"/>
          <w:color w:val="auto"/>
          <w:sz w:val="24"/>
          <w:highlight w:val="none"/>
          <w:lang w:val="en-US" w:eastAsia="zh-CN"/>
        </w:rPr>
        <w:t>...........................8</w:t>
      </w:r>
    </w:p>
    <w:p>
      <w:pPr>
        <w:pStyle w:val="12"/>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七、财政拨款</w:t>
      </w:r>
      <w:r>
        <w:rPr>
          <w:rFonts w:hint="eastAsia"/>
          <w:color w:val="auto"/>
          <w:sz w:val="24"/>
          <w:highlight w:val="none"/>
          <w:lang w:eastAsia="zh-CN"/>
        </w:rPr>
        <w:t>“</w:t>
      </w:r>
      <w:r>
        <w:rPr>
          <w:rFonts w:hint="eastAsia"/>
          <w:color w:val="auto"/>
          <w:sz w:val="24"/>
          <w:highlight w:val="none"/>
        </w:rPr>
        <w:t>三公”经费支出决算情况说明</w:t>
      </w:r>
      <w:r>
        <w:rPr>
          <w:rFonts w:hint="eastAsia"/>
          <w:color w:val="auto"/>
          <w:sz w:val="24"/>
          <w:highlight w:val="none"/>
          <w:lang w:val="en-US" w:eastAsia="zh-CN"/>
        </w:rPr>
        <w:t>..................................11</w:t>
      </w:r>
    </w:p>
    <w:p>
      <w:pPr>
        <w:pStyle w:val="12"/>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八、政府性基金预算支出决算情况说明</w:t>
      </w:r>
      <w:r>
        <w:rPr>
          <w:rFonts w:hint="eastAsia"/>
          <w:color w:val="auto"/>
          <w:sz w:val="24"/>
          <w:highlight w:val="none"/>
          <w:lang w:val="en-US" w:eastAsia="zh-CN"/>
        </w:rPr>
        <w:t>..............................................13</w:t>
      </w:r>
    </w:p>
    <w:p>
      <w:pPr>
        <w:pStyle w:val="12"/>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九、国有资本经营预算支出决算情况说明</w:t>
      </w:r>
      <w:r>
        <w:rPr>
          <w:rFonts w:hint="eastAsia"/>
          <w:color w:val="auto"/>
          <w:sz w:val="24"/>
          <w:highlight w:val="none"/>
          <w:lang w:val="en-US" w:eastAsia="zh-CN"/>
        </w:rPr>
        <w:t>..........................................13</w:t>
      </w:r>
    </w:p>
    <w:p>
      <w:pPr>
        <w:pStyle w:val="12"/>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十、其他重要事项的情况说明</w:t>
      </w:r>
      <w:r>
        <w:rPr>
          <w:rFonts w:hint="eastAsia"/>
          <w:color w:val="auto"/>
          <w:sz w:val="24"/>
          <w:highlight w:val="none"/>
          <w:lang w:val="en-US" w:eastAsia="zh-CN"/>
        </w:rPr>
        <w:t>...............................................................13</w:t>
      </w:r>
    </w:p>
    <w:p>
      <w:pPr>
        <w:pStyle w:val="10"/>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r>
        <w:rPr>
          <w:rFonts w:hint="eastAsia"/>
          <w:color w:val="auto"/>
          <w:sz w:val="24"/>
          <w:highlight w:val="none"/>
          <w:lang w:val="en-US" w:eastAsia="zh-CN"/>
        </w:rPr>
        <w:t>............................................15</w:t>
      </w:r>
    </w:p>
    <w:p>
      <w:pPr>
        <w:pStyle w:val="10"/>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r>
        <w:rPr>
          <w:rFonts w:hint="eastAsia"/>
          <w:color w:val="auto"/>
          <w:sz w:val="24"/>
          <w:highlight w:val="none"/>
          <w:lang w:val="en-US" w:eastAsia="zh-CN"/>
        </w:rPr>
        <w:t>................................................18</w:t>
      </w:r>
    </w:p>
    <w:p>
      <w:pPr>
        <w:pStyle w:val="10"/>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r>
        <w:rPr>
          <w:rFonts w:hint="eastAsia"/>
          <w:color w:val="auto"/>
          <w:sz w:val="24"/>
          <w:highlight w:val="none"/>
          <w:lang w:val="en-US" w:eastAsia="zh-CN"/>
        </w:rPr>
        <w:t>................................................19</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一、收入支出决算总表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二、收入决算表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三、支出决算表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四、财政拨款收入支出决算总表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五、财政拨款支出决算明细表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六、一般公共预算财政拨款支出决算表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七、一般公共预算财政拨款支出决算明细表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八、一般公共预算财政拨款基本支出决算</w:t>
      </w:r>
      <w:r>
        <w:rPr>
          <w:rFonts w:hint="eastAsia"/>
          <w:color w:val="auto"/>
          <w:sz w:val="24"/>
          <w:highlight w:val="none"/>
          <w:lang w:eastAsia="zh-CN"/>
        </w:rPr>
        <w:t>明细</w:t>
      </w:r>
      <w:r>
        <w:rPr>
          <w:rFonts w:hint="eastAsia"/>
          <w:color w:val="auto"/>
          <w:sz w:val="24"/>
          <w:highlight w:val="none"/>
        </w:rPr>
        <w:t>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九、一般公共预算财政拨款项目支出决算表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十、政府性基金预算财政拨款收入支出决算表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十一、国有资本经营预算财政拨款收入支出决算表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十二、</w:t>
      </w:r>
      <w:r>
        <w:rPr>
          <w:rFonts w:hint="eastAsia"/>
          <w:color w:val="auto"/>
          <w:sz w:val="24"/>
          <w:highlight w:val="none"/>
          <w:lang w:val="en-US" w:eastAsia="zh-CN"/>
        </w:rPr>
        <w:t>国有资本经营预算财政拨款支出决算表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十三、财政拨款“三公”经费支出决算表</w:t>
      </w:r>
    </w:p>
    <w:p>
      <w:pPr>
        <w:widowControl/>
        <w:spacing w:line="440" w:lineRule="exact"/>
        <w:jc w:val="left"/>
        <w:rPr>
          <w:rFonts w:ascii="仿宋" w:hAnsi="仿宋" w:eastAsia="仿宋"/>
          <w:bCs/>
          <w:color w:val="auto"/>
          <w:kern w:val="44"/>
          <w:sz w:val="24"/>
          <w:highlight w:val="none"/>
        </w:rPr>
      </w:pPr>
      <w:bookmarkStart w:id="12" w:name="_Toc15377196"/>
      <w:bookmarkStart w:id="13" w:name="_Toc15396599"/>
      <w:r>
        <w:rPr>
          <w:rFonts w:ascii="仿宋" w:hAnsi="仿宋" w:eastAsia="仿宋"/>
          <w:b/>
          <w:color w:val="auto"/>
          <w:sz w:val="24"/>
          <w:highlight w:val="none"/>
        </w:rPr>
        <w:br w:type="page"/>
      </w:r>
    </w:p>
    <w:p>
      <w:pPr>
        <w:pStyle w:val="2"/>
        <w:jc w:val="center"/>
        <w:rPr>
          <w:rStyle w:val="25"/>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5"/>
          <w:rFonts w:hint="eastAsia" w:ascii="黑体" w:hAnsi="黑体" w:eastAsia="黑体"/>
          <w:b w:val="0"/>
          <w:bCs w:val="0"/>
          <w:color w:val="auto"/>
          <w:highlight w:val="none"/>
        </w:rPr>
        <w:t>概况</w:t>
      </w:r>
      <w:bookmarkEnd w:id="12"/>
      <w:bookmarkEnd w:id="13"/>
    </w:p>
    <w:p>
      <w:pPr>
        <w:widowControl/>
        <w:jc w:val="left"/>
        <w:rPr>
          <w:rFonts w:ascii="黑体" w:eastAsia="黑体"/>
          <w:color w:val="auto"/>
          <w:sz w:val="32"/>
          <w:szCs w:val="32"/>
          <w:highlight w:val="none"/>
        </w:rPr>
      </w:pPr>
    </w:p>
    <w:p>
      <w:pPr>
        <w:pStyle w:val="3"/>
        <w:numPr>
          <w:ilvl w:val="0"/>
          <w:numId w:val="2"/>
        </w:numPr>
        <w:rPr>
          <w:rStyle w:val="26"/>
          <w:rFonts w:hint="eastAsia" w:ascii="黑体" w:hAnsi="黑体" w:eastAsia="黑体"/>
          <w:b w:val="0"/>
          <w:bCs w:val="0"/>
          <w:color w:val="auto"/>
          <w:highlight w:val="none"/>
          <w:lang w:eastAsia="zh-CN"/>
        </w:rPr>
      </w:pPr>
      <w:bookmarkStart w:id="14" w:name="_Toc15377197"/>
      <w:bookmarkStart w:id="15" w:name="_Toc15396600"/>
      <w:r>
        <w:rPr>
          <w:rStyle w:val="26"/>
          <w:rFonts w:hint="eastAsia" w:ascii="黑体" w:hAnsi="黑体" w:eastAsia="黑体"/>
          <w:b w:val="0"/>
          <w:bCs w:val="0"/>
          <w:color w:val="auto"/>
          <w:highlight w:val="none"/>
          <w:lang w:eastAsia="zh-CN"/>
        </w:rPr>
        <w:t>主要职责</w:t>
      </w:r>
    </w:p>
    <w:p>
      <w:pPr>
        <w:keepNext w:val="0"/>
        <w:keepLines w:val="0"/>
        <w:pageBreakBefore w:val="0"/>
        <w:widowControl w:val="0"/>
        <w:kinsoku/>
        <w:wordWrap/>
        <w:overflowPunct/>
        <w:topLinePunct w:val="0"/>
        <w:autoSpaceDN/>
        <w:bidi w:val="0"/>
        <w:adjustRightInd/>
        <w:snapToGrid/>
        <w:spacing w:line="578"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大竹县</w:t>
      </w:r>
      <w:r>
        <w:rPr>
          <w:rFonts w:hint="eastAsia" w:ascii="仿宋" w:hAnsi="仿宋" w:eastAsia="仿宋"/>
          <w:sz w:val="32"/>
          <w:szCs w:val="32"/>
          <w:lang w:eastAsia="zh-CN"/>
        </w:rPr>
        <w:t>综合</w:t>
      </w:r>
      <w:r>
        <w:rPr>
          <w:rFonts w:hint="eastAsia" w:ascii="仿宋" w:hAnsi="仿宋" w:eastAsia="仿宋"/>
          <w:sz w:val="32"/>
          <w:szCs w:val="32"/>
        </w:rPr>
        <w:t>行政执法局</w:t>
      </w:r>
      <w:r>
        <w:rPr>
          <w:rFonts w:hint="eastAsia" w:ascii="仿宋_GB2312" w:eastAsia="仿宋_GB2312"/>
          <w:sz w:val="32"/>
          <w:szCs w:val="32"/>
        </w:rPr>
        <w:t>主要行使城市市容环境卫生管理职能；行使市容环境卫生、市政管理、园林绿化方面法律法规规定的行政处罚权；行使环境保护、市场监督管理、公安交通管理、水务管理方面法律法规规章规定的部分行政处罚权。</w:t>
      </w:r>
    </w:p>
    <w:p>
      <w:pPr>
        <w:rPr>
          <w:rFonts w:hint="eastAsia"/>
          <w:lang w:eastAsia="zh-CN"/>
        </w:rPr>
      </w:pPr>
    </w:p>
    <w:p>
      <w:pPr>
        <w:pStyle w:val="3"/>
        <w:numPr>
          <w:ilvl w:val="0"/>
          <w:numId w:val="0"/>
        </w:numPr>
        <w:rPr>
          <w:rFonts w:hint="eastAsia" w:ascii="黑体" w:hAnsi="黑体" w:eastAsia="黑体"/>
          <w:b w:val="0"/>
          <w:color w:val="auto"/>
          <w:highlight w:val="none"/>
          <w:lang w:val="en-US" w:eastAsia="zh-CN"/>
        </w:rPr>
      </w:pPr>
      <w:r>
        <w:rPr>
          <w:rFonts w:hint="eastAsia" w:ascii="黑体" w:hAnsi="黑体" w:eastAsia="黑体"/>
          <w:b w:val="0"/>
          <w:color w:val="auto"/>
          <w:highlight w:val="none"/>
          <w:lang w:val="en-US" w:eastAsia="zh-CN"/>
        </w:rPr>
        <w:t>二、机构设置</w:t>
      </w:r>
    </w:p>
    <w:bookmarkEnd w:id="14"/>
    <w:bookmarkEnd w:id="15"/>
    <w:p>
      <w:pPr>
        <w:ind w:firstLine="800" w:firstLineChars="250"/>
        <w:rPr>
          <w:rFonts w:ascii="仿宋" w:hAnsi="仿宋" w:eastAsia="仿宋"/>
          <w:sz w:val="32"/>
          <w:szCs w:val="32"/>
        </w:rPr>
      </w:pPr>
      <w:r>
        <w:rPr>
          <w:rFonts w:hint="eastAsia" w:ascii="仿宋" w:hAnsi="仿宋" w:eastAsia="仿宋"/>
          <w:sz w:val="32"/>
          <w:szCs w:val="32"/>
        </w:rPr>
        <w:t>大竹县</w:t>
      </w:r>
      <w:r>
        <w:rPr>
          <w:rFonts w:hint="eastAsia" w:ascii="仿宋" w:hAnsi="仿宋" w:eastAsia="仿宋"/>
          <w:sz w:val="32"/>
          <w:szCs w:val="32"/>
          <w:lang w:eastAsia="zh-CN"/>
        </w:rPr>
        <w:t>综合</w:t>
      </w:r>
      <w:r>
        <w:rPr>
          <w:rFonts w:hint="eastAsia" w:ascii="仿宋" w:hAnsi="仿宋" w:eastAsia="仿宋"/>
          <w:sz w:val="32"/>
          <w:szCs w:val="32"/>
        </w:rPr>
        <w:t>行政执法局下属二级单位</w:t>
      </w:r>
      <w:r>
        <w:rPr>
          <w:rFonts w:hint="eastAsia" w:ascii="仿宋" w:hAnsi="仿宋" w:eastAsia="仿宋"/>
          <w:sz w:val="32"/>
          <w:szCs w:val="32"/>
          <w:lang w:val="en-US" w:eastAsia="zh-CN"/>
        </w:rPr>
        <w:t>3</w:t>
      </w:r>
      <w:r>
        <w:rPr>
          <w:rFonts w:hint="eastAsia" w:ascii="仿宋" w:hAnsi="仿宋" w:eastAsia="仿宋"/>
          <w:sz w:val="32"/>
          <w:szCs w:val="32"/>
        </w:rPr>
        <w:t>个，其中行政单位</w:t>
      </w:r>
      <w:r>
        <w:rPr>
          <w:rFonts w:hint="eastAsia" w:ascii="仿宋" w:hAnsi="仿宋" w:eastAsia="仿宋"/>
          <w:sz w:val="32"/>
          <w:szCs w:val="32"/>
          <w:lang w:val="en-US" w:eastAsia="zh-CN"/>
        </w:rPr>
        <w:t>0</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1</w:t>
      </w:r>
      <w:r>
        <w:rPr>
          <w:rFonts w:hint="eastAsia" w:ascii="仿宋" w:hAnsi="仿宋" w:eastAsia="仿宋"/>
          <w:sz w:val="32"/>
          <w:szCs w:val="32"/>
        </w:rPr>
        <w:t>个，其他事业单位</w:t>
      </w:r>
      <w:r>
        <w:rPr>
          <w:rFonts w:hint="eastAsia" w:ascii="仿宋" w:hAnsi="仿宋" w:eastAsia="仿宋"/>
          <w:sz w:val="32"/>
          <w:szCs w:val="32"/>
          <w:lang w:val="en-US" w:eastAsia="zh-CN"/>
        </w:rPr>
        <w:t>2</w:t>
      </w:r>
      <w:r>
        <w:rPr>
          <w:rFonts w:hint="eastAsia" w:ascii="仿宋" w:hAnsi="仿宋" w:eastAsia="仿宋"/>
          <w:sz w:val="32"/>
          <w:szCs w:val="32"/>
        </w:rPr>
        <w:t>个。</w:t>
      </w:r>
    </w:p>
    <w:p>
      <w:pPr>
        <w:widowControl/>
        <w:jc w:val="left"/>
        <w:rPr>
          <w:rFonts w:ascii="仿宋" w:hAnsi="仿宋" w:eastAsia="仿宋"/>
          <w:color w:val="auto"/>
          <w:kern w:val="0"/>
          <w:sz w:val="32"/>
          <w:szCs w:val="32"/>
          <w:highlight w:val="none"/>
        </w:rPr>
      </w:pPr>
      <w:r>
        <w:rPr>
          <w:rFonts w:hint="eastAsia" w:ascii="仿宋" w:hAnsi="仿宋" w:eastAsia="仿宋"/>
          <w:color w:val="000000"/>
          <w:sz w:val="32"/>
          <w:szCs w:val="32"/>
        </w:rPr>
        <w:t>纳入</w:t>
      </w:r>
      <w:r>
        <w:rPr>
          <w:rFonts w:hint="eastAsia" w:ascii="仿宋" w:hAnsi="仿宋" w:eastAsia="仿宋"/>
          <w:sz w:val="32"/>
          <w:szCs w:val="32"/>
        </w:rPr>
        <w:t>大竹县</w:t>
      </w:r>
      <w:r>
        <w:rPr>
          <w:rFonts w:hint="eastAsia" w:ascii="仿宋" w:hAnsi="仿宋" w:eastAsia="仿宋"/>
          <w:sz w:val="32"/>
          <w:szCs w:val="32"/>
          <w:lang w:eastAsia="zh-CN"/>
        </w:rPr>
        <w:t>综合</w:t>
      </w:r>
      <w:r>
        <w:rPr>
          <w:rFonts w:hint="eastAsia" w:ascii="仿宋" w:hAnsi="仿宋" w:eastAsia="仿宋"/>
          <w:sz w:val="32"/>
          <w:szCs w:val="32"/>
        </w:rPr>
        <w:t>行政执法局</w:t>
      </w: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年度部门决算编制范围的</w:t>
      </w:r>
      <w:r>
        <w:rPr>
          <w:rFonts w:hint="eastAsia" w:ascii="仿宋" w:hAnsi="仿宋" w:eastAsia="仿宋"/>
          <w:color w:val="000000"/>
          <w:sz w:val="32"/>
          <w:szCs w:val="32"/>
          <w:lang w:eastAsia="zh-CN"/>
        </w:rPr>
        <w:t>二级</w:t>
      </w:r>
      <w:r>
        <w:rPr>
          <w:rFonts w:hint="eastAsia" w:ascii="仿宋" w:hAnsi="仿宋" w:eastAsia="仿宋"/>
          <w:color w:val="000000"/>
          <w:sz w:val="32"/>
          <w:szCs w:val="32"/>
        </w:rPr>
        <w:t>预算单位包括：</w:t>
      </w:r>
      <w:r>
        <w:rPr>
          <w:rFonts w:hint="eastAsia" w:ascii="仿宋" w:hAnsi="仿宋" w:eastAsia="仿宋"/>
          <w:color w:val="000000"/>
          <w:sz w:val="32"/>
          <w:szCs w:val="32"/>
          <w:lang w:eastAsia="zh-CN"/>
        </w:rPr>
        <w:t>大竹县双马垃圾处理有限责任公司。</w:t>
      </w:r>
      <w:r>
        <w:rPr>
          <w:rFonts w:ascii="仿宋" w:hAnsi="仿宋" w:eastAsia="仿宋"/>
          <w:color w:val="auto"/>
          <w:sz w:val="32"/>
          <w:szCs w:val="32"/>
          <w:highlight w:val="none"/>
        </w:rPr>
        <w:br w:type="page"/>
      </w:r>
    </w:p>
    <w:p>
      <w:pPr>
        <w:pStyle w:val="2"/>
        <w:ind w:right="440"/>
        <w:jc w:val="center"/>
        <w:rPr>
          <w:rStyle w:val="25"/>
          <w:rFonts w:ascii="黑体" w:hAnsi="黑体" w:eastAsia="黑体"/>
          <w:b w:val="0"/>
          <w:bCs/>
          <w:color w:val="auto"/>
          <w:highlight w:val="none"/>
        </w:rPr>
      </w:pPr>
      <w:bookmarkStart w:id="16" w:name="_Toc15396602"/>
      <w:bookmarkStart w:id="17" w:name="_Toc1537720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5"/>
          <w:rFonts w:hint="eastAsia" w:ascii="黑体" w:hAnsi="黑体" w:eastAsia="黑体"/>
          <w:b w:val="0"/>
          <w:bCs/>
          <w:color w:val="auto"/>
          <w:highlight w:val="none"/>
          <w:lang w:eastAsia="zh-CN"/>
        </w:rPr>
        <w:t>单位</w:t>
      </w:r>
      <w:r>
        <w:rPr>
          <w:rStyle w:val="25"/>
          <w:rFonts w:hint="eastAsia" w:ascii="黑体" w:hAnsi="黑体" w:eastAsia="黑体"/>
          <w:b w:val="0"/>
          <w:bCs/>
          <w:color w:val="auto"/>
          <w:highlight w:val="none"/>
        </w:rPr>
        <w:t>决算情况说明</w:t>
      </w:r>
      <w:bookmarkEnd w:id="16"/>
      <w:bookmarkEnd w:id="17"/>
    </w:p>
    <w:p>
      <w:pPr>
        <w:rPr>
          <w:color w:val="auto"/>
          <w:highlight w:val="none"/>
        </w:rPr>
      </w:pPr>
    </w:p>
    <w:p>
      <w:pPr>
        <w:pStyle w:val="24"/>
        <w:numPr>
          <w:ilvl w:val="0"/>
          <w:numId w:val="3"/>
        </w:numPr>
        <w:spacing w:line="600" w:lineRule="exact"/>
        <w:ind w:firstLineChars="0"/>
        <w:outlineLvl w:val="1"/>
        <w:rPr>
          <w:rStyle w:val="26"/>
          <w:rFonts w:ascii="黑体" w:hAnsi="黑体" w:eastAsia="黑体"/>
          <w:b w:val="0"/>
          <w:color w:val="auto"/>
          <w:highlight w:val="none"/>
        </w:rPr>
      </w:pPr>
      <w:bookmarkStart w:id="18" w:name="_Toc15377205"/>
      <w:bookmarkStart w:id="19" w:name="_Toc15396603"/>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入支出决算总体情况说明</w:t>
      </w:r>
      <w:bookmarkEnd w:id="18"/>
      <w:bookmarkEnd w:id="19"/>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eastAsia="zh-CN"/>
        </w:rPr>
        <w:t>分别为</w:t>
      </w:r>
      <w:r>
        <w:rPr>
          <w:rFonts w:hint="eastAsia" w:ascii="仿宋" w:hAnsi="仿宋" w:eastAsia="仿宋"/>
          <w:color w:val="auto"/>
          <w:sz w:val="32"/>
          <w:szCs w:val="32"/>
          <w:highlight w:val="none"/>
          <w:lang w:val="en-US" w:eastAsia="zh-CN"/>
        </w:rPr>
        <w:t>3945.22</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4275.16万元</w:t>
      </w:r>
      <w:r>
        <w:rPr>
          <w:rFonts w:hint="eastAsia" w:ascii="仿宋" w:hAnsi="仿宋" w:eastAsia="仿宋"/>
          <w:color w:val="auto"/>
          <w:sz w:val="32"/>
          <w:szCs w:val="32"/>
          <w:highlight w:val="none"/>
        </w:rPr>
        <w:t>。与20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年相比，收、支总计各增加</w:t>
      </w:r>
      <w:r>
        <w:rPr>
          <w:rFonts w:hint="eastAsia" w:ascii="仿宋" w:hAnsi="仿宋" w:eastAsia="仿宋"/>
          <w:color w:val="auto"/>
          <w:sz w:val="32"/>
          <w:szCs w:val="32"/>
          <w:highlight w:val="none"/>
          <w:lang w:val="en-US" w:eastAsia="zh-CN"/>
        </w:rPr>
        <w:t>104.4</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403.63万元</w:t>
      </w:r>
      <w:r>
        <w:rPr>
          <w:rFonts w:hint="eastAsia" w:ascii="仿宋" w:hAnsi="仿宋" w:eastAsia="仿宋"/>
          <w:color w:val="auto"/>
          <w:sz w:val="32"/>
          <w:szCs w:val="32"/>
          <w:highlight w:val="none"/>
        </w:rPr>
        <w:t>，增长</w:t>
      </w:r>
      <w:r>
        <w:rPr>
          <w:rFonts w:hint="eastAsia" w:ascii="仿宋" w:hAnsi="仿宋" w:eastAsia="仿宋"/>
          <w:color w:val="auto"/>
          <w:sz w:val="32"/>
          <w:szCs w:val="32"/>
          <w:highlight w:val="none"/>
          <w:lang w:val="en-US" w:eastAsia="zh-CN"/>
        </w:rPr>
        <w:t>2.72</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10.42%</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pStyle w:val="11"/>
        <w:rPr>
          <w:rFonts w:hint="eastAsia" w:ascii="仿宋" w:hAnsi="仿宋" w:eastAsia="仿宋"/>
          <w:color w:val="auto"/>
          <w:sz w:val="32"/>
          <w:szCs w:val="32"/>
          <w:highlight w:val="none"/>
        </w:rPr>
      </w:pPr>
      <w:r>
        <w:drawing>
          <wp:inline distT="0" distB="0" distL="114300" distR="114300">
            <wp:extent cx="4572000" cy="2724150"/>
            <wp:effectExtent l="4445" t="4445" r="1460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jc w:val="left"/>
        <w:rPr>
          <w:rFonts w:ascii="仿宋_GB2312" w:eastAsia="仿宋_GB2312"/>
          <w:color w:val="auto"/>
          <w:sz w:val="32"/>
          <w:szCs w:val="32"/>
          <w:highlight w:val="none"/>
        </w:rPr>
      </w:pPr>
    </w:p>
    <w:p>
      <w:pPr>
        <w:pStyle w:val="24"/>
        <w:numPr>
          <w:ilvl w:val="0"/>
          <w:numId w:val="3"/>
        </w:numPr>
        <w:spacing w:line="600" w:lineRule="exact"/>
        <w:ind w:firstLineChars="0"/>
        <w:outlineLvl w:val="1"/>
        <w:rPr>
          <w:rStyle w:val="26"/>
          <w:rFonts w:ascii="黑体" w:hAnsi="黑体" w:eastAsia="黑体"/>
          <w:b w:val="0"/>
          <w:color w:val="auto"/>
          <w:highlight w:val="none"/>
        </w:rPr>
      </w:pPr>
      <w:bookmarkStart w:id="20" w:name="_Toc15377206"/>
      <w:bookmarkStart w:id="21" w:name="_Toc15396604"/>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入决算情况说明</w:t>
      </w:r>
      <w:bookmarkEnd w:id="20"/>
      <w:bookmarkEnd w:id="21"/>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3945.22</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1938.65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49.14</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2006.57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50.86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国有资本经营预算财政拨款收入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；上级补助收入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；附属单位上缴收入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firstLineChars="200"/>
        <w:rPr>
          <w:rFonts w:ascii="仿宋_GB2312" w:eastAsia="仿宋_GB2312"/>
          <w:color w:val="auto"/>
          <w:sz w:val="32"/>
          <w:szCs w:val="32"/>
          <w:highlight w:val="none"/>
        </w:rPr>
      </w:pPr>
      <w:r>
        <w:rPr>
          <w:rFonts w:hint="eastAsia" w:ascii="仿宋" w:hAnsi="仿宋" w:eastAsia="仿宋"/>
          <w:color w:val="auto"/>
          <w:sz w:val="32"/>
          <w:szCs w:val="32"/>
          <w:highlight w:val="none"/>
        </w:rPr>
        <w:t>（图2：收入决算结构图）（饼状图）</w:t>
      </w:r>
    </w:p>
    <w:p>
      <w:pPr>
        <w:pStyle w:val="11"/>
        <w:rPr>
          <w:rFonts w:ascii="仿宋_GB2312" w:eastAsia="仿宋_GB2312"/>
          <w:color w:val="auto"/>
          <w:sz w:val="32"/>
          <w:szCs w:val="32"/>
          <w:highlight w:val="none"/>
        </w:rPr>
      </w:pPr>
      <w:r>
        <w:drawing>
          <wp:inline distT="0" distB="0" distL="114300" distR="114300">
            <wp:extent cx="4826000" cy="2743200"/>
            <wp:effectExtent l="4445" t="4445" r="8255" b="52705"/>
            <wp:docPr id="8" name="图表 4" descr="7b0a202020202263686172745265734964223a20223230343735393631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11"/>
      </w:pPr>
    </w:p>
    <w:p>
      <w:pPr>
        <w:pStyle w:val="24"/>
        <w:numPr>
          <w:ilvl w:val="0"/>
          <w:numId w:val="3"/>
        </w:numPr>
        <w:spacing w:line="600" w:lineRule="exact"/>
        <w:ind w:firstLineChars="0"/>
        <w:outlineLvl w:val="1"/>
        <w:rPr>
          <w:rStyle w:val="26"/>
          <w:rFonts w:ascii="黑体" w:hAnsi="黑体" w:eastAsia="黑体"/>
          <w:b w:val="0"/>
          <w:color w:val="auto"/>
          <w:highlight w:val="none"/>
        </w:rPr>
      </w:pPr>
      <w:bookmarkStart w:id="22" w:name="_Toc15396605"/>
      <w:bookmarkStart w:id="23" w:name="_Toc15377207"/>
      <w:r>
        <w:rPr>
          <w:rFonts w:hint="eastAsia" w:ascii="黑体" w:hAnsi="黑体" w:eastAsia="黑体"/>
          <w:color w:val="auto"/>
          <w:sz w:val="32"/>
          <w:szCs w:val="32"/>
          <w:highlight w:val="none"/>
        </w:rPr>
        <w:t>支</w:t>
      </w:r>
      <w:r>
        <w:rPr>
          <w:rStyle w:val="26"/>
          <w:rFonts w:hint="eastAsia" w:ascii="黑体" w:hAnsi="黑体" w:eastAsia="黑体"/>
          <w:b w:val="0"/>
          <w:color w:val="auto"/>
          <w:highlight w:val="none"/>
        </w:rPr>
        <w:t>出决算情况说明</w:t>
      </w:r>
      <w:bookmarkEnd w:id="22"/>
      <w:bookmarkEnd w:id="23"/>
    </w:p>
    <w:p>
      <w:pPr>
        <w:spacing w:line="600" w:lineRule="exact"/>
        <w:ind w:firstLine="640" w:firstLineChars="200"/>
        <w:outlineLvl w:val="1"/>
        <w:rPr>
          <w:rFonts w:ascii="仿宋" w:hAnsi="仿宋" w:eastAsia="仿宋"/>
          <w:color w:val="auto"/>
          <w:sz w:val="32"/>
          <w:szCs w:val="32"/>
          <w:highlight w:val="none"/>
          <w:shd w:val="pct10" w:color="auto" w:fill="FFFFFF"/>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4275.16</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1963.80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45.94</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2311.37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54.06</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；上缴上级支出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；对附属单位补助支出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（图3：支出决算结构图）（饼状图）</w:t>
      </w:r>
    </w:p>
    <w:p>
      <w:pPr>
        <w:pStyle w:val="11"/>
        <w:rPr>
          <w:rFonts w:ascii="仿宋_GB2312" w:eastAsia="仿宋_GB2312"/>
          <w:color w:val="auto"/>
          <w:sz w:val="32"/>
          <w:szCs w:val="32"/>
          <w:highlight w:val="none"/>
        </w:rPr>
      </w:pPr>
      <w:r>
        <w:drawing>
          <wp:inline distT="0" distB="0" distL="114300" distR="114300">
            <wp:extent cx="4724400" cy="2742565"/>
            <wp:effectExtent l="4445" t="4445" r="14605" b="1524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
      <w:pPr>
        <w:spacing w:line="240" w:lineRule="auto"/>
        <w:ind w:firstLine="0" w:firstLineChars="0"/>
        <w:outlineLvl w:val="1"/>
        <w:rPr>
          <w:rFonts w:hint="eastAsia" w:ascii="黑体" w:hAnsi="黑体" w:eastAsia="黑体"/>
          <w:color w:val="auto"/>
          <w:sz w:val="32"/>
          <w:szCs w:val="32"/>
          <w:highlight w:val="none"/>
        </w:rPr>
      </w:pPr>
      <w:bookmarkStart w:id="24" w:name="_Toc15396606"/>
      <w:bookmarkStart w:id="25" w:name="_Toc15377208"/>
    </w:p>
    <w:p>
      <w:pPr>
        <w:spacing w:line="600" w:lineRule="exact"/>
        <w:ind w:firstLine="640" w:firstLineChars="200"/>
        <w:outlineLvl w:val="1"/>
        <w:rPr>
          <w:rFonts w:hint="eastAsia" w:ascii="黑体" w:hAnsi="黑体" w:eastAsia="黑体"/>
          <w:color w:val="auto"/>
          <w:sz w:val="32"/>
          <w:szCs w:val="32"/>
          <w:highlight w:val="none"/>
        </w:rPr>
      </w:pPr>
    </w:p>
    <w:p>
      <w:pPr>
        <w:spacing w:line="600" w:lineRule="exact"/>
        <w:ind w:firstLine="640" w:firstLineChars="200"/>
        <w:outlineLvl w:val="1"/>
        <w:rPr>
          <w:rStyle w:val="26"/>
          <w:rFonts w:ascii="黑体" w:hAnsi="黑体" w:eastAsia="黑体"/>
          <w:b w:val="0"/>
          <w:color w:val="auto"/>
          <w:highlight w:val="none"/>
        </w:rPr>
      </w:pPr>
      <w:r>
        <w:rPr>
          <w:rFonts w:hint="eastAsia" w:ascii="黑体" w:hAnsi="黑体" w:eastAsia="黑体"/>
          <w:color w:val="auto"/>
          <w:sz w:val="32"/>
          <w:szCs w:val="32"/>
          <w:highlight w:val="none"/>
        </w:rPr>
        <w:t>四、财</w:t>
      </w:r>
      <w:r>
        <w:rPr>
          <w:rStyle w:val="26"/>
          <w:rFonts w:hint="eastAsia" w:ascii="黑体" w:hAnsi="黑体" w:eastAsia="黑体"/>
          <w:b w:val="0"/>
          <w:color w:val="auto"/>
          <w:highlight w:val="none"/>
        </w:rPr>
        <w:t>政拨款收入支出决算总体情况说明</w:t>
      </w:r>
      <w:bookmarkEnd w:id="24"/>
      <w:bookmarkEnd w:id="25"/>
    </w:p>
    <w:p>
      <w:pPr>
        <w:spacing w:line="600" w:lineRule="exact"/>
        <w:ind w:firstLine="64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eastAsia="zh-CN"/>
        </w:rPr>
        <w:t>分别为</w:t>
      </w:r>
      <w:r>
        <w:rPr>
          <w:rFonts w:hint="eastAsia" w:ascii="仿宋" w:hAnsi="仿宋" w:eastAsia="仿宋"/>
          <w:color w:val="auto"/>
          <w:sz w:val="32"/>
          <w:szCs w:val="32"/>
          <w:highlight w:val="none"/>
          <w:lang w:val="en-US" w:eastAsia="zh-CN"/>
        </w:rPr>
        <w:t>3945.22</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4275.16万元</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年相比，财政拨款收、支总计各增加各增加</w:t>
      </w:r>
      <w:r>
        <w:rPr>
          <w:rFonts w:hint="eastAsia" w:ascii="仿宋" w:hAnsi="仿宋" w:eastAsia="仿宋"/>
          <w:color w:val="auto"/>
          <w:sz w:val="32"/>
          <w:szCs w:val="32"/>
          <w:highlight w:val="none"/>
          <w:lang w:val="en-US" w:eastAsia="zh-CN"/>
        </w:rPr>
        <w:t>104.4</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403.63万元</w:t>
      </w:r>
      <w:r>
        <w:rPr>
          <w:rFonts w:hint="eastAsia" w:ascii="仿宋" w:hAnsi="仿宋" w:eastAsia="仿宋"/>
          <w:color w:val="auto"/>
          <w:sz w:val="32"/>
          <w:szCs w:val="32"/>
          <w:highlight w:val="none"/>
        </w:rPr>
        <w:t>，增长</w:t>
      </w:r>
      <w:r>
        <w:rPr>
          <w:rFonts w:hint="eastAsia" w:ascii="仿宋" w:hAnsi="仿宋" w:eastAsia="仿宋"/>
          <w:color w:val="auto"/>
          <w:sz w:val="32"/>
          <w:szCs w:val="32"/>
          <w:highlight w:val="none"/>
          <w:lang w:val="en-US" w:eastAsia="zh-CN"/>
        </w:rPr>
        <w:t>2.72</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10.42%</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新增大竹县脏车入城冲洗场项目、“</w:t>
      </w:r>
      <w:r>
        <w:rPr>
          <w:rFonts w:hint="eastAsia" w:ascii="仿宋" w:hAnsi="仿宋" w:eastAsia="仿宋"/>
          <w:color w:val="auto"/>
          <w:sz w:val="32"/>
          <w:szCs w:val="32"/>
          <w:highlight w:val="none"/>
          <w:lang w:val="en-US" w:eastAsia="zh-CN"/>
        </w:rPr>
        <w:t>8.8洪灾</w:t>
      </w:r>
      <w:r>
        <w:rPr>
          <w:rFonts w:hint="eastAsia" w:ascii="仿宋" w:hAnsi="仿宋" w:eastAsia="仿宋"/>
          <w:color w:val="auto"/>
          <w:sz w:val="32"/>
          <w:szCs w:val="32"/>
          <w:highlight w:val="none"/>
          <w:lang w:eastAsia="zh-CN"/>
        </w:rPr>
        <w:t>”灾害应急管理支出、垃圾处理费增额。</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（图4：财政拨款收、支决算总计变动情况）（柱状图）</w:t>
      </w:r>
      <w:bookmarkStart w:id="26" w:name="_Toc15377209"/>
      <w:bookmarkStart w:id="27" w:name="_Toc15396607"/>
    </w:p>
    <w:p>
      <w:pPr>
        <w:spacing w:line="600" w:lineRule="exact"/>
        <w:ind w:firstLine="420" w:firstLineChars="200"/>
        <w:rPr>
          <w:rFonts w:hint="eastAsia" w:ascii="仿宋" w:hAnsi="仿宋" w:eastAsia="仿宋"/>
          <w:color w:val="auto"/>
          <w:sz w:val="32"/>
          <w:szCs w:val="32"/>
          <w:highlight w:val="none"/>
        </w:rPr>
      </w:pPr>
      <w:r>
        <w:drawing>
          <wp:anchor distT="0" distB="0" distL="114300" distR="114300" simplePos="0" relativeHeight="251659264" behindDoc="0" locked="0" layoutInCell="1" allowOverlap="1">
            <wp:simplePos x="0" y="0"/>
            <wp:positionH relativeFrom="column">
              <wp:posOffset>309245</wp:posOffset>
            </wp:positionH>
            <wp:positionV relativeFrom="paragraph">
              <wp:posOffset>394970</wp:posOffset>
            </wp:positionV>
            <wp:extent cx="4733925" cy="2696210"/>
            <wp:effectExtent l="4445" t="5080" r="5080" b="22860"/>
            <wp:wrapSquare wrapText="bothSides"/>
            <wp:docPr id="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outlineLvl w:val="1"/>
        <w:rPr>
          <w:rFonts w:hint="eastAsia" w:ascii="黑体" w:hAnsi="黑体" w:eastAsia="黑体"/>
          <w:color w:val="auto"/>
          <w:sz w:val="32"/>
          <w:szCs w:val="32"/>
          <w:highlight w:val="none"/>
        </w:rPr>
      </w:pPr>
    </w:p>
    <w:p>
      <w:pPr>
        <w:spacing w:line="600" w:lineRule="exact"/>
        <w:ind w:firstLine="640" w:firstLineChars="200"/>
        <w:outlineLvl w:val="1"/>
        <w:rPr>
          <w:rStyle w:val="26"/>
          <w:rFonts w:ascii="黑体" w:hAnsi="黑体" w:eastAsia="黑体"/>
          <w:b w:val="0"/>
          <w:color w:val="auto"/>
          <w:highlight w:val="none"/>
        </w:rPr>
      </w:pPr>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般公共预算财政拨款支出决算情况说明</w:t>
      </w:r>
      <w:bookmarkEnd w:id="26"/>
      <w:bookmarkEnd w:id="27"/>
    </w:p>
    <w:p>
      <w:pPr>
        <w:spacing w:line="600" w:lineRule="exact"/>
        <w:ind w:firstLine="643" w:firstLineChars="200"/>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2268.59</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53.06</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106.97</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4.95</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增加城乡社区环境卫生</w:t>
      </w:r>
      <w:r>
        <w:rPr>
          <w:rFonts w:hint="eastAsia" w:ascii="仿宋" w:hAnsi="仿宋" w:eastAsia="仿宋"/>
          <w:color w:val="auto"/>
          <w:sz w:val="32"/>
          <w:szCs w:val="32"/>
          <w:highlight w:val="none"/>
          <w:lang w:val="en-US" w:eastAsia="zh-CN"/>
        </w:rPr>
        <w:t>100.00万元。</w:t>
      </w:r>
    </w:p>
    <w:p>
      <w:pPr>
        <w:spacing w:line="600" w:lineRule="exact"/>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（图5：一般公共预算财政拨款支出决算变动情况）（柱状图）</w:t>
      </w:r>
    </w:p>
    <w:p>
      <w:pPr>
        <w:pStyle w:val="11"/>
        <w:rPr>
          <w:rFonts w:ascii="仿宋" w:hAnsi="仿宋" w:eastAsia="仿宋"/>
          <w:color w:val="auto"/>
          <w:sz w:val="32"/>
          <w:szCs w:val="32"/>
          <w:highlight w:val="none"/>
        </w:rPr>
      </w:pPr>
    </w:p>
    <w:p>
      <w:r>
        <w:drawing>
          <wp:inline distT="0" distB="0" distL="114300" distR="114300">
            <wp:extent cx="4572000" cy="2743200"/>
            <wp:effectExtent l="4445" t="4445" r="14605" b="14605"/>
            <wp:docPr id="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2"/>
        <w:rPr>
          <w:rFonts w:ascii="仿宋" w:hAnsi="仿宋" w:eastAsia="仿宋"/>
          <w:b/>
          <w:color w:val="auto"/>
          <w:sz w:val="32"/>
          <w:szCs w:val="32"/>
          <w:highlight w:val="none"/>
        </w:rPr>
      </w:pPr>
      <w:bookmarkStart w:id="29" w:name="_Toc15377211"/>
      <w:r>
        <w:rPr>
          <w:rFonts w:hint="eastAsia" w:ascii="仿宋" w:hAnsi="仿宋" w:eastAsia="仿宋"/>
          <w:b/>
          <w:color w:val="auto"/>
          <w:sz w:val="32"/>
          <w:szCs w:val="32"/>
          <w:highlight w:val="none"/>
        </w:rPr>
        <w:t>（二）一般公共预算财政拨款支出决算结构情况</w:t>
      </w:r>
      <w:bookmarkEnd w:id="29"/>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2268.59</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12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0.52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lang w:eastAsia="zh-CN"/>
        </w:rPr>
        <w:t>节能环保</w:t>
      </w:r>
      <w:r>
        <w:rPr>
          <w:rFonts w:hint="eastAsia" w:ascii="仿宋" w:hAnsi="仿宋" w:eastAsia="仿宋"/>
          <w:b/>
          <w:color w:val="auto"/>
          <w:sz w:val="32"/>
          <w:szCs w:val="32"/>
          <w:highlight w:val="none"/>
        </w:rPr>
        <w:t>支出</w:t>
      </w:r>
      <w:r>
        <w:rPr>
          <w:rFonts w:hint="eastAsia" w:ascii="仿宋" w:hAnsi="仿宋" w:eastAsia="仿宋"/>
          <w:color w:val="auto"/>
          <w:sz w:val="32"/>
          <w:szCs w:val="32"/>
          <w:highlight w:val="none"/>
          <w:lang w:val="en-US" w:eastAsia="zh-CN"/>
        </w:rPr>
        <w:t>38.68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lang w:eastAsia="zh-CN"/>
        </w:rPr>
        <w:t>城乡社区</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rPr>
        <w:t>1913.8万元，占</w:t>
      </w:r>
      <w:r>
        <w:rPr>
          <w:rFonts w:hint="eastAsia" w:ascii="仿宋" w:hAnsi="仿宋" w:eastAsia="仿宋"/>
          <w:color w:val="auto"/>
          <w:sz w:val="32"/>
          <w:szCs w:val="32"/>
          <w:highlight w:val="none"/>
          <w:lang w:val="en-US" w:eastAsia="zh-CN"/>
        </w:rPr>
        <w:t>84.36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lang w:eastAsia="zh-CN"/>
        </w:rPr>
        <w:t>农林水</w:t>
      </w:r>
      <w:r>
        <w:rPr>
          <w:rFonts w:hint="eastAsia" w:ascii="仿宋" w:hAnsi="仿宋" w:eastAsia="仿宋"/>
          <w:b/>
          <w:bCs/>
          <w:color w:val="auto"/>
          <w:sz w:val="32"/>
          <w:szCs w:val="32"/>
          <w:highlight w:val="none"/>
        </w:rPr>
        <w:t>支出</w:t>
      </w:r>
      <w:r>
        <w:rPr>
          <w:rFonts w:hint="eastAsia" w:ascii="仿宋" w:hAnsi="仿宋" w:eastAsia="仿宋"/>
          <w:b/>
          <w:bCs/>
          <w:color w:val="auto"/>
          <w:sz w:val="32"/>
          <w:szCs w:val="32"/>
          <w:highlight w:val="none"/>
          <w:lang w:val="en-US" w:eastAsia="zh-CN"/>
        </w:rPr>
        <w:t>5</w:t>
      </w:r>
      <w:r>
        <w:rPr>
          <w:rFonts w:hint="eastAsia" w:ascii="仿宋" w:hAnsi="仿宋" w:eastAsia="仿宋"/>
          <w:b/>
          <w:bCs/>
          <w:color w:val="auto"/>
          <w:sz w:val="32"/>
          <w:szCs w:val="32"/>
          <w:highlight w:val="none"/>
        </w:rPr>
        <w:t>万元，占</w:t>
      </w:r>
      <w:r>
        <w:rPr>
          <w:rFonts w:hint="eastAsia" w:ascii="仿宋" w:hAnsi="仿宋" w:eastAsia="仿宋"/>
          <w:b/>
          <w:bCs/>
          <w:color w:val="auto"/>
          <w:sz w:val="32"/>
          <w:szCs w:val="32"/>
          <w:highlight w:val="none"/>
          <w:lang w:val="en-US" w:eastAsia="zh-CN"/>
        </w:rPr>
        <w:t>0.22</w:t>
      </w:r>
      <w:r>
        <w:rPr>
          <w:rFonts w:ascii="仿宋" w:hAnsi="仿宋" w:eastAsia="仿宋"/>
          <w:b/>
          <w:bCs/>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76.82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3.38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42.26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1.86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w:t>
      </w:r>
      <w:r>
        <w:rPr>
          <w:rFonts w:hint="eastAsia" w:ascii="仿宋" w:hAnsi="仿宋" w:eastAsia="仿宋"/>
          <w:color w:val="auto"/>
          <w:sz w:val="32"/>
          <w:szCs w:val="32"/>
          <w:highlight w:val="none"/>
          <w:lang w:val="en-US" w:eastAsia="zh-CN"/>
        </w:rPr>
        <w:t>63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2.78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lang w:eastAsia="zh-CN"/>
        </w:rPr>
        <w:t>灾害防治及应急管理支出</w:t>
      </w:r>
      <w:r>
        <w:rPr>
          <w:rFonts w:hint="eastAsia" w:ascii="仿宋" w:hAnsi="仿宋" w:eastAsia="仿宋"/>
          <w:color w:val="auto"/>
          <w:sz w:val="32"/>
          <w:szCs w:val="32"/>
          <w:highlight w:val="none"/>
          <w:lang w:val="en-US" w:eastAsia="zh-CN"/>
        </w:rPr>
        <w:t>117.04万元，</w:t>
      </w:r>
      <w:r>
        <w:rPr>
          <w:rFonts w:hint="eastAsia" w:ascii="仿宋" w:hAnsi="仿宋" w:eastAsia="仿宋"/>
          <w:color w:val="auto"/>
          <w:sz w:val="32"/>
          <w:szCs w:val="32"/>
          <w:highlight w:val="none"/>
        </w:rPr>
        <w:t>占</w:t>
      </w:r>
      <w:r>
        <w:rPr>
          <w:rFonts w:hint="eastAsia" w:ascii="仿宋" w:hAnsi="仿宋" w:eastAsia="仿宋"/>
          <w:color w:val="auto"/>
          <w:sz w:val="32"/>
          <w:szCs w:val="32"/>
          <w:highlight w:val="none"/>
          <w:lang w:val="en-US" w:eastAsia="zh-CN"/>
        </w:rPr>
        <w:t>5.16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spacing w:line="600" w:lineRule="exact"/>
        <w:ind w:firstLine="640" w:firstLineChars="200"/>
        <w:rPr>
          <w:rFonts w:ascii="仿宋" w:hAnsi="仿宋" w:eastAsia="仿宋"/>
          <w:color w:val="auto"/>
          <w:sz w:val="32"/>
          <w:szCs w:val="32"/>
          <w:highlight w:val="none"/>
        </w:rPr>
      </w:pPr>
    </w:p>
    <w:p>
      <w:pPr>
        <w:pStyle w:val="11"/>
        <w:rPr>
          <w:rFonts w:ascii="仿宋" w:hAnsi="仿宋" w:eastAsia="仿宋"/>
          <w:color w:val="auto"/>
          <w:sz w:val="32"/>
          <w:szCs w:val="32"/>
          <w:highlight w:val="none"/>
        </w:rPr>
      </w:pPr>
    </w:p>
    <w:p>
      <w:pPr>
        <w:rPr>
          <w:rFonts w:ascii="仿宋" w:hAnsi="仿宋" w:eastAsia="仿宋"/>
          <w:color w:val="auto"/>
          <w:sz w:val="32"/>
          <w:szCs w:val="32"/>
          <w:highlight w:val="none"/>
        </w:rPr>
      </w:pPr>
    </w:p>
    <w:p>
      <w:pPr>
        <w:pStyle w:val="11"/>
        <w:rPr>
          <w:rFonts w:ascii="仿宋" w:hAnsi="仿宋" w:eastAsia="仿宋"/>
          <w:color w:val="auto"/>
          <w:sz w:val="32"/>
          <w:szCs w:val="32"/>
          <w:highlight w:val="none"/>
        </w:rPr>
      </w:pPr>
      <w:r>
        <w:drawing>
          <wp:inline distT="0" distB="0" distL="114300" distR="114300">
            <wp:extent cx="4572000" cy="2914650"/>
            <wp:effectExtent l="4445" t="4445" r="14605" b="1460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rPr>
          <w:rFonts w:ascii="仿宋" w:hAnsi="仿宋" w:eastAsia="仿宋"/>
          <w:color w:val="auto"/>
          <w:sz w:val="32"/>
          <w:szCs w:val="32"/>
          <w:highlight w:val="none"/>
        </w:rPr>
      </w:pPr>
    </w:p>
    <w:p>
      <w:pPr>
        <w:pStyle w:val="11"/>
      </w:pPr>
    </w:p>
    <w:p>
      <w:pPr>
        <w:spacing w:line="600" w:lineRule="exact"/>
        <w:ind w:firstLine="643" w:firstLineChars="200"/>
        <w:outlineLvl w:val="2"/>
        <w:rPr>
          <w:rFonts w:ascii="仿宋" w:hAnsi="仿宋" w:eastAsia="仿宋"/>
          <w:b/>
          <w:color w:val="auto"/>
          <w:sz w:val="32"/>
          <w:szCs w:val="32"/>
          <w:highlight w:val="none"/>
        </w:rPr>
      </w:pPr>
      <w:bookmarkStart w:id="30" w:name="_Toc15377212"/>
      <w:r>
        <w:rPr>
          <w:rFonts w:hint="eastAsia" w:ascii="仿宋" w:hAnsi="仿宋" w:eastAsia="仿宋"/>
          <w:b/>
          <w:color w:val="auto"/>
          <w:sz w:val="32"/>
          <w:szCs w:val="32"/>
          <w:highlight w:val="none"/>
        </w:rPr>
        <w:t>（三）一般公共预算财政拨款支出决算具体情况</w:t>
      </w:r>
      <w:bookmarkEnd w:id="30"/>
    </w:p>
    <w:p>
      <w:pPr>
        <w:spacing w:line="600" w:lineRule="exact"/>
        <w:ind w:firstLine="643" w:firstLineChars="200"/>
        <w:outlineLvl w:val="2"/>
        <w:rPr>
          <w:rFonts w:ascii="仿宋" w:hAnsi="仿宋" w:eastAsia="仿宋"/>
          <w:color w:val="auto"/>
          <w:sz w:val="32"/>
          <w:szCs w:val="32"/>
          <w:highlight w:val="none"/>
        </w:rPr>
      </w:pPr>
      <w:bookmarkStart w:id="31" w:name="_Toc15377213"/>
      <w:bookmarkStart w:id="32" w:name="_Toc15377444"/>
      <w:bookmarkStart w:id="33" w:name="_Toc15378460"/>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2268.59</w:t>
      </w:r>
      <w:r>
        <w:rPr>
          <w:rFonts w:hint="eastAsia" w:ascii="仿宋" w:hAnsi="仿宋" w:eastAsia="仿宋"/>
          <w:color w:val="auto"/>
          <w:sz w:val="32"/>
          <w:szCs w:val="32"/>
          <w:highlight w:val="none"/>
        </w:rPr>
        <w:t>，</w:t>
      </w:r>
      <w:r>
        <w:rPr>
          <w:rStyle w:val="15"/>
          <w:rFonts w:hint="eastAsia" w:ascii="仿宋" w:hAnsi="仿宋" w:eastAsia="仿宋"/>
          <w:bCs/>
          <w:color w:val="auto"/>
          <w:sz w:val="32"/>
          <w:szCs w:val="32"/>
          <w:highlight w:val="none"/>
        </w:rPr>
        <w:t>完成预算</w:t>
      </w:r>
      <w:r>
        <w:rPr>
          <w:rStyle w:val="15"/>
          <w:rFonts w:hint="eastAsia" w:ascii="仿宋" w:hAnsi="仿宋" w:eastAsia="仿宋"/>
          <w:bCs/>
          <w:color w:val="auto"/>
          <w:sz w:val="32"/>
          <w:szCs w:val="32"/>
          <w:highlight w:val="none"/>
          <w:lang w:val="en-US" w:eastAsia="zh-CN"/>
        </w:rPr>
        <w:t>100</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rPr>
        <w:t>。其中：</w:t>
      </w:r>
      <w:bookmarkEnd w:id="31"/>
      <w:bookmarkEnd w:id="32"/>
      <w:bookmarkEnd w:id="33"/>
    </w:p>
    <w:p>
      <w:pPr>
        <w:spacing w:line="600" w:lineRule="exact"/>
        <w:ind w:firstLine="643" w:firstLineChars="200"/>
        <w:rPr>
          <w:rFonts w:ascii="仿宋" w:hAnsi="仿宋" w:eastAsia="仿宋"/>
          <w:b/>
          <w:color w:val="auto"/>
          <w:sz w:val="32"/>
          <w:szCs w:val="32"/>
          <w:highlight w:val="none"/>
        </w:rPr>
      </w:pPr>
      <w:r>
        <w:rPr>
          <w:rStyle w:val="15"/>
          <w:rFonts w:ascii="仿宋" w:hAnsi="仿宋" w:eastAsia="仿宋"/>
          <w:bCs/>
          <w:color w:val="auto"/>
          <w:sz w:val="32"/>
          <w:szCs w:val="32"/>
          <w:highlight w:val="none"/>
        </w:rPr>
        <w:t>1.</w:t>
      </w:r>
      <w:r>
        <w:rPr>
          <w:rStyle w:val="15"/>
          <w:rFonts w:hint="eastAsia" w:ascii="仿宋" w:hAnsi="仿宋" w:eastAsia="仿宋"/>
          <w:bCs/>
          <w:color w:val="auto"/>
          <w:sz w:val="32"/>
          <w:szCs w:val="32"/>
          <w:highlight w:val="none"/>
        </w:rPr>
        <w:t>一般公共服务（</w:t>
      </w:r>
      <w:r>
        <w:rPr>
          <w:rStyle w:val="15"/>
          <w:rFonts w:hint="eastAsia" w:ascii="仿宋" w:hAnsi="仿宋" w:eastAsia="仿宋"/>
          <w:bCs/>
          <w:color w:val="auto"/>
          <w:sz w:val="32"/>
          <w:szCs w:val="32"/>
          <w:highlight w:val="none"/>
          <w:lang w:val="en-US" w:eastAsia="zh-CN"/>
        </w:rPr>
        <w:t>201</w:t>
      </w:r>
      <w:r>
        <w:rPr>
          <w:rStyle w:val="15"/>
          <w:rFonts w:hint="eastAsia" w:ascii="仿宋" w:hAnsi="仿宋" w:eastAsia="仿宋"/>
          <w:bCs/>
          <w:color w:val="auto"/>
          <w:sz w:val="32"/>
          <w:szCs w:val="32"/>
          <w:highlight w:val="none"/>
        </w:rPr>
        <w:t>）纪检监察事务（</w:t>
      </w:r>
      <w:r>
        <w:rPr>
          <w:rStyle w:val="15"/>
          <w:rFonts w:hint="eastAsia" w:ascii="仿宋" w:hAnsi="仿宋" w:eastAsia="仿宋"/>
          <w:bCs/>
          <w:color w:val="auto"/>
          <w:sz w:val="32"/>
          <w:szCs w:val="32"/>
          <w:highlight w:val="none"/>
          <w:lang w:val="en-US" w:eastAsia="zh-CN"/>
        </w:rPr>
        <w:t>11</w:t>
      </w:r>
      <w:r>
        <w:rPr>
          <w:rStyle w:val="15"/>
          <w:rFonts w:hint="eastAsia" w:ascii="仿宋" w:hAnsi="仿宋" w:eastAsia="仿宋"/>
          <w:bCs/>
          <w:color w:val="auto"/>
          <w:sz w:val="32"/>
          <w:szCs w:val="32"/>
          <w:highlight w:val="none"/>
        </w:rPr>
        <w:t>）派驻派出机构（</w:t>
      </w:r>
      <w:r>
        <w:rPr>
          <w:rStyle w:val="15"/>
          <w:rFonts w:hint="eastAsia" w:ascii="仿宋" w:hAnsi="仿宋" w:eastAsia="仿宋"/>
          <w:bCs/>
          <w:color w:val="auto"/>
          <w:sz w:val="32"/>
          <w:szCs w:val="32"/>
          <w:highlight w:val="none"/>
          <w:lang w:val="en-US" w:eastAsia="zh-CN"/>
        </w:rPr>
        <w:t>05</w:t>
      </w:r>
      <w:r>
        <w:rPr>
          <w:rStyle w:val="15"/>
          <w:rFonts w:hint="eastAsia" w:ascii="仿宋" w:hAnsi="仿宋" w:eastAsia="仿宋"/>
          <w:bCs/>
          <w:color w:val="auto"/>
          <w:sz w:val="32"/>
          <w:szCs w:val="32"/>
          <w:highlight w:val="none"/>
        </w:rPr>
        <w:t>）</w:t>
      </w:r>
      <w:r>
        <w:rPr>
          <w:rStyle w:val="15"/>
          <w:rFonts w:ascii="仿宋" w:hAnsi="仿宋" w:eastAsia="仿宋"/>
          <w:bCs/>
          <w:color w:val="auto"/>
          <w:sz w:val="32"/>
          <w:szCs w:val="32"/>
          <w:highlight w:val="none"/>
        </w:rPr>
        <w:t>:</w:t>
      </w:r>
      <w:r>
        <w:rPr>
          <w:rStyle w:val="15"/>
          <w:rFonts w:ascii="仿宋" w:hAnsi="仿宋" w:eastAsia="仿宋"/>
          <w:b w:val="0"/>
          <w:bCs/>
          <w:color w:val="auto"/>
          <w:sz w:val="32"/>
          <w:szCs w:val="32"/>
          <w:highlight w:val="none"/>
        </w:rPr>
        <w:t xml:space="preserve"> </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12</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5"/>
          <w:rFonts w:hint="eastAsia" w:ascii="仿宋" w:hAnsi="仿宋" w:eastAsia="仿宋"/>
          <w:bCs/>
          <w:color w:val="auto"/>
          <w:sz w:val="32"/>
          <w:szCs w:val="32"/>
          <w:highlight w:val="none"/>
          <w:lang w:val="en-US" w:eastAsia="zh-CN"/>
        </w:rPr>
        <w:t>2</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rPr>
        <w:t>社会保障和就业（</w:t>
      </w:r>
      <w:r>
        <w:rPr>
          <w:rStyle w:val="15"/>
          <w:rFonts w:hint="eastAsia" w:ascii="仿宋" w:hAnsi="仿宋" w:eastAsia="仿宋"/>
          <w:bCs/>
          <w:color w:val="auto"/>
          <w:sz w:val="32"/>
          <w:szCs w:val="32"/>
          <w:highlight w:val="none"/>
          <w:lang w:val="en-US" w:eastAsia="zh-CN"/>
        </w:rPr>
        <w:t>208</w:t>
      </w:r>
      <w:r>
        <w:rPr>
          <w:rStyle w:val="15"/>
          <w:rFonts w:hint="eastAsia" w:ascii="仿宋" w:hAnsi="仿宋" w:eastAsia="仿宋"/>
          <w:bCs/>
          <w:color w:val="auto"/>
          <w:sz w:val="32"/>
          <w:szCs w:val="32"/>
          <w:highlight w:val="none"/>
        </w:rPr>
        <w:t>）行政事业单位养老支出（</w:t>
      </w:r>
      <w:r>
        <w:rPr>
          <w:rStyle w:val="15"/>
          <w:rFonts w:hint="eastAsia" w:ascii="仿宋" w:hAnsi="仿宋" w:eastAsia="仿宋"/>
          <w:bCs/>
          <w:color w:val="auto"/>
          <w:sz w:val="32"/>
          <w:szCs w:val="32"/>
          <w:highlight w:val="none"/>
          <w:lang w:val="en-US" w:eastAsia="zh-CN"/>
        </w:rPr>
        <w:t>05</w:t>
      </w:r>
      <w:r>
        <w:rPr>
          <w:rStyle w:val="15"/>
          <w:rFonts w:hint="eastAsia" w:ascii="仿宋" w:hAnsi="仿宋" w:eastAsia="仿宋"/>
          <w:bCs/>
          <w:color w:val="auto"/>
          <w:sz w:val="32"/>
          <w:szCs w:val="32"/>
          <w:highlight w:val="none"/>
        </w:rPr>
        <w:t>）行政单位离退休（</w:t>
      </w:r>
      <w:r>
        <w:rPr>
          <w:rStyle w:val="15"/>
          <w:rFonts w:hint="eastAsia" w:ascii="仿宋" w:hAnsi="仿宋" w:eastAsia="仿宋"/>
          <w:bCs/>
          <w:color w:val="auto"/>
          <w:sz w:val="32"/>
          <w:szCs w:val="32"/>
          <w:highlight w:val="none"/>
          <w:lang w:val="en-US" w:eastAsia="zh-CN"/>
        </w:rPr>
        <w:t>01</w:t>
      </w:r>
      <w:r>
        <w:rPr>
          <w:rStyle w:val="15"/>
          <w:rFonts w:hint="eastAsia" w:ascii="仿宋" w:hAnsi="仿宋" w:eastAsia="仿宋"/>
          <w:bCs/>
          <w:color w:val="auto"/>
          <w:sz w:val="32"/>
          <w:szCs w:val="32"/>
          <w:highlight w:val="none"/>
        </w:rPr>
        <w:t>）</w:t>
      </w:r>
      <w:r>
        <w:rPr>
          <w:rStyle w:val="15"/>
          <w:rFonts w:ascii="仿宋" w:hAnsi="仿宋" w:eastAsia="仿宋"/>
          <w:bCs/>
          <w:color w:val="auto"/>
          <w:sz w:val="32"/>
          <w:szCs w:val="32"/>
          <w:highlight w:val="none"/>
        </w:rPr>
        <w:t>:</w:t>
      </w:r>
      <w:r>
        <w:rPr>
          <w:rStyle w:val="15"/>
          <w:rFonts w:ascii="仿宋" w:hAnsi="仿宋" w:eastAsia="仿宋"/>
          <w:b w:val="0"/>
          <w:bCs/>
          <w:color w:val="auto"/>
          <w:sz w:val="32"/>
          <w:szCs w:val="32"/>
          <w:highlight w:val="none"/>
        </w:rPr>
        <w:t xml:space="preserve"> </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0.98</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5"/>
          <w:rFonts w:hint="eastAsia" w:ascii="仿宋" w:hAnsi="仿宋" w:eastAsia="仿宋"/>
          <w:bCs/>
          <w:color w:val="auto"/>
          <w:sz w:val="32"/>
          <w:szCs w:val="32"/>
          <w:highlight w:val="none"/>
          <w:lang w:val="en-US" w:eastAsia="zh-CN"/>
        </w:rPr>
        <w:t>3.</w:t>
      </w:r>
      <w:r>
        <w:rPr>
          <w:rStyle w:val="15"/>
          <w:rFonts w:hint="eastAsia" w:ascii="仿宋" w:hAnsi="仿宋" w:eastAsia="仿宋"/>
          <w:bCs/>
          <w:color w:val="auto"/>
          <w:sz w:val="32"/>
          <w:szCs w:val="32"/>
          <w:highlight w:val="none"/>
        </w:rPr>
        <w:t>社会保障和就业（</w:t>
      </w:r>
      <w:r>
        <w:rPr>
          <w:rStyle w:val="15"/>
          <w:rFonts w:hint="eastAsia" w:ascii="仿宋" w:hAnsi="仿宋" w:eastAsia="仿宋"/>
          <w:bCs/>
          <w:color w:val="auto"/>
          <w:sz w:val="32"/>
          <w:szCs w:val="32"/>
          <w:highlight w:val="none"/>
          <w:lang w:val="en-US" w:eastAsia="zh-CN"/>
        </w:rPr>
        <w:t>208</w:t>
      </w:r>
      <w:r>
        <w:rPr>
          <w:rStyle w:val="15"/>
          <w:rFonts w:hint="eastAsia" w:ascii="仿宋" w:hAnsi="仿宋" w:eastAsia="仿宋"/>
          <w:bCs/>
          <w:color w:val="auto"/>
          <w:sz w:val="32"/>
          <w:szCs w:val="32"/>
          <w:highlight w:val="none"/>
        </w:rPr>
        <w:t>）行政事业单位养老支出（</w:t>
      </w:r>
      <w:r>
        <w:rPr>
          <w:rStyle w:val="15"/>
          <w:rFonts w:hint="eastAsia" w:ascii="仿宋" w:hAnsi="仿宋" w:eastAsia="仿宋"/>
          <w:bCs/>
          <w:color w:val="auto"/>
          <w:sz w:val="32"/>
          <w:szCs w:val="32"/>
          <w:highlight w:val="none"/>
          <w:lang w:val="en-US" w:eastAsia="zh-CN"/>
        </w:rPr>
        <w:t>05</w:t>
      </w:r>
      <w:r>
        <w:rPr>
          <w:rStyle w:val="15"/>
          <w:rFonts w:hint="eastAsia" w:ascii="仿宋" w:hAnsi="仿宋" w:eastAsia="仿宋"/>
          <w:bCs/>
          <w:color w:val="auto"/>
          <w:sz w:val="32"/>
          <w:szCs w:val="32"/>
          <w:highlight w:val="none"/>
        </w:rPr>
        <w:t>）机关事业单位基本养老保险缴费支出（</w:t>
      </w:r>
      <w:r>
        <w:rPr>
          <w:rStyle w:val="15"/>
          <w:rFonts w:hint="eastAsia" w:ascii="仿宋" w:hAnsi="仿宋" w:eastAsia="仿宋"/>
          <w:bCs/>
          <w:color w:val="auto"/>
          <w:sz w:val="32"/>
          <w:szCs w:val="32"/>
          <w:highlight w:val="none"/>
          <w:lang w:val="en-US" w:eastAsia="zh-CN"/>
        </w:rPr>
        <w:t>05</w:t>
      </w:r>
      <w:r>
        <w:rPr>
          <w:rStyle w:val="15"/>
          <w:rFonts w:hint="eastAsia" w:ascii="仿宋" w:hAnsi="仿宋" w:eastAsia="仿宋"/>
          <w:bCs/>
          <w:color w:val="auto"/>
          <w:sz w:val="32"/>
          <w:szCs w:val="32"/>
          <w:highlight w:val="none"/>
        </w:rPr>
        <w:t>）</w:t>
      </w:r>
      <w:r>
        <w:rPr>
          <w:rStyle w:val="15"/>
          <w:rFonts w:ascii="仿宋" w:hAnsi="仿宋" w:eastAsia="仿宋"/>
          <w:bCs/>
          <w:color w:val="auto"/>
          <w:sz w:val="32"/>
          <w:szCs w:val="32"/>
          <w:highlight w:val="none"/>
        </w:rPr>
        <w:t>:</w:t>
      </w:r>
      <w:r>
        <w:rPr>
          <w:rStyle w:val="15"/>
          <w:rFonts w:ascii="仿宋" w:hAnsi="仿宋" w:eastAsia="仿宋"/>
          <w:b w:val="0"/>
          <w:bCs/>
          <w:color w:val="auto"/>
          <w:sz w:val="32"/>
          <w:szCs w:val="32"/>
          <w:highlight w:val="none"/>
        </w:rPr>
        <w:t xml:space="preserve"> </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67.62</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p>
    <w:p>
      <w:pPr>
        <w:spacing w:line="600" w:lineRule="exact"/>
        <w:ind w:firstLine="643" w:firstLineChars="200"/>
        <w:rPr>
          <w:rStyle w:val="15"/>
          <w:rFonts w:hint="default" w:ascii="仿宋" w:hAnsi="仿宋" w:eastAsia="仿宋"/>
          <w:bCs/>
          <w:color w:val="auto"/>
          <w:sz w:val="32"/>
          <w:szCs w:val="32"/>
          <w:highlight w:val="none"/>
          <w:lang w:val="en-US" w:eastAsia="zh-CN"/>
        </w:rPr>
      </w:pPr>
      <w:r>
        <w:rPr>
          <w:rStyle w:val="15"/>
          <w:rFonts w:hint="eastAsia" w:ascii="仿宋" w:hAnsi="仿宋" w:eastAsia="仿宋"/>
          <w:bCs/>
          <w:color w:val="auto"/>
          <w:sz w:val="32"/>
          <w:szCs w:val="32"/>
          <w:highlight w:val="none"/>
          <w:lang w:val="en-US" w:eastAsia="zh-CN"/>
        </w:rPr>
        <w:t>4.</w:t>
      </w:r>
      <w:r>
        <w:rPr>
          <w:rStyle w:val="15"/>
          <w:rFonts w:hint="eastAsia" w:ascii="仿宋" w:hAnsi="仿宋" w:eastAsia="仿宋"/>
          <w:bCs/>
          <w:color w:val="auto"/>
          <w:sz w:val="32"/>
          <w:szCs w:val="32"/>
          <w:highlight w:val="none"/>
        </w:rPr>
        <w:t>社会保障和就业（</w:t>
      </w:r>
      <w:r>
        <w:rPr>
          <w:rStyle w:val="15"/>
          <w:rFonts w:hint="eastAsia" w:ascii="仿宋" w:hAnsi="仿宋" w:eastAsia="仿宋"/>
          <w:bCs/>
          <w:color w:val="auto"/>
          <w:sz w:val="32"/>
          <w:szCs w:val="32"/>
          <w:highlight w:val="none"/>
          <w:lang w:val="en-US" w:eastAsia="zh-CN"/>
        </w:rPr>
        <w:t>208</w:t>
      </w:r>
      <w:r>
        <w:rPr>
          <w:rStyle w:val="15"/>
          <w:rFonts w:hint="eastAsia" w:ascii="仿宋" w:hAnsi="仿宋" w:eastAsia="仿宋"/>
          <w:bCs/>
          <w:color w:val="auto"/>
          <w:sz w:val="32"/>
          <w:szCs w:val="32"/>
          <w:highlight w:val="none"/>
        </w:rPr>
        <w:t>）</w:t>
      </w:r>
      <w:r>
        <w:rPr>
          <w:rStyle w:val="15"/>
          <w:rFonts w:hint="eastAsia" w:ascii="仿宋" w:hAnsi="仿宋" w:eastAsia="仿宋"/>
          <w:bCs/>
          <w:color w:val="auto"/>
          <w:sz w:val="32"/>
          <w:szCs w:val="32"/>
          <w:highlight w:val="none"/>
          <w:lang w:eastAsia="zh-CN"/>
        </w:rPr>
        <w:t>抚恤</w:t>
      </w:r>
      <w:r>
        <w:rPr>
          <w:rStyle w:val="15"/>
          <w:rFonts w:hint="eastAsia" w:ascii="仿宋" w:hAnsi="仿宋" w:eastAsia="仿宋"/>
          <w:bCs/>
          <w:color w:val="auto"/>
          <w:sz w:val="32"/>
          <w:szCs w:val="32"/>
          <w:highlight w:val="none"/>
        </w:rPr>
        <w:t>（</w:t>
      </w:r>
      <w:r>
        <w:rPr>
          <w:rStyle w:val="15"/>
          <w:rFonts w:hint="eastAsia" w:ascii="仿宋" w:hAnsi="仿宋" w:eastAsia="仿宋"/>
          <w:bCs/>
          <w:color w:val="auto"/>
          <w:sz w:val="32"/>
          <w:szCs w:val="32"/>
          <w:highlight w:val="none"/>
          <w:lang w:val="en-US" w:eastAsia="zh-CN"/>
        </w:rPr>
        <w:t>08</w:t>
      </w:r>
      <w:r>
        <w:rPr>
          <w:rStyle w:val="15"/>
          <w:rFonts w:hint="eastAsia" w:ascii="仿宋" w:hAnsi="仿宋" w:eastAsia="仿宋"/>
          <w:bCs/>
          <w:color w:val="auto"/>
          <w:sz w:val="32"/>
          <w:szCs w:val="32"/>
          <w:highlight w:val="none"/>
        </w:rPr>
        <w:t>）机关事业单位基</w:t>
      </w:r>
      <w:r>
        <w:rPr>
          <w:rStyle w:val="15"/>
          <w:rFonts w:hint="eastAsia" w:ascii="仿宋" w:hAnsi="仿宋" w:eastAsia="仿宋"/>
          <w:bCs/>
          <w:color w:val="auto"/>
          <w:sz w:val="32"/>
          <w:szCs w:val="32"/>
          <w:highlight w:val="none"/>
          <w:lang w:eastAsia="zh-CN"/>
        </w:rPr>
        <w:t>伤残抚恤</w:t>
      </w:r>
      <w:r>
        <w:rPr>
          <w:rStyle w:val="15"/>
          <w:rFonts w:hint="eastAsia" w:ascii="仿宋" w:hAnsi="仿宋" w:eastAsia="仿宋"/>
          <w:bCs/>
          <w:color w:val="auto"/>
          <w:sz w:val="32"/>
          <w:szCs w:val="32"/>
          <w:highlight w:val="none"/>
        </w:rPr>
        <w:t>（</w:t>
      </w:r>
      <w:r>
        <w:rPr>
          <w:rStyle w:val="15"/>
          <w:rFonts w:hint="eastAsia" w:ascii="仿宋" w:hAnsi="仿宋" w:eastAsia="仿宋"/>
          <w:bCs/>
          <w:color w:val="auto"/>
          <w:sz w:val="32"/>
          <w:szCs w:val="32"/>
          <w:highlight w:val="none"/>
          <w:lang w:val="en-US" w:eastAsia="zh-CN"/>
        </w:rPr>
        <w:t>02</w:t>
      </w:r>
      <w:r>
        <w:rPr>
          <w:rStyle w:val="15"/>
          <w:rFonts w:hint="eastAsia" w:ascii="仿宋" w:hAnsi="仿宋" w:eastAsia="仿宋"/>
          <w:bCs/>
          <w:color w:val="auto"/>
          <w:sz w:val="32"/>
          <w:szCs w:val="32"/>
          <w:highlight w:val="none"/>
        </w:rPr>
        <w:t>）</w:t>
      </w:r>
      <w:r>
        <w:rPr>
          <w:rStyle w:val="15"/>
          <w:rFonts w:ascii="仿宋" w:hAnsi="仿宋" w:eastAsia="仿宋"/>
          <w:bCs/>
          <w:color w:val="auto"/>
          <w:sz w:val="32"/>
          <w:szCs w:val="32"/>
          <w:highlight w:val="none"/>
        </w:rPr>
        <w:t>:</w:t>
      </w:r>
      <w:r>
        <w:rPr>
          <w:rStyle w:val="15"/>
          <w:rFonts w:ascii="仿宋" w:hAnsi="仿宋" w:eastAsia="仿宋"/>
          <w:b w:val="0"/>
          <w:bCs/>
          <w:color w:val="auto"/>
          <w:sz w:val="32"/>
          <w:szCs w:val="32"/>
          <w:highlight w:val="none"/>
        </w:rPr>
        <w:t xml:space="preserve"> </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8.22</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5"/>
          <w:rFonts w:ascii="仿宋" w:hAnsi="仿宋" w:eastAsia="仿宋"/>
          <w:bCs/>
          <w:color w:val="auto"/>
          <w:sz w:val="32"/>
          <w:szCs w:val="32"/>
          <w:highlight w:val="none"/>
        </w:rPr>
        <w:t>6.</w:t>
      </w:r>
      <w:r>
        <w:rPr>
          <w:rFonts w:hint="eastAsia" w:ascii="仿宋" w:hAnsi="仿宋" w:eastAsia="仿宋"/>
          <w:b/>
          <w:bCs/>
          <w:color w:val="auto"/>
          <w:sz w:val="32"/>
          <w:szCs w:val="32"/>
          <w:highlight w:val="none"/>
        </w:rPr>
        <w:t>卫生健康</w:t>
      </w:r>
      <w:r>
        <w:rPr>
          <w:rStyle w:val="15"/>
          <w:rFonts w:hint="eastAsia" w:ascii="仿宋" w:hAnsi="仿宋" w:eastAsia="仿宋"/>
          <w:bCs/>
          <w:color w:val="auto"/>
          <w:sz w:val="32"/>
          <w:szCs w:val="32"/>
          <w:highlight w:val="none"/>
        </w:rPr>
        <w:t>（</w:t>
      </w:r>
      <w:r>
        <w:rPr>
          <w:rStyle w:val="15"/>
          <w:rFonts w:hint="eastAsia" w:ascii="仿宋" w:hAnsi="仿宋" w:eastAsia="仿宋"/>
          <w:bCs/>
          <w:color w:val="auto"/>
          <w:sz w:val="32"/>
          <w:szCs w:val="32"/>
          <w:highlight w:val="none"/>
          <w:lang w:val="en-US" w:eastAsia="zh-CN"/>
        </w:rPr>
        <w:t>210</w:t>
      </w:r>
      <w:r>
        <w:rPr>
          <w:rStyle w:val="15"/>
          <w:rFonts w:hint="eastAsia" w:ascii="仿宋" w:hAnsi="仿宋" w:eastAsia="仿宋"/>
          <w:bCs/>
          <w:color w:val="auto"/>
          <w:sz w:val="32"/>
          <w:szCs w:val="32"/>
          <w:highlight w:val="none"/>
        </w:rPr>
        <w:t>）行政事业单位医疗（</w:t>
      </w:r>
      <w:r>
        <w:rPr>
          <w:rStyle w:val="15"/>
          <w:rFonts w:hint="eastAsia" w:ascii="仿宋" w:hAnsi="仿宋" w:eastAsia="仿宋"/>
          <w:bCs/>
          <w:color w:val="auto"/>
          <w:sz w:val="32"/>
          <w:szCs w:val="32"/>
          <w:highlight w:val="none"/>
          <w:lang w:val="en-US" w:eastAsia="zh-CN"/>
        </w:rPr>
        <w:t>11</w:t>
      </w:r>
      <w:r>
        <w:rPr>
          <w:rStyle w:val="15"/>
          <w:rFonts w:hint="eastAsia" w:ascii="仿宋" w:hAnsi="仿宋" w:eastAsia="仿宋"/>
          <w:bCs/>
          <w:color w:val="auto"/>
          <w:sz w:val="32"/>
          <w:szCs w:val="32"/>
          <w:highlight w:val="none"/>
        </w:rPr>
        <w:t>）行政单位医疗（</w:t>
      </w:r>
      <w:r>
        <w:rPr>
          <w:rStyle w:val="15"/>
          <w:rFonts w:hint="eastAsia" w:ascii="仿宋" w:hAnsi="仿宋" w:eastAsia="仿宋"/>
          <w:bCs/>
          <w:color w:val="auto"/>
          <w:sz w:val="32"/>
          <w:szCs w:val="32"/>
          <w:highlight w:val="none"/>
          <w:lang w:val="en-US" w:eastAsia="zh-CN"/>
        </w:rPr>
        <w:t>01</w:t>
      </w:r>
      <w:r>
        <w:rPr>
          <w:rStyle w:val="15"/>
          <w:rFonts w:hint="eastAsia" w:ascii="仿宋" w:hAnsi="仿宋" w:eastAsia="仿宋"/>
          <w:bCs/>
          <w:color w:val="auto"/>
          <w:sz w:val="32"/>
          <w:szCs w:val="32"/>
          <w:highlight w:val="none"/>
        </w:rPr>
        <w:t>）</w:t>
      </w:r>
      <w:r>
        <w:rPr>
          <w:rStyle w:val="15"/>
          <w:rFonts w:ascii="仿宋" w:hAnsi="仿宋" w:eastAsia="仿宋"/>
          <w:bCs/>
          <w:color w:val="auto"/>
          <w:sz w:val="32"/>
          <w:szCs w:val="32"/>
          <w:highlight w:val="none"/>
        </w:rPr>
        <w:t>:</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29.58</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p>
    <w:p>
      <w:pPr>
        <w:spacing w:line="600" w:lineRule="exact"/>
        <w:ind w:firstLine="640" w:firstLineChars="200"/>
        <w:rPr>
          <w:rStyle w:val="15"/>
          <w:rFonts w:hint="eastAsia" w:ascii="仿宋" w:hAnsi="仿宋" w:eastAsia="仿宋"/>
          <w:b w:val="0"/>
          <w:bCs/>
          <w:color w:val="auto"/>
          <w:sz w:val="32"/>
          <w:szCs w:val="32"/>
          <w:highlight w:val="none"/>
        </w:rPr>
      </w:pPr>
      <w:r>
        <w:rPr>
          <w:rFonts w:hint="eastAsia" w:ascii="仿宋" w:hAnsi="仿宋" w:eastAsia="仿宋"/>
          <w:color w:val="auto"/>
          <w:sz w:val="32"/>
          <w:szCs w:val="32"/>
          <w:highlight w:val="none"/>
          <w:lang w:val="en-US" w:eastAsia="zh-CN"/>
        </w:rPr>
        <w:t>7.</w:t>
      </w:r>
      <w:r>
        <w:rPr>
          <w:rFonts w:hint="eastAsia" w:ascii="仿宋" w:hAnsi="仿宋" w:eastAsia="仿宋"/>
          <w:b/>
          <w:bCs/>
          <w:color w:val="auto"/>
          <w:sz w:val="32"/>
          <w:szCs w:val="32"/>
          <w:highlight w:val="none"/>
        </w:rPr>
        <w:t>卫生健康</w:t>
      </w:r>
      <w:r>
        <w:rPr>
          <w:rStyle w:val="15"/>
          <w:rFonts w:hint="eastAsia" w:ascii="仿宋" w:hAnsi="仿宋" w:eastAsia="仿宋"/>
          <w:bCs/>
          <w:color w:val="auto"/>
          <w:sz w:val="32"/>
          <w:szCs w:val="32"/>
          <w:highlight w:val="none"/>
        </w:rPr>
        <w:t>（</w:t>
      </w:r>
      <w:r>
        <w:rPr>
          <w:rStyle w:val="15"/>
          <w:rFonts w:hint="eastAsia" w:ascii="仿宋" w:hAnsi="仿宋" w:eastAsia="仿宋"/>
          <w:bCs/>
          <w:color w:val="auto"/>
          <w:sz w:val="32"/>
          <w:szCs w:val="32"/>
          <w:highlight w:val="none"/>
          <w:lang w:val="en-US" w:eastAsia="zh-CN"/>
        </w:rPr>
        <w:t>210</w:t>
      </w:r>
      <w:r>
        <w:rPr>
          <w:rStyle w:val="15"/>
          <w:rFonts w:hint="eastAsia" w:ascii="仿宋" w:hAnsi="仿宋" w:eastAsia="仿宋"/>
          <w:bCs/>
          <w:color w:val="auto"/>
          <w:sz w:val="32"/>
          <w:szCs w:val="32"/>
          <w:highlight w:val="none"/>
        </w:rPr>
        <w:t>）行政事业单位医疗（</w:t>
      </w:r>
      <w:r>
        <w:rPr>
          <w:rStyle w:val="15"/>
          <w:rFonts w:hint="eastAsia" w:ascii="仿宋" w:hAnsi="仿宋" w:eastAsia="仿宋"/>
          <w:bCs/>
          <w:color w:val="auto"/>
          <w:sz w:val="32"/>
          <w:szCs w:val="32"/>
          <w:highlight w:val="none"/>
          <w:lang w:val="en-US" w:eastAsia="zh-CN"/>
        </w:rPr>
        <w:t>11</w:t>
      </w:r>
      <w:r>
        <w:rPr>
          <w:rStyle w:val="15"/>
          <w:rFonts w:hint="eastAsia" w:ascii="仿宋" w:hAnsi="仿宋" w:eastAsia="仿宋"/>
          <w:bCs/>
          <w:color w:val="auto"/>
          <w:sz w:val="32"/>
          <w:szCs w:val="32"/>
          <w:highlight w:val="none"/>
        </w:rPr>
        <w:t>）</w:t>
      </w:r>
      <w:r>
        <w:rPr>
          <w:rStyle w:val="15"/>
          <w:rFonts w:hint="eastAsia" w:ascii="仿宋" w:hAnsi="仿宋" w:eastAsia="仿宋"/>
          <w:bCs/>
          <w:color w:val="auto"/>
          <w:sz w:val="32"/>
          <w:szCs w:val="32"/>
          <w:highlight w:val="none"/>
          <w:lang w:eastAsia="zh-CN"/>
        </w:rPr>
        <w:t>公务员医疗补助</w:t>
      </w:r>
      <w:r>
        <w:rPr>
          <w:rStyle w:val="15"/>
          <w:rFonts w:hint="eastAsia" w:ascii="仿宋" w:hAnsi="仿宋" w:eastAsia="仿宋"/>
          <w:bCs/>
          <w:color w:val="auto"/>
          <w:sz w:val="32"/>
          <w:szCs w:val="32"/>
          <w:highlight w:val="none"/>
        </w:rPr>
        <w:t>（</w:t>
      </w:r>
      <w:r>
        <w:rPr>
          <w:rStyle w:val="15"/>
          <w:rFonts w:hint="eastAsia" w:ascii="仿宋" w:hAnsi="仿宋" w:eastAsia="仿宋"/>
          <w:bCs/>
          <w:color w:val="auto"/>
          <w:sz w:val="32"/>
          <w:szCs w:val="32"/>
          <w:highlight w:val="none"/>
          <w:lang w:val="en-US" w:eastAsia="zh-CN"/>
        </w:rPr>
        <w:t>03</w:t>
      </w:r>
      <w:r>
        <w:rPr>
          <w:rStyle w:val="15"/>
          <w:rFonts w:hint="eastAsia" w:ascii="仿宋" w:hAnsi="仿宋" w:eastAsia="仿宋"/>
          <w:bCs/>
          <w:color w:val="auto"/>
          <w:sz w:val="32"/>
          <w:szCs w:val="32"/>
          <w:highlight w:val="none"/>
        </w:rPr>
        <w:t>）</w:t>
      </w:r>
      <w:r>
        <w:rPr>
          <w:rStyle w:val="15"/>
          <w:rFonts w:ascii="仿宋" w:hAnsi="仿宋" w:eastAsia="仿宋"/>
          <w:bCs/>
          <w:color w:val="auto"/>
          <w:sz w:val="32"/>
          <w:szCs w:val="32"/>
          <w:highlight w:val="none"/>
        </w:rPr>
        <w:t>:</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12.68</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p>
    <w:p>
      <w:pPr>
        <w:spacing w:line="600" w:lineRule="exact"/>
        <w:ind w:firstLine="640" w:firstLineChars="200"/>
        <w:rPr>
          <w:rStyle w:val="15"/>
          <w:rFonts w:hint="eastAsia" w:ascii="仿宋" w:hAnsi="仿宋" w:eastAsia="仿宋"/>
          <w:b w:val="0"/>
          <w:bCs/>
          <w:color w:val="auto"/>
          <w:sz w:val="32"/>
          <w:szCs w:val="32"/>
          <w:highlight w:val="none"/>
        </w:rPr>
      </w:pPr>
      <w:r>
        <w:rPr>
          <w:rStyle w:val="15"/>
          <w:rFonts w:hint="eastAsia" w:ascii="仿宋" w:hAnsi="仿宋" w:eastAsia="仿宋"/>
          <w:b w:val="0"/>
          <w:bCs/>
          <w:color w:val="auto"/>
          <w:sz w:val="32"/>
          <w:szCs w:val="32"/>
          <w:highlight w:val="none"/>
          <w:lang w:val="en-US" w:eastAsia="zh-CN"/>
        </w:rPr>
        <w:t>8.</w:t>
      </w:r>
      <w:r>
        <w:rPr>
          <w:rFonts w:hint="eastAsia" w:ascii="仿宋" w:hAnsi="仿宋" w:eastAsia="仿宋"/>
          <w:b/>
          <w:bCs/>
          <w:color w:val="auto"/>
          <w:sz w:val="32"/>
          <w:szCs w:val="32"/>
          <w:highlight w:val="none"/>
          <w:lang w:eastAsia="zh-CN"/>
        </w:rPr>
        <w:t>节能环保支出</w:t>
      </w:r>
      <w:r>
        <w:rPr>
          <w:rStyle w:val="15"/>
          <w:rFonts w:hint="eastAsia" w:ascii="仿宋" w:hAnsi="仿宋" w:eastAsia="仿宋"/>
          <w:bCs/>
          <w:color w:val="auto"/>
          <w:sz w:val="32"/>
          <w:szCs w:val="32"/>
          <w:highlight w:val="none"/>
        </w:rPr>
        <w:t>（</w:t>
      </w:r>
      <w:r>
        <w:rPr>
          <w:rStyle w:val="15"/>
          <w:rFonts w:hint="eastAsia" w:ascii="仿宋" w:hAnsi="仿宋" w:eastAsia="仿宋"/>
          <w:bCs/>
          <w:color w:val="auto"/>
          <w:sz w:val="32"/>
          <w:szCs w:val="32"/>
          <w:highlight w:val="none"/>
          <w:lang w:val="en-US" w:eastAsia="zh-CN"/>
        </w:rPr>
        <w:t>211</w:t>
      </w:r>
      <w:r>
        <w:rPr>
          <w:rStyle w:val="15"/>
          <w:rFonts w:hint="eastAsia" w:ascii="仿宋" w:hAnsi="仿宋" w:eastAsia="仿宋"/>
          <w:bCs/>
          <w:color w:val="auto"/>
          <w:sz w:val="32"/>
          <w:szCs w:val="32"/>
          <w:highlight w:val="none"/>
        </w:rPr>
        <w:t>）</w:t>
      </w:r>
      <w:r>
        <w:rPr>
          <w:rStyle w:val="15"/>
          <w:rFonts w:hint="eastAsia" w:ascii="仿宋" w:hAnsi="仿宋" w:eastAsia="仿宋"/>
          <w:bCs/>
          <w:color w:val="auto"/>
          <w:sz w:val="32"/>
          <w:szCs w:val="32"/>
          <w:highlight w:val="none"/>
          <w:lang w:eastAsia="zh-CN"/>
        </w:rPr>
        <w:t>其他</w:t>
      </w:r>
      <w:r>
        <w:rPr>
          <w:rFonts w:hint="eastAsia" w:ascii="仿宋" w:hAnsi="仿宋" w:eastAsia="仿宋"/>
          <w:b/>
          <w:bCs/>
          <w:color w:val="auto"/>
          <w:sz w:val="32"/>
          <w:szCs w:val="32"/>
          <w:highlight w:val="none"/>
          <w:lang w:eastAsia="zh-CN"/>
        </w:rPr>
        <w:t>节能环保支出</w:t>
      </w:r>
      <w:r>
        <w:rPr>
          <w:rStyle w:val="15"/>
          <w:rFonts w:hint="eastAsia" w:ascii="仿宋" w:hAnsi="仿宋" w:eastAsia="仿宋"/>
          <w:bCs/>
          <w:color w:val="auto"/>
          <w:sz w:val="32"/>
          <w:szCs w:val="32"/>
          <w:highlight w:val="none"/>
        </w:rPr>
        <w:t>（</w:t>
      </w:r>
      <w:r>
        <w:rPr>
          <w:rStyle w:val="15"/>
          <w:rFonts w:hint="eastAsia" w:ascii="仿宋" w:hAnsi="仿宋" w:eastAsia="仿宋"/>
          <w:bCs/>
          <w:color w:val="auto"/>
          <w:sz w:val="32"/>
          <w:szCs w:val="32"/>
          <w:highlight w:val="none"/>
          <w:lang w:val="en-US" w:eastAsia="zh-CN"/>
        </w:rPr>
        <w:t>99</w:t>
      </w:r>
      <w:r>
        <w:rPr>
          <w:rStyle w:val="15"/>
          <w:rFonts w:hint="eastAsia" w:ascii="仿宋" w:hAnsi="仿宋" w:eastAsia="仿宋"/>
          <w:bCs/>
          <w:color w:val="auto"/>
          <w:sz w:val="32"/>
          <w:szCs w:val="32"/>
          <w:highlight w:val="none"/>
        </w:rPr>
        <w:t>）</w:t>
      </w:r>
      <w:r>
        <w:rPr>
          <w:rStyle w:val="15"/>
          <w:rFonts w:hint="eastAsia" w:ascii="仿宋" w:hAnsi="仿宋" w:eastAsia="仿宋"/>
          <w:bCs/>
          <w:color w:val="auto"/>
          <w:sz w:val="32"/>
          <w:szCs w:val="32"/>
          <w:highlight w:val="none"/>
          <w:lang w:eastAsia="zh-CN"/>
        </w:rPr>
        <w:t>其他</w:t>
      </w:r>
      <w:r>
        <w:rPr>
          <w:rFonts w:hint="eastAsia" w:ascii="仿宋" w:hAnsi="仿宋" w:eastAsia="仿宋"/>
          <w:b/>
          <w:bCs/>
          <w:color w:val="auto"/>
          <w:sz w:val="32"/>
          <w:szCs w:val="32"/>
          <w:highlight w:val="none"/>
          <w:lang w:eastAsia="zh-CN"/>
        </w:rPr>
        <w:t>节能环保支出</w:t>
      </w:r>
      <w:r>
        <w:rPr>
          <w:rStyle w:val="15"/>
          <w:rFonts w:hint="eastAsia" w:ascii="仿宋" w:hAnsi="仿宋" w:eastAsia="仿宋"/>
          <w:bCs/>
          <w:color w:val="auto"/>
          <w:sz w:val="32"/>
          <w:szCs w:val="32"/>
          <w:highlight w:val="none"/>
        </w:rPr>
        <w:t>（</w:t>
      </w:r>
      <w:r>
        <w:rPr>
          <w:rStyle w:val="15"/>
          <w:rFonts w:hint="eastAsia" w:ascii="仿宋" w:hAnsi="仿宋" w:eastAsia="仿宋"/>
          <w:bCs/>
          <w:color w:val="auto"/>
          <w:sz w:val="32"/>
          <w:szCs w:val="32"/>
          <w:highlight w:val="none"/>
          <w:lang w:val="en-US" w:eastAsia="zh-CN"/>
        </w:rPr>
        <w:t>99</w:t>
      </w:r>
      <w:r>
        <w:rPr>
          <w:rStyle w:val="15"/>
          <w:rFonts w:hint="eastAsia" w:ascii="仿宋" w:hAnsi="仿宋" w:eastAsia="仿宋"/>
          <w:bCs/>
          <w:color w:val="auto"/>
          <w:sz w:val="32"/>
          <w:szCs w:val="32"/>
          <w:highlight w:val="none"/>
        </w:rPr>
        <w:t>）</w:t>
      </w:r>
      <w:r>
        <w:rPr>
          <w:rStyle w:val="15"/>
          <w:rFonts w:ascii="仿宋" w:hAnsi="仿宋" w:eastAsia="仿宋"/>
          <w:bCs/>
          <w:color w:val="auto"/>
          <w:sz w:val="32"/>
          <w:szCs w:val="32"/>
          <w:highlight w:val="none"/>
        </w:rPr>
        <w:t>:</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38.68</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p>
    <w:p>
      <w:pPr>
        <w:spacing w:line="600" w:lineRule="exact"/>
        <w:ind w:firstLine="643" w:firstLineChars="200"/>
        <w:rPr>
          <w:rStyle w:val="15"/>
          <w:rFonts w:hint="eastAsia" w:ascii="仿宋" w:hAnsi="仿宋" w:eastAsia="仿宋" w:cstheme="minorBidi"/>
          <w:b w:val="0"/>
          <w:bCs/>
          <w:color w:val="auto"/>
          <w:sz w:val="32"/>
          <w:szCs w:val="32"/>
          <w:highlight w:val="none"/>
          <w:lang w:val="en-US" w:eastAsia="zh-CN"/>
        </w:rPr>
      </w:pPr>
      <w:r>
        <w:rPr>
          <w:rFonts w:hint="eastAsia" w:ascii="仿宋" w:hAnsi="仿宋" w:eastAsia="仿宋"/>
          <w:b/>
          <w:bCs/>
          <w:color w:val="auto"/>
          <w:sz w:val="32"/>
          <w:szCs w:val="32"/>
          <w:highlight w:val="none"/>
          <w:lang w:val="en-US" w:eastAsia="zh-CN"/>
        </w:rPr>
        <w:t>9.城乡社区支出（212）城乡社区管理事务（01） 行政运行（01）</w:t>
      </w:r>
      <w:r>
        <w:rPr>
          <w:rStyle w:val="15"/>
          <w:rFonts w:hint="eastAsia" w:ascii="仿宋" w:hAnsi="仿宋" w:eastAsia="仿宋" w:cstheme="minorBidi"/>
          <w:b w:val="0"/>
          <w:bCs/>
          <w:color w:val="auto"/>
          <w:sz w:val="32"/>
          <w:szCs w:val="32"/>
          <w:highlight w:val="none"/>
          <w:lang w:val="en-US" w:eastAsia="zh-CN"/>
        </w:rPr>
        <w:t>:支出决算为30.22万元，完成预算100%。</w:t>
      </w:r>
    </w:p>
    <w:p>
      <w:pPr>
        <w:spacing w:line="600" w:lineRule="exact"/>
        <w:ind w:firstLine="643" w:firstLineChars="200"/>
        <w:rPr>
          <w:rStyle w:val="15"/>
          <w:rFonts w:hint="eastAsia" w:ascii="仿宋" w:hAnsi="仿宋" w:eastAsia="仿宋" w:cstheme="minorBidi"/>
          <w:b w:val="0"/>
          <w:bCs/>
          <w:color w:val="auto"/>
          <w:sz w:val="32"/>
          <w:szCs w:val="32"/>
          <w:highlight w:val="none"/>
          <w:lang w:val="en-US" w:eastAsia="zh-CN"/>
        </w:rPr>
      </w:pPr>
      <w:r>
        <w:rPr>
          <w:rFonts w:hint="eastAsia" w:ascii="仿宋" w:hAnsi="仿宋" w:eastAsia="仿宋"/>
          <w:b/>
          <w:bCs/>
          <w:color w:val="auto"/>
          <w:sz w:val="32"/>
          <w:szCs w:val="32"/>
          <w:highlight w:val="none"/>
          <w:lang w:val="en-US" w:eastAsia="zh-CN"/>
        </w:rPr>
        <w:t>10.城乡社区支出（212）城乡社区管理事务（01） 城管执法（04）</w:t>
      </w:r>
      <w:r>
        <w:rPr>
          <w:rStyle w:val="15"/>
          <w:rFonts w:hint="eastAsia" w:ascii="仿宋" w:hAnsi="仿宋" w:eastAsia="仿宋" w:cstheme="minorBidi"/>
          <w:b w:val="0"/>
          <w:bCs/>
          <w:color w:val="auto"/>
          <w:sz w:val="32"/>
          <w:szCs w:val="32"/>
          <w:highlight w:val="none"/>
          <w:lang w:val="en-US" w:eastAsia="zh-CN"/>
        </w:rPr>
        <w:t>:支出决算为1744.58万元，完成预算100%。</w:t>
      </w:r>
    </w:p>
    <w:p>
      <w:pPr>
        <w:spacing w:line="600" w:lineRule="exact"/>
        <w:ind w:firstLine="643" w:firstLineChars="200"/>
        <w:rPr>
          <w:rStyle w:val="15"/>
          <w:rFonts w:hint="eastAsia" w:ascii="仿宋" w:hAnsi="仿宋" w:eastAsia="仿宋" w:cstheme="minorBidi"/>
          <w:b w:val="0"/>
          <w:bCs/>
          <w:color w:val="auto"/>
          <w:sz w:val="32"/>
          <w:szCs w:val="32"/>
          <w:highlight w:val="none"/>
          <w:lang w:val="en-US" w:eastAsia="zh-CN"/>
        </w:rPr>
      </w:pPr>
      <w:r>
        <w:rPr>
          <w:rFonts w:hint="eastAsia" w:ascii="仿宋" w:hAnsi="仿宋" w:eastAsia="仿宋"/>
          <w:b/>
          <w:bCs/>
          <w:color w:val="auto"/>
          <w:sz w:val="32"/>
          <w:szCs w:val="32"/>
          <w:highlight w:val="none"/>
          <w:lang w:val="en-US" w:eastAsia="zh-CN"/>
        </w:rPr>
        <w:t>11.城乡社区支出（212）城乡社区环境卫生（05）城乡社区环境卫生（01）</w:t>
      </w:r>
      <w:r>
        <w:rPr>
          <w:rStyle w:val="15"/>
          <w:rFonts w:hint="eastAsia" w:ascii="仿宋" w:hAnsi="仿宋" w:eastAsia="仿宋" w:cstheme="minorBidi"/>
          <w:b w:val="0"/>
          <w:bCs/>
          <w:color w:val="auto"/>
          <w:sz w:val="32"/>
          <w:szCs w:val="32"/>
          <w:highlight w:val="none"/>
          <w:lang w:val="en-US" w:eastAsia="zh-CN"/>
        </w:rPr>
        <w:t>：支出决算为139万元，完成预算100%。</w:t>
      </w:r>
    </w:p>
    <w:p>
      <w:pPr>
        <w:spacing w:line="600" w:lineRule="exact"/>
        <w:ind w:firstLine="643" w:firstLineChars="200"/>
        <w:rPr>
          <w:rStyle w:val="15"/>
          <w:rFonts w:hint="eastAsia" w:ascii="仿宋" w:hAnsi="仿宋" w:eastAsia="仿宋" w:cstheme="minorBidi"/>
          <w:b w:val="0"/>
          <w:bCs/>
          <w:color w:val="auto"/>
          <w:sz w:val="32"/>
          <w:szCs w:val="32"/>
          <w:highlight w:val="none"/>
          <w:lang w:val="en-US" w:eastAsia="zh-CN"/>
        </w:rPr>
      </w:pPr>
      <w:r>
        <w:rPr>
          <w:rFonts w:hint="eastAsia" w:ascii="仿宋" w:hAnsi="仿宋" w:eastAsia="仿宋"/>
          <w:b/>
          <w:bCs/>
          <w:color w:val="auto"/>
          <w:sz w:val="32"/>
          <w:szCs w:val="32"/>
          <w:highlight w:val="none"/>
          <w:lang w:val="en-US" w:eastAsia="zh-CN"/>
        </w:rPr>
        <w:t>12.农林水支出（213）农业农村（01）其他农业农村支出（99）：</w:t>
      </w:r>
      <w:r>
        <w:rPr>
          <w:rStyle w:val="15"/>
          <w:rFonts w:hint="eastAsia" w:ascii="仿宋" w:hAnsi="仿宋" w:eastAsia="仿宋" w:cstheme="minorBidi"/>
          <w:b w:val="0"/>
          <w:bCs/>
          <w:color w:val="auto"/>
          <w:sz w:val="32"/>
          <w:szCs w:val="32"/>
          <w:highlight w:val="none"/>
          <w:lang w:val="en-US" w:eastAsia="zh-CN"/>
        </w:rPr>
        <w:t>支出决算为5万元，完成预算100%。</w:t>
      </w:r>
    </w:p>
    <w:p>
      <w:pPr>
        <w:spacing w:line="600" w:lineRule="exact"/>
        <w:ind w:firstLine="643" w:firstLineChars="200"/>
        <w:rPr>
          <w:rStyle w:val="15"/>
          <w:rFonts w:hint="eastAsia" w:ascii="仿宋" w:hAnsi="仿宋" w:eastAsia="仿宋" w:cstheme="minorBidi"/>
          <w:b w:val="0"/>
          <w:bCs/>
          <w:color w:val="auto"/>
          <w:sz w:val="32"/>
          <w:szCs w:val="32"/>
          <w:highlight w:val="none"/>
          <w:lang w:val="en-US" w:eastAsia="zh-CN"/>
        </w:rPr>
      </w:pPr>
      <w:r>
        <w:rPr>
          <w:rFonts w:hint="eastAsia" w:ascii="仿宋" w:hAnsi="仿宋" w:eastAsia="仿宋"/>
          <w:b/>
          <w:bCs/>
          <w:color w:val="auto"/>
          <w:sz w:val="32"/>
          <w:szCs w:val="32"/>
          <w:highlight w:val="none"/>
          <w:lang w:val="en-US" w:eastAsia="zh-CN"/>
        </w:rPr>
        <w:t>13.住房保障支出（221）住房改革支出（02）住房公积金（01）</w:t>
      </w:r>
      <w:r>
        <w:rPr>
          <w:rStyle w:val="15"/>
          <w:rFonts w:hint="eastAsia" w:ascii="仿宋" w:hAnsi="仿宋" w:eastAsia="仿宋" w:cstheme="minorBidi"/>
          <w:b w:val="0"/>
          <w:bCs/>
          <w:color w:val="auto"/>
          <w:sz w:val="32"/>
          <w:szCs w:val="32"/>
          <w:highlight w:val="none"/>
          <w:lang w:val="en-US" w:eastAsia="zh-CN"/>
        </w:rPr>
        <w:t>：支出决算为63万元，完成预算100%。</w:t>
      </w:r>
    </w:p>
    <w:p>
      <w:pPr>
        <w:spacing w:line="600" w:lineRule="exact"/>
        <w:ind w:firstLine="643" w:firstLineChars="200"/>
        <w:rPr>
          <w:rStyle w:val="15"/>
          <w:rFonts w:hint="eastAsia" w:ascii="仿宋" w:hAnsi="仿宋" w:eastAsia="仿宋" w:cstheme="minorBidi"/>
          <w:b w:val="0"/>
          <w:bCs/>
          <w:color w:val="auto"/>
          <w:sz w:val="32"/>
          <w:szCs w:val="32"/>
          <w:highlight w:val="none"/>
          <w:lang w:val="en-US" w:eastAsia="zh-CN"/>
        </w:rPr>
      </w:pPr>
      <w:r>
        <w:rPr>
          <w:rFonts w:hint="eastAsia" w:ascii="仿宋" w:hAnsi="仿宋" w:eastAsia="仿宋"/>
          <w:b/>
          <w:bCs/>
          <w:color w:val="auto"/>
          <w:sz w:val="32"/>
          <w:szCs w:val="32"/>
          <w:highlight w:val="none"/>
          <w:lang w:val="en-US" w:eastAsia="zh-CN"/>
        </w:rPr>
        <w:t>10.灾害防治及应急管理支出（224）其他灾害防治及应急管理支出（99）其他灾害防治及应急管理支出（99）：</w:t>
      </w:r>
      <w:r>
        <w:rPr>
          <w:rStyle w:val="15"/>
          <w:rFonts w:hint="eastAsia" w:ascii="仿宋" w:hAnsi="仿宋" w:eastAsia="仿宋" w:cstheme="minorBidi"/>
          <w:b w:val="0"/>
          <w:bCs/>
          <w:color w:val="auto"/>
          <w:sz w:val="32"/>
          <w:szCs w:val="32"/>
          <w:highlight w:val="none"/>
          <w:lang w:val="en-US" w:eastAsia="zh-CN"/>
        </w:rPr>
        <w:t>支出决算为117.04万元，完成预算100%。</w:t>
      </w:r>
    </w:p>
    <w:p>
      <w:pPr>
        <w:pStyle w:val="11"/>
        <w:rPr>
          <w:rFonts w:hint="default" w:eastAsia="仿宋"/>
          <w:lang w:val="en-US" w:eastAsia="zh-CN"/>
        </w:rPr>
      </w:pPr>
    </w:p>
    <w:p>
      <w:pPr>
        <w:tabs>
          <w:tab w:val="right" w:pos="8306"/>
        </w:tabs>
        <w:spacing w:line="600" w:lineRule="exact"/>
        <w:ind w:firstLine="640"/>
        <w:outlineLvl w:val="1"/>
        <w:rPr>
          <w:rStyle w:val="26"/>
          <w:color w:val="auto"/>
          <w:highlight w:val="none"/>
        </w:rPr>
      </w:pPr>
      <w:bookmarkStart w:id="34" w:name="_Toc15377214"/>
      <w:bookmarkStart w:id="35"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般公共预算财政拨款基本支出决算情况说明</w:t>
      </w:r>
      <w:bookmarkEnd w:id="34"/>
      <w:bookmarkEnd w:id="35"/>
      <w:r>
        <w:rPr>
          <w:rStyle w:val="26"/>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1963.8</w:t>
      </w:r>
      <w:r>
        <w:rPr>
          <w:rFonts w:hint="eastAsia" w:ascii="仿宋" w:hAnsi="仿宋" w:eastAsia="仿宋"/>
          <w:color w:val="auto"/>
          <w:sz w:val="32"/>
          <w:szCs w:val="32"/>
          <w:highlight w:val="none"/>
        </w:rPr>
        <w:t>万元，其中：</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1755.16</w:t>
      </w:r>
      <w:r>
        <w:rPr>
          <w:rFonts w:hint="eastAsia" w:ascii="仿宋" w:hAnsi="仿宋" w:eastAsia="仿宋"/>
          <w:color w:val="auto"/>
          <w:sz w:val="32"/>
          <w:szCs w:val="32"/>
          <w:highlight w:val="none"/>
        </w:rPr>
        <w:t>万元，主要包括：基本工资</w:t>
      </w:r>
      <w:r>
        <w:rPr>
          <w:rFonts w:hint="eastAsia" w:ascii="仿宋" w:hAnsi="仿宋" w:eastAsia="仿宋"/>
          <w:color w:val="auto"/>
          <w:sz w:val="32"/>
          <w:szCs w:val="32"/>
          <w:highlight w:val="none"/>
          <w:lang w:val="en-US" w:eastAsia="zh-CN"/>
        </w:rPr>
        <w:t>473.91万元</w:t>
      </w:r>
      <w:r>
        <w:rPr>
          <w:rFonts w:hint="eastAsia" w:ascii="仿宋" w:hAnsi="仿宋" w:eastAsia="仿宋"/>
          <w:color w:val="auto"/>
          <w:sz w:val="32"/>
          <w:szCs w:val="32"/>
          <w:highlight w:val="none"/>
        </w:rPr>
        <w:t>、津贴补贴</w:t>
      </w:r>
      <w:r>
        <w:rPr>
          <w:rFonts w:hint="eastAsia" w:ascii="仿宋" w:hAnsi="仿宋" w:eastAsia="仿宋"/>
          <w:color w:val="auto"/>
          <w:sz w:val="32"/>
          <w:szCs w:val="32"/>
          <w:highlight w:val="none"/>
          <w:lang w:val="en-US" w:eastAsia="zh-CN"/>
        </w:rPr>
        <w:t>216.11万元</w:t>
      </w:r>
      <w:r>
        <w:rPr>
          <w:rFonts w:hint="eastAsia" w:ascii="仿宋" w:hAnsi="仿宋" w:eastAsia="仿宋"/>
          <w:color w:val="auto"/>
          <w:sz w:val="32"/>
          <w:szCs w:val="32"/>
          <w:highlight w:val="none"/>
        </w:rPr>
        <w:t>、奖金</w:t>
      </w:r>
      <w:r>
        <w:rPr>
          <w:rFonts w:hint="eastAsia" w:ascii="仿宋" w:hAnsi="仿宋" w:eastAsia="仿宋"/>
          <w:color w:val="auto"/>
          <w:sz w:val="32"/>
          <w:szCs w:val="32"/>
          <w:highlight w:val="none"/>
          <w:lang w:val="en-US" w:eastAsia="zh-CN"/>
        </w:rPr>
        <w:t>20.31万元</w:t>
      </w:r>
      <w:r>
        <w:rPr>
          <w:rFonts w:hint="eastAsia" w:ascii="仿宋" w:hAnsi="仿宋" w:eastAsia="仿宋"/>
          <w:color w:val="auto"/>
          <w:sz w:val="32"/>
          <w:szCs w:val="32"/>
          <w:highlight w:val="none"/>
        </w:rPr>
        <w:t>、伙食补助费</w:t>
      </w:r>
      <w:r>
        <w:rPr>
          <w:rFonts w:hint="eastAsia" w:ascii="仿宋" w:hAnsi="仿宋" w:eastAsia="仿宋"/>
          <w:color w:val="auto"/>
          <w:sz w:val="32"/>
          <w:szCs w:val="32"/>
          <w:highlight w:val="none"/>
          <w:lang w:val="en-US" w:eastAsia="zh-CN"/>
        </w:rPr>
        <w:t>39万元</w:t>
      </w:r>
      <w:r>
        <w:rPr>
          <w:rFonts w:hint="eastAsia" w:ascii="仿宋" w:hAnsi="仿宋" w:eastAsia="仿宋"/>
          <w:color w:val="auto"/>
          <w:sz w:val="32"/>
          <w:szCs w:val="32"/>
          <w:highlight w:val="none"/>
        </w:rPr>
        <w:t>、机关事业单位基本养老保险缴费</w:t>
      </w:r>
      <w:r>
        <w:rPr>
          <w:rFonts w:hint="eastAsia" w:ascii="仿宋" w:hAnsi="仿宋" w:eastAsia="仿宋"/>
          <w:color w:val="auto"/>
          <w:sz w:val="32"/>
          <w:szCs w:val="32"/>
          <w:highlight w:val="none"/>
          <w:lang w:val="en-US" w:eastAsia="zh-CN"/>
        </w:rPr>
        <w:t>67.62万元</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职工基本医疗保险缴费</w:t>
      </w:r>
      <w:r>
        <w:rPr>
          <w:rFonts w:hint="eastAsia" w:ascii="仿宋" w:hAnsi="仿宋" w:eastAsia="仿宋"/>
          <w:color w:val="auto"/>
          <w:sz w:val="32"/>
          <w:szCs w:val="32"/>
          <w:highlight w:val="none"/>
          <w:lang w:val="en-US" w:eastAsia="zh-CN"/>
        </w:rPr>
        <w:t>29.58万元</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公务员医疗补助缴费</w:t>
      </w:r>
      <w:r>
        <w:rPr>
          <w:rFonts w:hint="eastAsia" w:ascii="仿宋" w:hAnsi="仿宋" w:eastAsia="仿宋"/>
          <w:color w:val="auto"/>
          <w:sz w:val="32"/>
          <w:szCs w:val="32"/>
          <w:highlight w:val="none"/>
          <w:lang w:val="en-US" w:eastAsia="zh-CN"/>
        </w:rPr>
        <w:t>12.68万元、</w:t>
      </w:r>
      <w:r>
        <w:rPr>
          <w:rFonts w:hint="eastAsia" w:ascii="仿宋" w:hAnsi="仿宋" w:eastAsia="仿宋"/>
          <w:color w:val="auto"/>
          <w:sz w:val="32"/>
          <w:szCs w:val="32"/>
          <w:highlight w:val="none"/>
        </w:rPr>
        <w:t>其他工资福利支出</w:t>
      </w:r>
      <w:r>
        <w:rPr>
          <w:rFonts w:hint="eastAsia" w:ascii="仿宋" w:hAnsi="仿宋" w:eastAsia="仿宋"/>
          <w:color w:val="auto"/>
          <w:sz w:val="32"/>
          <w:szCs w:val="32"/>
          <w:highlight w:val="none"/>
          <w:lang w:val="en-US" w:eastAsia="zh-CN"/>
        </w:rPr>
        <w:t>821.49万元</w:t>
      </w:r>
      <w:r>
        <w:rPr>
          <w:rFonts w:hint="eastAsia" w:ascii="仿宋" w:hAnsi="仿宋" w:eastAsia="仿宋"/>
          <w:color w:val="auto"/>
          <w:sz w:val="32"/>
          <w:szCs w:val="32"/>
          <w:highlight w:val="none"/>
        </w:rPr>
        <w:t>、抚恤金</w:t>
      </w:r>
      <w:r>
        <w:rPr>
          <w:rFonts w:hint="eastAsia" w:ascii="仿宋" w:hAnsi="仿宋" w:eastAsia="仿宋"/>
          <w:color w:val="auto"/>
          <w:sz w:val="32"/>
          <w:szCs w:val="32"/>
          <w:highlight w:val="none"/>
          <w:lang w:val="en-US" w:eastAsia="zh-CN"/>
        </w:rPr>
        <w:t>8.22万元</w:t>
      </w:r>
      <w:r>
        <w:rPr>
          <w:rFonts w:hint="eastAsia" w:ascii="仿宋" w:hAnsi="仿宋" w:eastAsia="仿宋"/>
          <w:color w:val="auto"/>
          <w:sz w:val="32"/>
          <w:szCs w:val="32"/>
          <w:highlight w:val="none"/>
        </w:rPr>
        <w:t>、生活补助</w:t>
      </w:r>
      <w:r>
        <w:rPr>
          <w:rFonts w:hint="eastAsia" w:ascii="仿宋" w:hAnsi="仿宋" w:eastAsia="仿宋"/>
          <w:color w:val="auto"/>
          <w:sz w:val="32"/>
          <w:szCs w:val="32"/>
          <w:highlight w:val="none"/>
          <w:lang w:val="en-US" w:eastAsia="zh-CN"/>
        </w:rPr>
        <w:t>3.11万元</w:t>
      </w:r>
      <w:r>
        <w:rPr>
          <w:rFonts w:hint="eastAsia" w:ascii="仿宋" w:hAnsi="仿宋" w:eastAsia="仿宋"/>
          <w:color w:val="auto"/>
          <w:sz w:val="32"/>
          <w:szCs w:val="32"/>
          <w:highlight w:val="none"/>
        </w:rPr>
        <w:t>、奖励金</w:t>
      </w:r>
      <w:r>
        <w:rPr>
          <w:rFonts w:hint="eastAsia" w:ascii="仿宋" w:hAnsi="仿宋" w:eastAsia="仿宋"/>
          <w:color w:val="auto"/>
          <w:sz w:val="32"/>
          <w:szCs w:val="32"/>
          <w:highlight w:val="none"/>
          <w:lang w:val="en-US" w:eastAsia="zh-CN"/>
        </w:rPr>
        <w:t>0.14万元</w:t>
      </w:r>
      <w:r>
        <w:rPr>
          <w:rFonts w:hint="eastAsia" w:ascii="仿宋" w:hAnsi="仿宋" w:eastAsia="仿宋"/>
          <w:color w:val="auto"/>
          <w:sz w:val="32"/>
          <w:szCs w:val="32"/>
          <w:highlight w:val="none"/>
        </w:rPr>
        <w:t>、住房公积金</w:t>
      </w:r>
      <w:r>
        <w:rPr>
          <w:rFonts w:hint="eastAsia" w:ascii="仿宋" w:hAnsi="仿宋" w:eastAsia="仿宋"/>
          <w:color w:val="auto"/>
          <w:sz w:val="32"/>
          <w:szCs w:val="32"/>
          <w:highlight w:val="none"/>
          <w:lang w:val="en-US" w:eastAsia="zh-CN"/>
        </w:rPr>
        <w:t>63万元</w:t>
      </w:r>
      <w:r>
        <w:rPr>
          <w:rFonts w:hint="eastAsia" w:ascii="仿宋" w:hAnsi="仿宋" w:eastAsia="仿宋"/>
          <w:color w:val="auto"/>
          <w:sz w:val="32"/>
          <w:szCs w:val="32"/>
          <w:highlight w:val="none"/>
        </w:rPr>
        <w:t>等。</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208.64</w:t>
      </w:r>
      <w:r>
        <w:rPr>
          <w:rFonts w:hint="eastAsia" w:ascii="仿宋" w:hAnsi="仿宋" w:eastAsia="仿宋"/>
          <w:color w:val="auto"/>
          <w:sz w:val="32"/>
          <w:szCs w:val="32"/>
          <w:highlight w:val="none"/>
        </w:rPr>
        <w:t>万元，主要包括：办公费</w:t>
      </w:r>
      <w:r>
        <w:rPr>
          <w:rFonts w:hint="eastAsia" w:ascii="仿宋" w:hAnsi="仿宋" w:eastAsia="仿宋"/>
          <w:color w:val="auto"/>
          <w:sz w:val="32"/>
          <w:szCs w:val="32"/>
          <w:highlight w:val="none"/>
          <w:lang w:val="en-US" w:eastAsia="zh-CN"/>
        </w:rPr>
        <w:t>52.67万元</w:t>
      </w:r>
      <w:r>
        <w:rPr>
          <w:rFonts w:hint="eastAsia" w:ascii="仿宋" w:hAnsi="仿宋" w:eastAsia="仿宋"/>
          <w:color w:val="auto"/>
          <w:sz w:val="32"/>
          <w:szCs w:val="32"/>
          <w:highlight w:val="none"/>
        </w:rPr>
        <w:t>、印刷费</w:t>
      </w:r>
      <w:r>
        <w:rPr>
          <w:rFonts w:hint="eastAsia" w:ascii="仿宋" w:hAnsi="仿宋" w:eastAsia="仿宋"/>
          <w:color w:val="auto"/>
          <w:sz w:val="32"/>
          <w:szCs w:val="32"/>
          <w:highlight w:val="none"/>
          <w:lang w:val="en-US" w:eastAsia="zh-CN"/>
        </w:rPr>
        <w:t>8万元</w:t>
      </w:r>
      <w:r>
        <w:rPr>
          <w:rFonts w:hint="eastAsia" w:ascii="仿宋" w:hAnsi="仿宋" w:eastAsia="仿宋"/>
          <w:color w:val="auto"/>
          <w:sz w:val="32"/>
          <w:szCs w:val="32"/>
          <w:highlight w:val="none"/>
        </w:rPr>
        <w:t>、咨询费</w:t>
      </w:r>
      <w:r>
        <w:rPr>
          <w:rFonts w:hint="eastAsia" w:ascii="仿宋" w:hAnsi="仿宋" w:eastAsia="仿宋"/>
          <w:color w:val="auto"/>
          <w:sz w:val="32"/>
          <w:szCs w:val="32"/>
          <w:highlight w:val="none"/>
          <w:lang w:val="en-US" w:eastAsia="zh-CN"/>
        </w:rPr>
        <w:t>2万元</w:t>
      </w:r>
      <w:r>
        <w:rPr>
          <w:rFonts w:hint="eastAsia" w:ascii="仿宋" w:hAnsi="仿宋" w:eastAsia="仿宋"/>
          <w:color w:val="auto"/>
          <w:sz w:val="32"/>
          <w:szCs w:val="32"/>
          <w:highlight w:val="none"/>
        </w:rPr>
        <w:t>、水费</w:t>
      </w:r>
      <w:r>
        <w:rPr>
          <w:rFonts w:hint="eastAsia" w:ascii="仿宋" w:hAnsi="仿宋" w:eastAsia="仿宋"/>
          <w:color w:val="auto"/>
          <w:sz w:val="32"/>
          <w:szCs w:val="32"/>
          <w:highlight w:val="none"/>
          <w:lang w:val="en-US" w:eastAsia="zh-CN"/>
        </w:rPr>
        <w:t>2万元</w:t>
      </w:r>
      <w:r>
        <w:rPr>
          <w:rFonts w:hint="eastAsia" w:ascii="仿宋" w:hAnsi="仿宋" w:eastAsia="仿宋"/>
          <w:color w:val="auto"/>
          <w:sz w:val="32"/>
          <w:szCs w:val="32"/>
          <w:highlight w:val="none"/>
        </w:rPr>
        <w:t>、电费</w:t>
      </w:r>
      <w:r>
        <w:rPr>
          <w:rFonts w:hint="eastAsia" w:ascii="仿宋" w:hAnsi="仿宋" w:eastAsia="仿宋"/>
          <w:color w:val="auto"/>
          <w:sz w:val="32"/>
          <w:szCs w:val="32"/>
          <w:highlight w:val="none"/>
          <w:lang w:val="en-US" w:eastAsia="zh-CN"/>
        </w:rPr>
        <w:t>4.5万元</w:t>
      </w:r>
      <w:r>
        <w:rPr>
          <w:rFonts w:hint="eastAsia" w:ascii="仿宋" w:hAnsi="仿宋" w:eastAsia="仿宋"/>
          <w:color w:val="auto"/>
          <w:sz w:val="32"/>
          <w:szCs w:val="32"/>
          <w:highlight w:val="none"/>
        </w:rPr>
        <w:t>、邮电费</w:t>
      </w:r>
      <w:r>
        <w:rPr>
          <w:rFonts w:hint="eastAsia" w:ascii="仿宋" w:hAnsi="仿宋" w:eastAsia="仿宋"/>
          <w:color w:val="auto"/>
          <w:sz w:val="32"/>
          <w:szCs w:val="32"/>
          <w:highlight w:val="none"/>
          <w:lang w:val="en-US" w:eastAsia="zh-CN"/>
        </w:rPr>
        <w:t>2万元</w:t>
      </w:r>
      <w:r>
        <w:rPr>
          <w:rFonts w:hint="eastAsia" w:ascii="仿宋" w:hAnsi="仿宋" w:eastAsia="仿宋"/>
          <w:color w:val="auto"/>
          <w:sz w:val="32"/>
          <w:szCs w:val="32"/>
          <w:highlight w:val="none"/>
        </w:rPr>
        <w:t>、差旅费</w:t>
      </w:r>
      <w:r>
        <w:rPr>
          <w:rFonts w:hint="eastAsia" w:ascii="仿宋" w:hAnsi="仿宋" w:eastAsia="仿宋"/>
          <w:color w:val="auto"/>
          <w:sz w:val="32"/>
          <w:szCs w:val="32"/>
          <w:highlight w:val="none"/>
          <w:lang w:val="en-US" w:eastAsia="zh-CN"/>
        </w:rPr>
        <w:t>2.37万元</w:t>
      </w:r>
      <w:r>
        <w:rPr>
          <w:rFonts w:hint="eastAsia" w:ascii="仿宋" w:hAnsi="仿宋" w:eastAsia="仿宋"/>
          <w:color w:val="auto"/>
          <w:sz w:val="32"/>
          <w:szCs w:val="32"/>
          <w:highlight w:val="none"/>
        </w:rPr>
        <w:t>、维修（护）费</w:t>
      </w:r>
      <w:r>
        <w:rPr>
          <w:rFonts w:hint="eastAsia" w:ascii="仿宋" w:hAnsi="仿宋" w:eastAsia="仿宋"/>
          <w:color w:val="auto"/>
          <w:sz w:val="32"/>
          <w:szCs w:val="32"/>
          <w:highlight w:val="none"/>
          <w:lang w:val="en-US" w:eastAsia="zh-CN"/>
        </w:rPr>
        <w:t>2万元</w:t>
      </w:r>
      <w:r>
        <w:rPr>
          <w:rFonts w:hint="eastAsia" w:ascii="仿宋" w:hAnsi="仿宋" w:eastAsia="仿宋"/>
          <w:color w:val="auto"/>
          <w:sz w:val="32"/>
          <w:szCs w:val="32"/>
          <w:highlight w:val="none"/>
        </w:rPr>
        <w:t>、公务接待费</w:t>
      </w:r>
      <w:r>
        <w:rPr>
          <w:rFonts w:hint="eastAsia" w:ascii="仿宋" w:hAnsi="仿宋" w:eastAsia="仿宋"/>
          <w:color w:val="auto"/>
          <w:sz w:val="32"/>
          <w:szCs w:val="32"/>
          <w:highlight w:val="none"/>
          <w:lang w:val="en-US" w:eastAsia="zh-CN"/>
        </w:rPr>
        <w:t>0.55万元</w:t>
      </w:r>
      <w:r>
        <w:rPr>
          <w:rFonts w:hint="eastAsia" w:ascii="仿宋" w:hAnsi="仿宋" w:eastAsia="仿宋"/>
          <w:color w:val="auto"/>
          <w:sz w:val="32"/>
          <w:szCs w:val="32"/>
          <w:highlight w:val="none"/>
        </w:rPr>
        <w:t>、工会经费</w:t>
      </w:r>
      <w:r>
        <w:rPr>
          <w:rFonts w:hint="eastAsia" w:ascii="仿宋" w:hAnsi="仿宋" w:eastAsia="仿宋"/>
          <w:color w:val="auto"/>
          <w:sz w:val="32"/>
          <w:szCs w:val="32"/>
          <w:highlight w:val="none"/>
          <w:lang w:val="en-US" w:eastAsia="zh-CN"/>
        </w:rPr>
        <w:t>6.97万元</w:t>
      </w:r>
      <w:r>
        <w:rPr>
          <w:rFonts w:hint="eastAsia" w:ascii="仿宋" w:hAnsi="仿宋" w:eastAsia="仿宋"/>
          <w:color w:val="auto"/>
          <w:sz w:val="32"/>
          <w:szCs w:val="32"/>
          <w:highlight w:val="none"/>
        </w:rPr>
        <w:t>、福利费</w:t>
      </w:r>
      <w:r>
        <w:rPr>
          <w:rFonts w:hint="eastAsia" w:ascii="仿宋" w:hAnsi="仿宋" w:eastAsia="仿宋"/>
          <w:color w:val="auto"/>
          <w:sz w:val="32"/>
          <w:szCs w:val="32"/>
          <w:highlight w:val="none"/>
          <w:lang w:val="en-US" w:eastAsia="zh-CN"/>
        </w:rPr>
        <w:t>9万元</w:t>
      </w:r>
      <w:r>
        <w:rPr>
          <w:rFonts w:hint="eastAsia" w:ascii="仿宋" w:hAnsi="仿宋" w:eastAsia="仿宋"/>
          <w:color w:val="auto"/>
          <w:sz w:val="32"/>
          <w:szCs w:val="32"/>
          <w:highlight w:val="none"/>
        </w:rPr>
        <w:t>、公务用车运行维护费</w:t>
      </w:r>
      <w:r>
        <w:rPr>
          <w:rFonts w:hint="eastAsia" w:ascii="仿宋" w:hAnsi="仿宋" w:eastAsia="仿宋"/>
          <w:color w:val="auto"/>
          <w:sz w:val="32"/>
          <w:szCs w:val="32"/>
          <w:highlight w:val="none"/>
          <w:lang w:val="en-US" w:eastAsia="zh-CN"/>
        </w:rPr>
        <w:t>20.92万元</w:t>
      </w:r>
      <w:r>
        <w:rPr>
          <w:rFonts w:hint="eastAsia" w:ascii="仿宋" w:hAnsi="仿宋" w:eastAsia="仿宋"/>
          <w:color w:val="auto"/>
          <w:sz w:val="32"/>
          <w:szCs w:val="32"/>
          <w:highlight w:val="none"/>
        </w:rPr>
        <w:t>、其他交通费</w:t>
      </w:r>
      <w:r>
        <w:rPr>
          <w:rFonts w:hint="eastAsia" w:ascii="仿宋" w:hAnsi="仿宋" w:eastAsia="仿宋"/>
          <w:color w:val="auto"/>
          <w:sz w:val="32"/>
          <w:szCs w:val="32"/>
          <w:highlight w:val="none"/>
          <w:lang w:val="en-US" w:eastAsia="zh-CN"/>
        </w:rPr>
        <w:t>41.27万元</w:t>
      </w:r>
      <w:r>
        <w:rPr>
          <w:rFonts w:hint="eastAsia" w:ascii="仿宋" w:hAnsi="仿宋" w:eastAsia="仿宋"/>
          <w:color w:val="auto"/>
          <w:sz w:val="32"/>
          <w:szCs w:val="32"/>
          <w:highlight w:val="none"/>
        </w:rPr>
        <w:t>、其他商品和服务支出</w:t>
      </w:r>
      <w:r>
        <w:rPr>
          <w:rFonts w:hint="eastAsia" w:ascii="仿宋" w:hAnsi="仿宋" w:eastAsia="仿宋"/>
          <w:color w:val="auto"/>
          <w:sz w:val="32"/>
          <w:szCs w:val="32"/>
          <w:highlight w:val="none"/>
          <w:lang w:val="en-US" w:eastAsia="zh-CN"/>
        </w:rPr>
        <w:t>54.4万元</w:t>
      </w:r>
      <w:r>
        <w:rPr>
          <w:rFonts w:hint="eastAsia" w:ascii="仿宋" w:hAnsi="仿宋" w:eastAsia="仿宋"/>
          <w:color w:val="auto"/>
          <w:sz w:val="32"/>
          <w:szCs w:val="32"/>
          <w:highlight w:val="none"/>
        </w:rPr>
        <w:t>等。</w:t>
      </w:r>
    </w:p>
    <w:p>
      <w:pPr>
        <w:spacing w:line="600" w:lineRule="exact"/>
        <w:ind w:firstLine="640"/>
        <w:outlineLvl w:val="1"/>
        <w:rPr>
          <w:rStyle w:val="26"/>
          <w:rFonts w:ascii="黑体" w:hAnsi="黑体" w:eastAsia="黑体"/>
          <w:b w:val="0"/>
          <w:color w:val="auto"/>
          <w:highlight w:val="none"/>
        </w:rPr>
      </w:pPr>
      <w:bookmarkStart w:id="36" w:name="_Toc15377215"/>
      <w:bookmarkStart w:id="37" w:name="_Toc15396609"/>
      <w:r>
        <w:rPr>
          <w:rFonts w:hint="eastAsia" w:ascii="黑体" w:eastAsia="黑体"/>
          <w:color w:val="auto"/>
          <w:sz w:val="32"/>
          <w:szCs w:val="32"/>
          <w:highlight w:val="none"/>
        </w:rPr>
        <w:t>七、</w:t>
      </w:r>
      <w:r>
        <w:rPr>
          <w:rStyle w:val="26"/>
          <w:rFonts w:hint="eastAsia" w:ascii="黑体" w:hAnsi="黑体" w:eastAsia="黑体"/>
          <w:b w:val="0"/>
          <w:color w:val="auto"/>
          <w:highlight w:val="none"/>
        </w:rPr>
        <w:t>财政拨款</w:t>
      </w:r>
      <w:r>
        <w:rPr>
          <w:rStyle w:val="26"/>
          <w:rFonts w:hint="eastAsia" w:ascii="黑体" w:hAnsi="黑体" w:eastAsia="黑体"/>
          <w:color w:val="auto"/>
          <w:highlight w:val="none"/>
        </w:rPr>
        <w:t>“</w:t>
      </w:r>
      <w:r>
        <w:rPr>
          <w:rStyle w:val="26"/>
          <w:rFonts w:hint="eastAsia" w:ascii="黑体" w:hAnsi="黑体" w:eastAsia="黑体"/>
          <w:b w:val="0"/>
          <w:color w:val="auto"/>
          <w:highlight w:val="none"/>
        </w:rPr>
        <w:t>三公”经费支出决算情况说明</w:t>
      </w:r>
      <w:bookmarkEnd w:id="36"/>
      <w:bookmarkEnd w:id="37"/>
    </w:p>
    <w:p>
      <w:pPr>
        <w:spacing w:line="600" w:lineRule="exact"/>
        <w:ind w:firstLine="640"/>
        <w:outlineLvl w:val="2"/>
        <w:rPr>
          <w:rFonts w:ascii="仿宋" w:hAnsi="仿宋" w:eastAsia="仿宋"/>
          <w:b/>
          <w:color w:val="auto"/>
          <w:sz w:val="32"/>
          <w:szCs w:val="32"/>
          <w:highlight w:val="none"/>
        </w:rPr>
      </w:pPr>
      <w:bookmarkStart w:id="38" w:name="_Toc15377216"/>
      <w:r>
        <w:rPr>
          <w:rFonts w:hint="eastAsia" w:ascii="仿宋" w:hAnsi="仿宋" w:eastAsia="仿宋"/>
          <w:b/>
          <w:color w:val="auto"/>
          <w:sz w:val="32"/>
          <w:szCs w:val="32"/>
          <w:highlight w:val="none"/>
        </w:rPr>
        <w:t>（一）“三公”经费财政拨款支出决算总体情况说明</w:t>
      </w:r>
      <w:bookmarkEnd w:id="38"/>
    </w:p>
    <w:p>
      <w:pPr>
        <w:spacing w:line="600" w:lineRule="exact"/>
        <w:ind w:firstLine="640"/>
        <w:rPr>
          <w:rFonts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21.46</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较上年增加</w:t>
      </w:r>
      <w:r>
        <w:rPr>
          <w:rFonts w:hint="eastAsia" w:ascii="仿宋" w:hAnsi="仿宋" w:eastAsia="仿宋"/>
          <w:color w:val="auto"/>
          <w:sz w:val="32"/>
          <w:szCs w:val="32"/>
          <w:highlight w:val="none"/>
          <w:lang w:val="en-US" w:eastAsia="zh-CN"/>
        </w:rPr>
        <w:t>0.89万元，增长4.3%。</w:t>
      </w:r>
    </w:p>
    <w:p>
      <w:pPr>
        <w:spacing w:line="600" w:lineRule="exact"/>
        <w:ind w:firstLine="640"/>
        <w:outlineLvl w:val="2"/>
        <w:rPr>
          <w:rFonts w:ascii="仿宋" w:hAnsi="仿宋" w:eastAsia="仿宋"/>
          <w:b/>
          <w:color w:val="auto"/>
          <w:sz w:val="32"/>
          <w:szCs w:val="32"/>
          <w:highlight w:val="none"/>
        </w:rPr>
      </w:pPr>
      <w:bookmarkStart w:id="39" w:name="_Toc15377217"/>
      <w:r>
        <w:rPr>
          <w:rFonts w:hint="eastAsia" w:ascii="仿宋" w:hAnsi="仿宋" w:eastAsia="仿宋"/>
          <w:b/>
          <w:color w:val="auto"/>
          <w:sz w:val="32"/>
          <w:szCs w:val="32"/>
          <w:highlight w:val="none"/>
        </w:rPr>
        <w:t>（二）“三公”经费财政拨款支出决算具体情况说明</w:t>
      </w:r>
      <w:bookmarkEnd w:id="39"/>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20.92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97.44</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0.55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2.56</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spacing w:line="600" w:lineRule="exact"/>
        <w:ind w:firstLine="64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（图7：“三公”经费财政拨款支出结构）（饼状图）</w:t>
      </w:r>
    </w:p>
    <w:p>
      <w:pPr>
        <w:rPr>
          <w:rFonts w:hint="eastAsia" w:ascii="仿宋" w:hAnsi="仿宋" w:eastAsia="仿宋"/>
          <w:color w:val="auto"/>
          <w:sz w:val="32"/>
          <w:szCs w:val="32"/>
          <w:highlight w:val="none"/>
        </w:rPr>
      </w:pPr>
    </w:p>
    <w:p>
      <w:pPr>
        <w:pStyle w:val="11"/>
        <w:rPr>
          <w:rFonts w:hint="eastAsia" w:ascii="仿宋" w:hAnsi="仿宋" w:eastAsia="仿宋"/>
          <w:color w:val="auto"/>
          <w:sz w:val="32"/>
          <w:szCs w:val="32"/>
          <w:highlight w:val="none"/>
        </w:rPr>
      </w:pPr>
      <w:r>
        <w:drawing>
          <wp:inline distT="0" distB="0" distL="114300" distR="114300">
            <wp:extent cx="4248785" cy="2305685"/>
            <wp:effectExtent l="4445" t="5080" r="13970" b="13335"/>
            <wp:docPr id="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人。因公出国（境）支出决算比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ascii="仿宋_GB2312" w:eastAsia="仿宋_GB2312"/>
          <w:color w:val="auto"/>
          <w:sz w:val="32"/>
          <w:szCs w:val="32"/>
          <w:highlight w:val="none"/>
        </w:rPr>
        <w:t>/</w:t>
      </w:r>
      <w:r>
        <w:rPr>
          <w:rFonts w:hint="eastAsia" w:ascii="仿宋_GB2312" w:eastAsia="仿宋_GB2312"/>
          <w:color w:val="auto"/>
          <w:sz w:val="32"/>
          <w:szCs w:val="32"/>
          <w:highlight w:val="none"/>
        </w:rPr>
        <w:t>减少</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万元，增长</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下降</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20.92</w:t>
      </w:r>
      <w:r>
        <w:rPr>
          <w:rFonts w:hint="eastAsia" w:ascii="仿宋_GB2312" w:eastAsia="仿宋_GB2312"/>
          <w:color w:val="auto"/>
          <w:sz w:val="32"/>
          <w:szCs w:val="32"/>
          <w:highlight w:val="none"/>
        </w:rPr>
        <w:t>万元,</w:t>
      </w:r>
      <w:r>
        <w:rPr>
          <w:rStyle w:val="15"/>
          <w:rFonts w:hint="eastAsia" w:ascii="仿宋" w:hAnsi="仿宋" w:eastAsia="仿宋"/>
          <w:b w:val="0"/>
          <w:bCs/>
          <w:color w:val="auto"/>
          <w:sz w:val="32"/>
          <w:szCs w:val="32"/>
          <w:highlight w:val="none"/>
        </w:rPr>
        <w:t>完成预算</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0.95</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4.7</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车辆运行频次和维护费增加</w:t>
      </w:r>
      <w:r>
        <w:rPr>
          <w:rFonts w:hint="eastAsia" w:ascii="仿宋_GB2312" w:eastAsia="仿宋_GB2312"/>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辆，其中：</w:t>
      </w:r>
      <w:r>
        <w:rPr>
          <w:rFonts w:hint="eastAsia" w:ascii="仿宋_GB2312" w:eastAsia="仿宋_GB2312"/>
          <w:color w:val="000000"/>
          <w:sz w:val="32"/>
          <w:szCs w:val="32"/>
        </w:rPr>
        <w:t>机要通信用车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辆、执法执勤用车</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辆</w:t>
      </w:r>
      <w:r>
        <w:rPr>
          <w:rFonts w:hint="eastAsia" w:ascii="仿宋_GB2312" w:eastAsia="仿宋_GB2312"/>
          <w:color w:val="auto"/>
          <w:sz w:val="32"/>
          <w:szCs w:val="32"/>
          <w:highlight w:val="none"/>
        </w:rPr>
        <w:t>。。</w:t>
      </w:r>
    </w:p>
    <w:p>
      <w:pPr>
        <w:spacing w:line="600" w:lineRule="exact"/>
        <w:ind w:firstLine="640"/>
        <w:rPr>
          <w:rFonts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20.92</w:t>
      </w:r>
      <w:r>
        <w:rPr>
          <w:rFonts w:hint="eastAsia" w:ascii="仿宋_GB2312" w:eastAsia="仿宋_GB2312"/>
          <w:color w:val="auto"/>
          <w:sz w:val="32"/>
          <w:szCs w:val="32"/>
          <w:highlight w:val="none"/>
        </w:rPr>
        <w:t>万元。主要用于</w:t>
      </w:r>
      <w:r>
        <w:rPr>
          <w:rFonts w:hint="eastAsia" w:ascii="仿宋" w:hAnsi="仿宋" w:eastAsia="仿宋" w:cs="Times New Roman"/>
          <w:bCs/>
          <w:color w:val="000000"/>
          <w:kern w:val="0"/>
          <w:sz w:val="32"/>
          <w:szCs w:val="32"/>
          <w:lang w:val="en-US" w:eastAsia="zh-CN" w:bidi="ar-SA"/>
        </w:rPr>
        <w:t>局下属单位执法大队执行公务活动、执法巡逻、城乡环境综合治理、等所需的公务用车燃料费、维修费、过路过桥费、保险费支出等支出</w:t>
      </w:r>
      <w:r>
        <w:rPr>
          <w:rFonts w:hint="eastAsia" w:ascii="仿宋_GB2312" w:eastAsia="仿宋_GB2312"/>
          <w:color w:val="auto"/>
          <w:sz w:val="32"/>
          <w:szCs w:val="32"/>
          <w:highlight w:val="none"/>
        </w:rPr>
        <w:t>。</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0.55</w:t>
      </w:r>
      <w:r>
        <w:rPr>
          <w:rFonts w:hint="eastAsia" w:ascii="仿宋_GB2312" w:eastAsia="仿宋_GB2312"/>
          <w:color w:val="auto"/>
          <w:sz w:val="32"/>
          <w:szCs w:val="32"/>
          <w:highlight w:val="none"/>
        </w:rPr>
        <w:t>万元，</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0.04</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7.2</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厉行节约</w:t>
      </w:r>
      <w:r>
        <w:rPr>
          <w:rFonts w:hint="eastAsia" w:ascii="仿宋_GB2312" w:eastAsia="仿宋_GB2312"/>
          <w:color w:val="auto"/>
          <w:sz w:val="32"/>
          <w:szCs w:val="32"/>
          <w:highlight w:val="none"/>
        </w:rPr>
        <w:t>。其中：</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0.55</w:t>
      </w:r>
      <w:r>
        <w:rPr>
          <w:rFonts w:hint="eastAsia" w:ascii="仿宋_GB2312" w:eastAsia="仿宋_GB2312"/>
          <w:color w:val="auto"/>
          <w:sz w:val="32"/>
          <w:szCs w:val="32"/>
          <w:highlight w:val="none"/>
        </w:rPr>
        <w:t>万元，主要用于执行公务、开展业务活动开支的交通费、住宿费、用餐费等。国内公务接待</w:t>
      </w:r>
      <w:r>
        <w:rPr>
          <w:rFonts w:hint="eastAsia" w:ascii="仿宋_GB2312" w:eastAsia="仿宋_GB2312"/>
          <w:color w:val="auto"/>
          <w:sz w:val="32"/>
          <w:szCs w:val="32"/>
          <w:highlight w:val="none"/>
          <w:lang w:val="en-US" w:eastAsia="zh-CN"/>
        </w:rPr>
        <w:t>10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109</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0.55</w:t>
      </w:r>
      <w:r>
        <w:rPr>
          <w:rFonts w:hint="eastAsia" w:ascii="仿宋_GB2312" w:eastAsia="仿宋_GB2312"/>
          <w:color w:val="auto"/>
          <w:sz w:val="32"/>
          <w:szCs w:val="32"/>
          <w:highlight w:val="none"/>
        </w:rPr>
        <w:t>万元，具体内容包括：</w:t>
      </w:r>
      <w:r>
        <w:rPr>
          <w:rFonts w:hint="eastAsia" w:ascii="仿宋_GB2312" w:eastAsia="仿宋_GB2312"/>
          <w:color w:val="auto"/>
          <w:sz w:val="32"/>
          <w:szCs w:val="32"/>
          <w:highlight w:val="none"/>
          <w:lang w:val="en-US" w:eastAsia="zh-CN"/>
        </w:rPr>
        <w:t>上级调研1130元，迎检整治、创文加班误餐4322元</w:t>
      </w:r>
      <w:r>
        <w:rPr>
          <w:rFonts w:hint="eastAsia" w:ascii="仿宋_GB2312" w:eastAsia="仿宋_GB2312"/>
          <w:color w:val="auto"/>
          <w:sz w:val="32"/>
          <w:szCs w:val="32"/>
          <w:highlight w:val="none"/>
        </w:rPr>
        <w:t>。</w:t>
      </w:r>
    </w:p>
    <w:p>
      <w:pPr>
        <w:spacing w:line="600" w:lineRule="exact"/>
        <w:ind w:firstLine="643" w:firstLineChars="200"/>
        <w:rPr>
          <w:rFonts w:ascii="仿宋_GB2312" w:eastAsia="仿宋_GB2312"/>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外事接待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w:t>
      </w:r>
      <w:r>
        <w:rPr>
          <w:rFonts w:hint="eastAsia" w:ascii="仿宋_GB2312" w:eastAsia="仿宋_GB2312"/>
          <w:color w:val="auto"/>
          <w:sz w:val="32"/>
          <w:szCs w:val="32"/>
          <w:highlight w:val="none"/>
          <w:lang w:eastAsia="zh-CN"/>
        </w:rPr>
        <w:t>次（不包括陪同人员）</w:t>
      </w:r>
      <w:r>
        <w:rPr>
          <w:rFonts w:hint="eastAsia" w:ascii="仿宋_GB2312" w:eastAsia="仿宋_GB2312"/>
          <w:color w:val="auto"/>
          <w:sz w:val="32"/>
          <w:szCs w:val="32"/>
          <w:highlight w:val="none"/>
        </w:rPr>
        <w:t>，共计支出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outlineLvl w:val="1"/>
        <w:rPr>
          <w:rFonts w:ascii="黑体" w:eastAsia="黑体"/>
          <w:color w:val="auto"/>
          <w:sz w:val="32"/>
          <w:szCs w:val="32"/>
          <w:highlight w:val="none"/>
        </w:rPr>
      </w:pPr>
      <w:bookmarkStart w:id="40" w:name="_Toc15396610"/>
      <w:bookmarkStart w:id="41" w:name="_Toc15377218"/>
    </w:p>
    <w:p>
      <w:pPr>
        <w:spacing w:line="600" w:lineRule="exact"/>
        <w:ind w:firstLine="640"/>
        <w:outlineLvl w:val="1"/>
        <w:rPr>
          <w:rStyle w:val="26"/>
          <w:rFonts w:ascii="黑体" w:hAnsi="黑体" w:eastAsia="黑体"/>
          <w:color w:val="auto"/>
          <w:highlight w:val="none"/>
        </w:rPr>
      </w:pPr>
      <w:r>
        <w:rPr>
          <w:rFonts w:hint="eastAsia" w:ascii="黑体" w:eastAsia="黑体"/>
          <w:color w:val="auto"/>
          <w:sz w:val="32"/>
          <w:szCs w:val="32"/>
          <w:highlight w:val="none"/>
        </w:rPr>
        <w:t>八、</w:t>
      </w:r>
      <w:r>
        <w:rPr>
          <w:rStyle w:val="26"/>
          <w:rFonts w:hint="eastAsia" w:ascii="黑体" w:hAnsi="黑体" w:eastAsia="黑体"/>
          <w:b w:val="0"/>
          <w:color w:val="auto"/>
          <w:highlight w:val="none"/>
        </w:rPr>
        <w:t>政府性基金预算支出决算情况说明</w:t>
      </w:r>
      <w:bookmarkEnd w:id="40"/>
      <w:bookmarkEnd w:id="41"/>
    </w:p>
    <w:p>
      <w:pPr>
        <w:spacing w:line="600" w:lineRule="exact"/>
        <w:ind w:firstLine="640"/>
        <w:rPr>
          <w:rFonts w:hint="eastAsia"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拨款支出2006.58万元。</w:t>
      </w:r>
    </w:p>
    <w:p>
      <w:pPr>
        <w:pStyle w:val="11"/>
      </w:pPr>
    </w:p>
    <w:p>
      <w:pPr>
        <w:spacing w:line="600" w:lineRule="exact"/>
        <w:ind w:firstLine="640"/>
        <w:outlineLvl w:val="1"/>
        <w:rPr>
          <w:rFonts w:hint="eastAsia" w:ascii="黑体" w:eastAsia="黑体"/>
          <w:color w:val="auto"/>
          <w:sz w:val="32"/>
          <w:szCs w:val="32"/>
          <w:highlight w:val="none"/>
        </w:rPr>
      </w:pPr>
      <w:bookmarkStart w:id="42" w:name="_Toc15396611"/>
      <w:bookmarkStart w:id="43" w:name="_Toc15377219"/>
      <w:r>
        <w:rPr>
          <w:rFonts w:hint="eastAsia" w:ascii="黑体" w:eastAsia="黑体"/>
          <w:color w:val="auto"/>
          <w:sz w:val="32"/>
          <w:szCs w:val="32"/>
          <w:highlight w:val="none"/>
          <w:lang w:eastAsia="zh-CN"/>
        </w:rPr>
        <w:t>九、</w:t>
      </w:r>
      <w:r>
        <w:rPr>
          <w:rFonts w:hint="eastAsia" w:ascii="黑体" w:eastAsia="黑体"/>
          <w:color w:val="auto"/>
          <w:sz w:val="32"/>
          <w:szCs w:val="32"/>
          <w:highlight w:val="none"/>
        </w:rPr>
        <w:t>国有资本经营预算支出决算情况说明</w:t>
      </w:r>
      <w:bookmarkEnd w:id="42"/>
      <w:bookmarkEnd w:id="43"/>
    </w:p>
    <w:p>
      <w:pPr>
        <w:spacing w:line="600" w:lineRule="exact"/>
        <w:ind w:firstLine="640"/>
        <w:rPr>
          <w:rFonts w:hint="eastAsia"/>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pStyle w:val="11"/>
        <w:ind w:left="0" w:leftChars="0" w:firstLine="0" w:firstLineChars="0"/>
      </w:pPr>
    </w:p>
    <w:p>
      <w:pPr>
        <w:numPr>
          <w:ilvl w:val="0"/>
          <w:numId w:val="0"/>
        </w:numPr>
        <w:spacing w:line="600" w:lineRule="exact"/>
        <w:ind w:firstLine="640" w:firstLineChars="0"/>
        <w:outlineLvl w:val="1"/>
        <w:rPr>
          <w:rStyle w:val="26"/>
          <w:rFonts w:hint="eastAsia" w:ascii="黑体" w:hAnsi="黑体" w:eastAsia="黑体"/>
          <w:b w:val="0"/>
          <w:color w:val="auto"/>
          <w:highlight w:val="none"/>
        </w:rPr>
      </w:pPr>
      <w:bookmarkStart w:id="44" w:name="_Toc15377221"/>
      <w:bookmarkStart w:id="45" w:name="_Toc15396612"/>
      <w:r>
        <w:rPr>
          <w:rFonts w:hint="eastAsia" w:ascii="黑体" w:hAnsi="黑体" w:eastAsia="黑体" w:cstheme="majorBidi"/>
          <w:b w:val="0"/>
          <w:bCs/>
          <w:color w:val="auto"/>
          <w:kern w:val="2"/>
          <w:sz w:val="32"/>
          <w:szCs w:val="32"/>
          <w:lang w:val="en-US" w:eastAsia="zh-CN" w:bidi="ar-SA"/>
        </w:rPr>
        <w:t>十、</w:t>
      </w:r>
      <w:r>
        <w:rPr>
          <w:rStyle w:val="26"/>
          <w:rFonts w:hint="eastAsia" w:ascii="黑体" w:hAnsi="黑体" w:eastAsia="黑体"/>
          <w:b w:val="0"/>
          <w:color w:val="auto"/>
          <w:highlight w:val="none"/>
        </w:rPr>
        <w:t>其他重要事项的情况说明</w:t>
      </w:r>
      <w:bookmarkEnd w:id="44"/>
      <w:bookmarkEnd w:id="45"/>
    </w:p>
    <w:p>
      <w:pPr>
        <w:spacing w:line="600" w:lineRule="exact"/>
        <w:ind w:firstLine="643" w:firstLineChars="200"/>
        <w:outlineLvl w:val="2"/>
        <w:rPr>
          <w:rFonts w:ascii="仿宋" w:hAnsi="仿宋" w:eastAsia="仿宋"/>
          <w:color w:val="auto"/>
          <w:sz w:val="32"/>
          <w:szCs w:val="32"/>
          <w:highlight w:val="none"/>
        </w:rPr>
      </w:pPr>
      <w:bookmarkStart w:id="46" w:name="_Toc15377222"/>
      <w:r>
        <w:rPr>
          <w:rFonts w:hint="eastAsia" w:ascii="仿宋" w:hAnsi="仿宋" w:eastAsia="仿宋"/>
          <w:b/>
          <w:color w:val="auto"/>
          <w:sz w:val="32"/>
          <w:szCs w:val="32"/>
          <w:highlight w:val="none"/>
        </w:rPr>
        <w:t>（一）机关运行经费支出情况</w:t>
      </w:r>
      <w:bookmarkEnd w:id="46"/>
    </w:p>
    <w:p>
      <w:pPr>
        <w:spacing w:line="600" w:lineRule="exact"/>
        <w:ind w:firstLine="640" w:firstLineChars="200"/>
        <w:rPr>
          <w:rFonts w:hint="default" w:ascii="仿宋_GB2312" w:eastAsia="仿宋_GB2312"/>
          <w:color w:val="auto"/>
          <w:sz w:val="32"/>
          <w:szCs w:val="32"/>
          <w:highlight w:val="none"/>
          <w:lang w:val="en-US"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大竹县综合行政执法局</w:t>
      </w:r>
      <w:r>
        <w:rPr>
          <w:rFonts w:hint="eastAsia" w:ascii="仿宋_GB2312" w:eastAsia="仿宋_GB2312"/>
          <w:color w:val="auto"/>
          <w:sz w:val="32"/>
          <w:szCs w:val="32"/>
          <w:highlight w:val="none"/>
        </w:rPr>
        <w:t>机关运行经费支出</w:t>
      </w:r>
      <w:r>
        <w:rPr>
          <w:rFonts w:hint="eastAsia" w:ascii="仿宋" w:hAnsi="仿宋" w:eastAsia="仿宋"/>
          <w:color w:val="auto"/>
          <w:sz w:val="32"/>
          <w:szCs w:val="32"/>
          <w:highlight w:val="none"/>
          <w:lang w:val="en-US" w:eastAsia="zh-CN"/>
        </w:rPr>
        <w:t>208.64</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52.64</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20</w:t>
      </w:r>
      <w:r>
        <w:rPr>
          <w:rFonts w:ascii="仿宋_GB2312" w:eastAsia="仿宋_GB2312"/>
          <w:color w:val="auto"/>
          <w:sz w:val="32"/>
          <w:szCs w:val="32"/>
          <w:highlight w:val="none"/>
        </w:rPr>
        <w:t>%</w:t>
      </w:r>
      <w:r>
        <w:rPr>
          <w:rFonts w:hint="eastAsia" w:ascii="仿宋_GB2312" w:eastAsia="仿宋_GB2312"/>
          <w:color w:val="auto"/>
          <w:sz w:val="32"/>
          <w:szCs w:val="32"/>
          <w:highlight w:val="none"/>
        </w:rPr>
        <w:t>（或与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年决算数持平）。主要原因是</w:t>
      </w:r>
      <w:r>
        <w:rPr>
          <w:rFonts w:hint="eastAsia" w:ascii="仿宋_GB2312" w:eastAsia="仿宋_GB2312"/>
          <w:color w:val="auto"/>
          <w:sz w:val="32"/>
          <w:szCs w:val="32"/>
          <w:highlight w:val="none"/>
          <w:lang w:eastAsia="zh-CN"/>
        </w:rPr>
        <w:t>减少劳务费支出</w:t>
      </w:r>
      <w:r>
        <w:rPr>
          <w:rFonts w:hint="eastAsia" w:ascii="仿宋_GB2312" w:eastAsia="仿宋_GB2312"/>
          <w:color w:val="auto"/>
          <w:sz w:val="32"/>
          <w:szCs w:val="32"/>
          <w:highlight w:val="none"/>
          <w:lang w:val="en-US" w:eastAsia="zh-CN"/>
        </w:rPr>
        <w:t>40.22万元。</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7" w:name="_Toc15377223"/>
      <w:r>
        <w:rPr>
          <w:rFonts w:hint="eastAsia" w:ascii="仿宋" w:hAnsi="仿宋" w:eastAsia="仿宋"/>
          <w:b/>
          <w:color w:val="auto"/>
          <w:sz w:val="32"/>
          <w:szCs w:val="32"/>
          <w:highlight w:val="none"/>
        </w:rPr>
        <w:t>（二）政府采购支出情况</w:t>
      </w:r>
      <w:bookmarkEnd w:id="47"/>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大竹县综合行政执法局</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8" w:name="_Toc15377224"/>
      <w:r>
        <w:rPr>
          <w:rFonts w:hint="eastAsia" w:ascii="仿宋" w:hAnsi="仿宋" w:eastAsia="仿宋"/>
          <w:b/>
          <w:color w:val="auto"/>
          <w:sz w:val="32"/>
          <w:szCs w:val="32"/>
          <w:highlight w:val="none"/>
        </w:rPr>
        <w:t>（三）国有资产占有使用情况</w:t>
      </w:r>
      <w:bookmarkEnd w:id="48"/>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大竹县综合行政执法局</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其他用车主要是用于</w:t>
      </w:r>
      <w:r>
        <w:rPr>
          <w:rFonts w:hint="eastAsia" w:ascii="仿宋_GB2312" w:eastAsia="仿宋_GB2312"/>
          <w:color w:val="auto"/>
          <w:sz w:val="32"/>
          <w:szCs w:val="32"/>
          <w:highlight w:val="none"/>
          <w:lang w:eastAsia="zh-CN"/>
        </w:rPr>
        <w:t>执法迅雷。</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pStyle w:val="5"/>
        <w:ind w:firstLine="640" w:firstLineChars="200"/>
        <w:rPr>
          <w:color w:val="auto"/>
          <w:highlight w:val="yellow"/>
        </w:rPr>
      </w:pPr>
      <w:r>
        <w:rPr>
          <w:rFonts w:hint="eastAsia" w:ascii="仿宋_GB2312" w:hAnsi="仿宋_GB2312" w:eastAsia="仿宋_GB2312" w:cs="仿宋_GB2312"/>
          <w:color w:val="auto"/>
          <w:sz w:val="32"/>
          <w:szCs w:val="32"/>
          <w:highlight w:val="none"/>
        </w:rPr>
        <w:t>根据预算绩效管理要求，本单位在202</w:t>
      </w:r>
      <w:r>
        <w:rPr>
          <w:rFonts w:hint="eastAsia" w:hAnsi="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年度预算编制阶段，组织对</w:t>
      </w:r>
      <w:r>
        <w:rPr>
          <w:rFonts w:hint="eastAsia" w:ascii="仿宋_GB2312" w:hAnsi="仿宋_GB2312" w:eastAsia="仿宋_GB2312" w:cs="仿宋_GB2312"/>
          <w:sz w:val="32"/>
          <w:szCs w:val="32"/>
          <w:lang w:eastAsia="zh-CN"/>
        </w:rPr>
        <w:t>双马公司垃圾处理及运行经费项目、大竹县城区脏车冲洗场（点）项目、污水处理项目、</w:t>
      </w:r>
      <w:r>
        <w:rPr>
          <w:rFonts w:hint="eastAsia" w:hAnsi="仿宋_GB2312" w:cs="仿宋_GB2312"/>
          <w:sz w:val="32"/>
          <w:szCs w:val="32"/>
          <w:lang w:eastAsia="zh-CN"/>
        </w:rPr>
        <w:t>防护用品经费、执法记录及终端服务费、电信网络费、移动OA系统服务费户外广告规划设计费</w:t>
      </w:r>
      <w:r>
        <w:rPr>
          <w:rFonts w:hint="eastAsia" w:ascii="仿宋_GB2312" w:hAnsi="仿宋_GB2312" w:eastAsia="仿宋_GB2312" w:cs="仿宋_GB2312"/>
          <w:color w:val="auto"/>
          <w:sz w:val="32"/>
          <w:szCs w:val="32"/>
          <w:highlight w:val="none"/>
        </w:rPr>
        <w:t>等</w:t>
      </w:r>
      <w:r>
        <w:rPr>
          <w:rFonts w:hint="eastAsia" w:hAnsi="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个项目开展了预算事前绩效评估，对</w:t>
      </w:r>
      <w:r>
        <w:rPr>
          <w:rFonts w:hint="eastAsia" w:hAnsi="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个项目编制了绩效目标，预算执行过程中，选取</w:t>
      </w:r>
      <w:r>
        <w:rPr>
          <w:rFonts w:hint="eastAsia" w:hAnsi="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个项目开展绩效监控，组织对</w:t>
      </w:r>
      <w:r>
        <w:rPr>
          <w:rFonts w:hint="eastAsia" w:hAnsi="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个项目开展绩效自评，绩效自评表详见</w:t>
      </w:r>
      <w:r>
        <w:rPr>
          <w:rFonts w:hint="eastAsia" w:hAnsi="仿宋_GB2312" w:cs="仿宋_GB2312"/>
          <w:color w:val="auto"/>
          <w:sz w:val="32"/>
          <w:szCs w:val="32"/>
          <w:highlight w:val="none"/>
          <w:lang w:eastAsia="zh-CN"/>
        </w:rPr>
        <w:t>第四部分</w:t>
      </w:r>
      <w:r>
        <w:rPr>
          <w:rFonts w:hint="eastAsia" w:ascii="仿宋_GB2312" w:hAnsi="仿宋_GB2312" w:eastAsia="仿宋_GB2312" w:cs="仿宋_GB2312"/>
          <w:color w:val="auto"/>
          <w:sz w:val="32"/>
          <w:szCs w:val="32"/>
          <w:highlight w:val="none"/>
        </w:rPr>
        <w:t>附件。</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4"/>
        </w:numPr>
        <w:spacing w:line="600" w:lineRule="exact"/>
        <w:ind w:firstLine="660" w:firstLineChars="150"/>
        <w:jc w:val="center"/>
        <w:outlineLvl w:val="0"/>
        <w:rPr>
          <w:rStyle w:val="25"/>
          <w:rFonts w:ascii="黑体" w:hAnsi="黑体" w:eastAsia="黑体"/>
          <w:b w:val="0"/>
          <w:color w:val="auto"/>
          <w:highlight w:val="none"/>
        </w:rPr>
      </w:pPr>
      <w:bookmarkStart w:id="49" w:name="_Toc15396613"/>
      <w:bookmarkStart w:id="50" w:name="_Toc15377225"/>
      <w:r>
        <w:rPr>
          <w:rFonts w:hint="eastAsia" w:ascii="黑体" w:hAnsi="黑体" w:eastAsia="黑体"/>
          <w:color w:val="auto"/>
          <w:sz w:val="44"/>
          <w:szCs w:val="44"/>
          <w:highlight w:val="none"/>
        </w:rPr>
        <w:t>名</w:t>
      </w:r>
      <w:r>
        <w:rPr>
          <w:rStyle w:val="25"/>
          <w:rFonts w:hint="eastAsia" w:ascii="黑体" w:hAnsi="黑体" w:eastAsia="黑体"/>
          <w:b w:val="0"/>
          <w:color w:val="auto"/>
          <w:highlight w:val="none"/>
        </w:rPr>
        <w:t>词解释</w:t>
      </w:r>
      <w:bookmarkEnd w:id="49"/>
      <w:bookmarkEnd w:id="50"/>
    </w:p>
    <w:p>
      <w:pPr>
        <w:spacing w:line="600" w:lineRule="exact"/>
        <w:jc w:val="left"/>
        <w:rPr>
          <w:rFonts w:ascii="宋体"/>
          <w:b/>
          <w:color w:val="auto"/>
          <w:sz w:val="44"/>
          <w:szCs w:val="44"/>
          <w:highlight w:val="none"/>
        </w:rPr>
      </w:pPr>
    </w:p>
    <w:p>
      <w:pPr>
        <w:pStyle w:val="23"/>
        <w:spacing w:line="560" w:lineRule="exact"/>
        <w:ind w:firstLine="640" w:firstLineChars="200"/>
        <w:rPr>
          <w:rFonts w:ascii="仿宋_GB2312" w:eastAsia="仿宋_GB2312"/>
          <w:color w:val="auto"/>
          <w:sz w:val="32"/>
          <w:szCs w:val="32"/>
          <w:highlight w:val="none"/>
        </w:rPr>
      </w:pPr>
      <w:bookmarkStart w:id="51" w:name="_Toc15396614"/>
      <w:bookmarkStart w:id="52" w:name="_Toc15377226"/>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w:t>
      </w:r>
    </w:p>
    <w:p>
      <w:pPr>
        <w:pStyle w:val="23"/>
        <w:spacing w:line="560"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rPr>
        <w:t>、年末结转和结余：指单位按有关规定结转到下年或以后年度继续使用的资金。</w:t>
      </w:r>
    </w:p>
    <w:p>
      <w:pPr>
        <w:keepNext w:val="0"/>
        <w:keepLines w:val="0"/>
        <w:pageBreakBefore w:val="0"/>
        <w:kinsoku/>
        <w:wordWrap/>
        <w:overflowPunct/>
        <w:topLinePunct w:val="0"/>
        <w:bidi w:val="0"/>
        <w:snapToGrid/>
        <w:spacing w:line="578" w:lineRule="exact"/>
        <w:ind w:right="0" w:rightChars="0" w:firstLine="640"/>
        <w:rPr>
          <w:rFonts w:hint="eastAsia" w:ascii="仿宋" w:hAnsi="仿宋" w:eastAsia="仿宋" w:cs="Times New Roman"/>
          <w:bCs/>
          <w:color w:val="auto"/>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 xml:space="preserve">9.社会保障和就业（208）行政事业单位养老支出（05）机关事业单位基本养老保险缴费支出（05）: </w:t>
      </w:r>
      <w:r>
        <w:rPr>
          <w:rFonts w:hint="eastAsia" w:ascii="仿宋" w:hAnsi="仿宋" w:eastAsia="仿宋" w:cs="Times New Roman"/>
          <w:bCs/>
          <w:color w:val="auto"/>
          <w:kern w:val="0"/>
          <w:sz w:val="32"/>
          <w:szCs w:val="32"/>
          <w:lang w:val="en-US" w:eastAsia="zh-CN" w:bidi="ar-SA"/>
        </w:rPr>
        <w:t>指反映机关事业单位实施养老保险制度由单位缴纳的基本养老保险费支出。</w:t>
      </w:r>
    </w:p>
    <w:p>
      <w:pPr>
        <w:pageBreakBefore w:val="0"/>
        <w:kinsoku/>
        <w:wordWrap/>
        <w:overflowPunct/>
        <w:topLinePunct w:val="0"/>
        <w:autoSpaceDE/>
        <w:autoSpaceDN/>
        <w:bidi w:val="0"/>
        <w:spacing w:line="578" w:lineRule="exact"/>
        <w:ind w:right="0" w:rightChars="0" w:firstLine="640" w:firstLineChars="200"/>
        <w:textAlignment w:val="auto"/>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10.社会保障和就业（208）行政事业单位养老支出（05）  其他行政事业单位养老支出（99）:指反映除上述项目以外其他用于行政事业单位养老方面的支出。</w:t>
      </w:r>
    </w:p>
    <w:p>
      <w:pPr>
        <w:pageBreakBefore w:val="0"/>
        <w:kinsoku/>
        <w:wordWrap/>
        <w:overflowPunct/>
        <w:topLinePunct w:val="0"/>
        <w:autoSpaceDE/>
        <w:autoSpaceDN/>
        <w:bidi w:val="0"/>
        <w:spacing w:line="578" w:lineRule="exact"/>
        <w:ind w:right="0" w:rightChars="0" w:firstLine="640" w:firstLineChars="200"/>
        <w:textAlignment w:val="auto"/>
        <w:rPr>
          <w:rFonts w:hint="default"/>
          <w:lang w:val="en-US" w:eastAsia="zh-CN"/>
        </w:rPr>
      </w:pPr>
      <w:r>
        <w:rPr>
          <w:rFonts w:hint="eastAsia" w:ascii="仿宋" w:hAnsi="仿宋" w:eastAsia="仿宋" w:cs="Times New Roman"/>
          <w:bCs/>
          <w:color w:val="000000"/>
          <w:kern w:val="0"/>
          <w:sz w:val="32"/>
          <w:szCs w:val="32"/>
          <w:lang w:val="en-US" w:eastAsia="zh-CN" w:bidi="ar-SA"/>
        </w:rPr>
        <w:t>11.节能环保支出（211）其他节能环保支出（99） 其其他节能环保支出（99）:指反映除上述项目以外其他用于节能环保方面的支出。</w:t>
      </w:r>
    </w:p>
    <w:p>
      <w:pPr>
        <w:keepNext w:val="0"/>
        <w:keepLines w:val="0"/>
        <w:pageBreakBefore w:val="0"/>
        <w:kinsoku/>
        <w:wordWrap/>
        <w:overflowPunct/>
        <w:topLinePunct w:val="0"/>
        <w:bidi w:val="0"/>
        <w:snapToGrid/>
        <w:spacing w:line="578" w:lineRule="exact"/>
        <w:ind w:right="0" w:rightChars="0" w:firstLine="640"/>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12.城乡社区支出（212）城乡社区管理事务（01）城管执法（04）: 指反映城市管理综合行政执法、加强城市市容和环境卫生管理等方面的支出。</w:t>
      </w:r>
    </w:p>
    <w:p>
      <w:pPr>
        <w:keepNext w:val="0"/>
        <w:keepLines w:val="0"/>
        <w:pageBreakBefore w:val="0"/>
        <w:kinsoku/>
        <w:wordWrap/>
        <w:overflowPunct/>
        <w:topLinePunct w:val="0"/>
        <w:bidi w:val="0"/>
        <w:snapToGrid/>
        <w:spacing w:line="578" w:lineRule="exact"/>
        <w:ind w:right="0" w:rightChars="0" w:firstLine="640"/>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13.城乡社区支出（212）城乡社区环境卫生（05）城乡社区环境卫生（01）: 指反映城城乡社区道路清扫、垃圾清运与处理、公厕建设与维护、园林绿化等方面的支出。</w:t>
      </w:r>
    </w:p>
    <w:p>
      <w:pPr>
        <w:pageBreakBefore w:val="0"/>
        <w:kinsoku/>
        <w:wordWrap/>
        <w:overflowPunct/>
        <w:topLinePunct w:val="0"/>
        <w:autoSpaceDE/>
        <w:autoSpaceDN/>
        <w:bidi w:val="0"/>
        <w:spacing w:line="578" w:lineRule="exact"/>
        <w:ind w:right="0" w:rightChars="0" w:firstLine="640" w:firstLineChars="200"/>
        <w:textAlignment w:val="auto"/>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14.城乡社区支出（212）国有土地使用权出让收入安排的支出（08）征地和拆迁补偿支出（01）：指反映地方政府在征地和收购土地过程中支付的土地补偿费、安置补助费、地上附着和青苗补偿费、拆迁补偿费费支出。</w:t>
      </w:r>
    </w:p>
    <w:p>
      <w:pPr>
        <w:pageBreakBefore w:val="0"/>
        <w:kinsoku/>
        <w:wordWrap/>
        <w:overflowPunct/>
        <w:topLinePunct w:val="0"/>
        <w:autoSpaceDE/>
        <w:autoSpaceDN/>
        <w:bidi w:val="0"/>
        <w:spacing w:line="578" w:lineRule="exact"/>
        <w:ind w:right="0" w:rightChars="0" w:firstLine="640" w:firstLineChars="200"/>
        <w:textAlignment w:val="auto"/>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15.城乡社区支出（212）国有土地使用权出让收入安排的支出（08）其他国有土地使用权出让收入安排的支出（99）: 指反映土地出让收入用于其他方面的支出。</w:t>
      </w:r>
    </w:p>
    <w:p>
      <w:pPr>
        <w:keepNext w:val="0"/>
        <w:keepLines w:val="0"/>
        <w:pageBreakBefore w:val="0"/>
        <w:kinsoku/>
        <w:wordWrap/>
        <w:overflowPunct/>
        <w:topLinePunct w:val="0"/>
        <w:bidi w:val="0"/>
        <w:snapToGrid/>
        <w:spacing w:line="578" w:lineRule="exact"/>
        <w:ind w:right="0" w:rightChars="0" w:firstLine="640"/>
        <w:rPr>
          <w:rFonts w:hint="default"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16.农林水支出（213）农业农村（05）其他农业农村支出（99）：指其他农业农村事务等方面的支出。</w:t>
      </w:r>
    </w:p>
    <w:p>
      <w:pPr>
        <w:keepNext w:val="0"/>
        <w:keepLines w:val="0"/>
        <w:pageBreakBefore w:val="0"/>
        <w:kinsoku/>
        <w:wordWrap/>
        <w:overflowPunct/>
        <w:topLinePunct w:val="0"/>
        <w:bidi w:val="0"/>
        <w:snapToGrid/>
        <w:spacing w:line="578" w:lineRule="exact"/>
        <w:ind w:right="0" w:rightChars="0" w:firstLine="640"/>
        <w:rPr>
          <w:rFonts w:hint="default"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17.住房保障支出（221）住房改革支出（02）住房公积金（01）：指反映行政事业单位按人力资源和社会保障部、财政部规定的基本工资和津贴补贴以及规定比例为职工缴纳的住房公积金。</w:t>
      </w:r>
    </w:p>
    <w:p>
      <w:pPr>
        <w:keepNext w:val="0"/>
        <w:keepLines w:val="0"/>
        <w:pageBreakBefore w:val="0"/>
        <w:kinsoku/>
        <w:wordWrap/>
        <w:overflowPunct/>
        <w:topLinePunct w:val="0"/>
        <w:bidi w:val="0"/>
        <w:snapToGrid/>
        <w:spacing w:line="578" w:lineRule="exact"/>
        <w:ind w:right="0" w:rightChars="0" w:firstLine="640"/>
        <w:rPr>
          <w:rFonts w:hint="default"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18.灾害防治及应急管理支出（224）其他灾害防治及应急管理支出（99）其他灾害防治及应急管理支出（99）:反映除上述项目以外其他用于灾害防治及应急管理的支出。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19</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lang w:val="en-US" w:eastAsia="zh-CN"/>
        </w:rPr>
        <w:t>1</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22</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宋体"/>
          <w:b/>
          <w:color w:val="auto"/>
          <w:sz w:val="44"/>
          <w:szCs w:val="44"/>
          <w:highlight w:val="none"/>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r>
        <w:rPr>
          <w:rFonts w:hint="eastAsia" w:ascii="仿宋_GB2312" w:eastAsia="仿宋_GB2312"/>
          <w:color w:val="auto"/>
          <w:sz w:val="32"/>
          <w:szCs w:val="32"/>
          <w:highlight w:val="none"/>
          <w:lang w:val="en-US" w:eastAsia="zh-CN"/>
        </w:rPr>
        <w:t>23</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ascii="仿宋_GB2312" w:hAnsi="仿宋_GB2312" w:eastAsia="仿宋_GB2312" w:cs="仿宋_GB2312"/>
          <w:color w:val="auto"/>
          <w:sz w:val="32"/>
          <w:szCs w:val="32"/>
          <w:highlight w:val="none"/>
        </w:rPr>
      </w:pPr>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四部分 附件</w:t>
      </w:r>
    </w:p>
    <w:p>
      <w:pPr>
        <w:spacing w:line="600" w:lineRule="exact"/>
        <w:jc w:val="center"/>
        <w:outlineLvl w:val="0"/>
        <w:rPr>
          <w:rFonts w:hint="eastAsia" w:ascii="宋体" w:hAnsi="宋体" w:eastAsia="宋体" w:cs="宋体"/>
          <w:color w:val="auto"/>
          <w:kern w:val="0"/>
          <w:sz w:val="32"/>
          <w:szCs w:val="32"/>
          <w:highlight w:val="none"/>
          <w:lang w:val="en-US" w:eastAsia="zh-CN" w:bidi="ar-SA"/>
        </w:rPr>
      </w:pPr>
      <w:r>
        <w:rPr>
          <w:rFonts w:hint="eastAsia" w:ascii="宋体" w:hAnsi="宋体" w:eastAsia="宋体" w:cs="宋体"/>
          <w:color w:val="auto"/>
          <w:kern w:val="0"/>
          <w:sz w:val="32"/>
          <w:szCs w:val="32"/>
          <w:highlight w:val="none"/>
          <w:lang w:val="en-US" w:eastAsia="zh-CN" w:bidi="ar-SA"/>
        </w:rPr>
        <w:t>部门预算项目支出绩效自评表（2022年度）</w:t>
      </w:r>
    </w:p>
    <w:p>
      <w:pPr>
        <w:spacing w:line="600" w:lineRule="exact"/>
        <w:jc w:val="center"/>
        <w:outlineLvl w:val="0"/>
        <w:rPr>
          <w:rFonts w:hint="eastAsia" w:ascii="宋体" w:hAnsi="宋体" w:eastAsia="宋体" w:cs="宋体"/>
          <w:color w:val="auto"/>
          <w:kern w:val="0"/>
          <w:sz w:val="32"/>
          <w:szCs w:val="32"/>
          <w:highlight w:val="none"/>
          <w:lang w:val="en-US" w:eastAsia="zh-CN" w:bidi="ar-SA"/>
        </w:rPr>
      </w:pPr>
    </w:p>
    <w:tbl>
      <w:tblPr>
        <w:tblStyle w:val="13"/>
        <w:tblW w:w="141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82"/>
        <w:gridCol w:w="2042"/>
        <w:gridCol w:w="1769"/>
        <w:gridCol w:w="2256"/>
        <w:gridCol w:w="519"/>
        <w:gridCol w:w="1671"/>
        <w:gridCol w:w="570"/>
        <w:gridCol w:w="1088"/>
        <w:gridCol w:w="504"/>
        <w:gridCol w:w="454"/>
        <w:gridCol w:w="2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51172421R000000063128-县级单位在编在职人员经费（行政）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2"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大竹县综合行政执法局部门</w:t>
            </w:r>
          </w:p>
        </w:tc>
        <w:tc>
          <w:tcPr>
            <w:tcW w:w="108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8"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525.16</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596.09</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596.09</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525.16</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596.09</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596.09</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059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726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3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76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2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1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67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08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45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51172421R000000067491-离退休人员经费（大竹）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2"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大竹县综合行政执法局部门</w:t>
            </w:r>
          </w:p>
        </w:tc>
        <w:tc>
          <w:tcPr>
            <w:tcW w:w="108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8"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0.98</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0.98</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0.98</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0.98</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059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726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3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76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2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1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67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08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45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51172421R000000067497-遗属人员经费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2"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大竹县综合行政执法局部门</w:t>
            </w:r>
          </w:p>
        </w:tc>
        <w:tc>
          <w:tcPr>
            <w:tcW w:w="108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8"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0.94</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0.94</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0.94</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0.94</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0.94</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0.94</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059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726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3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76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2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1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67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08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45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51172421R000000067499-第一书记生活补贴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2"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大竹县综合行政执法局部门</w:t>
            </w:r>
          </w:p>
        </w:tc>
        <w:tc>
          <w:tcPr>
            <w:tcW w:w="108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8"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059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726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3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76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2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1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67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08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45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51172421R000000068087-基本养老保险（行政）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2"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大竹县综合行政执法局部门</w:t>
            </w:r>
          </w:p>
        </w:tc>
        <w:tc>
          <w:tcPr>
            <w:tcW w:w="108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8"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67.62</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67.62</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67.62</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67.62</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67.62</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67.62</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059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726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3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76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2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1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67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08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45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51172421R000000068089-基本医疗保险（含生育保险）（行政）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2"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大竹县综合行政执法局部门</w:t>
            </w:r>
          </w:p>
        </w:tc>
        <w:tc>
          <w:tcPr>
            <w:tcW w:w="108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8"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29.58</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29.58</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29.58</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29.58</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29.58</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29.58</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059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726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3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76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2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1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67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08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45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51172421R000000068092-公务员医疗补助（行政）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2"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大竹县综合行政执法局部门</w:t>
            </w:r>
          </w:p>
        </w:tc>
        <w:tc>
          <w:tcPr>
            <w:tcW w:w="108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8"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12.68</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12.68</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12.68</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12.68</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12.68</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12.68</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059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726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3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76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2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1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67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08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45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51172421R000000068095-住房公积金（行政）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2"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大竹县综合行政执法局部门</w:t>
            </w:r>
          </w:p>
        </w:tc>
        <w:tc>
          <w:tcPr>
            <w:tcW w:w="108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8"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63.00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63.00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63.00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63.00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63.00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63.00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059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726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3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76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2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1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67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08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45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51172421R000000068982-财政认账临时工经费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2"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大竹县综合行政执法局部门</w:t>
            </w:r>
          </w:p>
        </w:tc>
        <w:tc>
          <w:tcPr>
            <w:tcW w:w="108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8"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842.42</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974.86</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974.86</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842.42</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974.86</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974.86</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059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726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3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76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2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1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67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08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45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51172421Y000000067515-县级单位定额公用经费（行政）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2"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大竹县综合行政执法局部门</w:t>
            </w:r>
          </w:p>
        </w:tc>
        <w:tc>
          <w:tcPr>
            <w:tcW w:w="108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8"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76.80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114.63</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114.63</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76.80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114.63</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114.63</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8"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4"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059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726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3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76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2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1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67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08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45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51172421Y000000067526-非定额公用经费（大竹）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2"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大竹县综合行政执法局部门</w:t>
            </w:r>
          </w:p>
        </w:tc>
        <w:tc>
          <w:tcPr>
            <w:tcW w:w="108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8"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6.09</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6.09</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6.09</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6.09</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059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726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3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76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2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1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67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08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45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51172421Y000000067530-工会经费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2"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大竹县综合行政执法局部门</w:t>
            </w:r>
          </w:p>
        </w:tc>
        <w:tc>
          <w:tcPr>
            <w:tcW w:w="108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8"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8.06</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6.97</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6.97</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8.06</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6.97</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6.97</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8"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4"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059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726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3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76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2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1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67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08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45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51172421Y000000067532-福利费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2"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大竹县综合行政执法局部门</w:t>
            </w:r>
          </w:p>
        </w:tc>
        <w:tc>
          <w:tcPr>
            <w:tcW w:w="108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8"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8.28</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8.28</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8"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4"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059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726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3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76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2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1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67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08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45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51172421Y000000067533-党建经费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2"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大竹县综合行政执法局部门</w:t>
            </w:r>
          </w:p>
        </w:tc>
        <w:tc>
          <w:tcPr>
            <w:tcW w:w="108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8"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8.06</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8.52</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8.52</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8.06</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8.52</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8.52</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8"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4"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059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726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3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76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2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1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67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08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45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51172421Y000000067536-公务用车经费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2"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大竹县综合行政执法局部门</w:t>
            </w:r>
          </w:p>
        </w:tc>
        <w:tc>
          <w:tcPr>
            <w:tcW w:w="108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8"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20.92</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20.92</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20.92</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20.92</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8"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4"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059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726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3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76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2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1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67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08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45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51172421Y000000067539-公务交通补贴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2"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大竹县综合行政执法局部门</w:t>
            </w:r>
          </w:p>
        </w:tc>
        <w:tc>
          <w:tcPr>
            <w:tcW w:w="108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8"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41.39</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41.27</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41.27</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41.39</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41.27</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41.27</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8"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4"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059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726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3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76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2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1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67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08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45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51172422R000000351143-伤残抚恤费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2"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大竹县综合行政执法局部门</w:t>
            </w:r>
          </w:p>
        </w:tc>
        <w:tc>
          <w:tcPr>
            <w:tcW w:w="108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8"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8.22</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8.22</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8.22</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8.22</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059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726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3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76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2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1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67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08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45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51172422T000005482435-污水处理费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2"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大竹县综合行政执法局部门</w:t>
            </w:r>
          </w:p>
        </w:tc>
        <w:tc>
          <w:tcPr>
            <w:tcW w:w="108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8"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提升城区垃圾渗滤液处理质效，提升环境质量，提高垃圾无害化处理水平。</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渗滤液处理量</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17000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吨</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污水处理达标排放率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处理设备故障维护时间</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小时</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定额支付</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158333</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元/月</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防止水土污染</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好坏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生态效益指标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提高环境质量</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验收满意度</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059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726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3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76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2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1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67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08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45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51172422T000005485382-执法记录及终端服务费、电信网络费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2"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大竹县综合行政执法局部门</w:t>
            </w:r>
          </w:p>
        </w:tc>
        <w:tc>
          <w:tcPr>
            <w:tcW w:w="108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8"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规范执法流程，保障执法设备，确保执法过程公平、公正、公开，无一例行政复议、行政诉讼</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23.81</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23.81</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23.81</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23.81</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执法记录管理终端</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条</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现场执法端</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个（套）</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设备有效使用率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网络故障处理时间</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小时</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每月限额使用资金</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元/月</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提高执法出勤效能</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文明执法持续提升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好坏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仪器使用人员满意度</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059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726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3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76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2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1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67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08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45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51172422T000005488992-移动OA系统服务费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2"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大竹县综合行政执法局部门</w:t>
            </w:r>
          </w:p>
        </w:tc>
        <w:tc>
          <w:tcPr>
            <w:tcW w:w="108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8"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节能减耗，提高机关运转效率，发展建设低碳环保型机关</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移动OA系统专用笔记本数量</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系统运转流畅率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问题修复时间</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小时</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OA系统网络服务费成本</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8333</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提高机关运行效率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好坏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生态效益指标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节能减耗</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好坏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职工满意度</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059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726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3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76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2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1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67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08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45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51172422T000005490267-防护用品经费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2"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大竹县综合行政执法局部门</w:t>
            </w:r>
          </w:p>
        </w:tc>
        <w:tc>
          <w:tcPr>
            <w:tcW w:w="108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8"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有效预防职工高温中暑，降低疫情传播风险，保障职工身体安全，提高职工依法行政的效率</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购买防暑药品</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套</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购买防疫必备品</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套</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达到药品行业标准</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时间节点</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月</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防疫物资成本</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防暑药品成本</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降低疫情传播</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可持续发展指标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持续做好后勤执法保障</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好坏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群众满意度</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059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726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3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76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2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1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67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08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45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51172422T000005490728-垃圾处理及双马公司运行费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2"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大竹县综合行政执法局部门</w:t>
            </w:r>
          </w:p>
        </w:tc>
        <w:tc>
          <w:tcPr>
            <w:tcW w:w="108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8"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双马垃圾处理有限责任公司运行平稳，全县生活垃圾收集、中转、处置及时，生活垃圾无害化处理率达100%</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2,200.00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1,715.00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1,715.00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2,200.00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1,715.00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1,715.00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垃圾日处理量</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吨</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无害化处理率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日产日清</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小时</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30台车辆运行维护费</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4500000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40名职工工资</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2400000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2万吨垃圾渗滤液外运处置成本</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3820000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42座中转站运行维护费</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2100000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7万吨垃圾处理成本</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5000000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吨</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双马公司运行费</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4180000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生态效益指标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防止水土污染</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好坏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生态环境持续向好</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好坏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群众满意度</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059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726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3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76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2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1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67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08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45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51172422T000005492114-多功能抑尘车质保金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2"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大竹县综合行政执法局部门</w:t>
            </w:r>
          </w:p>
        </w:tc>
        <w:tc>
          <w:tcPr>
            <w:tcW w:w="108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8"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有效管控扬尘污染，提高城区空气质量，提升群众满意度</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5.19</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5.19</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5.19</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5.19</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5.19</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5.19</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购抑尘车</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辆</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购置车辆达到行业标准</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保证金支付时间</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天</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购车质保金</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51900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元/台</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提高人居环境，改善空气质量</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天</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作业区域全覆盖</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驾驶人员满意度</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059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726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3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76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2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1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67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08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45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51172422T000005492477-大竹县城区脏车冲洗场（点）项目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2"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大竹县综合行政执法局部门</w:t>
            </w:r>
          </w:p>
        </w:tc>
        <w:tc>
          <w:tcPr>
            <w:tcW w:w="108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8"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有效改善城区质量、提升市容环境秩序，降低扬尘污染，提升群众满意度</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135.27</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122.36</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122.36</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135.27</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122.36</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122.36</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入城冲洗点建设数</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按照行业标准执行</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好坏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完成时间</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365</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天</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土建工程（2站）</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817500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3套设备款</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407000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生态效益指标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降低环境污染</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好坏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空气质量持续上升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群众满意度</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059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726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3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76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2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1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67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08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45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51172422T000005493107-仓库租赁费和租车费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2"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大竹县综合行政执法局部门</w:t>
            </w:r>
          </w:p>
        </w:tc>
        <w:tc>
          <w:tcPr>
            <w:tcW w:w="108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8"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有效提升城市管理水平，持续提升市容市貌</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11.75</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11.75</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11.75</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11.75</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11.75</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11.75</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租赁车辆数</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台</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租赁仓库个数</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保障仓库、车辆正常运行率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车辆故障维护时间</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小时</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车辆租赁成本</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37480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仓库租赁成本</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市容市貌大幅提升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好坏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城市秩序良性发展</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好坏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群众满意度</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059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726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3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76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2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1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67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08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45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51172422T000005628765-大竹县综合行政执法局执法制式服装采购项目（存量资金）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2"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大竹县综合行政执法局部门</w:t>
            </w:r>
          </w:p>
        </w:tc>
        <w:tc>
          <w:tcPr>
            <w:tcW w:w="108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8"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1.24</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1.24</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1.24</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1.24</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059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726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3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76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2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1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67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08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45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51172422T000005633985-核心区建设资金（存量资金））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2"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大竹县综合行政执法局部门</w:t>
            </w:r>
          </w:p>
        </w:tc>
        <w:tc>
          <w:tcPr>
            <w:tcW w:w="108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8"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059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726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3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76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2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1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67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08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45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51172422T000005637781-“8.8”洪灾应急物资采购和清淤保畅工作经费（存量资金）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2"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大竹县综合行政执法局部门</w:t>
            </w:r>
          </w:p>
        </w:tc>
        <w:tc>
          <w:tcPr>
            <w:tcW w:w="108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8"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117.04</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117.04</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117.04</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117.04</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059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726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3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76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2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1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67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08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45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51172422T000005657121-工程建设资金（存量资金）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2"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大竹县综合行政执法局部门</w:t>
            </w:r>
          </w:p>
        </w:tc>
        <w:tc>
          <w:tcPr>
            <w:tcW w:w="108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8"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45.22</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45.22</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45.22</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45.22</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059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726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3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76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2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1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67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08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45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51172422T000006913549-纪检监察组工作经费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2"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大竹县综合行政执法局部门</w:t>
            </w:r>
          </w:p>
        </w:tc>
        <w:tc>
          <w:tcPr>
            <w:tcW w:w="108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8"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059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726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3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76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2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1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67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08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45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51172422T000007056727-创建全国文明城市专项经费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2"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大竹县综合行政执法局部门</w:t>
            </w:r>
          </w:p>
        </w:tc>
        <w:tc>
          <w:tcPr>
            <w:tcW w:w="108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8"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059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726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3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76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2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1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67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108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45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51172422Y000005163761-代管资金支出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2" w:hRule="atLeast"/>
        </w:trPr>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大竹县综合行政执法局部门</w:t>
            </w:r>
          </w:p>
        </w:tc>
        <w:tc>
          <w:tcPr>
            <w:tcW w:w="108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8"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6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提高预算编制质量，严格执行预算，保障单位日常运转。</w:t>
            </w:r>
          </w:p>
        </w:tc>
        <w:tc>
          <w:tcPr>
            <w:tcW w:w="45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7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64.00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64.00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64.00</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64.00</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8"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4"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059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3"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726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3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bookmarkEnd w:id="51"/>
      <w:bookmarkEnd w:id="52"/>
    </w:tbl>
    <w:p>
      <w:pPr>
        <w:spacing w:line="600" w:lineRule="exact"/>
        <w:jc w:val="left"/>
        <w:outlineLvl w:val="0"/>
        <w:rPr>
          <w:rFonts w:hint="eastAsia" w:ascii="宋体" w:hAnsi="宋体" w:eastAsia="宋体" w:cs="宋体"/>
          <w:color w:val="auto"/>
          <w:kern w:val="0"/>
          <w:sz w:val="32"/>
          <w:szCs w:val="32"/>
          <w:highlight w:val="none"/>
          <w:lang w:val="en-US" w:eastAsia="zh-CN" w:bidi="ar-SA"/>
        </w:rPr>
      </w:pPr>
      <w:bookmarkStart w:id="53" w:name="_GoBack"/>
      <w:bookmarkEnd w:id="53"/>
    </w:p>
    <w:sectPr>
      <w:pgSz w:w="16838" w:h="11906" w:orient="landscape"/>
      <w:pgMar w:top="1800" w:right="1440" w:bottom="1800" w:left="144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5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1">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818A09A"/>
    <w:multiLevelType w:val="singleLevel"/>
    <w:tmpl w:val="3818A09A"/>
    <w:lvl w:ilvl="0" w:tentative="0">
      <w:start w:val="1"/>
      <w:numFmt w:val="chineseCounting"/>
      <w:suff w:val="nothing"/>
      <w:lvlText w:val="%1、"/>
      <w:lvlJc w:val="left"/>
      <w:rPr>
        <w:rFonts w:hint="eastAsia"/>
      </w:rPr>
    </w:lvl>
  </w:abstractNum>
  <w:abstractNum w:abstractNumId="3">
    <w:nsid w:val="7F34740B"/>
    <w:multiLevelType w:val="singleLevel"/>
    <w:tmpl w:val="7F34740B"/>
    <w:lvl w:ilvl="0" w:tentative="0">
      <w:start w:val="2"/>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zM2E3Y2U4MDk5M2MwOTg0NWFmZjE5NTA0ZGI0YTQ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F12408"/>
    <w:rsid w:val="053A62B5"/>
    <w:rsid w:val="06795FAF"/>
    <w:rsid w:val="0918701F"/>
    <w:rsid w:val="0A2032A3"/>
    <w:rsid w:val="0AD83203"/>
    <w:rsid w:val="0B017CE9"/>
    <w:rsid w:val="0B304DED"/>
    <w:rsid w:val="0B8A37D8"/>
    <w:rsid w:val="0DD759F4"/>
    <w:rsid w:val="10C055FF"/>
    <w:rsid w:val="118107EC"/>
    <w:rsid w:val="11DD6519"/>
    <w:rsid w:val="15EA028F"/>
    <w:rsid w:val="16BB723D"/>
    <w:rsid w:val="172872C1"/>
    <w:rsid w:val="18015F3F"/>
    <w:rsid w:val="1BE8440E"/>
    <w:rsid w:val="1D155CEE"/>
    <w:rsid w:val="20F57F95"/>
    <w:rsid w:val="240371BF"/>
    <w:rsid w:val="24C30629"/>
    <w:rsid w:val="25711CC6"/>
    <w:rsid w:val="25C741E6"/>
    <w:rsid w:val="26197D30"/>
    <w:rsid w:val="26EA27E4"/>
    <w:rsid w:val="27842671"/>
    <w:rsid w:val="29FD04D3"/>
    <w:rsid w:val="2ABE7A3E"/>
    <w:rsid w:val="2CA234A8"/>
    <w:rsid w:val="2EFA178C"/>
    <w:rsid w:val="30B46D73"/>
    <w:rsid w:val="319F7F4E"/>
    <w:rsid w:val="32B9519B"/>
    <w:rsid w:val="383D272C"/>
    <w:rsid w:val="39AE70AB"/>
    <w:rsid w:val="3C0C0783"/>
    <w:rsid w:val="3F9F3A96"/>
    <w:rsid w:val="48BF60AB"/>
    <w:rsid w:val="493C27E9"/>
    <w:rsid w:val="496F39ED"/>
    <w:rsid w:val="49FF41D3"/>
    <w:rsid w:val="4BE068DB"/>
    <w:rsid w:val="4BF6002B"/>
    <w:rsid w:val="4E437F61"/>
    <w:rsid w:val="4ECE2238"/>
    <w:rsid w:val="51DB4B86"/>
    <w:rsid w:val="545740BE"/>
    <w:rsid w:val="55333C3E"/>
    <w:rsid w:val="64CA39A1"/>
    <w:rsid w:val="67530DBD"/>
    <w:rsid w:val="69630ADE"/>
    <w:rsid w:val="6A3053E5"/>
    <w:rsid w:val="6C4A05C8"/>
    <w:rsid w:val="6D3B1A89"/>
    <w:rsid w:val="6E650BAB"/>
    <w:rsid w:val="6FC00FB9"/>
    <w:rsid w:val="6FEA5037"/>
    <w:rsid w:val="71BF4EC2"/>
    <w:rsid w:val="72734D90"/>
    <w:rsid w:val="7412278C"/>
    <w:rsid w:val="751C3B31"/>
    <w:rsid w:val="79E7B28D"/>
    <w:rsid w:val="7D5A23B4"/>
    <w:rsid w:val="7D913F95"/>
    <w:rsid w:val="7F9F20EE"/>
    <w:rsid w:val="7FA53D28"/>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able of figures"/>
    <w:basedOn w:val="1"/>
    <w:next w:val="1"/>
    <w:qFormat/>
    <w:uiPriority w:val="0"/>
    <w:pPr>
      <w:ind w:leftChars="200" w:hanging="200" w:hangingChars="200"/>
    </w:p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 w:type="paragraph" w:customStyle="1" w:styleId="30">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E:\&#20449;&#24687;\&#26412;&#22320;&#30913;&#30424;%20e\&#38472;&#23432;&#25919;1\2018&#36130;&#25919;&#20449;&#24687;&#20844;&#24320;\2017&#24180;&#22478;&#31649;&#23616;&#25919;&#24220;&#32508;&#21512;&#36130;&#21153;&#25253;&#21578;&#65288;&#23616;&#26412;&#32423;&#65289;\&#39292;&#29366;&#22270;\&#39292;&#22270;%20-%20&#21103;&#26412;.xlsx" TargetMode="External"/></Relationships>
</file>

<file path=word/charts/_rels/chart2.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oleObject" Target="file:///E:\&#20449;&#24687;\&#26412;&#22320;&#30913;&#30424;%20e\&#38472;&#23432;&#25919;1\2018&#36130;&#25919;&#20449;&#24687;&#20844;&#24320;\2017&#24180;&#22478;&#31649;&#23616;&#25919;&#24220;&#32508;&#21512;&#36130;&#21153;&#25253;&#21578;&#65288;&#23616;&#26412;&#32423;&#65289;\&#39292;&#29366;&#22270;\&#39292;&#2227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E:\&#20449;&#24687;\&#26412;&#22320;&#30913;&#30424;%20e\&#38472;&#23432;&#25919;1\2018&#36130;&#25919;&#20449;&#24687;&#20844;&#24320;\2017&#24180;&#22478;&#31649;&#23616;&#25919;&#24220;&#32508;&#21512;&#36130;&#21153;&#25253;&#21578;&#65288;&#23616;&#26412;&#32423;&#65289;\&#39292;&#29366;&#22270;\&#39292;&#22270;%20-%20&#21103;&#26412;.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E:\&#20449;&#24687;\&#26412;&#22320;&#30913;&#30424;%20e\&#38472;&#23432;&#25919;1\2018&#36130;&#25919;&#20449;&#24687;&#20844;&#24320;\2017&#24180;&#22478;&#31649;&#23616;&#25919;&#24220;&#32508;&#21512;&#36130;&#21153;&#25253;&#21578;&#65288;&#23616;&#26412;&#32423;&#65289;\&#39292;&#29366;&#22270;\&#39292;&#22270;%20-%20&#21103;&#26412;.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E:\&#20449;&#24687;\&#26412;&#22320;&#30913;&#30424;%20e\&#38472;&#23432;&#25919;1\2018&#36130;&#25919;&#20449;&#24687;&#20844;&#24320;\2017&#24180;&#22478;&#31649;&#23616;&#25919;&#24220;&#32508;&#21512;&#36130;&#21153;&#25253;&#21578;&#65288;&#23616;&#26412;&#32423;&#65289;\&#39292;&#29366;&#22270;\&#39292;&#22270;%20-%20&#21103;&#26412;%20(2).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E:\&#20449;&#24687;\&#26412;&#22320;&#30913;&#30424;%20e\&#38472;&#23432;&#25919;1\2018&#36130;&#25919;&#20449;&#24687;&#20844;&#24320;\2017&#24180;&#22478;&#31649;&#23616;&#25919;&#24220;&#32508;&#21512;&#36130;&#21153;&#25253;&#21578;&#65288;&#23616;&#26412;&#32423;&#65289;\&#39292;&#29366;&#22270;\&#39292;&#22270;.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E:\&#20449;&#24687;\&#26412;&#22320;&#30913;&#30424;%20e\&#38472;&#23432;&#25919;1\2018&#36130;&#25919;&#20449;&#24687;&#20844;&#24320;\2017&#24180;&#22478;&#31649;&#23616;&#25919;&#24220;&#32508;&#21512;&#36130;&#21153;&#25253;&#21578;&#65288;&#23616;&#26412;&#32423;&#65289;\&#39292;&#29366;&#22270;\&#39292;&#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财政拨款收、支决算总计变动情况图</a:t>
            </a:r>
          </a:p>
        </c:rich>
      </c:tx>
      <c:layout/>
      <c:overlay val="0"/>
      <c:spPr>
        <a:noFill/>
        <a:ln>
          <a:noFill/>
        </a:ln>
        <a:effectLst/>
      </c:spPr>
    </c:title>
    <c:autoTitleDeleted val="0"/>
    <c:plotArea>
      <c:layout/>
      <c:barChart>
        <c:barDir val="col"/>
        <c:grouping val="clustered"/>
        <c:varyColors val="0"/>
        <c:ser>
          <c:idx val="0"/>
          <c:order val="0"/>
          <c:tx>
            <c:strRef>
              <c:f>'[饼图 - 副本.xlsx]柱状图'!$A$13</c:f>
              <c:strCache>
                <c:ptCount val="1"/>
                <c:pt idx="0">
                  <c:v>2022年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'[饼图 - 副本.xlsx]柱状图'!$B$12:$C$12</c:f>
              <c:strCache>
                <c:ptCount val="2"/>
                <c:pt idx="0">
                  <c:v>收入</c:v>
                </c:pt>
                <c:pt idx="1">
                  <c:v>支出</c:v>
                </c:pt>
              </c:strCache>
            </c:strRef>
          </c:cat>
          <c:val>
            <c:numRef>
              <c:f>'[饼图 - 副本.xlsx]柱状图'!$B$13:$C$13</c:f>
              <c:numCache>
                <c:formatCode>General</c:formatCode>
                <c:ptCount val="2"/>
                <c:pt idx="0">
                  <c:v>3945.22</c:v>
                </c:pt>
                <c:pt idx="1">
                  <c:v>4275.16</c:v>
                </c:pt>
              </c:numCache>
            </c:numRef>
          </c:val>
        </c:ser>
        <c:ser>
          <c:idx val="1"/>
          <c:order val="1"/>
          <c:tx>
            <c:strRef>
              <c:f>'[饼图 - 副本.xlsx]柱状图'!$A$14</c:f>
              <c:strCache>
                <c:ptCount val="1"/>
                <c:pt idx="0">
                  <c:v>2021年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'[饼图 - 副本.xlsx]柱状图'!$B$12:$C$12</c:f>
              <c:strCache>
                <c:ptCount val="2"/>
                <c:pt idx="0">
                  <c:v>收入</c:v>
                </c:pt>
                <c:pt idx="1">
                  <c:v>支出</c:v>
                </c:pt>
              </c:strCache>
            </c:strRef>
          </c:cat>
          <c:val>
            <c:numRef>
              <c:f>'[饼图 - 副本.xlsx]柱状图'!$B$14:$C$14</c:f>
              <c:numCache>
                <c:formatCode>General</c:formatCode>
                <c:ptCount val="2"/>
                <c:pt idx="0">
                  <c:v>3840.82</c:v>
                </c:pt>
                <c:pt idx="1">
                  <c:v>3871.53</c:v>
                </c:pt>
              </c:numCache>
            </c:numRef>
          </c:val>
        </c:ser>
        <c:dLbls>
          <c:showLegendKey val="0"/>
          <c:showVal val="1"/>
          <c:showCatName val="0"/>
          <c:showSerName val="0"/>
          <c:showPercent val="0"/>
          <c:showBubbleSize val="0"/>
        </c:dLbls>
        <c:gapWidth val="219"/>
        <c:overlap val="-27"/>
        <c:axId val="773092718"/>
        <c:axId val="43639147"/>
      </c:barChart>
      <c:catAx>
        <c:axId val="77309271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639147"/>
        <c:crosses val="autoZero"/>
        <c:auto val="1"/>
        <c:lblAlgn val="ctr"/>
        <c:lblOffset val="100"/>
        <c:noMultiLvlLbl val="0"/>
      </c:catAx>
      <c:valAx>
        <c:axId val="436391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309271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0" i="0" u="none" strike="noStrike" kern="1200" spc="0" baseline="0">
                <a:solidFill>
                  <a:schemeClr val="tx1"/>
                </a:solidFill>
                <a:latin typeface="+mn-lt"/>
                <a:ea typeface="+mn-ea"/>
                <a:cs typeface="+mn-cs"/>
              </a:defRPr>
            </a:pPr>
            <a:r>
              <a:rPr lang="zh-CN" altLang="en-US"/>
              <a:t>收入决算结构图</a:t>
            </a:r>
            <a:endParaRPr lang="zh-CN" altLang="en-US"/>
          </a:p>
        </c:rich>
      </c:tx>
      <c:layout/>
      <c:overlay val="0"/>
      <c:spPr>
        <a:noFill/>
        <a:ln>
          <a:noFill/>
        </a:ln>
        <a:effectLst/>
      </c:spPr>
    </c:title>
    <c:autoTitleDeleted val="0"/>
    <c:plotArea>
      <c:layout/>
      <c:pieChart>
        <c:varyColors val="1"/>
        <c:ser>
          <c:idx val="0"/>
          <c:order val="0"/>
          <c:spPr>
            <a:ln w="15875">
              <a:solidFill>
                <a:schemeClr val="bg1"/>
              </a:solidFill>
            </a:ln>
            <a:effectLst>
              <a:outerShdw blurRad="63500" sx="102000" sy="102000" algn="ctr" rotWithShape="0">
                <a:schemeClr val="tx1">
                  <a:lumMod val="50000"/>
                  <a:lumOff val="50000"/>
                  <a:alpha val="40000"/>
                </a:schemeClr>
              </a:outerShdw>
            </a:effectLst>
            <a:sp3d contourW="15875"/>
          </c:spPr>
          <c:explosion val="0"/>
          <c:dPt>
            <c:idx val="0"/>
            <c:bubble3D val="0"/>
            <c:spPr>
              <a:pattFill prst="dkUpDiag">
                <a:fgClr>
                  <a:schemeClr val="accent3"/>
                </a:fgClr>
                <a:bgClr>
                  <a:schemeClr val="accent3">
                    <a:lumMod val="60000"/>
                    <a:lumOff val="40000"/>
                  </a:schemeClr>
                </a:bgClr>
              </a:pattFill>
              <a:ln w="15875">
                <a:solidFill>
                  <a:schemeClr val="bg1"/>
                </a:solidFill>
              </a:ln>
              <a:effectLst>
                <a:outerShdw blurRad="63500" sx="102000" sy="102000" algn="ctr" rotWithShape="0">
                  <a:schemeClr val="tx1">
                    <a:lumMod val="50000"/>
                    <a:lumOff val="50000"/>
                    <a:alpha val="40000"/>
                  </a:schemeClr>
                </a:outerShdw>
              </a:effectLst>
              <a:sp3d contourW="15875"/>
            </c:spPr>
          </c:dPt>
          <c:dPt>
            <c:idx val="1"/>
            <c:bubble3D val="0"/>
            <c:spPr>
              <a:gradFill>
                <a:gsLst>
                  <a:gs pos="0">
                    <a:schemeClr val="accent5">
                      <a:lumMod val="60000"/>
                      <a:lumOff val="40000"/>
                    </a:schemeClr>
                  </a:gs>
                  <a:gs pos="80000">
                    <a:schemeClr val="accent5"/>
                  </a:gs>
                </a:gsLst>
                <a:lin ang="2700000" scaled="0"/>
              </a:gradFill>
              <a:ln w="15875">
                <a:solidFill>
                  <a:schemeClr val="bg1"/>
                </a:solidFill>
              </a:ln>
              <a:effectLst>
                <a:outerShdw blurRad="63500" sx="102000" sy="102000" algn="ctr" rotWithShape="0">
                  <a:schemeClr val="tx1">
                    <a:lumMod val="50000"/>
                    <a:lumOff val="50000"/>
                    <a:alpha val="40000"/>
                  </a:schemeClr>
                </a:outerShdw>
              </a:effectLst>
              <a:sp3d contourW="15875"/>
            </c:spPr>
          </c:dPt>
          <c:dLbls>
            <c:dLbl>
              <c:idx val="0"/>
              <c:layout/>
              <c:numFmt formatCode="General" sourceLinked="1"/>
              <c:spPr>
                <a:solidFill>
                  <a:schemeClr val="lt1"/>
                </a:solidFill>
                <a:ln>
                  <a:solidFill>
                    <a:schemeClr val="accent3"/>
                  </a:solidFill>
                </a:ln>
                <a:effectLst>
                  <a:outerShdw blurRad="63500" sx="102000" sy="102000" algn="ctr" rotWithShape="0">
                    <a:schemeClr val="accent3">
                      <a:lumMod val="50000"/>
                      <a:alpha val="40000"/>
                    </a:schemeClr>
                  </a:outerShdw>
                </a:effectLst>
              </c:spPr>
              <c:txPr>
                <a:bodyPr rot="0" spcFirstLastPara="0" vertOverflow="clip" vert="horz" wrap="square" lIns="36576" tIns="18288" rIns="36576" bIns="18288" anchor="ctr" anchorCtr="1" forceAA="0"/>
                <a:lstStyle/>
                <a:p>
                  <a:pPr>
                    <a:defRPr lang="zh-CN" sz="900" b="0" i="0" u="none" strike="noStrike" kern="1200" baseline="0">
                      <a:solidFill>
                        <a:schemeClr val="accent3">
                          <a:lumMod val="75000"/>
                          <a:alpha val="85000"/>
                        </a:schemeClr>
                      </a:solidFill>
                      <a:latin typeface="+mn-lt"/>
                      <a:ea typeface="+mn-ea"/>
                      <a:cs typeface="+mn-cs"/>
                    </a:defRPr>
                  </a:pPr>
                </a:p>
              </c:txPr>
              <c:dLblPos val="inEnd"/>
              <c:showLegendKey val="0"/>
              <c:showVal val="1"/>
              <c:showCatName val="0"/>
              <c:showSerName val="0"/>
              <c:showPercent val="1"/>
              <c:showBubbleSize val="0"/>
              <c:extLst>
                <c:ext xmlns:c15="http://schemas.microsoft.com/office/drawing/2012/chart" uri="{CE6537A1-D6FC-4f65-9D91-7224C49458BB}"/>
              </c:extLst>
            </c:dLbl>
            <c:dLbl>
              <c:idx val="1"/>
              <c:layout/>
              <c:numFmt formatCode="General" sourceLinked="1"/>
              <c:spPr>
                <a:solidFill>
                  <a:schemeClr val="lt1"/>
                </a:solidFill>
                <a:ln>
                  <a:solidFill>
                    <a:schemeClr val="accent5"/>
                  </a:solidFill>
                </a:ln>
                <a:effectLst>
                  <a:outerShdw blurRad="63500" sx="102000" sy="102000" algn="ctr" rotWithShape="0">
                    <a:schemeClr val="accent5">
                      <a:lumMod val="50000"/>
                      <a:alpha val="40000"/>
                    </a:schemeClr>
                  </a:outerShdw>
                </a:effectLst>
              </c:spPr>
              <c:txPr>
                <a:bodyPr rot="0" spcFirstLastPara="0" vertOverflow="clip" vert="horz" wrap="square" lIns="36576" tIns="18288" rIns="36576" bIns="18288" anchor="ctr" anchorCtr="1" forceAA="0"/>
                <a:lstStyle/>
                <a:p>
                  <a:pPr>
                    <a:defRPr lang="zh-CN" sz="900" b="0" i="0" u="none" strike="noStrike" kern="1200" baseline="0">
                      <a:solidFill>
                        <a:schemeClr val="accent5"/>
                      </a:solidFill>
                      <a:latin typeface="+mn-lt"/>
                      <a:ea typeface="+mn-ea"/>
                      <a:cs typeface="+mn-cs"/>
                    </a:defRPr>
                  </a:pPr>
                </a:p>
              </c:txPr>
              <c:dLblPos val="inEnd"/>
              <c:showLegendKey val="0"/>
              <c:showVal val="1"/>
              <c:showCatName val="0"/>
              <c:showSerName val="0"/>
              <c:showPercent val="1"/>
              <c:showBubbleSize val="0"/>
              <c:extLst>
                <c:ext xmlns:c15="http://schemas.microsoft.com/office/drawing/2012/chart" uri="{CE6537A1-D6FC-4f65-9D91-7224C49458BB}"/>
              </c:extLst>
            </c:dLbl>
            <c:numFmt formatCode="General" sourceLinked="1"/>
            <c:spPr>
              <a:solidFill>
                <a:schemeClr val="lt1"/>
              </a:solidFill>
              <a:ln>
                <a:solidFill>
                  <a:schemeClr val="dk1">
                    <a:lumMod val="25000"/>
                    <a:lumOff val="75000"/>
                  </a:schemeClr>
                </a:solidFill>
              </a:ln>
              <a:effectLst>
                <a:outerShdw blurRad="63500" sx="102000" sy="102000" algn="ctr" rotWithShape="0">
                  <a:prstClr val="black">
                    <a:alpha val="40000"/>
                  </a:prstClr>
                </a:outerShdw>
              </a:effectLst>
            </c:spPr>
            <c:txPr>
              <a:bodyPr rot="0" spcFirstLastPara="0" vertOverflow="clip" horzOverflow="clip" vert="horz" wrap="square" lIns="36576" tIns="18288" rIns="36576" bIns="18288" anchor="ctr" anchorCtr="1" forceAA="0">
                <a:spAutoFit/>
              </a:bodyPr>
              <a:lstStyle/>
              <a:p>
                <a:pPr>
                  <a:defRPr lang="zh-CN" sz="900" b="0" i="0" u="none" strike="noStrike" kern="1200" baseline="0">
                    <a:solidFill>
                      <a:schemeClr val="dk1">
                        <a:lumMod val="65000"/>
                        <a:lumOff val="35000"/>
                      </a:schemeClr>
                    </a:solidFill>
                    <a:latin typeface="+mn-lt"/>
                    <a:ea typeface="+mn-ea"/>
                    <a:cs typeface="+mn-cs"/>
                  </a:defRPr>
                </a:pPr>
              </a:p>
            </c:txPr>
            <c:dLblPos val="inEnd"/>
            <c:showLegendKey val="0"/>
            <c:showVal val="1"/>
            <c:showCatName val="0"/>
            <c:showSerName val="0"/>
            <c:showPercent val="1"/>
            <c:showBubbleSize val="0"/>
            <c:showLeaderLines val="1"/>
            <c:extLst>
              <c:ext xmlns:c15="http://schemas.microsoft.com/office/drawing/2012/chart" uri="{CE6537A1-D6FC-4f65-9D91-7224C49458BB}">
                <c15:spPr xmlns:c15="http://schemas.microsoft.com/office/drawing/2012/chart">
                  <a:prstGeom prst="roundRect">
                    <a:avLst/>
                  </a:prstGeom>
                  <a:noFill/>
                  <a:ln>
                    <a:noFill/>
                  </a:ln>
                </c15:spPr>
                <c15:layout/>
                <c15:showLeaderLines val="1"/>
                <c15:leaderLines>
                  <c:spPr>
                    <a:ln w="9525" cap="flat" cmpd="sng" algn="ctr">
                      <a:solidFill>
                        <a:schemeClr val="tx1">
                          <a:lumMod val="35000"/>
                          <a:lumOff val="65000"/>
                        </a:schemeClr>
                      </a:solidFill>
                      <a:round/>
                    </a:ln>
                    <a:effectLst/>
                  </c:spPr>
                </c15:leaderLines>
              </c:ext>
            </c:extLst>
          </c:dLbls>
          <c:cat>
            <c:strRef>
              <c:f>[饼图.xlsx]Sheet1!$G$34:$G$35</c:f>
              <c:strCache>
                <c:ptCount val="2"/>
                <c:pt idx="0">
                  <c:v>一般公共预算财政拨款收入</c:v>
                </c:pt>
                <c:pt idx="1">
                  <c:v>政府性基金预算财政拨款收入</c:v>
                </c:pt>
              </c:strCache>
            </c:strRef>
          </c:cat>
          <c:val>
            <c:numRef>
              <c:f>[饼图.xlsx]Sheet1!$H$34:$H$35</c:f>
              <c:numCache>
                <c:formatCode>General</c:formatCode>
                <c:ptCount val="2"/>
                <c:pt idx="0">
                  <c:v>1938.65</c:v>
                </c:pt>
                <c:pt idx="1">
                  <c:v>2006.58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61315789473684"/>
          <c:y val="0.622685185185185"/>
          <c:w val="0.322894736842105"/>
          <c:h val="0.1875"/>
        </c:manualLayou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legend>
    <c:plotVisOnly val="0"/>
    <c:dispBlanksAs val="gap"/>
    <c:showDLblsOverMax val="0"/>
  </c:chart>
  <c:spPr>
    <a:solidFill>
      <a:schemeClr val="bg1"/>
    </a:solidFill>
    <a:ln w="9525" cap="flat" cmpd="sng" algn="ctr">
      <a:solidFill>
        <a:schemeClr val="bg1">
          <a:lumMod val="85000"/>
        </a:schemeClr>
      </a:solidFill>
      <a:round/>
    </a:ln>
    <a:effectLst>
      <a:outerShdw blurRad="63500" dist="37357" dir="2700000" sx="0" sy="0" rotWithShape="0">
        <a:scrgbClr r="0" g="0" b="0"/>
      </a:outerShdw>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a:t>
            </a:r>
          </a:p>
          <a:p>
            <a:pPr defTabSz="914400">
              <a:defRPr lang="zh-CN" sz="1400" b="0" i="0" u="none" strike="noStrike" kern="1200" spc="0" baseline="0">
                <a:solidFill>
                  <a:schemeClr val="tx1">
                    <a:lumMod val="65000"/>
                    <a:lumOff val="35000"/>
                  </a:schemeClr>
                </a:solidFill>
                <a:latin typeface="+mn-lt"/>
                <a:ea typeface="+mn-ea"/>
                <a:cs typeface="+mn-cs"/>
              </a:defRPr>
            </a:pPr>
            <a:r>
              <a:t>结构图</a:t>
            </a:r>
          </a:p>
        </c:rich>
      </c:tx>
      <c:layout>
        <c:manualLayout>
          <c:xMode val="edge"/>
          <c:yMode val="edge"/>
          <c:x val="0.359583333333333"/>
          <c:y val="0.0358851674641148"/>
        </c:manualLayout>
      </c:layout>
      <c:overlay val="0"/>
      <c:spPr>
        <a:noFill/>
        <a:ln>
          <a:noFill/>
        </a:ln>
        <a:effectLst/>
      </c:spPr>
    </c:title>
    <c:autoTitleDeleted val="0"/>
    <c:plotArea>
      <c:layout/>
      <c:pieChart>
        <c:varyColors val="1"/>
        <c:ser>
          <c:idx val="0"/>
          <c:order val="0"/>
          <c:spPr>
            <a:effectLst/>
          </c:spPr>
          <c:explosion val="0"/>
          <c:dPt>
            <c:idx val="0"/>
            <c:bubble3D val="0"/>
            <c:spPr>
              <a:solidFill>
                <a:schemeClr val="accent1"/>
              </a:solidFill>
              <a:ln w="19050">
                <a:solidFill>
                  <a:schemeClr val="accent1"/>
                </a:solidFill>
              </a:ln>
              <a:effectLst/>
            </c:spPr>
          </c:dPt>
          <c:dPt>
            <c:idx val="1"/>
            <c:bubble3D val="0"/>
            <c:spPr>
              <a:solidFill>
                <a:schemeClr val="accent2"/>
              </a:solidFill>
              <a:ln w="19050">
                <a:solidFill>
                  <a:schemeClr val="lt1"/>
                </a:solidFill>
              </a:ln>
              <a:effectLst/>
            </c:spPr>
          </c:dPt>
          <c:dLbls>
            <c:dLbl>
              <c:idx val="1"/>
              <c:layout>
                <c:manualLayout>
                  <c:x val="0.156495375788953"/>
                  <c:y val="-0.187695770035031"/>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251075268817204"/>
                      <c:h val="0.191155988857939"/>
                    </c:manualLayout>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'[饼图 - 副本.xlsx]饼图'!$A$4:$A$5</c:f>
              <c:strCache>
                <c:ptCount val="2"/>
                <c:pt idx="0">
                  <c:v>基本支出</c:v>
                </c:pt>
                <c:pt idx="1">
                  <c:v>项目支出</c:v>
                </c:pt>
              </c:strCache>
            </c:strRef>
          </c:cat>
          <c:val>
            <c:numRef>
              <c:f>'[饼图 - 副本.xlsx]饼图'!$B$4:$B$5</c:f>
              <c:numCache>
                <c:formatCode>General</c:formatCode>
                <c:ptCount val="2"/>
                <c:pt idx="0">
                  <c:v>1963.8</c:v>
                </c:pt>
                <c:pt idx="1">
                  <c:v>2311.36</c:v>
                </c:pt>
              </c:numCache>
            </c:numRef>
          </c:val>
        </c:ser>
        <c:dLbls>
          <c:showLegendKey val="0"/>
          <c:showVal val="1"/>
          <c:showCatName val="1"/>
          <c:showSerName val="0"/>
          <c:showPercent val="1"/>
          <c:showBubbleSize val="0"/>
          <c:showLeaderLines val="1"/>
        </c:dLbls>
        <c:firstSliceAng val="0"/>
      </c:pieChart>
      <c:spPr>
        <a:noFill/>
        <a:ln>
          <a:noFill/>
        </a:ln>
        <a:effectLst/>
      </c:spPr>
    </c:plotArea>
    <c:legend>
      <c:legendPos val="b"/>
      <c:layout>
        <c:manualLayout>
          <c:xMode val="edge"/>
          <c:yMode val="edge"/>
          <c:x val="0.0779569892473118"/>
          <c:y val="0.888057103064067"/>
          <c:w val="0.918010752688172"/>
          <c:h val="0.057973537604456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财政拨款收、支决算总计变动情况图</a:t>
            </a:r>
          </a:p>
        </c:rich>
      </c:tx>
      <c:layout/>
      <c:overlay val="0"/>
      <c:spPr>
        <a:noFill/>
        <a:ln>
          <a:noFill/>
        </a:ln>
        <a:effectLst/>
      </c:spPr>
    </c:title>
    <c:autoTitleDeleted val="0"/>
    <c:plotArea>
      <c:layout>
        <c:manualLayout>
          <c:layoutTarget val="inner"/>
          <c:xMode val="edge"/>
          <c:yMode val="edge"/>
          <c:x val="0.0824413145539906"/>
          <c:y val="0.161821884836141"/>
          <c:w val="0.886036217303823"/>
          <c:h val="0.685502684688021"/>
        </c:manualLayout>
      </c:layout>
      <c:barChart>
        <c:barDir val="col"/>
        <c:grouping val="clustered"/>
        <c:varyColors val="0"/>
        <c:ser>
          <c:idx val="0"/>
          <c:order val="0"/>
          <c:tx>
            <c:strRef>
              <c:f>'[饼图 - 副本.xlsx]柱状图'!$A$13</c:f>
              <c:strCache>
                <c:ptCount val="1"/>
                <c:pt idx="0">
                  <c:v>2022年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'[饼图 - 副本.xlsx]柱状图'!$B$12:$C$12</c:f>
              <c:strCache>
                <c:ptCount val="2"/>
                <c:pt idx="0">
                  <c:v>收入</c:v>
                </c:pt>
                <c:pt idx="1">
                  <c:v>支出</c:v>
                </c:pt>
              </c:strCache>
            </c:strRef>
          </c:cat>
          <c:val>
            <c:numRef>
              <c:f>'[饼图 - 副本.xlsx]柱状图'!$B$13:$C$13</c:f>
              <c:numCache>
                <c:formatCode>General</c:formatCode>
                <c:ptCount val="2"/>
                <c:pt idx="0">
                  <c:v>3945.22</c:v>
                </c:pt>
                <c:pt idx="1">
                  <c:v>4275.16</c:v>
                </c:pt>
              </c:numCache>
            </c:numRef>
          </c:val>
        </c:ser>
        <c:ser>
          <c:idx val="1"/>
          <c:order val="1"/>
          <c:tx>
            <c:strRef>
              <c:f>'[饼图 - 副本.xlsx]柱状图'!$A$14</c:f>
              <c:strCache>
                <c:ptCount val="1"/>
                <c:pt idx="0">
                  <c:v>2021年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'[饼图 - 副本.xlsx]柱状图'!$B$12:$C$12</c:f>
              <c:strCache>
                <c:ptCount val="2"/>
                <c:pt idx="0">
                  <c:v>收入</c:v>
                </c:pt>
                <c:pt idx="1">
                  <c:v>支出</c:v>
                </c:pt>
              </c:strCache>
            </c:strRef>
          </c:cat>
          <c:val>
            <c:numRef>
              <c:f>'[饼图 - 副本.xlsx]柱状图'!$B$14:$C$14</c:f>
              <c:numCache>
                <c:formatCode>General</c:formatCode>
                <c:ptCount val="2"/>
                <c:pt idx="0">
                  <c:v>3840.82</c:v>
                </c:pt>
                <c:pt idx="1">
                  <c:v>3871.53</c:v>
                </c:pt>
              </c:numCache>
            </c:numRef>
          </c:val>
        </c:ser>
        <c:dLbls>
          <c:showLegendKey val="0"/>
          <c:showVal val="1"/>
          <c:showCatName val="0"/>
          <c:showSerName val="0"/>
          <c:showPercent val="0"/>
          <c:showBubbleSize val="0"/>
        </c:dLbls>
        <c:gapWidth val="219"/>
        <c:overlap val="-27"/>
        <c:axId val="773092718"/>
        <c:axId val="43639147"/>
      </c:barChart>
      <c:catAx>
        <c:axId val="77309271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639147"/>
        <c:crosses val="autoZero"/>
        <c:auto val="1"/>
        <c:lblAlgn val="ctr"/>
        <c:lblOffset val="100"/>
        <c:noMultiLvlLbl val="0"/>
      </c:catAx>
      <c:valAx>
        <c:axId val="436391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3092718"/>
        <c:crosses val="autoZero"/>
        <c:crossBetween val="between"/>
      </c:valAx>
      <c:spPr>
        <a:noFill/>
        <a:ln>
          <a:noFill/>
        </a:ln>
        <a:effectLst/>
      </c:spPr>
    </c:plotArea>
    <c:legend>
      <c:legendPos val="b"/>
      <c:layout>
        <c:manualLayout>
          <c:xMode val="edge"/>
          <c:yMode val="edge"/>
          <c:x val="0.391549295774648"/>
          <c:y val="0.866842568161829"/>
          <c:w val="0.216901408450704"/>
          <c:h val="0.11204925241864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'[饼图 - 副本 (2).xlsx]柱状图'!$A$9:$A$10</c:f>
              <c:strCache>
                <c:ptCount val="2"/>
                <c:pt idx="0">
                  <c:v>2022年</c:v>
                </c:pt>
                <c:pt idx="1">
                  <c:v>2021年</c:v>
                </c:pt>
              </c:strCache>
            </c:strRef>
          </c:cat>
          <c:val>
            <c:numRef>
              <c:f>'[饼图 - 副本 (2).xlsx]柱状图'!$B$9:$B$10</c:f>
              <c:numCache>
                <c:formatCode>General</c:formatCode>
                <c:ptCount val="2"/>
                <c:pt idx="0">
                  <c:v>2268.59</c:v>
                </c:pt>
                <c:pt idx="1">
                  <c:v>2161.61</c:v>
                </c:pt>
              </c:numCache>
            </c:numRef>
          </c:val>
        </c:ser>
        <c:dLbls>
          <c:showLegendKey val="0"/>
          <c:showVal val="1"/>
          <c:showCatName val="0"/>
          <c:showSerName val="0"/>
          <c:showPercent val="0"/>
          <c:showBubbleSize val="0"/>
        </c:dLbls>
        <c:gapWidth val="219"/>
        <c:overlap val="-27"/>
        <c:axId val="336835708"/>
        <c:axId val="194197495"/>
      </c:barChart>
      <c:catAx>
        <c:axId val="33683570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4197495"/>
        <c:crosses val="autoZero"/>
        <c:auto val="1"/>
        <c:lblAlgn val="ctr"/>
        <c:lblOffset val="100"/>
        <c:noMultiLvlLbl val="0"/>
      </c:catAx>
      <c:valAx>
        <c:axId val="1941974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68357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dLbl>
              <c:idx val="0"/>
              <c:layout>
                <c:manualLayout>
                  <c:x val="-0.0510552515965463"/>
                  <c:y val="-0.00188023123598956"/>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0.0435138756370863"/>
                  <c:y val="0.00464601335542708"/>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0.116967639316965"/>
                  <c:y val="0.0143930107319765"/>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3"/>
              <c:layout>
                <c:manualLayout>
                  <c:x val="0.0247997510207624"/>
                  <c:y val="0.0273602742242273"/>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4"/>
              <c:layout>
                <c:manualLayout>
                  <c:x val="-0.375723544552284"/>
                  <c:y val="0.279085200567745"/>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5"/>
              <c:layout>
                <c:manualLayout>
                  <c:x val="0.2576950183059"/>
                  <c:y val="0.27588372469904"/>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6"/>
              <c:layout>
                <c:manualLayout>
                  <c:x val="0.20271381428726"/>
                  <c:y val="0.11576709041481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7"/>
              <c:layout>
                <c:manualLayout>
                  <c:x val="-0.250609896347323"/>
                  <c:y val="0.0242326336553984"/>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[饼图.xlsx]Sheet1!$G$14:$G$21</c:f>
              <c:strCache>
                <c:ptCount val="8"/>
                <c:pt idx="0">
                  <c:v>一般公共服务支出</c:v>
                </c:pt>
                <c:pt idx="1">
                  <c:v>卫生健康支出</c:v>
                </c:pt>
                <c:pt idx="2">
                  <c:v>住房保障支出</c:v>
                </c:pt>
                <c:pt idx="3">
                  <c:v>社会保障和就业支出</c:v>
                </c:pt>
                <c:pt idx="4">
                  <c:v>节能环保支出</c:v>
                </c:pt>
                <c:pt idx="5">
                  <c:v>农林水支出</c:v>
                </c:pt>
                <c:pt idx="6">
                  <c:v>城乡社区支出</c:v>
                </c:pt>
                <c:pt idx="7">
                  <c:v>灾害防治及应急管理支出</c:v>
                </c:pt>
              </c:strCache>
            </c:strRef>
          </c:cat>
          <c:val>
            <c:numRef>
              <c:f>[饼图.xlsx]Sheet1!$H$14:$H$21</c:f>
              <c:numCache>
                <c:formatCode>General</c:formatCode>
                <c:ptCount val="8"/>
                <c:pt idx="0">
                  <c:v>12</c:v>
                </c:pt>
                <c:pt idx="1">
                  <c:v>42.26</c:v>
                </c:pt>
                <c:pt idx="2">
                  <c:v>63</c:v>
                </c:pt>
                <c:pt idx="3">
                  <c:v>76.82</c:v>
                </c:pt>
                <c:pt idx="4">
                  <c:v>38.68</c:v>
                </c:pt>
                <c:pt idx="5">
                  <c:v>5</c:v>
                </c:pt>
                <c:pt idx="6">
                  <c:v>1913.8</c:v>
                </c:pt>
                <c:pt idx="7">
                  <c:v>117.04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“三公”经费财政拨款支出结构</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[饼图.xlsx]柱状图!$A$7:$A$10</c:f>
              <c:strCache>
                <c:ptCount val="4"/>
                <c:pt idx="0">
                  <c:v>公务用车购置及运行费</c:v>
                </c:pt>
                <c:pt idx="1">
                  <c:v>公务接待费</c:v>
                </c:pt>
              </c:strCache>
            </c:strRef>
          </c:cat>
          <c:val>
            <c:numRef>
              <c:f>[饼图.xlsx]柱状图!$B$7:$B$10</c:f>
              <c:numCache>
                <c:formatCode>#,##0.00</c:formatCode>
                <c:ptCount val="4"/>
                <c:pt idx="0">
                  <c:v>20.92</c:v>
                </c:pt>
                <c:pt idx="1">
                  <c:v>0.55</c:v>
                </c:pt>
              </c:numCache>
            </c:numRef>
          </c:val>
        </c:ser>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[饼图.xlsx]柱状图!$A$7:$A$10</c:f>
              <c:strCache>
                <c:ptCount val="4"/>
                <c:pt idx="0">
                  <c:v>公务用车购置及运行费</c:v>
                </c:pt>
                <c:pt idx="1">
                  <c:v>公务接待费</c:v>
                </c:pt>
              </c:strCache>
            </c:strRef>
          </c:cat>
          <c:val>
            <c:numRef>
              <c:f>[饼图.xlsx]柱状图!$C$7:$C$10</c:f>
              <c:numCache>
                <c:formatCode>0.00%</c:formatCode>
                <c:ptCount val="4"/>
                <c:pt idx="0">
                  <c:v>0.9702</c:v>
                </c:pt>
                <c:pt idx="1">
                  <c:v>0.0298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25.1">
    <a:dk1>
      <a:srgbClr val="000000"/>
    </a:dk1>
    <a:lt1>
      <a:srgbClr val="FFFFFF"/>
    </a:lt1>
    <a:dk2>
      <a:srgbClr val="000000"/>
    </a:dk2>
    <a:lt2>
      <a:srgbClr val="FFFFFF"/>
    </a:lt2>
    <a:accent1>
      <a:srgbClr val="FFE3BD"/>
    </a:accent1>
    <a:accent2>
      <a:srgbClr val="FFCCA9"/>
    </a:accent2>
    <a:accent3>
      <a:srgbClr val="FEAC92"/>
    </a:accent3>
    <a:accent4>
      <a:srgbClr val="69AF99"/>
    </a:accent4>
    <a:accent5>
      <a:srgbClr val="388C7D"/>
    </a:accent5>
    <a:accent6>
      <a:srgbClr val="14615E"/>
    </a:accent6>
    <a:hlink>
      <a:srgbClr val="F0B091"/>
    </a:hlink>
    <a:folHlink>
      <a:srgbClr val="B18B6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1</TotalTime>
  <ScaleCrop>false</ScaleCrop>
  <LinksUpToDate>false</LinksUpToDate>
  <CharactersWithSpaces>8692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止步于喜欢</cp:lastModifiedBy>
  <cp:lastPrinted>2023-07-31T02:35:00Z</cp:lastPrinted>
  <dcterms:modified xsi:type="dcterms:W3CDTF">2023-10-11T03:20:13Z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424E9B3B6B8E4731B8AF39F480482B0F_13</vt:lpwstr>
  </property>
</Properties>
</file>