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auto"/>
          <w:sz w:val="21"/>
          <w:szCs w:val="21"/>
          <w:highlight w:val="none"/>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193"/>
      <w:bookmarkStart w:id="2" w:name="_Toc15377425"/>
      <w:bookmarkStart w:id="3" w:name="_Toc15378441"/>
      <w:bookmarkStart w:id="4" w:name="_Toc15396475"/>
      <w:bookmarkStart w:id="5"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96476"/>
      <w:bookmarkStart w:id="7" w:name="_Toc15378442"/>
      <w:bookmarkStart w:id="8" w:name="_Toc15377426"/>
      <w:bookmarkStart w:id="9" w:name="_Toc15396598"/>
      <w:bookmarkStart w:id="10" w:name="_Toc15377194"/>
      <w:r>
        <w:rPr>
          <w:rFonts w:hint="eastAsia" w:ascii="方正小标宋简体" w:hAnsi="方正小标宋简体" w:eastAsia="方正小标宋简体" w:cs="方正小标宋简体"/>
          <w:color w:val="auto"/>
          <w:sz w:val="72"/>
          <w:szCs w:val="72"/>
          <w:highlight w:val="none"/>
          <w:lang w:eastAsia="zh-CN"/>
        </w:rPr>
        <w:t>大竹县</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统计局单位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 xml:space="preserve"> </w:t>
      </w:r>
      <w:r>
        <w:rPr>
          <w:rFonts w:hint="eastAsia"/>
          <w:color w:val="auto"/>
          <w:highlight w:val="none"/>
        </w:rPr>
        <w:t>月</w:t>
      </w:r>
      <w:r>
        <w:rPr>
          <w:rFonts w:hint="eastAsia"/>
          <w:color w:val="auto"/>
          <w:highlight w:val="none"/>
          <w:lang w:val="en-US" w:eastAsia="zh-CN"/>
        </w:rPr>
        <w:t xml:space="preserve"> </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r>
        <w:tab/>
      </w:r>
      <w:r>
        <w:rPr>
          <w:rFonts w:hint="eastAsia" w:ascii="Times New Roman" w:hAnsi="Times New Roman" w:eastAsia="宋体" w:cs="Times New Roman"/>
          <w:kern w:val="2"/>
          <w:sz w:val="21"/>
          <w:szCs w:val="24"/>
          <w:lang w:val="en-US" w:eastAsia="zh-CN" w:bidi="ar-SA"/>
        </w:rPr>
        <w:t>4</w:t>
      </w:r>
    </w:p>
    <w:p>
      <w:pPr>
        <w:pStyle w:val="11"/>
        <w:adjustRightInd w:val="0"/>
        <w:snapToGrid w:val="0"/>
        <w:spacing w:line="440" w:lineRule="exact"/>
        <w:jc w:val="left"/>
        <w:rPr>
          <w:rFonts w:hint="eastAsia" w:eastAsia="宋体"/>
          <w:color w:val="auto"/>
          <w:sz w:val="24"/>
          <w:highlight w:val="none"/>
          <w:lang w:eastAsia="zh-CN"/>
        </w:rPr>
      </w:pPr>
      <w:r>
        <w:rPr>
          <w:rFonts w:hint="eastAsia"/>
          <w:color w:val="auto"/>
          <w:sz w:val="24"/>
          <w:highlight w:val="none"/>
        </w:rPr>
        <w:t>一、</w:t>
      </w:r>
      <w:r>
        <w:rPr>
          <w:rFonts w:hint="eastAsia"/>
          <w:color w:val="auto"/>
          <w:sz w:val="24"/>
          <w:highlight w:val="none"/>
          <w:lang w:eastAsia="zh-CN"/>
        </w:rPr>
        <w:t>主要职责</w:t>
      </w:r>
      <w:r>
        <w:tab/>
      </w:r>
      <w:r>
        <w:rPr>
          <w:rFonts w:hint="eastAsia" w:ascii="Times New Roman" w:hAnsi="Times New Roman" w:eastAsia="宋体" w:cs="Times New Roman"/>
          <w:kern w:val="2"/>
          <w:sz w:val="21"/>
          <w:szCs w:val="24"/>
          <w:lang w:val="en-US" w:eastAsia="zh-CN" w:bidi="ar-SA"/>
        </w:rPr>
        <w:t>4</w:t>
      </w:r>
    </w:p>
    <w:p>
      <w:pPr>
        <w:pStyle w:val="11"/>
        <w:adjustRightInd w:val="0"/>
        <w:snapToGrid w:val="0"/>
        <w:spacing w:line="440" w:lineRule="exact"/>
        <w:jc w:val="left"/>
        <w:rPr>
          <w:rFonts w:hint="eastAsia" w:eastAsia="宋体"/>
          <w:color w:val="auto"/>
          <w:lang w:eastAsia="zh-CN"/>
        </w:rPr>
      </w:pPr>
      <w:r>
        <w:rPr>
          <w:rFonts w:hint="eastAsia"/>
          <w:color w:val="auto"/>
          <w:sz w:val="24"/>
          <w:highlight w:val="none"/>
          <w:lang w:eastAsia="zh-CN"/>
        </w:rPr>
        <w:t>二</w:t>
      </w:r>
      <w:r>
        <w:rPr>
          <w:rFonts w:hint="eastAsia"/>
          <w:color w:val="auto"/>
          <w:sz w:val="24"/>
          <w:highlight w:val="none"/>
        </w:rPr>
        <w:t>、</w:t>
      </w:r>
      <w:r>
        <w:rPr>
          <w:rFonts w:hint="eastAsia"/>
          <w:color w:val="auto"/>
          <w:sz w:val="24"/>
          <w:highlight w:val="none"/>
          <w:lang w:eastAsia="zh-CN"/>
        </w:rPr>
        <w:t>机构设置</w:t>
      </w:r>
      <w:r>
        <w:tab/>
      </w:r>
      <w:r>
        <w:rPr>
          <w:rFonts w:hint="eastAsia" w:ascii="Times New Roman" w:hAnsi="Times New Roman" w:eastAsia="宋体" w:cs="Times New Roman"/>
          <w:kern w:val="2"/>
          <w:sz w:val="21"/>
          <w:szCs w:val="24"/>
          <w:lang w:val="en-US" w:eastAsia="zh-CN" w:bidi="ar-SA"/>
        </w:rPr>
        <w:t>4</w:t>
      </w:r>
    </w:p>
    <w:p>
      <w:pPr>
        <w:pStyle w:val="10"/>
        <w:adjustRightInd w:val="0"/>
        <w:snapToGrid w:val="0"/>
        <w:spacing w:before="0" w:line="440" w:lineRule="exact"/>
        <w:jc w:val="left"/>
        <w:rPr>
          <w:rFonts w:hint="eastAsia" w:eastAsia="仿宋"/>
          <w:color w:val="auto"/>
          <w:sz w:val="24"/>
          <w:szCs w:val="24"/>
          <w:highlight w:val="none"/>
          <w:lang w:val="en-US" w:eastAsia="zh-CN"/>
        </w:rPr>
      </w:pPr>
      <w:r>
        <w:rPr>
          <w:rFonts w:hint="eastAsia"/>
          <w:color w:val="auto"/>
          <w:sz w:val="24"/>
          <w:highlight w:val="none"/>
        </w:rPr>
        <w:t>第二部分</w:t>
      </w:r>
      <w:r>
        <w:rPr>
          <w:rFonts w:hint="eastAsia"/>
          <w:color w:val="auto"/>
          <w:sz w:val="24"/>
          <w:highlight w:val="none"/>
          <w:lang w:val="en-US" w:eastAsia="zh-CN"/>
        </w:rPr>
        <w:t xml:space="preserve"> 2022年度</w:t>
      </w:r>
      <w:r>
        <w:rPr>
          <w:rFonts w:hint="eastAsia"/>
          <w:color w:val="auto"/>
          <w:sz w:val="24"/>
          <w:highlight w:val="none"/>
          <w:lang w:eastAsia="zh-CN"/>
        </w:rPr>
        <w:t>单位</w:t>
      </w:r>
      <w:r>
        <w:rPr>
          <w:rFonts w:hint="eastAsia"/>
          <w:color w:val="auto"/>
          <w:sz w:val="24"/>
          <w:highlight w:val="none"/>
        </w:rPr>
        <w:t>决算情况说明</w:t>
      </w:r>
      <w:r>
        <w:tab/>
      </w:r>
      <w:r>
        <w:rPr>
          <w:rFonts w:hint="eastAsia" w:ascii="Times New Roman" w:hAnsi="Times New Roman" w:eastAsia="宋体" w:cs="Times New Roman"/>
          <w:kern w:val="2"/>
          <w:sz w:val="21"/>
          <w:szCs w:val="24"/>
          <w:lang w:val="en-US" w:eastAsia="zh-CN" w:bidi="ar-SA"/>
        </w:rPr>
        <w:t>6</w:t>
      </w:r>
    </w:p>
    <w:p>
      <w:pPr>
        <w:pStyle w:val="11"/>
        <w:adjustRightInd w:val="0"/>
        <w:snapToGrid w:val="0"/>
        <w:spacing w:line="440" w:lineRule="exact"/>
        <w:jc w:val="left"/>
        <w:rPr>
          <w:rFonts w:hint="eastAsia" w:ascii="仿宋" w:hAnsi="仿宋" w:eastAsia="宋体" w:cstheme="minorBidi"/>
          <w:color w:val="auto"/>
          <w:sz w:val="24"/>
          <w:highlight w:val="none"/>
          <w:lang w:val="en-US" w:eastAsia="zh-CN"/>
        </w:rPr>
      </w:pPr>
      <w:r>
        <w:rPr>
          <w:rFonts w:hint="eastAsia"/>
          <w:color w:val="auto"/>
          <w:sz w:val="24"/>
          <w:highlight w:val="none"/>
        </w:rPr>
        <w:t>一、收入支出决算总体情况说明</w:t>
      </w:r>
      <w:r>
        <w:tab/>
      </w:r>
      <w:r>
        <w:rPr>
          <w:rFonts w:hint="eastAsia"/>
          <w:lang w:val="en-US" w:eastAsia="zh-CN"/>
        </w:rPr>
        <w:t>6</w:t>
      </w:r>
    </w:p>
    <w:p>
      <w:pPr>
        <w:pStyle w:val="11"/>
        <w:adjustRightInd w:val="0"/>
        <w:snapToGrid w:val="0"/>
        <w:spacing w:line="440" w:lineRule="exact"/>
        <w:jc w:val="left"/>
        <w:rPr>
          <w:rFonts w:hint="eastAsia" w:ascii="仿宋" w:hAnsi="仿宋" w:eastAsia="宋体" w:cstheme="minorBidi"/>
          <w:color w:val="auto"/>
          <w:sz w:val="24"/>
          <w:highlight w:val="none"/>
          <w:lang w:val="en-US" w:eastAsia="zh-CN"/>
        </w:rPr>
      </w:pPr>
      <w:r>
        <w:rPr>
          <w:rFonts w:hint="eastAsia"/>
          <w:color w:val="auto"/>
          <w:sz w:val="24"/>
          <w:highlight w:val="none"/>
        </w:rPr>
        <w:t>二、收入决算情况说明</w:t>
      </w:r>
      <w:r>
        <w:tab/>
      </w:r>
      <w:r>
        <w:rPr>
          <w:rFonts w:hint="eastAsia"/>
          <w:lang w:val="en-US" w:eastAsia="zh-CN"/>
        </w:rPr>
        <w:t>6</w:t>
      </w:r>
    </w:p>
    <w:p>
      <w:pPr>
        <w:pStyle w:val="11"/>
        <w:adjustRightInd w:val="0"/>
        <w:snapToGrid w:val="0"/>
        <w:spacing w:line="440" w:lineRule="exact"/>
        <w:jc w:val="left"/>
        <w:rPr>
          <w:rFonts w:hint="eastAsia" w:ascii="仿宋" w:hAnsi="仿宋" w:eastAsia="宋体" w:cstheme="minorBidi"/>
          <w:color w:val="auto"/>
          <w:sz w:val="24"/>
          <w:highlight w:val="none"/>
          <w:lang w:val="en-US" w:eastAsia="zh-CN"/>
        </w:rPr>
      </w:pPr>
      <w:r>
        <w:rPr>
          <w:rFonts w:hint="eastAsia"/>
          <w:color w:val="auto"/>
          <w:sz w:val="24"/>
          <w:highlight w:val="none"/>
        </w:rPr>
        <w:t>三、支出决算情况说明</w:t>
      </w:r>
      <w:r>
        <w:tab/>
      </w:r>
      <w:r>
        <w:rPr>
          <w:rFonts w:hint="eastAsia"/>
          <w:lang w:val="en-US" w:eastAsia="zh-CN"/>
        </w:rPr>
        <w:t>7</w:t>
      </w:r>
    </w:p>
    <w:p>
      <w:pPr>
        <w:pStyle w:val="11"/>
        <w:adjustRightInd w:val="0"/>
        <w:snapToGrid w:val="0"/>
        <w:spacing w:line="440" w:lineRule="exact"/>
        <w:jc w:val="left"/>
        <w:rPr>
          <w:rFonts w:hint="eastAsia" w:ascii="仿宋" w:hAnsi="仿宋" w:eastAsia="宋体" w:cstheme="minorBidi"/>
          <w:color w:val="auto"/>
          <w:sz w:val="24"/>
          <w:highlight w:val="none"/>
          <w:lang w:val="en-US" w:eastAsia="zh-CN"/>
        </w:rPr>
      </w:pPr>
      <w:r>
        <w:rPr>
          <w:rFonts w:hint="eastAsia"/>
          <w:color w:val="auto"/>
          <w:sz w:val="24"/>
          <w:highlight w:val="none"/>
        </w:rPr>
        <w:t>四、财政拨款收入支出决算总体情况说明</w:t>
      </w:r>
      <w:r>
        <w:tab/>
      </w:r>
      <w:r>
        <w:rPr>
          <w:rFonts w:hint="eastAsia"/>
          <w:lang w:val="en-US" w:eastAsia="zh-CN"/>
        </w:rPr>
        <w:t>8</w:t>
      </w:r>
    </w:p>
    <w:p>
      <w:pPr>
        <w:pStyle w:val="11"/>
        <w:adjustRightInd w:val="0"/>
        <w:snapToGrid w:val="0"/>
        <w:spacing w:line="440" w:lineRule="exact"/>
        <w:jc w:val="left"/>
        <w:rPr>
          <w:rFonts w:hint="eastAsia" w:ascii="仿宋" w:hAnsi="仿宋" w:eastAsia="宋体" w:cstheme="minorBidi"/>
          <w:color w:val="auto"/>
          <w:sz w:val="24"/>
          <w:highlight w:val="none"/>
          <w:lang w:val="en-US" w:eastAsia="zh-CN"/>
        </w:rPr>
      </w:pPr>
      <w:r>
        <w:rPr>
          <w:rFonts w:hint="eastAsia"/>
          <w:color w:val="auto"/>
          <w:sz w:val="24"/>
          <w:highlight w:val="none"/>
        </w:rPr>
        <w:t>五、一般公共预算财政拨款支出决算情况说明</w:t>
      </w:r>
      <w:r>
        <w:tab/>
      </w:r>
      <w:r>
        <w:rPr>
          <w:rFonts w:hint="eastAsia"/>
          <w:lang w:val="en-US" w:eastAsia="zh-CN"/>
        </w:rPr>
        <w:t>8</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六、一般公共预算财政拨款基本支出决算情况说明</w:t>
      </w:r>
      <w:r>
        <w:tab/>
      </w:r>
      <w:r>
        <w:rPr>
          <w:rFonts w:hint="eastAsia"/>
          <w:lang w:val="en-US" w:eastAsia="zh-CN"/>
        </w:rPr>
        <w:t>12</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七、财政拨款</w:t>
      </w:r>
      <w:r>
        <w:rPr>
          <w:rFonts w:hint="eastAsia"/>
          <w:color w:val="auto"/>
          <w:sz w:val="24"/>
          <w:highlight w:val="none"/>
          <w:lang w:eastAsia="zh-CN"/>
        </w:rPr>
        <w:t>“</w:t>
      </w:r>
      <w:r>
        <w:rPr>
          <w:rFonts w:hint="eastAsia"/>
          <w:color w:val="auto"/>
          <w:sz w:val="24"/>
          <w:highlight w:val="none"/>
        </w:rPr>
        <w:t>三公”经费支出决算情况说明</w:t>
      </w:r>
      <w:r>
        <w:tab/>
      </w:r>
      <w:r>
        <w:rPr>
          <w:rFonts w:hint="eastAsia"/>
          <w:lang w:val="en-US" w:eastAsia="zh-CN"/>
        </w:rPr>
        <w:t>12</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r>
        <w:tab/>
      </w:r>
      <w:r>
        <w:rPr>
          <w:rFonts w:hint="eastAsia"/>
          <w:lang w:val="en-US" w:eastAsia="zh-CN"/>
        </w:rPr>
        <w:t>14</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九、国有资本经营预算支出决算情况说明</w:t>
      </w:r>
      <w:r>
        <w:tab/>
      </w:r>
      <w:r>
        <w:rPr>
          <w:rFonts w:hint="eastAsia"/>
          <w:lang w:val="en-US" w:eastAsia="zh-CN"/>
        </w:rPr>
        <w:t>14</w:t>
      </w:r>
    </w:p>
    <w:p>
      <w:pPr>
        <w:pStyle w:val="11"/>
        <w:adjustRightInd w:val="0"/>
        <w:snapToGrid w:val="0"/>
        <w:spacing w:line="440" w:lineRule="exact"/>
        <w:jc w:val="left"/>
        <w:rPr>
          <w:rFonts w:hint="eastAsia"/>
          <w:color w:val="auto"/>
          <w:sz w:val="24"/>
          <w:highlight w:val="none"/>
          <w:lang w:eastAsia="zh-CN"/>
        </w:rPr>
      </w:pPr>
      <w:r>
        <w:rPr>
          <w:rFonts w:hint="eastAsia"/>
          <w:color w:val="auto"/>
          <w:sz w:val="24"/>
          <w:highlight w:val="none"/>
        </w:rPr>
        <w:t>十、其他重要事项的情况说明</w:t>
      </w:r>
      <w:r>
        <w:tab/>
      </w:r>
      <w:r>
        <w:rPr>
          <w:rFonts w:hint="eastAsia"/>
          <w:lang w:val="en-US" w:eastAsia="zh-CN"/>
        </w:rPr>
        <w:t>14</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tab/>
      </w:r>
      <w:r>
        <w:rPr>
          <w:rFonts w:hint="eastAsia" w:ascii="Times New Roman" w:hAnsi="Times New Roman" w:eastAsia="宋体" w:cs="Times New Roman"/>
          <w:kern w:val="2"/>
          <w:sz w:val="21"/>
          <w:szCs w:val="24"/>
          <w:lang w:val="en-US" w:eastAsia="zh-CN" w:bidi="ar-SA"/>
        </w:rPr>
        <w:t>16</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tab/>
      </w:r>
      <w:r>
        <w:rPr>
          <w:rFonts w:hint="eastAsia" w:ascii="Times New Roman" w:hAnsi="Times New Roman" w:eastAsia="宋体" w:cs="Times New Roman"/>
          <w:kern w:val="2"/>
          <w:sz w:val="21"/>
          <w:szCs w:val="24"/>
          <w:lang w:val="en-US" w:eastAsia="zh-CN" w:bidi="ar-SA"/>
        </w:rPr>
        <w:t>20</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tab/>
      </w:r>
      <w:r>
        <w:rPr>
          <w:rFonts w:hint="eastAsia" w:ascii="Times New Roman" w:hAnsi="Times New Roman" w:eastAsia="宋体" w:cs="Times New Roman"/>
          <w:kern w:val="2"/>
          <w:sz w:val="21"/>
          <w:szCs w:val="24"/>
          <w:lang w:val="en-US" w:eastAsia="zh-CN" w:bidi="ar-SA"/>
        </w:rPr>
        <w:t>37</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w:t>
      </w:r>
      <w:r>
        <w:rPr>
          <w:rFonts w:hint="eastAsia"/>
          <w:color w:val="auto"/>
          <w:sz w:val="24"/>
          <w:highlight w:val="none"/>
          <w:lang w:eastAsia="zh-CN"/>
        </w:rPr>
        <w:t>明细</w:t>
      </w:r>
      <w:r>
        <w:rPr>
          <w:rFonts w:hint="eastAsia"/>
          <w:color w:val="auto"/>
          <w:sz w:val="24"/>
          <w:highlight w:val="none"/>
        </w:rPr>
        <w:t>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十、政府性基金预算财政拨款收入支出决算表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十一、国有资本经营预算财政拨款收入支出决算表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十二、</w:t>
      </w:r>
      <w:r>
        <w:rPr>
          <w:rFonts w:hint="eastAsia"/>
          <w:color w:val="auto"/>
          <w:sz w:val="24"/>
          <w:highlight w:val="none"/>
          <w:lang w:val="en-US" w:eastAsia="zh-CN"/>
        </w:rPr>
        <w:t>国有资本经营预算财政拨款支出决算表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十三、财政拨款“三公”经费支出决算表</w:t>
      </w:r>
    </w:p>
    <w:p>
      <w:pPr>
        <w:widowControl/>
        <w:adjustRightInd w:val="0"/>
        <w:snapToGrid w:val="0"/>
        <w:spacing w:line="440" w:lineRule="exact"/>
        <w:ind w:firstLine="1320" w:firstLineChars="550"/>
        <w:jc w:val="left"/>
        <w:rPr>
          <w:rFonts w:ascii="仿宋" w:hAnsi="仿宋" w:eastAsia="仿宋"/>
          <w:color w:val="auto"/>
          <w:sz w:val="24"/>
          <w:highlight w:val="none"/>
        </w:rPr>
      </w:pPr>
      <w:r>
        <w:rPr>
          <w:rFonts w:ascii="仿宋" w:hAnsi="仿宋" w:eastAsia="仿宋"/>
          <w:color w:val="auto"/>
          <w:sz w:val="24"/>
          <w:highlight w:val="none"/>
        </w:rPr>
        <w:t>(注：</w:t>
      </w:r>
      <w:r>
        <w:rPr>
          <w:rFonts w:hint="eastAsia" w:ascii="仿宋" w:hAnsi="仿宋" w:eastAsia="仿宋"/>
          <w:color w:val="auto"/>
          <w:sz w:val="24"/>
          <w:highlight w:val="none"/>
        </w:rPr>
        <w:t>请</w:t>
      </w:r>
      <w:r>
        <w:rPr>
          <w:rFonts w:hint="eastAsia" w:ascii="仿宋" w:hAnsi="仿宋" w:eastAsia="仿宋"/>
          <w:color w:val="auto"/>
          <w:sz w:val="24"/>
          <w:highlight w:val="none"/>
          <w:lang w:eastAsia="zh-CN"/>
        </w:rPr>
        <w:t>单位</w:t>
      </w:r>
      <w:r>
        <w:rPr>
          <w:rFonts w:hint="eastAsia" w:ascii="仿宋" w:hAnsi="仿宋" w:eastAsia="仿宋"/>
          <w:color w:val="auto"/>
          <w:sz w:val="24"/>
          <w:highlight w:val="none"/>
        </w:rPr>
        <w:t>根据实际注明页码</w:t>
      </w:r>
      <w:r>
        <w:rPr>
          <w:rFonts w:ascii="仿宋" w:hAnsi="仿宋" w:eastAsia="仿宋"/>
          <w:color w:val="auto"/>
          <w:sz w:val="24"/>
          <w:highlight w:val="none"/>
        </w:rPr>
        <w:t>)</w:t>
      </w: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2"/>
        <w:jc w:val="center"/>
        <w:rPr>
          <w:rStyle w:val="24"/>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3"/>
        <w:numPr>
          <w:ilvl w:val="0"/>
          <w:numId w:val="1"/>
        </w:numPr>
        <w:rPr>
          <w:rStyle w:val="25"/>
          <w:rFonts w:hint="eastAsia" w:ascii="黑体" w:hAnsi="黑体" w:eastAsia="黑体"/>
          <w:b w:val="0"/>
          <w:bCs w:val="0"/>
          <w:color w:val="auto"/>
          <w:highlight w:val="none"/>
          <w:lang w:eastAsia="zh-CN"/>
        </w:rPr>
      </w:pPr>
      <w:bookmarkStart w:id="14" w:name="_Toc15377197"/>
      <w:bookmarkStart w:id="15" w:name="_Toc15396600"/>
      <w:r>
        <w:rPr>
          <w:rStyle w:val="25"/>
          <w:rFonts w:hint="eastAsia" w:ascii="黑体" w:hAnsi="黑体" w:eastAsia="黑体"/>
          <w:b w:val="0"/>
          <w:bCs w:val="0"/>
          <w:color w:val="auto"/>
          <w:highlight w:val="none"/>
          <w:lang w:eastAsia="zh-CN"/>
        </w:rPr>
        <w:t>主要职责</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依据国家法律法规和政策，组织领导和综合协调全县各级部门的统计和国民经济核算工作，会同有关部门组织完成重大的国情国力普查和专项调查，准确、及时、全面地反映县情县力，反映社会经济发展的基本情况，为县委、县政府制定政策、计划和指导经济、社会发展提供决策依据。搜集、整理、提供全县的基本统计资料，对国民经济、社会发展和科技进步情况进行统计分析、统计预测和统计监督，定期发布全县国民经济和社会发展情况的统计公报，向县委、县政府、有关部门、社会公众提供咨询服务。负责《统计法》、《四川省统计管理条例》等法律法规的宣传、贯彻、落实，开展统计行政执法、查处统计违法行为，定期或不定期向县人大常委会和县政府报告统计执法情况。</w:t>
      </w:r>
    </w:p>
    <w:p>
      <w:pPr>
        <w:pStyle w:val="3"/>
        <w:numPr>
          <w:ilvl w:val="0"/>
          <w:numId w:val="0"/>
        </w:numPr>
        <w:rPr>
          <w:rFonts w:hint="eastAsia" w:ascii="黑体" w:hAnsi="黑体" w:eastAsia="黑体"/>
          <w:b w:val="0"/>
          <w:color w:val="auto"/>
          <w:highlight w:val="none"/>
          <w:lang w:val="en-US" w:eastAsia="zh-CN"/>
        </w:rPr>
      </w:pPr>
      <w:r>
        <w:rPr>
          <w:rFonts w:hint="eastAsia" w:ascii="黑体" w:hAnsi="黑体" w:eastAsia="黑体"/>
          <w:b w:val="0"/>
          <w:color w:val="auto"/>
          <w:highlight w:val="none"/>
          <w:lang w:val="en-US" w:eastAsia="zh-CN"/>
        </w:rPr>
        <w:t>二、机构设置</w:t>
      </w:r>
    </w:p>
    <w:bookmarkEnd w:id="14"/>
    <w:bookmarkEnd w:id="15"/>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大竹县统计局下属二级预算单位</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个，其中行政单位0个，参照公务员法管理的事业单位2个，其他事业单位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个。</w:t>
      </w:r>
      <w:r>
        <w:rPr>
          <w:rFonts w:hint="eastAsia" w:ascii="仿宋_GB2312" w:hAnsi="仿宋" w:eastAsia="仿宋_GB2312"/>
          <w:sz w:val="32"/>
          <w:szCs w:val="32"/>
        </w:rPr>
        <w:t>比</w:t>
      </w:r>
      <w:r>
        <w:rPr>
          <w:rFonts w:hint="eastAsia" w:ascii="仿宋_GB2312" w:hAnsi="仿宋" w:eastAsia="仿宋_GB2312"/>
          <w:sz w:val="32"/>
          <w:szCs w:val="32"/>
          <w:lang w:val="en-US" w:eastAsia="zh-CN"/>
        </w:rPr>
        <w:t>2021</w:t>
      </w:r>
      <w:r>
        <w:rPr>
          <w:rFonts w:hint="eastAsia" w:ascii="仿宋_GB2312" w:hAnsi="仿宋" w:eastAsia="仿宋_GB2312"/>
          <w:sz w:val="32"/>
          <w:szCs w:val="32"/>
        </w:rPr>
        <w:t>年增加</w:t>
      </w:r>
      <w:r>
        <w:rPr>
          <w:rFonts w:hint="eastAsia" w:ascii="仿宋_GB2312" w:hAnsi="仿宋_GB2312" w:eastAsia="仿宋_GB2312" w:cs="仿宋_GB2312"/>
          <w:sz w:val="32"/>
          <w:szCs w:val="32"/>
          <w:lang w:val="en-US" w:eastAsia="zh-CN"/>
        </w:rPr>
        <w:t>2个事业单位，原因是2022年6月经第二次县委编委会议研究，同意设立大竹县经济运行服务中心和大竹县统计调查监测中心。</w:t>
      </w:r>
      <w:r>
        <w:rPr>
          <w:rFonts w:hint="eastAsia" w:ascii="仿宋_GB2312" w:hAnsi="仿宋_GB2312" w:eastAsia="仿宋_GB2312" w:cs="仿宋_GB2312"/>
          <w:sz w:val="32"/>
          <w:szCs w:val="32"/>
          <w:lang w:eastAsia="zh-CN"/>
        </w:rPr>
        <w:t>纳入大竹县统计局202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年度部门决算编制范围的二级预算单位包括：</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1.大竹县普查中心</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2.大竹县城乡社会经济调查队</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3.大竹县能源和环境统计中心</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4.大竹县经济运行服务中心</w:t>
      </w:r>
    </w:p>
    <w:p>
      <w:pPr>
        <w:spacing w:line="360" w:lineRule="auto"/>
        <w:ind w:firstLine="640" w:firstLineChars="200"/>
        <w:rPr>
          <w:rFonts w:ascii="仿宋" w:hAnsi="仿宋" w:eastAsia="仿宋"/>
          <w:color w:val="auto"/>
          <w:kern w:val="0"/>
          <w:sz w:val="32"/>
          <w:szCs w:val="32"/>
          <w:highlight w:val="none"/>
        </w:rPr>
      </w:pPr>
      <w:r>
        <w:rPr>
          <w:rFonts w:hint="eastAsia" w:ascii="仿宋_GB2312" w:hAnsi="仿宋_GB2312" w:eastAsia="仿宋_GB2312" w:cs="仿宋_GB2312"/>
          <w:sz w:val="32"/>
          <w:szCs w:val="32"/>
          <w:lang w:val="en-US" w:eastAsia="zh-CN"/>
        </w:rPr>
        <w:t>5.大竹县统计调查监测中心</w:t>
      </w:r>
      <w:r>
        <w:rPr>
          <w:rFonts w:ascii="仿宋" w:hAnsi="仿宋" w:eastAsia="仿宋"/>
          <w:color w:val="auto"/>
          <w:sz w:val="32"/>
          <w:szCs w:val="32"/>
          <w:highlight w:val="none"/>
        </w:rPr>
        <w:br w:type="page"/>
      </w:r>
    </w:p>
    <w:p>
      <w:pPr>
        <w:pStyle w:val="2"/>
        <w:ind w:right="440"/>
        <w:jc w:val="center"/>
        <w:rPr>
          <w:rStyle w:val="24"/>
          <w:rFonts w:ascii="黑体" w:hAnsi="黑体" w:eastAsia="黑体"/>
          <w:b w:val="0"/>
          <w:bCs/>
          <w:color w:val="auto"/>
          <w:highlight w:val="none"/>
        </w:rPr>
      </w:pPr>
      <w:bookmarkStart w:id="16" w:name="_Toc15396602"/>
      <w:bookmarkStart w:id="17" w:name="_Toc15377204"/>
      <w:r>
        <w:rPr>
          <w:rFonts w:hint="eastAsia" w:ascii="仿宋_GB2312" w:hAnsi="仿宋_GB2312" w:eastAsia="仿宋_GB2312" w:cs="仿宋_GB2312"/>
          <w:sz w:val="32"/>
          <w:szCs w:val="32"/>
          <w:lang w:eastAsia="zh-CN"/>
        </w:rPr>
        <w:drawing>
          <wp:anchor distT="0" distB="0" distL="114300" distR="114300" simplePos="0" relativeHeight="251659264" behindDoc="0" locked="0" layoutInCell="1" allowOverlap="1">
            <wp:simplePos x="0" y="0"/>
            <wp:positionH relativeFrom="column">
              <wp:posOffset>766445</wp:posOffset>
            </wp:positionH>
            <wp:positionV relativeFrom="paragraph">
              <wp:posOffset>2815590</wp:posOffset>
            </wp:positionV>
            <wp:extent cx="4241800" cy="2874645"/>
            <wp:effectExtent l="4445" t="4445" r="20955" b="1651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16"/>
      <w:bookmarkEnd w:id="17"/>
    </w:p>
    <w:p>
      <w:pPr>
        <w:rPr>
          <w:color w:val="auto"/>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1056.58</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479.52</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31.22</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2021年有</w:t>
      </w:r>
      <w:r>
        <w:rPr>
          <w:rFonts w:hint="eastAsia" w:ascii="仿宋" w:hAnsi="仿宋" w:eastAsia="仿宋"/>
          <w:color w:val="auto"/>
          <w:sz w:val="32"/>
          <w:szCs w:val="32"/>
          <w:highlight w:val="none"/>
        </w:rPr>
        <w:t>全国第七次</w:t>
      </w:r>
      <w:r>
        <w:rPr>
          <w:rFonts w:hint="eastAsia" w:ascii="仿宋" w:hAnsi="仿宋" w:eastAsia="仿宋"/>
          <w:color w:val="auto"/>
          <w:sz w:val="32"/>
          <w:szCs w:val="32"/>
          <w:highlight w:val="none"/>
          <w:lang w:val="en-US" w:eastAsia="zh-CN"/>
        </w:rPr>
        <w:t>人口普查经费</w:t>
      </w:r>
      <w:r>
        <w:rPr>
          <w:rFonts w:hint="eastAsia" w:ascii="仿宋" w:hAnsi="仿宋" w:eastAsia="仿宋"/>
          <w:color w:val="auto"/>
          <w:sz w:val="32"/>
          <w:szCs w:val="32"/>
          <w:highlight w:val="none"/>
          <w:lang w:eastAsia="zh-CN"/>
        </w:rPr>
        <w:t>。</w:t>
      </w:r>
    </w:p>
    <w:p>
      <w:pPr>
        <w:pStyle w:val="5"/>
        <w:rPr>
          <w:rFonts w:hint="eastAsia"/>
          <w:lang w:eastAsia="zh-CN"/>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0" w:name="_Toc15396604"/>
      <w:bookmarkStart w:id="21" w:name="_Toc15377206"/>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1048.72</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1035.96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98.78</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12.76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1.22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outlineLvl w:val="1"/>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_GB2312" w:hAnsi="仿宋_GB2312" w:eastAsia="仿宋_GB2312" w:cs="仿宋_GB2312"/>
          <w:sz w:val="32"/>
          <w:szCs w:val="32"/>
          <w:lang w:eastAsia="zh-CN"/>
        </w:rPr>
        <w:drawing>
          <wp:anchor distT="0" distB="0" distL="114300" distR="114300" simplePos="0" relativeHeight="251660288" behindDoc="0" locked="0" layoutInCell="1" allowOverlap="1">
            <wp:simplePos x="0" y="0"/>
            <wp:positionH relativeFrom="column">
              <wp:posOffset>459740</wp:posOffset>
            </wp:positionH>
            <wp:positionV relativeFrom="paragraph">
              <wp:posOffset>266065</wp:posOffset>
            </wp:positionV>
            <wp:extent cx="3966845" cy="2581275"/>
            <wp:effectExtent l="4445" t="5080" r="10160" b="4445"/>
            <wp:wrapTopAndBottom/>
            <wp:docPr id="3" name="图表 3" title="收入决算结构图"/>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2" w:name="_Toc15377207"/>
      <w:bookmarkStart w:id="23" w:name="_Toc15396605"/>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1047.27</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595.46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56.86</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451.81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43.14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ascii="仿宋" w:hAnsi="仿宋" w:eastAsia="仿宋"/>
          <w:color w:val="auto"/>
          <w:sz w:val="32"/>
          <w:szCs w:val="32"/>
          <w:highlight w:val="none"/>
          <w:shd w:val="pct10" w:color="auto" w:fill="FFFFFF"/>
        </w:rPr>
      </w:pPr>
      <w:r>
        <w:rPr>
          <w:rFonts w:hint="eastAsia" w:ascii="仿宋_GB2312" w:hAnsi="仿宋_GB2312" w:eastAsia="仿宋_GB2312" w:cs="仿宋_GB2312"/>
          <w:sz w:val="32"/>
          <w:szCs w:val="32"/>
          <w:lang w:eastAsia="zh-CN"/>
        </w:rPr>
        <w:drawing>
          <wp:anchor distT="0" distB="0" distL="114300" distR="114300" simplePos="0" relativeHeight="251661312" behindDoc="0" locked="0" layoutInCell="1" allowOverlap="1">
            <wp:simplePos x="0" y="0"/>
            <wp:positionH relativeFrom="column">
              <wp:posOffset>331470</wp:posOffset>
            </wp:positionH>
            <wp:positionV relativeFrom="paragraph">
              <wp:posOffset>440055</wp:posOffset>
            </wp:positionV>
            <wp:extent cx="3973195" cy="2560955"/>
            <wp:effectExtent l="4445" t="4445" r="22860" b="635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24"/>
      <w:bookmarkEnd w:id="25"/>
    </w:p>
    <w:p>
      <w:pPr>
        <w:spacing w:line="600" w:lineRule="exact"/>
        <w:ind w:firstLine="640" w:firstLineChars="200"/>
        <w:rPr>
          <w:rFonts w:ascii="仿宋" w:hAnsi="仿宋" w:eastAsia="仿宋"/>
          <w:color w:val="auto"/>
          <w:sz w:val="32"/>
          <w:szCs w:val="32"/>
          <w:highlight w:val="none"/>
        </w:rPr>
      </w:pPr>
      <w:r>
        <w:rPr>
          <w:rFonts w:hint="eastAsia" w:ascii="仿宋_GB2312" w:hAnsi="仿宋_GB2312" w:eastAsia="仿宋_GB2312" w:cs="仿宋_GB2312"/>
          <w:sz w:val="32"/>
          <w:szCs w:val="32"/>
          <w:lang w:eastAsia="zh-CN"/>
        </w:rPr>
        <w:drawing>
          <wp:anchor distT="0" distB="0" distL="114300" distR="114300" simplePos="0" relativeHeight="251662336" behindDoc="0" locked="0" layoutInCell="1" allowOverlap="1">
            <wp:simplePos x="0" y="0"/>
            <wp:positionH relativeFrom="column">
              <wp:posOffset>692785</wp:posOffset>
            </wp:positionH>
            <wp:positionV relativeFrom="paragraph">
              <wp:posOffset>1290955</wp:posOffset>
            </wp:positionV>
            <wp:extent cx="4069715" cy="3293110"/>
            <wp:effectExtent l="4445" t="4445" r="21590" b="1714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1039.06</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487.68</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31.94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2021年有</w:t>
      </w:r>
      <w:r>
        <w:rPr>
          <w:rFonts w:hint="eastAsia" w:ascii="仿宋" w:hAnsi="仿宋" w:eastAsia="仿宋"/>
          <w:color w:val="auto"/>
          <w:sz w:val="32"/>
          <w:szCs w:val="32"/>
          <w:highlight w:val="none"/>
        </w:rPr>
        <w:t>全国第七次</w:t>
      </w:r>
      <w:r>
        <w:rPr>
          <w:rFonts w:hint="eastAsia" w:ascii="仿宋" w:hAnsi="仿宋" w:eastAsia="仿宋"/>
          <w:color w:val="auto"/>
          <w:sz w:val="32"/>
          <w:szCs w:val="32"/>
          <w:highlight w:val="none"/>
          <w:lang w:val="en-US" w:eastAsia="zh-CN"/>
        </w:rPr>
        <w:t>人口普查支出</w:t>
      </w:r>
      <w:r>
        <w:rPr>
          <w:rFonts w:hint="eastAsia" w:ascii="仿宋" w:hAnsi="仿宋" w:eastAsia="仿宋"/>
          <w:color w:val="auto"/>
          <w:sz w:val="32"/>
          <w:szCs w:val="32"/>
          <w:highlight w:val="none"/>
          <w:lang w:eastAsia="zh-CN"/>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6" w:name="_Toc15377209"/>
      <w:bookmarkStart w:id="27"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1038.98</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99.21</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275.95</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20.98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2021年有</w:t>
      </w:r>
      <w:r>
        <w:rPr>
          <w:rFonts w:hint="eastAsia" w:ascii="仿宋" w:hAnsi="仿宋" w:eastAsia="仿宋"/>
          <w:color w:val="auto"/>
          <w:sz w:val="32"/>
          <w:szCs w:val="32"/>
          <w:highlight w:val="none"/>
        </w:rPr>
        <w:t>全国第七次</w:t>
      </w:r>
      <w:r>
        <w:rPr>
          <w:rFonts w:hint="eastAsia" w:ascii="仿宋" w:hAnsi="仿宋" w:eastAsia="仿宋"/>
          <w:color w:val="auto"/>
          <w:sz w:val="32"/>
          <w:szCs w:val="32"/>
          <w:highlight w:val="none"/>
          <w:lang w:val="en-US" w:eastAsia="zh-CN"/>
        </w:rPr>
        <w:t>人口普查支出</w:t>
      </w:r>
      <w:r>
        <w:rPr>
          <w:rFonts w:hint="eastAsia" w:ascii="仿宋" w:hAnsi="仿宋" w:eastAsia="仿宋"/>
          <w:color w:val="auto"/>
          <w:sz w:val="32"/>
          <w:szCs w:val="32"/>
          <w:highlight w:val="none"/>
          <w:lang w:eastAsia="zh-CN"/>
        </w:rPr>
        <w:t>。</w:t>
      </w:r>
    </w:p>
    <w:p>
      <w:pPr>
        <w:spacing w:line="600" w:lineRule="exact"/>
        <w:rPr>
          <w:rFonts w:hint="eastAsia" w:ascii="仿宋" w:hAnsi="仿宋" w:eastAsia="仿宋"/>
          <w:color w:val="auto"/>
          <w:sz w:val="32"/>
          <w:szCs w:val="32"/>
          <w:highlight w:val="none"/>
        </w:rPr>
      </w:pPr>
      <w:r>
        <w:rPr>
          <w:rFonts w:hint="eastAsia" w:ascii="仿宋_GB2312" w:hAnsi="仿宋_GB2312" w:eastAsia="仿宋_GB2312" w:cs="仿宋_GB2312"/>
          <w:sz w:val="32"/>
          <w:szCs w:val="32"/>
          <w:lang w:eastAsia="zh-CN"/>
        </w:rPr>
        <w:drawing>
          <wp:anchor distT="0" distB="0" distL="114300" distR="114300" simplePos="0" relativeHeight="251663360" behindDoc="0" locked="0" layoutInCell="1" allowOverlap="1">
            <wp:simplePos x="0" y="0"/>
            <wp:positionH relativeFrom="column">
              <wp:posOffset>639445</wp:posOffset>
            </wp:positionH>
            <wp:positionV relativeFrom="paragraph">
              <wp:posOffset>329565</wp:posOffset>
            </wp:positionV>
            <wp:extent cx="3904615" cy="2675255"/>
            <wp:effectExtent l="4445" t="5080" r="15240" b="5715"/>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（图5：一般公共预算财政拨款支出决算变动情况）（柱状图）</w:t>
      </w: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b/>
          <w:color w:val="auto"/>
          <w:sz w:val="32"/>
          <w:szCs w:val="32"/>
          <w:highlight w:val="none"/>
        </w:rPr>
      </w:pPr>
      <w:r>
        <w:rPr>
          <w:rFonts w:hint="eastAsia" w:ascii="仿宋_GB2312" w:hAnsi="仿宋_GB2312" w:eastAsia="仿宋_GB2312" w:cs="仿宋_GB2312"/>
          <w:sz w:val="32"/>
          <w:szCs w:val="32"/>
          <w:lang w:eastAsia="zh-CN"/>
        </w:rPr>
        <w:drawing>
          <wp:anchor distT="0" distB="0" distL="114300" distR="114300" simplePos="0" relativeHeight="251664384" behindDoc="0" locked="0" layoutInCell="1" allowOverlap="1">
            <wp:simplePos x="0" y="0"/>
            <wp:positionH relativeFrom="column">
              <wp:posOffset>734695</wp:posOffset>
            </wp:positionH>
            <wp:positionV relativeFrom="paragraph">
              <wp:posOffset>1953895</wp:posOffset>
            </wp:positionV>
            <wp:extent cx="4008755" cy="2625090"/>
            <wp:effectExtent l="4445" t="4445" r="6350" b="1841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1038.98</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927.31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89.25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38.03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3.66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bCs/>
          <w:color w:val="auto"/>
          <w:sz w:val="32"/>
          <w:szCs w:val="32"/>
          <w:highlight w:val="none"/>
          <w:lang w:val="en-US" w:eastAsia="zh-CN"/>
        </w:rPr>
        <w:t>19.85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1.91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28.78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2.77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eastAsia="zh-CN"/>
        </w:rPr>
        <w:t>农林水</w:t>
      </w:r>
      <w:r>
        <w:rPr>
          <w:rFonts w:hint="eastAsia" w:ascii="仿宋" w:hAnsi="仿宋" w:eastAsia="仿宋"/>
          <w:b/>
          <w:bCs/>
          <w:color w:val="auto"/>
          <w:sz w:val="32"/>
          <w:szCs w:val="32"/>
          <w:highlight w:val="none"/>
        </w:rPr>
        <w:t>支出</w:t>
      </w:r>
      <w:r>
        <w:rPr>
          <w:rFonts w:hint="eastAsia" w:ascii="仿宋" w:hAnsi="仿宋" w:eastAsia="仿宋"/>
          <w:b/>
          <w:bCs/>
          <w:color w:val="auto"/>
          <w:sz w:val="32"/>
          <w:szCs w:val="32"/>
          <w:highlight w:val="none"/>
          <w:lang w:val="en-US" w:eastAsia="zh-CN"/>
        </w:rPr>
        <w:t>25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2.41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444"/>
      <w:bookmarkStart w:id="32" w:name="_Toc15378460"/>
      <w:bookmarkStart w:id="33"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1038.98</w:t>
      </w:r>
      <w:r>
        <w:rPr>
          <w:rFonts w:hint="eastAsia" w:ascii="仿宋" w:hAnsi="仿宋" w:eastAsia="仿宋"/>
          <w:b/>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31"/>
      <w:bookmarkEnd w:id="32"/>
      <w:bookmarkEnd w:id="33"/>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1.</w:t>
      </w:r>
      <w:r>
        <w:rPr>
          <w:rStyle w:val="14"/>
          <w:rFonts w:hint="eastAsia" w:ascii="仿宋" w:hAnsi="仿宋" w:eastAsia="仿宋"/>
          <w:bCs/>
          <w:color w:val="000000"/>
          <w:sz w:val="32"/>
          <w:szCs w:val="32"/>
        </w:rPr>
        <w:t>一般公共服务（201）统计信息事务（05） 行政运行（01）</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486.5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w:t>
      </w:r>
      <w:r>
        <w:rPr>
          <w:rStyle w:val="14"/>
          <w:rFonts w:hint="eastAsia" w:ascii="仿宋" w:hAnsi="仿宋" w:eastAsia="仿宋"/>
          <w:b w:val="0"/>
          <w:bCs/>
          <w:color w:val="000000"/>
          <w:sz w:val="32"/>
          <w:szCs w:val="32"/>
          <w:lang w:eastAsia="zh-CN"/>
        </w:rPr>
        <w:t>与预算数持平</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2.</w:t>
      </w:r>
      <w:r>
        <w:rPr>
          <w:rStyle w:val="14"/>
          <w:rFonts w:hint="eastAsia" w:ascii="仿宋" w:hAnsi="仿宋" w:eastAsia="仿宋"/>
          <w:bCs/>
          <w:color w:val="000000"/>
          <w:sz w:val="32"/>
          <w:szCs w:val="32"/>
        </w:rPr>
        <w:t>一般公共服务（201）统计信息事务（05） 一般行政管理事务（0</w:t>
      </w:r>
      <w:r>
        <w:rPr>
          <w:rStyle w:val="14"/>
          <w:rFonts w:hint="eastAsia" w:ascii="仿宋" w:hAnsi="仿宋" w:eastAsia="仿宋"/>
          <w:bCs/>
          <w:color w:val="000000"/>
          <w:sz w:val="32"/>
          <w:szCs w:val="32"/>
          <w:lang w:val="en-US" w:eastAsia="zh-CN"/>
        </w:rPr>
        <w:t>2</w:t>
      </w:r>
      <w:r>
        <w:rPr>
          <w:rStyle w:val="14"/>
          <w:rFonts w:hint="eastAsia" w:ascii="仿宋" w:hAnsi="仿宋" w:eastAsia="仿宋"/>
          <w:bCs/>
          <w:color w:val="000000"/>
          <w:sz w:val="32"/>
          <w:szCs w:val="32"/>
        </w:rPr>
        <w:t>）</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315.51</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w:t>
      </w:r>
      <w:r>
        <w:rPr>
          <w:rStyle w:val="14"/>
          <w:rFonts w:hint="eastAsia" w:ascii="仿宋" w:hAnsi="仿宋" w:eastAsia="仿宋"/>
          <w:b w:val="0"/>
          <w:bCs/>
          <w:color w:val="000000"/>
          <w:sz w:val="32"/>
          <w:szCs w:val="32"/>
          <w:lang w:eastAsia="zh-CN"/>
        </w:rPr>
        <w:t>与预算数持平</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3.</w:t>
      </w:r>
      <w:r>
        <w:rPr>
          <w:rStyle w:val="14"/>
          <w:rFonts w:hint="eastAsia" w:ascii="仿宋" w:hAnsi="仿宋" w:eastAsia="仿宋"/>
          <w:bCs/>
          <w:color w:val="000000"/>
          <w:sz w:val="32"/>
          <w:szCs w:val="32"/>
        </w:rPr>
        <w:t xml:space="preserve">一般公共服务（201）统计信息事务（05） </w:t>
      </w:r>
      <w:r>
        <w:rPr>
          <w:rStyle w:val="14"/>
          <w:rFonts w:hint="eastAsia" w:ascii="仿宋" w:hAnsi="仿宋" w:eastAsia="仿宋"/>
          <w:bCs/>
          <w:color w:val="000000"/>
          <w:sz w:val="32"/>
          <w:szCs w:val="32"/>
          <w:lang w:eastAsia="zh-CN"/>
        </w:rPr>
        <w:t>专项统计业务</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05</w:t>
      </w:r>
      <w:r>
        <w:rPr>
          <w:rStyle w:val="14"/>
          <w:rFonts w:hint="eastAsia" w:ascii="仿宋" w:hAnsi="仿宋" w:eastAsia="仿宋"/>
          <w:bCs/>
          <w:color w:val="000000"/>
          <w:sz w:val="32"/>
          <w:szCs w:val="32"/>
        </w:rPr>
        <w:t>）</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50</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w:t>
      </w:r>
      <w:r>
        <w:rPr>
          <w:rStyle w:val="14"/>
          <w:rFonts w:hint="eastAsia" w:ascii="仿宋" w:hAnsi="仿宋" w:eastAsia="仿宋"/>
          <w:b w:val="0"/>
          <w:bCs/>
          <w:color w:val="000000"/>
          <w:sz w:val="32"/>
          <w:szCs w:val="32"/>
          <w:lang w:eastAsia="zh-CN"/>
        </w:rPr>
        <w:t>与预算数持平</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4.</w:t>
      </w:r>
      <w:r>
        <w:rPr>
          <w:rStyle w:val="14"/>
          <w:rFonts w:hint="eastAsia" w:ascii="仿宋" w:hAnsi="仿宋" w:eastAsia="仿宋"/>
          <w:bCs/>
          <w:color w:val="000000"/>
          <w:sz w:val="32"/>
          <w:szCs w:val="32"/>
        </w:rPr>
        <w:t xml:space="preserve">一般公共服务（201）统计信息事务（05） </w:t>
      </w:r>
      <w:r>
        <w:rPr>
          <w:rStyle w:val="14"/>
          <w:rFonts w:hint="eastAsia" w:ascii="仿宋" w:hAnsi="仿宋" w:eastAsia="仿宋"/>
          <w:bCs/>
          <w:color w:val="000000"/>
          <w:sz w:val="32"/>
          <w:szCs w:val="32"/>
          <w:lang w:eastAsia="zh-CN"/>
        </w:rPr>
        <w:t>专项普查活动</w:t>
      </w:r>
      <w:r>
        <w:rPr>
          <w:rStyle w:val="14"/>
          <w:rFonts w:hint="eastAsia" w:ascii="仿宋" w:hAnsi="仿宋" w:eastAsia="仿宋"/>
          <w:bCs/>
          <w:color w:val="000000"/>
          <w:sz w:val="32"/>
          <w:szCs w:val="32"/>
        </w:rPr>
        <w:t>（0</w:t>
      </w:r>
      <w:r>
        <w:rPr>
          <w:rStyle w:val="14"/>
          <w:rFonts w:hint="eastAsia" w:ascii="仿宋" w:hAnsi="仿宋" w:eastAsia="仿宋"/>
          <w:bCs/>
          <w:color w:val="000000"/>
          <w:sz w:val="32"/>
          <w:szCs w:val="32"/>
          <w:lang w:val="en-US" w:eastAsia="zh-CN"/>
        </w:rPr>
        <w:t>7</w:t>
      </w:r>
      <w:r>
        <w:rPr>
          <w:rStyle w:val="14"/>
          <w:rFonts w:hint="eastAsia" w:ascii="仿宋" w:hAnsi="仿宋" w:eastAsia="仿宋"/>
          <w:bCs/>
          <w:color w:val="000000"/>
          <w:sz w:val="32"/>
          <w:szCs w:val="32"/>
        </w:rPr>
        <w:t>）</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53.02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w:t>
      </w:r>
      <w:r>
        <w:rPr>
          <w:rStyle w:val="14"/>
          <w:rFonts w:hint="eastAsia" w:ascii="仿宋" w:hAnsi="仿宋" w:eastAsia="仿宋"/>
          <w:b w:val="0"/>
          <w:bCs/>
          <w:color w:val="000000"/>
          <w:sz w:val="32"/>
          <w:szCs w:val="32"/>
          <w:lang w:eastAsia="zh-CN"/>
        </w:rPr>
        <w:t>与预算数持平</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ascii="仿宋" w:hAnsi="仿宋" w:eastAsia="仿宋"/>
          <w:bCs/>
          <w:color w:val="auto"/>
          <w:sz w:val="32"/>
          <w:szCs w:val="32"/>
          <w:highlight w:val="none"/>
        </w:rPr>
        <w:t>5.</w:t>
      </w:r>
      <w:r>
        <w:rPr>
          <w:rStyle w:val="14"/>
          <w:rFonts w:hint="eastAsia" w:ascii="仿宋" w:hAnsi="仿宋" w:eastAsia="仿宋"/>
          <w:bCs/>
          <w:color w:val="000000"/>
          <w:sz w:val="32"/>
          <w:szCs w:val="32"/>
        </w:rPr>
        <w:t xml:space="preserve">一般公共服务（201）统计信息事务（05） </w:t>
      </w:r>
      <w:r>
        <w:rPr>
          <w:rStyle w:val="14"/>
          <w:rFonts w:hint="eastAsia" w:ascii="仿宋" w:hAnsi="仿宋" w:eastAsia="仿宋"/>
          <w:bCs/>
          <w:color w:val="000000"/>
          <w:sz w:val="32"/>
          <w:szCs w:val="32"/>
          <w:lang w:eastAsia="zh-CN"/>
        </w:rPr>
        <w:t>事业运行</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50</w:t>
      </w:r>
      <w:r>
        <w:rPr>
          <w:rStyle w:val="14"/>
          <w:rFonts w:hint="eastAsia" w:ascii="仿宋" w:hAnsi="仿宋" w:eastAsia="仿宋"/>
          <w:bCs/>
          <w:color w:val="000000"/>
          <w:sz w:val="32"/>
          <w:szCs w:val="32"/>
        </w:rPr>
        <w:t>）</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22.29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w:t>
      </w:r>
      <w:r>
        <w:rPr>
          <w:rStyle w:val="14"/>
          <w:rFonts w:hint="eastAsia" w:ascii="仿宋" w:hAnsi="仿宋" w:eastAsia="仿宋"/>
          <w:b w:val="0"/>
          <w:bCs/>
          <w:color w:val="000000"/>
          <w:sz w:val="32"/>
          <w:szCs w:val="32"/>
          <w:lang w:eastAsia="zh-CN"/>
        </w:rPr>
        <w:t>与预算数持平</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ascii="仿宋" w:hAnsi="仿宋" w:eastAsia="仿宋"/>
          <w:bCs/>
          <w:color w:val="auto"/>
          <w:sz w:val="32"/>
          <w:szCs w:val="32"/>
          <w:highlight w:val="none"/>
        </w:rPr>
        <w:t>6.</w:t>
      </w:r>
      <w:r>
        <w:rPr>
          <w:rStyle w:val="14"/>
          <w:rFonts w:hint="eastAsia" w:ascii="仿宋" w:hAnsi="仿宋" w:eastAsia="仿宋"/>
          <w:bCs/>
          <w:color w:val="000000"/>
          <w:sz w:val="32"/>
          <w:szCs w:val="32"/>
        </w:rPr>
        <w:t>社会保障和就业（208）行政事业单位离退休（05） 机关事业单位基本养老保险缴费支出（0</w:t>
      </w:r>
      <w:r>
        <w:rPr>
          <w:rStyle w:val="14"/>
          <w:rFonts w:hint="eastAsia" w:ascii="仿宋" w:hAnsi="仿宋" w:eastAsia="仿宋"/>
          <w:bCs/>
          <w:color w:val="000000"/>
          <w:sz w:val="32"/>
          <w:szCs w:val="32"/>
          <w:lang w:val="en-US" w:eastAsia="zh-CN"/>
        </w:rPr>
        <w:t>5</w:t>
      </w:r>
      <w:r>
        <w:rPr>
          <w:rStyle w:val="14"/>
          <w:rFonts w:hint="eastAsia" w:ascii="仿宋" w:hAnsi="仿宋" w:eastAsia="仿宋"/>
          <w:bCs/>
          <w:color w:val="000000"/>
          <w:sz w:val="32"/>
          <w:szCs w:val="32"/>
        </w:rPr>
        <w:t>）</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30.69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w:t>
      </w:r>
      <w:r>
        <w:rPr>
          <w:rStyle w:val="14"/>
          <w:rFonts w:hint="eastAsia" w:ascii="仿宋" w:hAnsi="仿宋" w:eastAsia="仿宋"/>
          <w:b w:val="0"/>
          <w:bCs/>
          <w:color w:val="000000"/>
          <w:sz w:val="32"/>
          <w:szCs w:val="32"/>
          <w:lang w:eastAsia="zh-CN"/>
        </w:rPr>
        <w:t>与预算数持平</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p>
    <w:p>
      <w:pPr>
        <w:spacing w:line="600" w:lineRule="exact"/>
        <w:ind w:firstLine="643" w:firstLineChars="200"/>
        <w:rPr>
          <w:rStyle w:val="14"/>
          <w:rFonts w:hint="eastAsia" w:ascii="仿宋" w:hAnsi="仿宋" w:eastAsia="仿宋"/>
          <w:b w:val="0"/>
          <w:bCs/>
          <w:color w:val="000000"/>
          <w:sz w:val="32"/>
          <w:szCs w:val="32"/>
          <w:lang w:eastAsia="zh-CN"/>
        </w:rPr>
      </w:pPr>
      <w:r>
        <w:rPr>
          <w:rStyle w:val="14"/>
          <w:rFonts w:hint="eastAsia" w:ascii="仿宋" w:hAnsi="仿宋" w:eastAsia="仿宋"/>
          <w:bCs/>
          <w:color w:val="000000"/>
          <w:sz w:val="32"/>
          <w:szCs w:val="32"/>
          <w:lang w:val="en-US" w:eastAsia="zh-CN"/>
        </w:rPr>
        <w:t>7</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社会保障和就业（208）行政事业单位离退休（05）机关事业单位职业年金缴费支出（0</w:t>
      </w:r>
      <w:r>
        <w:rPr>
          <w:rStyle w:val="14"/>
          <w:rFonts w:hint="eastAsia" w:ascii="仿宋" w:hAnsi="仿宋" w:eastAsia="仿宋"/>
          <w:bCs/>
          <w:color w:val="000000"/>
          <w:sz w:val="32"/>
          <w:szCs w:val="32"/>
          <w:lang w:val="en-US" w:eastAsia="zh-CN"/>
        </w:rPr>
        <w:t>6</w:t>
      </w:r>
      <w:r>
        <w:rPr>
          <w:rStyle w:val="14"/>
          <w:rFonts w:hint="eastAsia" w:ascii="仿宋" w:hAnsi="仿宋" w:eastAsia="仿宋"/>
          <w:bCs/>
          <w:color w:val="000000"/>
          <w:sz w:val="32"/>
          <w:szCs w:val="32"/>
        </w:rPr>
        <w:t>）</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1.42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决算数与预算持平。</w:t>
      </w:r>
    </w:p>
    <w:p>
      <w:pPr>
        <w:spacing w:line="600" w:lineRule="exact"/>
        <w:ind w:firstLine="643" w:firstLineChars="200"/>
        <w:rPr>
          <w:rStyle w:val="14"/>
          <w:rFonts w:hint="eastAsia" w:ascii="仿宋" w:hAnsi="仿宋" w:eastAsia="仿宋"/>
          <w:b w:val="0"/>
          <w:bCs/>
          <w:color w:val="000000"/>
          <w:sz w:val="32"/>
          <w:szCs w:val="32"/>
          <w:lang w:eastAsia="zh-CN"/>
        </w:rPr>
      </w:pPr>
      <w:r>
        <w:rPr>
          <w:rStyle w:val="14"/>
          <w:rFonts w:hint="eastAsia" w:ascii="仿宋" w:hAnsi="仿宋" w:eastAsia="仿宋"/>
          <w:bCs/>
          <w:color w:val="000000"/>
          <w:sz w:val="32"/>
          <w:szCs w:val="32"/>
          <w:lang w:val="en-US" w:eastAsia="zh-CN"/>
        </w:rPr>
        <w:t>8</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社会保障和就业（208）行政事业单位离退休（05）其他行政事业单位养老支出（</w:t>
      </w:r>
      <w:r>
        <w:rPr>
          <w:rStyle w:val="14"/>
          <w:rFonts w:hint="eastAsia" w:ascii="仿宋" w:hAnsi="仿宋" w:eastAsia="仿宋"/>
          <w:bCs/>
          <w:color w:val="000000"/>
          <w:sz w:val="32"/>
          <w:szCs w:val="32"/>
          <w:lang w:val="en-US" w:eastAsia="zh-CN"/>
        </w:rPr>
        <w:t>99</w:t>
      </w:r>
      <w:r>
        <w:rPr>
          <w:rStyle w:val="14"/>
          <w:rFonts w:hint="eastAsia" w:ascii="仿宋" w:hAnsi="仿宋" w:eastAsia="仿宋"/>
          <w:bCs/>
          <w:color w:val="000000"/>
          <w:sz w:val="32"/>
          <w:szCs w:val="32"/>
        </w:rPr>
        <w:t>）</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5.92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决算数与预算持平。</w:t>
      </w:r>
    </w:p>
    <w:p>
      <w:p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9</w:t>
      </w:r>
      <w:r>
        <w:rPr>
          <w:rStyle w:val="14"/>
          <w:rFonts w:ascii="仿宋" w:hAnsi="仿宋" w:eastAsia="仿宋"/>
          <w:bCs/>
          <w:color w:val="000000"/>
          <w:sz w:val="32"/>
          <w:szCs w:val="32"/>
        </w:rPr>
        <w:t>.</w:t>
      </w:r>
      <w:r>
        <w:rPr>
          <w:rFonts w:hint="eastAsia" w:ascii="仿宋" w:hAnsi="仿宋" w:eastAsia="仿宋"/>
          <w:b/>
          <w:bCs/>
          <w:color w:val="000000" w:themeColor="text1"/>
          <w:sz w:val="32"/>
          <w:szCs w:val="32"/>
          <w14:textFill>
            <w14:solidFill>
              <w14:schemeClr w14:val="tx1"/>
            </w14:solidFill>
          </w14:textFill>
        </w:rPr>
        <w:t>卫生健康</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210</w:t>
      </w:r>
      <w:r>
        <w:rPr>
          <w:rStyle w:val="14"/>
          <w:rFonts w:hint="eastAsia" w:ascii="仿宋" w:hAnsi="仿宋" w:eastAsia="仿宋"/>
          <w:bCs/>
          <w:color w:val="000000"/>
          <w:sz w:val="32"/>
          <w:szCs w:val="32"/>
        </w:rPr>
        <w:t>）行政事业单位医疗（</w:t>
      </w:r>
      <w:r>
        <w:rPr>
          <w:rStyle w:val="14"/>
          <w:rFonts w:hint="eastAsia" w:ascii="仿宋" w:hAnsi="仿宋" w:eastAsia="仿宋"/>
          <w:bCs/>
          <w:color w:val="000000"/>
          <w:sz w:val="32"/>
          <w:szCs w:val="32"/>
          <w:lang w:val="en-US" w:eastAsia="zh-CN"/>
        </w:rPr>
        <w:t>11</w:t>
      </w:r>
      <w:r>
        <w:rPr>
          <w:rStyle w:val="14"/>
          <w:rFonts w:hint="eastAsia" w:ascii="仿宋" w:hAnsi="仿宋" w:eastAsia="仿宋"/>
          <w:bCs/>
          <w:color w:val="000000"/>
          <w:sz w:val="32"/>
          <w:szCs w:val="32"/>
        </w:rPr>
        <w:t>）行政单位医疗（</w:t>
      </w:r>
      <w:r>
        <w:rPr>
          <w:rStyle w:val="14"/>
          <w:rFonts w:hint="eastAsia" w:ascii="仿宋" w:hAnsi="仿宋" w:eastAsia="仿宋"/>
          <w:bCs/>
          <w:color w:val="000000"/>
          <w:sz w:val="32"/>
          <w:szCs w:val="32"/>
          <w:lang w:val="en-US" w:eastAsia="zh-CN"/>
        </w:rPr>
        <w:t>01</w:t>
      </w:r>
      <w:r>
        <w:rPr>
          <w:rStyle w:val="14"/>
          <w:rFonts w:hint="eastAsia" w:ascii="仿宋" w:hAnsi="仿宋" w:eastAsia="仿宋"/>
          <w:bCs/>
          <w:color w:val="000000"/>
          <w:sz w:val="32"/>
          <w:szCs w:val="32"/>
        </w:rPr>
        <w:t>）</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12.04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决算数与预算持平</w:t>
      </w:r>
      <w:r>
        <w:rPr>
          <w:rStyle w:val="14"/>
          <w:rFonts w:hint="eastAsia" w:ascii="仿宋" w:hAnsi="仿宋" w:eastAsia="仿宋"/>
          <w:b w:val="0"/>
          <w:bCs/>
          <w:color w:val="000000"/>
          <w:sz w:val="32"/>
          <w:szCs w:val="32"/>
        </w:rPr>
        <w:t>。</w:t>
      </w:r>
    </w:p>
    <w:p>
      <w:p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10</w:t>
      </w:r>
      <w:r>
        <w:rPr>
          <w:rStyle w:val="14"/>
          <w:rFonts w:ascii="仿宋" w:hAnsi="仿宋" w:eastAsia="仿宋"/>
          <w:bCs/>
          <w:color w:val="000000"/>
          <w:sz w:val="32"/>
          <w:szCs w:val="32"/>
        </w:rPr>
        <w:t>.</w:t>
      </w:r>
      <w:r>
        <w:rPr>
          <w:rFonts w:hint="eastAsia" w:ascii="仿宋" w:hAnsi="仿宋" w:eastAsia="仿宋"/>
          <w:b/>
          <w:bCs/>
          <w:color w:val="000000" w:themeColor="text1"/>
          <w:sz w:val="32"/>
          <w:szCs w:val="32"/>
          <w14:textFill>
            <w14:solidFill>
              <w14:schemeClr w14:val="tx1"/>
            </w14:solidFill>
          </w14:textFill>
        </w:rPr>
        <w:t>卫生健康</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210</w:t>
      </w:r>
      <w:r>
        <w:rPr>
          <w:rStyle w:val="14"/>
          <w:rFonts w:hint="eastAsia" w:ascii="仿宋" w:hAnsi="仿宋" w:eastAsia="仿宋"/>
          <w:bCs/>
          <w:color w:val="000000"/>
          <w:sz w:val="32"/>
          <w:szCs w:val="32"/>
        </w:rPr>
        <w:t>）行政事业单位医疗（</w:t>
      </w:r>
      <w:r>
        <w:rPr>
          <w:rStyle w:val="14"/>
          <w:rFonts w:hint="eastAsia" w:ascii="仿宋" w:hAnsi="仿宋" w:eastAsia="仿宋"/>
          <w:bCs/>
          <w:color w:val="000000"/>
          <w:sz w:val="32"/>
          <w:szCs w:val="32"/>
          <w:lang w:val="en-US" w:eastAsia="zh-CN"/>
        </w:rPr>
        <w:t>11</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eastAsia="zh-CN"/>
        </w:rPr>
        <w:t>事业</w:t>
      </w:r>
      <w:r>
        <w:rPr>
          <w:rStyle w:val="14"/>
          <w:rFonts w:hint="eastAsia" w:ascii="仿宋" w:hAnsi="仿宋" w:eastAsia="仿宋"/>
          <w:bCs/>
          <w:color w:val="000000"/>
          <w:sz w:val="32"/>
          <w:szCs w:val="32"/>
        </w:rPr>
        <w:t>单位医疗（</w:t>
      </w:r>
      <w:r>
        <w:rPr>
          <w:rStyle w:val="14"/>
          <w:rFonts w:hint="eastAsia" w:ascii="仿宋" w:hAnsi="仿宋" w:eastAsia="仿宋"/>
          <w:bCs/>
          <w:color w:val="000000"/>
          <w:sz w:val="32"/>
          <w:szCs w:val="32"/>
          <w:lang w:val="en-US" w:eastAsia="zh-CN"/>
        </w:rPr>
        <w:t>02</w:t>
      </w:r>
      <w:r>
        <w:rPr>
          <w:rStyle w:val="14"/>
          <w:rFonts w:hint="eastAsia" w:ascii="仿宋" w:hAnsi="仿宋" w:eastAsia="仿宋"/>
          <w:bCs/>
          <w:color w:val="000000"/>
          <w:sz w:val="32"/>
          <w:szCs w:val="32"/>
        </w:rPr>
        <w:t>）</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1.45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决算数与预算持平</w:t>
      </w:r>
      <w:r>
        <w:rPr>
          <w:rStyle w:val="14"/>
          <w:rFonts w:hint="eastAsia" w:ascii="仿宋" w:hAnsi="仿宋" w:eastAsia="仿宋"/>
          <w:b w:val="0"/>
          <w:bCs/>
          <w:color w:val="000000"/>
          <w:sz w:val="32"/>
          <w:szCs w:val="32"/>
        </w:rPr>
        <w:t>。</w:t>
      </w:r>
    </w:p>
    <w:p>
      <w:p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11</w:t>
      </w:r>
      <w:r>
        <w:rPr>
          <w:rStyle w:val="14"/>
          <w:rFonts w:ascii="仿宋" w:hAnsi="仿宋" w:eastAsia="仿宋"/>
          <w:bCs/>
          <w:color w:val="000000"/>
          <w:sz w:val="32"/>
          <w:szCs w:val="32"/>
        </w:rPr>
        <w:t>.</w:t>
      </w:r>
      <w:r>
        <w:rPr>
          <w:rFonts w:hint="eastAsia" w:ascii="仿宋" w:hAnsi="仿宋" w:eastAsia="仿宋"/>
          <w:b/>
          <w:bCs/>
          <w:color w:val="000000" w:themeColor="text1"/>
          <w:sz w:val="32"/>
          <w:szCs w:val="32"/>
          <w14:textFill>
            <w14:solidFill>
              <w14:schemeClr w14:val="tx1"/>
            </w14:solidFill>
          </w14:textFill>
        </w:rPr>
        <w:t>卫生健康</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210</w:t>
      </w:r>
      <w:r>
        <w:rPr>
          <w:rStyle w:val="14"/>
          <w:rFonts w:hint="eastAsia" w:ascii="仿宋" w:hAnsi="仿宋" w:eastAsia="仿宋"/>
          <w:bCs/>
          <w:color w:val="000000"/>
          <w:sz w:val="32"/>
          <w:szCs w:val="32"/>
        </w:rPr>
        <w:t>）行政事业单位医疗（</w:t>
      </w:r>
      <w:r>
        <w:rPr>
          <w:rStyle w:val="14"/>
          <w:rFonts w:hint="eastAsia" w:ascii="仿宋" w:hAnsi="仿宋" w:eastAsia="仿宋"/>
          <w:bCs/>
          <w:color w:val="000000"/>
          <w:sz w:val="32"/>
          <w:szCs w:val="32"/>
          <w:lang w:val="en-US" w:eastAsia="zh-CN"/>
        </w:rPr>
        <w:t>11</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eastAsia="zh-CN"/>
        </w:rPr>
        <w:t>公务员</w:t>
      </w:r>
      <w:r>
        <w:rPr>
          <w:rStyle w:val="14"/>
          <w:rFonts w:hint="eastAsia" w:ascii="仿宋" w:hAnsi="仿宋" w:eastAsia="仿宋"/>
          <w:bCs/>
          <w:color w:val="000000"/>
          <w:sz w:val="32"/>
          <w:szCs w:val="32"/>
        </w:rPr>
        <w:t>医疗</w:t>
      </w:r>
      <w:r>
        <w:rPr>
          <w:rStyle w:val="14"/>
          <w:rFonts w:hint="eastAsia" w:ascii="仿宋" w:hAnsi="仿宋" w:eastAsia="仿宋"/>
          <w:bCs/>
          <w:color w:val="000000"/>
          <w:sz w:val="32"/>
          <w:szCs w:val="32"/>
          <w:lang w:eastAsia="zh-CN"/>
        </w:rPr>
        <w:t>补助</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03</w:t>
      </w:r>
      <w:r>
        <w:rPr>
          <w:rStyle w:val="14"/>
          <w:rFonts w:hint="eastAsia" w:ascii="仿宋" w:hAnsi="仿宋" w:eastAsia="仿宋"/>
          <w:bCs/>
          <w:color w:val="000000"/>
          <w:sz w:val="32"/>
          <w:szCs w:val="32"/>
        </w:rPr>
        <w:t>）</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6.36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决算数与预算持平</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12</w:t>
      </w:r>
      <w:r>
        <w:rPr>
          <w:rStyle w:val="14"/>
          <w:rFonts w:ascii="仿宋" w:hAnsi="仿宋" w:eastAsia="仿宋"/>
          <w:bCs/>
          <w:color w:val="000000"/>
          <w:sz w:val="32"/>
          <w:szCs w:val="32"/>
        </w:rPr>
        <w:t>.</w:t>
      </w:r>
      <w:r>
        <w:rPr>
          <w:rFonts w:hint="eastAsia" w:ascii="仿宋" w:hAnsi="仿宋" w:eastAsia="仿宋"/>
          <w:b/>
          <w:bCs/>
          <w:color w:val="000000" w:themeColor="text1"/>
          <w:sz w:val="32"/>
          <w:szCs w:val="32"/>
          <w14:textFill>
            <w14:solidFill>
              <w14:schemeClr w14:val="tx1"/>
            </w14:solidFill>
          </w14:textFill>
        </w:rPr>
        <w:t>住房保障支出（221）住房改革支出（02）住房公积金（01）</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28.78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决算数与预算持平</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color w:val="auto"/>
          <w:sz w:val="32"/>
          <w:szCs w:val="32"/>
          <w:highlight w:val="none"/>
        </w:rPr>
      </w:pPr>
      <w:r>
        <w:rPr>
          <w:rStyle w:val="14"/>
          <w:rFonts w:hint="eastAsia" w:ascii="仿宋" w:hAnsi="仿宋" w:eastAsia="仿宋"/>
          <w:bCs/>
          <w:color w:val="000000"/>
          <w:sz w:val="32"/>
          <w:szCs w:val="32"/>
          <w:lang w:val="en-US" w:eastAsia="zh-CN"/>
        </w:rPr>
        <w:t>13</w:t>
      </w:r>
      <w:r>
        <w:rPr>
          <w:rStyle w:val="14"/>
          <w:rFonts w:ascii="仿宋" w:hAnsi="仿宋" w:eastAsia="仿宋"/>
          <w:bCs/>
          <w:color w:val="000000"/>
          <w:sz w:val="32"/>
          <w:szCs w:val="32"/>
        </w:rPr>
        <w:t>.</w:t>
      </w:r>
      <w:r>
        <w:rPr>
          <w:rFonts w:hint="eastAsia" w:ascii="仿宋" w:hAnsi="仿宋" w:eastAsia="仿宋"/>
          <w:b/>
          <w:bCs/>
          <w:color w:val="000000" w:themeColor="text1"/>
          <w:sz w:val="32"/>
          <w:szCs w:val="32"/>
          <w:lang w:eastAsia="zh-CN"/>
          <w14:textFill>
            <w14:solidFill>
              <w14:schemeClr w14:val="tx1"/>
            </w14:solidFill>
          </w14:textFill>
        </w:rPr>
        <w:t>农林水</w:t>
      </w:r>
      <w:r>
        <w:rPr>
          <w:rFonts w:hint="eastAsia" w:ascii="仿宋" w:hAnsi="仿宋" w:eastAsia="仿宋"/>
          <w:b/>
          <w:bCs/>
          <w:color w:val="000000" w:themeColor="text1"/>
          <w:sz w:val="32"/>
          <w:szCs w:val="32"/>
          <w14:textFill>
            <w14:solidFill>
              <w14:schemeClr w14:val="tx1"/>
            </w14:solidFill>
          </w14:textFill>
        </w:rPr>
        <w:t>支出（2</w:t>
      </w:r>
      <w:r>
        <w:rPr>
          <w:rFonts w:hint="eastAsia" w:ascii="仿宋" w:hAnsi="仿宋" w:eastAsia="仿宋"/>
          <w:b/>
          <w:bCs/>
          <w:color w:val="000000" w:themeColor="text1"/>
          <w:sz w:val="32"/>
          <w:szCs w:val="32"/>
          <w:lang w:val="en-US" w:eastAsia="zh-CN"/>
          <w14:textFill>
            <w14:solidFill>
              <w14:schemeClr w14:val="tx1"/>
            </w14:solidFill>
          </w14:textFill>
        </w:rPr>
        <w:t>13</w:t>
      </w:r>
      <w:r>
        <w:rPr>
          <w:rFonts w:hint="eastAsia" w:ascii="仿宋" w:hAnsi="仿宋" w:eastAsia="仿宋"/>
          <w:b/>
          <w:bCs/>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lang w:eastAsia="zh-CN"/>
          <w14:textFill>
            <w14:solidFill>
              <w14:schemeClr w14:val="tx1"/>
            </w14:solidFill>
          </w14:textFill>
        </w:rPr>
        <w:t>农业农村</w:t>
      </w:r>
      <w:r>
        <w:rPr>
          <w:rFonts w:hint="eastAsia" w:ascii="仿宋" w:hAnsi="仿宋" w:eastAsia="仿宋"/>
          <w:b/>
          <w:bCs/>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lang w:val="en-US" w:eastAsia="zh-CN"/>
          <w14:textFill>
            <w14:solidFill>
              <w14:schemeClr w14:val="tx1"/>
            </w14:solidFill>
          </w14:textFill>
        </w:rPr>
        <w:t>01</w:t>
      </w:r>
      <w:r>
        <w:rPr>
          <w:rFonts w:hint="eastAsia" w:ascii="仿宋" w:hAnsi="仿宋" w:eastAsia="仿宋"/>
          <w:b/>
          <w:bCs/>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lang w:eastAsia="zh-CN"/>
          <w14:textFill>
            <w14:solidFill>
              <w14:schemeClr w14:val="tx1"/>
            </w14:solidFill>
          </w14:textFill>
        </w:rPr>
        <w:t>其他农业农村</w:t>
      </w:r>
      <w:r>
        <w:rPr>
          <w:rFonts w:hint="eastAsia" w:ascii="仿宋" w:hAnsi="仿宋" w:eastAsia="仿宋"/>
          <w:b/>
          <w:bCs/>
          <w:color w:val="000000" w:themeColor="text1"/>
          <w:sz w:val="32"/>
          <w:szCs w:val="32"/>
          <w14:textFill>
            <w14:solidFill>
              <w14:schemeClr w14:val="tx1"/>
            </w14:solidFill>
          </w14:textFill>
        </w:rPr>
        <w:t>支出（</w:t>
      </w:r>
      <w:r>
        <w:rPr>
          <w:rFonts w:hint="eastAsia" w:ascii="仿宋" w:hAnsi="仿宋" w:eastAsia="仿宋"/>
          <w:b/>
          <w:bCs/>
          <w:color w:val="000000" w:themeColor="text1"/>
          <w:sz w:val="32"/>
          <w:szCs w:val="32"/>
          <w:lang w:val="en-US" w:eastAsia="zh-CN"/>
          <w14:textFill>
            <w14:solidFill>
              <w14:schemeClr w14:val="tx1"/>
            </w14:solidFill>
          </w14:textFill>
        </w:rPr>
        <w:t>99</w:t>
      </w:r>
      <w:r>
        <w:rPr>
          <w:rFonts w:hint="eastAsia" w:ascii="仿宋" w:hAnsi="仿宋" w:eastAsia="仿宋"/>
          <w:b/>
          <w:bCs/>
          <w:color w:val="000000" w:themeColor="text1"/>
          <w:sz w:val="32"/>
          <w:szCs w:val="32"/>
          <w14:textFill>
            <w14:solidFill>
              <w14:schemeClr w14:val="tx1"/>
            </w14:solidFill>
          </w14:textFill>
        </w:rPr>
        <w:t>）</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决算数与预算持平。</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5"/>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34"/>
      <w:bookmarkEnd w:id="35"/>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595.46</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379.66</w:t>
      </w:r>
      <w:r>
        <w:rPr>
          <w:rFonts w:hint="eastAsia" w:ascii="仿宋" w:hAnsi="仿宋" w:eastAsia="仿宋"/>
          <w:color w:val="auto"/>
          <w:sz w:val="32"/>
          <w:szCs w:val="32"/>
          <w:highlight w:val="none"/>
        </w:rPr>
        <w:t>万元，主要包括：基本工资、津贴补贴、奖金、绩效工资、机关事业单位基本养老保险缴费、职业年金缴费、其他工资福利支出、生活补助、医疗费补助、奖励金、住房公积金、其他对个人和家庭的补助支出等。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209.87</w:t>
      </w:r>
      <w:r>
        <w:rPr>
          <w:rFonts w:hint="eastAsia" w:ascii="仿宋" w:hAnsi="仿宋" w:eastAsia="仿宋"/>
          <w:color w:val="auto"/>
          <w:sz w:val="32"/>
          <w:szCs w:val="32"/>
          <w:highlight w:val="none"/>
        </w:rPr>
        <w:t>万元，主要包括：办公费、印刷费、水费、电费、邮电费、物业管理费、差旅费、维修（护）费、租赁费、会议费、培训费、公务接待费、劳务费、工会经费、福利费、其他交通费、其他商品和服务支出</w:t>
      </w:r>
      <w:r>
        <w:rPr>
          <w:rFonts w:hint="eastAsia" w:ascii="仿宋" w:hAnsi="仿宋" w:eastAsia="仿宋"/>
          <w:color w:val="auto"/>
          <w:sz w:val="32"/>
          <w:szCs w:val="32"/>
          <w:highlight w:val="none"/>
          <w:lang w:eastAsia="zh-CN"/>
        </w:rPr>
        <w:t>。</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5"/>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25"/>
          <w:rFonts w:hint="eastAsia" w:ascii="黑体" w:hAnsi="黑体" w:eastAsia="黑体"/>
          <w:b w:val="0"/>
          <w:color w:val="auto"/>
          <w:highlight w:val="none"/>
        </w:rPr>
        <w:t>财政拨款</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4.12</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45.78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减少4.82万元，下降53.91%。</w:t>
      </w:r>
      <w:r>
        <w:rPr>
          <w:rFonts w:hint="eastAsia" w:ascii="仿宋" w:hAnsi="仿宋" w:eastAsia="仿宋"/>
          <w:color w:val="auto"/>
          <w:sz w:val="32"/>
          <w:szCs w:val="32"/>
          <w:highlight w:val="none"/>
        </w:rPr>
        <w:t>决算数小于预算数的主要原因</w:t>
      </w:r>
      <w:r>
        <w:rPr>
          <w:rFonts w:hint="eastAsia" w:ascii="仿宋" w:hAnsi="仿宋" w:eastAsia="仿宋"/>
          <w:color w:val="auto"/>
          <w:sz w:val="32"/>
          <w:szCs w:val="32"/>
          <w:highlight w:val="none"/>
          <w:lang w:eastAsia="zh-CN"/>
        </w:rPr>
        <w:t>一</w:t>
      </w:r>
      <w:r>
        <w:rPr>
          <w:rFonts w:hint="eastAsia" w:ascii="仿宋" w:hAnsi="仿宋" w:eastAsia="仿宋"/>
          <w:color w:val="auto"/>
          <w:sz w:val="32"/>
          <w:szCs w:val="32"/>
          <w:highlight w:val="none"/>
        </w:rPr>
        <w:t>是严格执行中央八项规定，厉行节约，控制费用开支</w:t>
      </w:r>
      <w:r>
        <w:rPr>
          <w:rFonts w:hint="eastAsia" w:ascii="仿宋" w:hAnsi="仿宋" w:eastAsia="仿宋"/>
          <w:color w:val="auto"/>
          <w:sz w:val="32"/>
          <w:szCs w:val="32"/>
          <w:highlight w:val="none"/>
          <w:lang w:val="en-US" w:eastAsia="zh-CN"/>
        </w:rPr>
        <w:t>,二是部分公务接待费暂未支付</w:t>
      </w:r>
      <w:r>
        <w:rPr>
          <w:rFonts w:hint="eastAsia" w:ascii="仿宋" w:hAnsi="仿宋" w:eastAsia="仿宋"/>
          <w:color w:val="auto"/>
          <w:sz w:val="32"/>
          <w:szCs w:val="32"/>
          <w:highlight w:val="none"/>
        </w:rPr>
        <w:t>。</w:t>
      </w:r>
      <w:bookmarkStart w:id="39" w:name="_Toc15377217"/>
    </w:p>
    <w:p>
      <w:pPr>
        <w:spacing w:line="600" w:lineRule="exact"/>
        <w:ind w:firstLine="640"/>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ascii="仿宋" w:hAnsi="仿宋" w:eastAsia="仿宋"/>
          <w:color w:val="auto"/>
          <w:sz w:val="32"/>
          <w:szCs w:val="32"/>
          <w:highlight w:val="none"/>
        </w:rPr>
      </w:pPr>
      <w:r>
        <w:rPr>
          <w:rFonts w:hint="eastAsia" w:ascii="仿宋_GB2312" w:hAnsi="仿宋_GB2312" w:eastAsia="仿宋_GB2312" w:cs="仿宋_GB2312"/>
          <w:sz w:val="32"/>
          <w:szCs w:val="32"/>
          <w:lang w:eastAsia="zh-CN"/>
        </w:rPr>
        <w:drawing>
          <wp:anchor distT="0" distB="0" distL="114300" distR="114300" simplePos="0" relativeHeight="251665408" behindDoc="0" locked="0" layoutInCell="1" allowOverlap="1">
            <wp:simplePos x="0" y="0"/>
            <wp:positionH relativeFrom="column">
              <wp:posOffset>638810</wp:posOffset>
            </wp:positionH>
            <wp:positionV relativeFrom="paragraph">
              <wp:posOffset>1863090</wp:posOffset>
            </wp:positionV>
            <wp:extent cx="4165600" cy="2649220"/>
            <wp:effectExtent l="4445" t="4445" r="20955" b="1333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4.12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万元，主要用于…。截至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万元。主要用于</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（具体工作）等所需的公务用车燃料费、维修费、过路过桥费、保险费等支出。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4.12</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45.78</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4.82</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53.91</w:t>
      </w:r>
      <w:r>
        <w:rPr>
          <w:rFonts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。主要原因一是严格执行中央八项规定，厉行节约，控制费用开支,二是部分公务接待费暂未支付。</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4.12</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131</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786</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4.12</w:t>
      </w:r>
      <w:r>
        <w:rPr>
          <w:rFonts w:hint="eastAsia" w:ascii="仿宋_GB2312" w:eastAsia="仿宋_GB2312"/>
          <w:color w:val="auto"/>
          <w:sz w:val="32"/>
          <w:szCs w:val="32"/>
          <w:highlight w:val="none"/>
        </w:rPr>
        <w:t>万元，具体内容包括：</w:t>
      </w:r>
      <w:r>
        <w:rPr>
          <w:rFonts w:hint="eastAsia" w:ascii="仿宋_GB2312" w:eastAsia="仿宋_GB2312"/>
          <w:color w:val="000000"/>
          <w:sz w:val="32"/>
          <w:szCs w:val="32"/>
        </w:rPr>
        <w:t>接待省、市上级部门检查工作，接待其他县级同级部门工作交流等。</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外事接待</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eastAsia="zh-CN"/>
        </w:rPr>
        <w:t>次（不包括陪同人员）</w:t>
      </w:r>
      <w:r>
        <w:rPr>
          <w:rFonts w:hint="eastAsia" w:ascii="仿宋_GB2312" w:eastAsia="仿宋_GB2312"/>
          <w:color w:val="auto"/>
          <w:sz w:val="32"/>
          <w:szCs w:val="32"/>
          <w:highlight w:val="none"/>
        </w:rPr>
        <w:t>，共计支出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w:t>
      </w:r>
    </w:p>
    <w:p>
      <w:pPr>
        <w:spacing w:line="600" w:lineRule="exact"/>
        <w:ind w:firstLine="640"/>
        <w:outlineLvl w:val="1"/>
        <w:rPr>
          <w:rFonts w:ascii="黑体" w:eastAsia="黑体"/>
          <w:color w:val="auto"/>
          <w:sz w:val="32"/>
          <w:szCs w:val="32"/>
          <w:highlight w:val="none"/>
        </w:rPr>
      </w:pPr>
      <w:bookmarkStart w:id="40" w:name="_Toc15377218"/>
      <w:bookmarkStart w:id="41" w:name="_Toc15396610"/>
    </w:p>
    <w:p>
      <w:pPr>
        <w:spacing w:line="600" w:lineRule="exact"/>
        <w:ind w:firstLine="640"/>
        <w:outlineLvl w:val="1"/>
        <w:rPr>
          <w:rStyle w:val="25"/>
          <w:rFonts w:ascii="黑体" w:hAnsi="黑体" w:eastAsia="黑体"/>
          <w:color w:val="auto"/>
          <w:highlight w:val="none"/>
        </w:rPr>
      </w:pPr>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25"/>
          <w:rFonts w:ascii="黑体" w:hAnsi="黑体" w:eastAsia="黑体"/>
          <w:b w:val="0"/>
          <w:color w:val="auto"/>
          <w:highlight w:val="none"/>
        </w:rPr>
      </w:pPr>
      <w:bookmarkStart w:id="42" w:name="_Toc15377219"/>
      <w:bookmarkStart w:id="43" w:name="_Toc15396611"/>
      <w:r>
        <w:rPr>
          <w:rStyle w:val="25"/>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3"/>
        </w:numPr>
        <w:spacing w:line="600" w:lineRule="exact"/>
        <w:ind w:firstLine="640"/>
        <w:outlineLvl w:val="1"/>
        <w:rPr>
          <w:rStyle w:val="25"/>
          <w:rFonts w:hint="eastAsia" w:ascii="黑体" w:hAnsi="黑体" w:eastAsia="黑体"/>
          <w:b w:val="0"/>
          <w:color w:val="auto"/>
          <w:highlight w:val="none"/>
        </w:rPr>
      </w:pPr>
      <w:bookmarkStart w:id="44" w:name="_Toc15396612"/>
      <w:bookmarkStart w:id="45" w:name="_Toc15377221"/>
      <w:r>
        <w:rPr>
          <w:rStyle w:val="25"/>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000000"/>
          <w:sz w:val="32"/>
          <w:szCs w:val="32"/>
          <w:lang w:eastAsia="zh-CN"/>
        </w:rPr>
        <w:t>大竹县统计局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209.87</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146.66</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232.06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口径发生变化，导致增长。</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万元。主要用于</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（具体工作）。授予中小企业合同金额</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color w:val="auto"/>
          <w:highlight w:val="yellow"/>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auto"/>
          <w:sz w:val="32"/>
          <w:szCs w:val="32"/>
          <w:highlight w:val="none"/>
        </w:rPr>
        <w:t>年度预算编制阶段，</w:t>
      </w:r>
      <w:r>
        <w:rPr>
          <w:rFonts w:hint="eastAsia" w:ascii="仿宋_GB2312" w:hAnsi="仿宋_GB2312" w:eastAsia="仿宋_GB2312" w:cs="仿宋_GB2312"/>
          <w:sz w:val="32"/>
          <w:szCs w:val="32"/>
        </w:rPr>
        <w:t>按要求对20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年部门整体支出开展绩效自评，从评价情况来看本部门严格按照县财政局要求，在下达控制数内按时完成部门预算草案的编制工作。</w:t>
      </w:r>
      <w:r>
        <w:rPr>
          <w:rFonts w:hint="eastAsia" w:ascii="仿宋_GB2312" w:hAnsi="仿宋_GB2312" w:eastAsia="仿宋_GB2312" w:cs="仿宋_GB2312"/>
          <w:color w:val="auto"/>
          <w:sz w:val="32"/>
          <w:szCs w:val="32"/>
          <w:highlight w:val="none"/>
        </w:rPr>
        <w:t>绩效自评表详见</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附件。</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4"/>
          <w:rFonts w:ascii="黑体" w:hAnsi="黑体" w:eastAsia="黑体"/>
          <w:b w:val="0"/>
          <w:color w:val="auto"/>
          <w:highlight w:val="none"/>
        </w:rPr>
      </w:pPr>
      <w:bookmarkStart w:id="49" w:name="_Toc15377225"/>
      <w:bookmarkStart w:id="50" w:name="_Toc15396613"/>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1.财政拨款收入：指单位从同级财政部门取得的财政预算资金。</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2.其他收入：指单位取得的除上述收入以外的各项收入。主要是省市统计局拨款。 </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3.年初结转和结余：指以前年度尚未完成、结转到本年按有关规定继续使用的资金。 </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4、年末结转和结余：指单位按有关规定结转到下年或以后年度继续使用的资金。</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 一般公共服务（201）统计信息事务（05）行政运行（01）: 指单位的基本支出。</w:t>
      </w:r>
    </w:p>
    <w:p>
      <w:pPr>
        <w:pStyle w:val="22"/>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6.一般公共服务（201）统计信息事务（05）</w:t>
      </w:r>
      <w:r>
        <w:rPr>
          <w:rFonts w:hint="eastAsia" w:ascii="仿宋_GB2312" w:eastAsia="仿宋_GB2312"/>
          <w:sz w:val="32"/>
          <w:szCs w:val="32"/>
          <w:lang w:eastAsia="zh-CN"/>
        </w:rPr>
        <w:t>一般行政管理事务</w:t>
      </w:r>
      <w:r>
        <w:rPr>
          <w:rFonts w:hint="eastAsia" w:ascii="仿宋_GB2312" w:eastAsia="仿宋_GB2312"/>
          <w:sz w:val="32"/>
          <w:szCs w:val="32"/>
        </w:rPr>
        <w:t>（0</w:t>
      </w:r>
      <w:r>
        <w:rPr>
          <w:rFonts w:hint="eastAsia" w:ascii="仿宋_GB2312" w:eastAsia="仿宋_GB2312"/>
          <w:sz w:val="32"/>
          <w:szCs w:val="32"/>
          <w:lang w:val="en-US" w:eastAsia="zh-CN"/>
        </w:rPr>
        <w:t>2</w:t>
      </w:r>
      <w:r>
        <w:rPr>
          <w:rFonts w:hint="eastAsia" w:ascii="仿宋_GB2312" w:eastAsia="仿宋_GB2312"/>
          <w:sz w:val="32"/>
          <w:szCs w:val="32"/>
        </w:rPr>
        <w:t xml:space="preserve">）: </w:t>
      </w:r>
      <w:r>
        <w:rPr>
          <w:rFonts w:hint="eastAsia" w:ascii="仿宋_GB2312" w:eastAsia="仿宋_GB2312"/>
          <w:sz w:val="32"/>
          <w:szCs w:val="32"/>
          <w:lang w:eastAsia="zh-CN"/>
        </w:rPr>
        <w:t>反映单位未单独设置项级科目的其他项目支出。</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.一般公共服务（201）统计信息事务（05）</w:t>
      </w:r>
      <w:r>
        <w:rPr>
          <w:rFonts w:hint="eastAsia" w:ascii="仿宋_GB2312" w:eastAsia="仿宋_GB2312"/>
          <w:sz w:val="32"/>
          <w:szCs w:val="32"/>
          <w:lang w:eastAsia="zh-CN"/>
        </w:rPr>
        <w:t>专项普查活动</w:t>
      </w:r>
      <w:r>
        <w:rPr>
          <w:rFonts w:hint="eastAsia" w:ascii="仿宋_GB2312" w:eastAsia="仿宋_GB2312"/>
          <w:sz w:val="32"/>
          <w:szCs w:val="32"/>
        </w:rPr>
        <w:t>（0</w:t>
      </w:r>
      <w:r>
        <w:rPr>
          <w:rFonts w:hint="eastAsia" w:ascii="仿宋_GB2312" w:eastAsia="仿宋_GB2312"/>
          <w:sz w:val="32"/>
          <w:szCs w:val="32"/>
          <w:lang w:val="en-US" w:eastAsia="zh-CN"/>
        </w:rPr>
        <w:t>7</w:t>
      </w:r>
      <w:r>
        <w:rPr>
          <w:rFonts w:hint="eastAsia" w:ascii="仿宋_GB2312" w:eastAsia="仿宋_GB2312"/>
          <w:sz w:val="32"/>
          <w:szCs w:val="32"/>
        </w:rPr>
        <w:t xml:space="preserve">）: </w:t>
      </w:r>
      <w:r>
        <w:rPr>
          <w:rFonts w:hint="eastAsia" w:ascii="仿宋_GB2312" w:eastAsia="仿宋_GB2312"/>
          <w:sz w:val="32"/>
          <w:szCs w:val="32"/>
          <w:lang w:eastAsia="zh-CN"/>
        </w:rPr>
        <w:t>反映统计部门开展人口普查、经济普查、农业普查、投入产出调查等周期性普查工作的支出。</w:t>
      </w:r>
      <w:r>
        <w:rPr>
          <w:rFonts w:hint="eastAsia" w:ascii="仿宋_GB2312" w:eastAsia="仿宋_GB2312"/>
          <w:sz w:val="32"/>
          <w:szCs w:val="32"/>
        </w:rPr>
        <w:t xml:space="preserve"> </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.社会保障和就业（208）行政事业单位离退休（05）机关事业单位基本养老保险缴费支出（05）: 指单位缴纳的基本养老保险费支出。</w:t>
      </w:r>
    </w:p>
    <w:p>
      <w:pPr>
        <w:pStyle w:val="22"/>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9</w:t>
      </w:r>
      <w:r>
        <w:rPr>
          <w:rFonts w:hint="eastAsia" w:ascii="仿宋_GB2312" w:eastAsia="仿宋_GB2312"/>
          <w:sz w:val="32"/>
          <w:szCs w:val="32"/>
        </w:rPr>
        <w:t>.社会保障和就业（208）行政事业单位离退休（05）</w:t>
      </w:r>
      <w:r>
        <w:rPr>
          <w:rFonts w:hint="eastAsia" w:ascii="仿宋_GB2312" w:eastAsia="仿宋_GB2312"/>
          <w:sz w:val="32"/>
          <w:szCs w:val="32"/>
          <w:lang w:eastAsia="zh-CN"/>
        </w:rPr>
        <w:t>机关事业单位职业年金缴费支出</w:t>
      </w:r>
      <w:r>
        <w:rPr>
          <w:rFonts w:hint="eastAsia" w:ascii="仿宋_GB2312" w:eastAsia="仿宋_GB2312"/>
          <w:sz w:val="32"/>
          <w:szCs w:val="32"/>
        </w:rPr>
        <w:t>（</w:t>
      </w:r>
      <w:r>
        <w:rPr>
          <w:rFonts w:hint="eastAsia" w:ascii="仿宋_GB2312" w:eastAsia="仿宋_GB2312"/>
          <w:sz w:val="32"/>
          <w:szCs w:val="32"/>
          <w:lang w:val="en-US" w:eastAsia="zh-CN"/>
        </w:rPr>
        <w:t>06</w:t>
      </w:r>
      <w:r>
        <w:rPr>
          <w:rFonts w:hint="eastAsia" w:ascii="仿宋_GB2312" w:eastAsia="仿宋_GB2312"/>
          <w:sz w:val="32"/>
          <w:szCs w:val="32"/>
        </w:rPr>
        <w:t xml:space="preserve">）: </w:t>
      </w:r>
      <w:r>
        <w:rPr>
          <w:rFonts w:hint="eastAsia" w:ascii="仿宋_GB2312" w:eastAsia="仿宋_GB2312"/>
          <w:sz w:val="32"/>
          <w:szCs w:val="32"/>
          <w:lang w:eastAsia="zh-CN"/>
        </w:rPr>
        <w:t>反映机关事业单位实施养老保险制度由单位实际缴纳的职业年金支出。</w:t>
      </w:r>
    </w:p>
    <w:p>
      <w:pPr>
        <w:pStyle w:val="22"/>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10.</w:t>
      </w:r>
      <w:r>
        <w:rPr>
          <w:rFonts w:hint="eastAsia" w:ascii="仿宋_GB2312" w:eastAsia="仿宋_GB2312"/>
          <w:sz w:val="32"/>
          <w:szCs w:val="32"/>
        </w:rPr>
        <w:t>社会保障和就业（208）</w:t>
      </w:r>
      <w:r>
        <w:rPr>
          <w:rFonts w:hint="eastAsia" w:ascii="仿宋_GB2312" w:eastAsia="仿宋_GB2312"/>
          <w:sz w:val="32"/>
          <w:szCs w:val="32"/>
          <w:lang w:eastAsia="zh-CN"/>
        </w:rPr>
        <w:t>其他社会保障和就业支出</w:t>
      </w:r>
      <w:r>
        <w:rPr>
          <w:rFonts w:hint="eastAsia" w:ascii="仿宋_GB2312" w:eastAsia="仿宋_GB2312"/>
          <w:sz w:val="32"/>
          <w:szCs w:val="32"/>
        </w:rPr>
        <w:t>（</w:t>
      </w:r>
      <w:r>
        <w:rPr>
          <w:rFonts w:hint="eastAsia" w:ascii="仿宋_GB2312" w:eastAsia="仿宋_GB2312"/>
          <w:sz w:val="32"/>
          <w:szCs w:val="32"/>
          <w:lang w:val="en-US" w:eastAsia="zh-CN"/>
        </w:rPr>
        <w:t>99</w:t>
      </w:r>
      <w:r>
        <w:rPr>
          <w:rFonts w:hint="eastAsia" w:ascii="仿宋_GB2312" w:eastAsia="仿宋_GB2312"/>
          <w:sz w:val="32"/>
          <w:szCs w:val="32"/>
        </w:rPr>
        <w:t>）</w:t>
      </w:r>
      <w:r>
        <w:rPr>
          <w:rFonts w:hint="eastAsia" w:ascii="仿宋_GB2312" w:eastAsia="仿宋_GB2312"/>
          <w:sz w:val="32"/>
          <w:szCs w:val="32"/>
          <w:lang w:eastAsia="zh-CN"/>
        </w:rPr>
        <w:t>其他社会保障和就业支出</w:t>
      </w:r>
      <w:r>
        <w:rPr>
          <w:rFonts w:hint="eastAsia" w:ascii="仿宋_GB2312" w:eastAsia="仿宋_GB2312"/>
          <w:sz w:val="32"/>
          <w:szCs w:val="32"/>
        </w:rPr>
        <w:t>（</w:t>
      </w:r>
      <w:r>
        <w:rPr>
          <w:rFonts w:hint="eastAsia" w:ascii="仿宋_GB2312" w:eastAsia="仿宋_GB2312"/>
          <w:sz w:val="32"/>
          <w:szCs w:val="32"/>
          <w:lang w:val="en-US" w:eastAsia="zh-CN"/>
        </w:rPr>
        <w:t>01</w:t>
      </w:r>
      <w:r>
        <w:rPr>
          <w:rFonts w:hint="eastAsia" w:ascii="仿宋_GB2312" w:eastAsia="仿宋_GB2312"/>
          <w:sz w:val="32"/>
          <w:szCs w:val="32"/>
        </w:rPr>
        <w:t xml:space="preserve">）: </w:t>
      </w:r>
      <w:r>
        <w:rPr>
          <w:rFonts w:hint="eastAsia" w:ascii="仿宋_GB2312" w:eastAsia="仿宋_GB2312"/>
          <w:sz w:val="32"/>
          <w:szCs w:val="32"/>
          <w:lang w:eastAsia="zh-CN"/>
        </w:rPr>
        <w:t>反映除上述项目以外其他用于社会保障和就业方面的支出。</w:t>
      </w:r>
    </w:p>
    <w:p>
      <w:pPr>
        <w:pStyle w:val="22"/>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11.</w:t>
      </w:r>
      <w:r>
        <w:rPr>
          <w:rFonts w:hint="eastAsia" w:ascii="仿宋_GB2312" w:eastAsia="仿宋_GB2312"/>
          <w:sz w:val="32"/>
          <w:szCs w:val="32"/>
        </w:rPr>
        <w:t>卫生健康支出（</w:t>
      </w:r>
      <w:r>
        <w:rPr>
          <w:rFonts w:hint="eastAsia" w:ascii="仿宋_GB2312" w:eastAsia="仿宋_GB2312"/>
          <w:sz w:val="32"/>
          <w:szCs w:val="32"/>
          <w:lang w:val="en-US" w:eastAsia="zh-CN"/>
        </w:rPr>
        <w:t>210</w:t>
      </w:r>
      <w:r>
        <w:rPr>
          <w:rFonts w:hint="eastAsia" w:ascii="仿宋_GB2312" w:eastAsia="仿宋_GB2312"/>
          <w:sz w:val="32"/>
          <w:szCs w:val="32"/>
        </w:rPr>
        <w:t>）行政事业单位医疗（</w:t>
      </w:r>
      <w:r>
        <w:rPr>
          <w:rFonts w:hint="eastAsia" w:ascii="仿宋_GB2312" w:eastAsia="仿宋_GB2312"/>
          <w:sz w:val="32"/>
          <w:szCs w:val="32"/>
          <w:lang w:val="en-US" w:eastAsia="zh-CN"/>
        </w:rPr>
        <w:t>11</w:t>
      </w:r>
      <w:r>
        <w:rPr>
          <w:rFonts w:hint="eastAsia" w:ascii="仿宋_GB2312" w:eastAsia="仿宋_GB2312"/>
          <w:sz w:val="32"/>
          <w:szCs w:val="32"/>
        </w:rPr>
        <w:t xml:space="preserve">）行政单位医疗（01）: </w:t>
      </w:r>
      <w:r>
        <w:rPr>
          <w:rFonts w:hint="eastAsia" w:ascii="仿宋_GB2312" w:eastAsia="仿宋_GB2312"/>
          <w:sz w:val="32"/>
          <w:szCs w:val="32"/>
          <w:lang w:eastAsia="zh-CN"/>
        </w:rPr>
        <w:t>反映财政部门集中安排的行政单位基本医疗保险缴费经费。</w:t>
      </w:r>
    </w:p>
    <w:p>
      <w:pPr>
        <w:pStyle w:val="22"/>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12.</w:t>
      </w:r>
      <w:r>
        <w:rPr>
          <w:rFonts w:hint="eastAsia" w:ascii="仿宋_GB2312" w:eastAsia="仿宋_GB2312"/>
          <w:sz w:val="32"/>
          <w:szCs w:val="32"/>
        </w:rPr>
        <w:t>卫生健康支出（</w:t>
      </w:r>
      <w:r>
        <w:rPr>
          <w:rFonts w:hint="eastAsia" w:ascii="仿宋_GB2312" w:eastAsia="仿宋_GB2312"/>
          <w:sz w:val="32"/>
          <w:szCs w:val="32"/>
          <w:lang w:val="en-US" w:eastAsia="zh-CN"/>
        </w:rPr>
        <w:t>210</w:t>
      </w:r>
      <w:r>
        <w:rPr>
          <w:rFonts w:hint="eastAsia" w:ascii="仿宋_GB2312" w:eastAsia="仿宋_GB2312"/>
          <w:sz w:val="32"/>
          <w:szCs w:val="32"/>
        </w:rPr>
        <w:t>）行政事业单位医疗（</w:t>
      </w:r>
      <w:r>
        <w:rPr>
          <w:rFonts w:hint="eastAsia" w:ascii="仿宋_GB2312" w:eastAsia="仿宋_GB2312"/>
          <w:sz w:val="32"/>
          <w:szCs w:val="32"/>
          <w:lang w:val="en-US" w:eastAsia="zh-CN"/>
        </w:rPr>
        <w:t>11</w:t>
      </w:r>
      <w:r>
        <w:rPr>
          <w:rFonts w:hint="eastAsia" w:ascii="仿宋_GB2312" w:eastAsia="仿宋_GB2312"/>
          <w:sz w:val="32"/>
          <w:szCs w:val="32"/>
        </w:rPr>
        <w:t>）</w:t>
      </w:r>
      <w:r>
        <w:rPr>
          <w:rFonts w:hint="eastAsia" w:ascii="仿宋_GB2312" w:eastAsia="仿宋_GB2312"/>
          <w:sz w:val="32"/>
          <w:szCs w:val="32"/>
          <w:lang w:eastAsia="zh-CN"/>
        </w:rPr>
        <w:t>事业</w:t>
      </w:r>
      <w:r>
        <w:rPr>
          <w:rFonts w:hint="eastAsia" w:ascii="仿宋_GB2312" w:eastAsia="仿宋_GB2312"/>
          <w:sz w:val="32"/>
          <w:szCs w:val="32"/>
        </w:rPr>
        <w:t>单位医疗（0</w:t>
      </w:r>
      <w:r>
        <w:rPr>
          <w:rFonts w:hint="eastAsia" w:ascii="仿宋_GB2312" w:eastAsia="仿宋_GB2312"/>
          <w:sz w:val="32"/>
          <w:szCs w:val="32"/>
          <w:lang w:val="en-US" w:eastAsia="zh-CN"/>
        </w:rPr>
        <w:t>2</w:t>
      </w:r>
      <w:r>
        <w:rPr>
          <w:rFonts w:hint="eastAsia" w:ascii="仿宋_GB2312" w:eastAsia="仿宋_GB2312"/>
          <w:sz w:val="32"/>
          <w:szCs w:val="32"/>
        </w:rPr>
        <w:t xml:space="preserve">）: </w:t>
      </w:r>
      <w:r>
        <w:rPr>
          <w:rFonts w:hint="eastAsia" w:ascii="仿宋_GB2312" w:eastAsia="仿宋_GB2312"/>
          <w:sz w:val="32"/>
          <w:szCs w:val="32"/>
          <w:lang w:eastAsia="zh-CN"/>
        </w:rPr>
        <w:t>反映财政部门集中安排的事业单位基本医疗保险缴费经费。</w:t>
      </w:r>
    </w:p>
    <w:p>
      <w:pPr>
        <w:pStyle w:val="22"/>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13.</w:t>
      </w:r>
      <w:r>
        <w:rPr>
          <w:rFonts w:hint="eastAsia" w:ascii="仿宋_GB2312" w:eastAsia="仿宋_GB2312"/>
          <w:sz w:val="32"/>
          <w:szCs w:val="32"/>
        </w:rPr>
        <w:t>卫生健康支出（</w:t>
      </w:r>
      <w:r>
        <w:rPr>
          <w:rFonts w:hint="eastAsia" w:ascii="仿宋_GB2312" w:eastAsia="仿宋_GB2312"/>
          <w:sz w:val="32"/>
          <w:szCs w:val="32"/>
          <w:lang w:val="en-US" w:eastAsia="zh-CN"/>
        </w:rPr>
        <w:t>210</w:t>
      </w:r>
      <w:r>
        <w:rPr>
          <w:rFonts w:hint="eastAsia" w:ascii="仿宋_GB2312" w:eastAsia="仿宋_GB2312"/>
          <w:sz w:val="32"/>
          <w:szCs w:val="32"/>
        </w:rPr>
        <w:t>）行政事业单位医疗（</w:t>
      </w:r>
      <w:r>
        <w:rPr>
          <w:rFonts w:hint="eastAsia" w:ascii="仿宋_GB2312" w:eastAsia="仿宋_GB2312"/>
          <w:sz w:val="32"/>
          <w:szCs w:val="32"/>
          <w:lang w:val="en-US" w:eastAsia="zh-CN"/>
        </w:rPr>
        <w:t>11</w:t>
      </w:r>
      <w:r>
        <w:rPr>
          <w:rFonts w:hint="eastAsia" w:ascii="仿宋_GB2312" w:eastAsia="仿宋_GB2312"/>
          <w:sz w:val="32"/>
          <w:szCs w:val="32"/>
        </w:rPr>
        <w:t>）</w:t>
      </w:r>
      <w:r>
        <w:rPr>
          <w:rFonts w:hint="eastAsia" w:ascii="仿宋_GB2312" w:eastAsia="仿宋_GB2312"/>
          <w:sz w:val="32"/>
          <w:szCs w:val="32"/>
          <w:lang w:eastAsia="zh-CN"/>
        </w:rPr>
        <w:t>公务员医疗补助</w:t>
      </w:r>
      <w:r>
        <w:rPr>
          <w:rFonts w:hint="eastAsia" w:ascii="仿宋_GB2312" w:eastAsia="仿宋_GB2312"/>
          <w:sz w:val="32"/>
          <w:szCs w:val="32"/>
        </w:rPr>
        <w:t>（0</w:t>
      </w:r>
      <w:r>
        <w:rPr>
          <w:rFonts w:hint="eastAsia" w:ascii="仿宋_GB2312" w:eastAsia="仿宋_GB2312"/>
          <w:sz w:val="32"/>
          <w:szCs w:val="32"/>
          <w:lang w:val="en-US" w:eastAsia="zh-CN"/>
        </w:rPr>
        <w:t>3</w:t>
      </w:r>
      <w:r>
        <w:rPr>
          <w:rFonts w:hint="eastAsia" w:ascii="仿宋_GB2312" w:eastAsia="仿宋_GB2312"/>
          <w:sz w:val="32"/>
          <w:szCs w:val="32"/>
        </w:rPr>
        <w:t xml:space="preserve">）: </w:t>
      </w:r>
      <w:r>
        <w:rPr>
          <w:rFonts w:hint="eastAsia" w:ascii="仿宋_GB2312" w:eastAsia="仿宋_GB2312"/>
          <w:sz w:val="32"/>
          <w:szCs w:val="32"/>
          <w:lang w:eastAsia="zh-CN"/>
        </w:rPr>
        <w:t>反映财政部门集中安排的公务员医疗补助经费。</w:t>
      </w:r>
    </w:p>
    <w:p>
      <w:pPr>
        <w:pStyle w:val="22"/>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14.</w:t>
      </w:r>
      <w:r>
        <w:rPr>
          <w:rFonts w:hint="eastAsia" w:ascii="仿宋_GB2312" w:eastAsia="仿宋_GB2312"/>
          <w:sz w:val="32"/>
          <w:szCs w:val="32"/>
        </w:rPr>
        <w:t>卫生健康支出（</w:t>
      </w:r>
      <w:r>
        <w:rPr>
          <w:rFonts w:hint="eastAsia" w:ascii="仿宋_GB2312" w:eastAsia="仿宋_GB2312"/>
          <w:sz w:val="32"/>
          <w:szCs w:val="32"/>
          <w:lang w:val="en-US" w:eastAsia="zh-CN"/>
        </w:rPr>
        <w:t>210</w:t>
      </w:r>
      <w:r>
        <w:rPr>
          <w:rFonts w:hint="eastAsia" w:ascii="仿宋_GB2312" w:eastAsia="仿宋_GB2312"/>
          <w:sz w:val="32"/>
          <w:szCs w:val="32"/>
        </w:rPr>
        <w:t>）行政事业单位医疗（</w:t>
      </w:r>
      <w:r>
        <w:rPr>
          <w:rFonts w:hint="eastAsia" w:ascii="仿宋_GB2312" w:eastAsia="仿宋_GB2312"/>
          <w:sz w:val="32"/>
          <w:szCs w:val="32"/>
          <w:lang w:val="en-US" w:eastAsia="zh-CN"/>
        </w:rPr>
        <w:t>11</w:t>
      </w:r>
      <w:r>
        <w:rPr>
          <w:rFonts w:hint="eastAsia" w:ascii="仿宋_GB2312" w:eastAsia="仿宋_GB2312"/>
          <w:sz w:val="32"/>
          <w:szCs w:val="32"/>
        </w:rPr>
        <w:t>）</w:t>
      </w:r>
      <w:r>
        <w:rPr>
          <w:rFonts w:hint="eastAsia" w:ascii="仿宋_GB2312" w:eastAsia="仿宋_GB2312"/>
          <w:sz w:val="32"/>
          <w:szCs w:val="32"/>
          <w:lang w:eastAsia="zh-CN"/>
        </w:rPr>
        <w:t>其他行政事业单位医疗支出</w:t>
      </w:r>
      <w:r>
        <w:rPr>
          <w:rFonts w:hint="eastAsia" w:ascii="仿宋_GB2312" w:eastAsia="仿宋_GB2312"/>
          <w:sz w:val="32"/>
          <w:szCs w:val="32"/>
        </w:rPr>
        <w:t>（</w:t>
      </w:r>
      <w:r>
        <w:rPr>
          <w:rFonts w:hint="eastAsia" w:ascii="仿宋_GB2312" w:eastAsia="仿宋_GB2312"/>
          <w:sz w:val="32"/>
          <w:szCs w:val="32"/>
          <w:lang w:val="en-US" w:eastAsia="zh-CN"/>
        </w:rPr>
        <w:t>99</w:t>
      </w:r>
      <w:r>
        <w:rPr>
          <w:rFonts w:hint="eastAsia" w:ascii="仿宋_GB2312" w:eastAsia="仿宋_GB2312"/>
          <w:sz w:val="32"/>
          <w:szCs w:val="32"/>
        </w:rPr>
        <w:t xml:space="preserve">）: </w:t>
      </w:r>
      <w:r>
        <w:rPr>
          <w:rFonts w:hint="eastAsia" w:ascii="仿宋_GB2312" w:eastAsia="仿宋_GB2312"/>
          <w:sz w:val="32"/>
          <w:szCs w:val="32"/>
          <w:lang w:eastAsia="zh-CN"/>
        </w:rPr>
        <w:t>反映财政对基本医疗保险基金的补助支出。</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15</w:t>
      </w:r>
      <w:r>
        <w:rPr>
          <w:rFonts w:hint="eastAsia" w:ascii="仿宋_GB2312" w:eastAsia="仿宋_GB2312"/>
          <w:sz w:val="32"/>
          <w:szCs w:val="32"/>
        </w:rPr>
        <w:t>. 住房保障支出（221）住房改革支出（02）住房公积金（01）: 指单位按规定比例为职工缴纳的住房公积金。</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16</w:t>
      </w:r>
      <w:r>
        <w:rPr>
          <w:rFonts w:hint="eastAsia" w:ascii="仿宋_GB2312" w:eastAsia="仿宋_GB2312"/>
          <w:sz w:val="32"/>
          <w:szCs w:val="32"/>
        </w:rPr>
        <w:t>.基本支出：指为保障机构正常运转、完成日常工作任务而发生的人员支出和公用支出。</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17</w:t>
      </w:r>
      <w:r>
        <w:rPr>
          <w:rFonts w:hint="eastAsia" w:ascii="仿宋_GB2312" w:eastAsia="仿宋_GB2312"/>
          <w:sz w:val="32"/>
          <w:szCs w:val="32"/>
        </w:rPr>
        <w:t xml:space="preserve">.项目支出：指在基本支出之外为完成特定行政任务和事业发展目标所发生的支出。 </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8</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9</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1</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23</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color w:val="auto"/>
          <w:highlight w:val="none"/>
        </w:rPr>
      </w:pPr>
      <w:bookmarkStart w:id="51" w:name="_Toc15377226"/>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52"/>
    </w:p>
    <w:p>
      <w:pPr>
        <w:spacing w:line="580" w:lineRule="exact"/>
        <w:rPr>
          <w:rFonts w:ascii="仿宋_GB2312" w:hAnsi="仿宋_GB2312" w:eastAsia="仿宋_GB2312" w:cs="仿宋_GB2312"/>
          <w:color w:val="auto"/>
          <w:sz w:val="32"/>
          <w:szCs w:val="32"/>
          <w:highlight w:val="none"/>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widowControl/>
        <w:spacing w:line="580" w:lineRule="exact"/>
        <w:contextualSpacing/>
        <w:jc w:val="center"/>
        <w:rPr>
          <w:rFonts w:hint="eastAsia" w:ascii="宋体" w:hAnsi="宋体" w:eastAsia="宋体" w:cs="Times New Roman"/>
          <w:b/>
          <w:sz w:val="44"/>
          <w:szCs w:val="44"/>
          <w:shd w:val="clear" w:color="auto" w:fill="FFFFFF"/>
          <w:lang w:eastAsia="zh-CN"/>
        </w:rPr>
      </w:pPr>
      <w:bookmarkStart w:id="53" w:name="_Toc15396618"/>
      <w:r>
        <w:rPr>
          <w:rFonts w:hint="eastAsia" w:ascii="宋体" w:hAnsi="宋体" w:eastAsia="宋体" w:cs="Times New Roman"/>
          <w:b/>
          <w:sz w:val="44"/>
          <w:szCs w:val="44"/>
          <w:shd w:val="clear" w:color="auto" w:fill="FFFFFF"/>
          <w:lang w:eastAsia="zh-CN"/>
        </w:rPr>
        <w:t>大竹县统计局</w:t>
      </w:r>
    </w:p>
    <w:p>
      <w:pPr>
        <w:widowControl/>
        <w:spacing w:line="580" w:lineRule="exact"/>
        <w:contextualSpacing/>
        <w:jc w:val="center"/>
        <w:rPr>
          <w:rFonts w:hint="eastAsia" w:ascii="宋体" w:hAnsi="宋体" w:eastAsia="宋体" w:cs="Times New Roman"/>
          <w:b/>
          <w:sz w:val="44"/>
          <w:szCs w:val="44"/>
          <w:shd w:val="clear" w:color="auto" w:fill="FFFFFF"/>
        </w:rPr>
      </w:pPr>
      <w:r>
        <w:rPr>
          <w:rFonts w:hint="eastAsia" w:ascii="宋体" w:hAnsi="宋体" w:eastAsia="宋体" w:cs="Times New Roman"/>
          <w:b/>
          <w:sz w:val="44"/>
          <w:szCs w:val="44"/>
          <w:shd w:val="clear" w:color="auto" w:fill="FFFFFF"/>
        </w:rPr>
        <w:t>20</w:t>
      </w:r>
      <w:r>
        <w:rPr>
          <w:rFonts w:hint="eastAsia" w:ascii="宋体" w:hAnsi="宋体" w:eastAsia="宋体" w:cs="Times New Roman"/>
          <w:b/>
          <w:sz w:val="44"/>
          <w:szCs w:val="44"/>
          <w:shd w:val="clear" w:color="auto" w:fill="FFFFFF"/>
          <w:lang w:val="en-US" w:eastAsia="zh-CN"/>
        </w:rPr>
        <w:t>23</w:t>
      </w:r>
      <w:r>
        <w:rPr>
          <w:rFonts w:hint="eastAsia" w:ascii="宋体" w:hAnsi="宋体" w:eastAsia="宋体" w:cs="Times New Roman"/>
          <w:b/>
          <w:sz w:val="44"/>
          <w:szCs w:val="44"/>
          <w:shd w:val="clear" w:color="auto" w:fill="FFFFFF"/>
        </w:rPr>
        <w:t>年部门整体支出绩效评价报告</w:t>
      </w:r>
    </w:p>
    <w:p>
      <w:pPr>
        <w:widowControl/>
        <w:spacing w:line="580" w:lineRule="exact"/>
        <w:contextualSpacing/>
        <w:jc w:val="center"/>
        <w:rPr>
          <w:rFonts w:hint="eastAsia" w:ascii="宋体" w:hAnsi="宋体" w:eastAsia="宋体" w:cs="Times New Roman"/>
          <w:b/>
          <w:sz w:val="44"/>
          <w:szCs w:val="44"/>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（一）机构组成。</w:t>
      </w:r>
    </w:p>
    <w:p>
      <w:pPr>
        <w:keepNext w:val="0"/>
        <w:keepLines w:val="0"/>
        <w:pageBreakBefore w:val="0"/>
        <w:widowControl/>
        <w:kinsoku/>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大竹县统计局下属二级决算单位</w:t>
      </w:r>
      <w:r>
        <w:rPr>
          <w:rFonts w:hint="eastAsia" w:ascii="仿宋_GB2312" w:hAnsi="宋体" w:eastAsia="仿宋_GB2312" w:cs="宋体"/>
          <w:color w:val="000000"/>
          <w:kern w:val="0"/>
          <w:sz w:val="32"/>
          <w:szCs w:val="32"/>
          <w:shd w:val="clear" w:color="auto" w:fill="FFFFFF"/>
          <w:lang w:val="en-US" w:eastAsia="zh-CN"/>
        </w:rPr>
        <w:t>6</w:t>
      </w:r>
      <w:r>
        <w:rPr>
          <w:rFonts w:hint="eastAsia" w:ascii="仿宋_GB2312" w:hAnsi="宋体" w:eastAsia="仿宋_GB2312" w:cs="宋体"/>
          <w:color w:val="000000"/>
          <w:kern w:val="0"/>
          <w:sz w:val="32"/>
          <w:szCs w:val="32"/>
          <w:shd w:val="clear" w:color="auto" w:fill="FFFFFF"/>
          <w:lang w:val="zh-CN"/>
        </w:rPr>
        <w:t>个，其中行政单位1个、参照公务员法管理的事业单位2个、其他事业单位</w:t>
      </w:r>
      <w:r>
        <w:rPr>
          <w:rFonts w:hint="eastAsia" w:ascii="仿宋_GB2312" w:hAnsi="宋体" w:eastAsia="仿宋_GB2312" w:cs="宋体"/>
          <w:color w:val="000000"/>
          <w:kern w:val="0"/>
          <w:sz w:val="32"/>
          <w:szCs w:val="32"/>
          <w:shd w:val="clear" w:color="auto" w:fill="FFFFFF"/>
          <w:lang w:val="en-US" w:eastAsia="zh-CN"/>
        </w:rPr>
        <w:t>3</w:t>
      </w:r>
      <w:r>
        <w:rPr>
          <w:rFonts w:hint="eastAsia" w:ascii="仿宋_GB2312" w:hAnsi="宋体" w:eastAsia="仿宋_GB2312" w:cs="宋体"/>
          <w:color w:val="000000"/>
          <w:kern w:val="0"/>
          <w:sz w:val="32"/>
          <w:szCs w:val="32"/>
          <w:shd w:val="clear" w:color="auto" w:fill="FFFFFF"/>
          <w:lang w:val="zh-CN"/>
        </w:rPr>
        <w:t>个。</w:t>
      </w:r>
    </w:p>
    <w:p>
      <w:pPr>
        <w:widowControl/>
        <w:numPr>
          <w:ilvl w:val="0"/>
          <w:numId w:val="5"/>
        </w:numPr>
        <w:adjustRightInd w:val="0"/>
        <w:snapToGrid w:val="0"/>
        <w:spacing w:line="580" w:lineRule="exact"/>
        <w:ind w:firstLine="640" w:firstLineChars="200"/>
        <w:contextualSpacing/>
        <w:jc w:val="left"/>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机构职能。</w:t>
      </w:r>
    </w:p>
    <w:p>
      <w:pPr>
        <w:keepNext w:val="0"/>
        <w:keepLines w:val="0"/>
        <w:pageBreakBefore w:val="0"/>
        <w:widowControl/>
        <w:numPr>
          <w:ilvl w:val="0"/>
          <w:numId w:val="0"/>
        </w:numPr>
        <w:kinsoku/>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大竹县统计局是依据国家法律法规和政策，组织领导和综合协调全县各级部门的统计和国民经济核算工作，会同有关部门组织完成重大的国情国力普查和专项调查，准确、及时、全面地反映县情县力，反映社会经济发展的基本情况，为县委、县政府制定政策、计划和指导经济、社会发展提供决策依据。搜集、整理、提供全县的基本统计资料，对国民经济、社会发展和科技进步情况进行统计分析、统计预测和统计监督，定期发布全县国民经济和社会发展情况的统计公报，向县委、县政府、有关部门、社会公众提供咨询服务。负责《统计法》、《四川省统计管理条例》等法律法规的宣传、贯彻、落实，开展统计行政执法，查处统计违法行为，定期或不定期向县人大常委会和县政府报告统计执法情况。</w:t>
      </w:r>
    </w:p>
    <w:p>
      <w:pPr>
        <w:keepNext w:val="0"/>
        <w:keepLines w:val="0"/>
        <w:pageBreakBefore w:val="0"/>
        <w:widowControl/>
        <w:numPr>
          <w:ilvl w:val="0"/>
          <w:numId w:val="5"/>
        </w:numPr>
        <w:kinsoku/>
        <w:overflowPunct/>
        <w:topLinePunct w:val="0"/>
        <w:autoSpaceDE/>
        <w:autoSpaceDN/>
        <w:bidi w:val="0"/>
        <w:adjustRightInd w:val="0"/>
        <w:snapToGrid w:val="0"/>
        <w:spacing w:line="578" w:lineRule="exact"/>
        <w:ind w:left="0" w:leftChars="0" w:firstLine="640" w:firstLineChars="200"/>
        <w:contextualSpacing/>
        <w:jc w:val="left"/>
        <w:textAlignment w:val="auto"/>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人员概况。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我局行政编制16人，参公管理编制18人,事业编制15人。2022年末职工人数30人，其中：行政人员14人，参公人员13人，非参公事业单位3人。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（一）部门财政资金收入情况。</w:t>
      </w:r>
    </w:p>
    <w:p>
      <w:pPr>
        <w:snapToGrid w:val="0"/>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本年度我局收入共计</w:t>
      </w:r>
      <w:r>
        <w:rPr>
          <w:rFonts w:ascii="仿宋_GB2312" w:hAnsi="仿宋" w:eastAsia="仿宋_GB2312" w:cs="Times New Roman"/>
          <w:sz w:val="32"/>
          <w:szCs w:val="32"/>
        </w:rPr>
        <w:t>10487180.74</w:t>
      </w:r>
      <w:r>
        <w:rPr>
          <w:rFonts w:hint="eastAsia" w:ascii="仿宋_GB2312" w:hAnsi="仿宋" w:eastAsia="仿宋_GB2312" w:cs="Times New Roman"/>
          <w:sz w:val="32"/>
          <w:szCs w:val="32"/>
        </w:rPr>
        <w:t>元，其中财政拨款收入</w:t>
      </w:r>
      <w:r>
        <w:rPr>
          <w:rFonts w:ascii="仿宋_GB2312" w:hAnsi="仿宋" w:eastAsia="仿宋_GB2312" w:cs="Times New Roman"/>
          <w:sz w:val="32"/>
          <w:szCs w:val="32"/>
        </w:rPr>
        <w:t>10359618.34</w:t>
      </w:r>
      <w:r>
        <w:rPr>
          <w:rFonts w:hint="eastAsia" w:ascii="仿宋_GB2312" w:hAnsi="仿宋" w:eastAsia="仿宋_GB2312" w:cs="Times New Roman"/>
          <w:sz w:val="32"/>
          <w:szCs w:val="32"/>
        </w:rPr>
        <w:t>元，比去年9636107.35</w:t>
      </w:r>
      <w:r>
        <w:rPr>
          <w:rFonts w:hint="eastAsia" w:ascii="仿宋_GB2312" w:hAnsi="Calibri" w:eastAsia="仿宋_GB2312" w:cs="仿宋_GB2312"/>
          <w:sz w:val="32"/>
          <w:szCs w:val="32"/>
        </w:rPr>
        <w:t>元增加723510.99</w:t>
      </w:r>
      <w:r>
        <w:rPr>
          <w:rFonts w:hint="eastAsia" w:ascii="仿宋_GB2312" w:hAnsi="仿宋" w:eastAsia="仿宋_GB2312" w:cs="Times New Roman"/>
          <w:sz w:val="32"/>
          <w:szCs w:val="32"/>
        </w:rPr>
        <w:t>元 ，同比增加7.51 %，具体主要原因是：2022年主要住户样体轮换统计调查经费</w:t>
      </w:r>
      <w:r>
        <w:rPr>
          <w:rFonts w:ascii="仿宋_GB2312" w:hAnsi="仿宋" w:eastAsia="仿宋_GB2312" w:cs="Times New Roman"/>
          <w:sz w:val="32"/>
          <w:szCs w:val="32"/>
        </w:rPr>
        <w:t>338496.2</w:t>
      </w:r>
      <w:r>
        <w:rPr>
          <w:rFonts w:hint="eastAsia" w:ascii="仿宋_GB2312" w:hAnsi="仿宋" w:eastAsia="仿宋_GB2312" w:cs="Times New Roman"/>
          <w:sz w:val="32"/>
          <w:szCs w:val="32"/>
        </w:rPr>
        <w:t>元，大豆测产统计调查经费250000元。其他收入</w:t>
      </w:r>
      <w:r>
        <w:rPr>
          <w:rFonts w:ascii="仿宋_GB2312" w:hAnsi="仿宋" w:eastAsia="仿宋_GB2312" w:cs="Times New Roman"/>
          <w:sz w:val="32"/>
          <w:szCs w:val="32"/>
        </w:rPr>
        <w:t>127562.4</w:t>
      </w:r>
      <w:r>
        <w:rPr>
          <w:rFonts w:hint="eastAsia" w:ascii="仿宋_GB2312" w:hAnsi="仿宋" w:eastAsia="仿宋_GB2312" w:cs="Times New Roman"/>
          <w:sz w:val="32"/>
          <w:szCs w:val="32"/>
        </w:rPr>
        <w:t>元，比去年28993.66元增加98568.74元 ，同比</w:t>
      </w:r>
      <w:r>
        <w:rPr>
          <w:rFonts w:hint="eastAsia" w:ascii="仿宋_GB2312" w:hAnsi="仿宋" w:eastAsia="仿宋_GB2312" w:cs="Times New Roman"/>
          <w:sz w:val="32"/>
          <w:szCs w:val="32"/>
          <w:lang w:eastAsia="zh-CN"/>
        </w:rPr>
        <w:t>增长</w:t>
      </w:r>
      <w:r>
        <w:rPr>
          <w:rFonts w:hint="eastAsia" w:ascii="仿宋_GB2312" w:hAnsi="仿宋" w:eastAsia="仿宋_GB2312" w:cs="Times New Roman"/>
          <w:sz w:val="32"/>
          <w:szCs w:val="32"/>
          <w:lang w:val="en-US" w:eastAsia="zh-CN"/>
        </w:rPr>
        <w:t>339.97</w:t>
      </w:r>
      <w:r>
        <w:rPr>
          <w:rFonts w:hint="eastAsia" w:ascii="仿宋_GB2312" w:hAnsi="仿宋" w:eastAsia="仿宋_GB2312" w:cs="Times New Roman"/>
          <w:sz w:val="32"/>
          <w:szCs w:val="32"/>
        </w:rPr>
        <w:t xml:space="preserve"> %。</w:t>
      </w:r>
    </w:p>
    <w:p>
      <w:pPr>
        <w:snapToGrid w:val="0"/>
        <w:spacing w:line="520" w:lineRule="exact"/>
        <w:ind w:firstLine="720" w:firstLineChars="200"/>
        <w:rPr>
          <w:rFonts w:ascii="仿宋_GB2312" w:hAnsi="仿宋" w:eastAsia="仿宋_GB2312" w:cs="Times New Roman"/>
          <w:b/>
          <w:sz w:val="32"/>
          <w:szCs w:val="32"/>
        </w:rPr>
      </w:pPr>
      <w:r>
        <w:rPr>
          <w:rFonts w:ascii="宋体" w:hAnsi="宋体" w:eastAsia="仿宋_GB2312" w:cs="宋体"/>
          <w:bCs/>
          <w:sz w:val="36"/>
          <w:szCs w:val="36"/>
        </w:rPr>
        <w:pict>
          <v:shape id="Object 2" o:spid="_x0000_s1028" o:spt="75" type="#_x0000_t75" style="position:absolute;left:0pt;margin-left:3.05pt;margin-top:9.75pt;height:279.45pt;width:442.35pt;mso-wrap-distance-left:9pt;mso-wrap-distance-right:9pt;z-index:-251650048;mso-width-relative:page;mso-height-relative:page;" o:ole="t" filled="f" o:preferrelative="t" stroked="f" coordsize="21600,21600" wrapcoords="21592 -2 0 0 0 21600 21592 21602 8 21602 21600 21600 21600 0 8 -2 21592 -2">
            <v:path/>
            <v:fill on="f" focussize="0,0"/>
            <v:stroke on="f"/>
            <v:imagedata r:id="rId19" o:title=""/>
            <o:lock v:ext="edit" aspectratio="t"/>
            <w10:wrap type="tight"/>
          </v:shape>
          <o:OLEObject Type="Embed" ProgID="Excel.Sheet.8" ShapeID="Object 2" DrawAspect="Content" ObjectID="_1468075725" r:id="rId18">
            <o:LockedField>false</o:LockedField>
          </o:OLEObject>
        </w:pict>
      </w:r>
    </w:p>
    <w:p>
      <w:pPr>
        <w:widowControl/>
        <w:numPr>
          <w:ilvl w:val="0"/>
          <w:numId w:val="6"/>
        </w:numPr>
        <w:adjustRightInd w:val="0"/>
        <w:snapToGrid w:val="0"/>
        <w:spacing w:line="580" w:lineRule="exact"/>
        <w:ind w:firstLine="640" w:firstLineChars="200"/>
        <w:contextualSpacing/>
        <w:jc w:val="left"/>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部门财政资金支出情况。</w:t>
      </w:r>
    </w:p>
    <w:p>
      <w:pPr>
        <w:snapToGrid w:val="0"/>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本年度我局支出共计</w:t>
      </w:r>
      <w:r>
        <w:rPr>
          <w:rFonts w:ascii="仿宋_GB2312" w:hAnsi="仿宋" w:eastAsia="仿宋_GB2312" w:cs="Times New Roman"/>
          <w:sz w:val="32"/>
          <w:szCs w:val="32"/>
        </w:rPr>
        <w:t>10472690.09</w:t>
      </w:r>
      <w:r>
        <w:rPr>
          <w:rFonts w:hint="eastAsia" w:ascii="仿宋_GB2312" w:hAnsi="仿宋" w:eastAsia="仿宋_GB2312" w:cs="Times New Roman"/>
          <w:sz w:val="32"/>
          <w:szCs w:val="32"/>
        </w:rPr>
        <w:t>元，比去年13195138.95元减少2722448.86元 ，同比</w:t>
      </w:r>
      <w:r>
        <w:rPr>
          <w:rFonts w:hint="eastAsia" w:ascii="仿宋_GB2312" w:hAnsi="仿宋" w:eastAsia="仿宋_GB2312" w:cs="Times New Roman"/>
          <w:sz w:val="32"/>
          <w:szCs w:val="32"/>
          <w:lang w:eastAsia="zh-CN"/>
        </w:rPr>
        <w:t>下降</w:t>
      </w:r>
      <w:r>
        <w:rPr>
          <w:rFonts w:hint="eastAsia" w:ascii="仿宋_GB2312" w:hAnsi="仿宋" w:eastAsia="仿宋_GB2312" w:cs="Times New Roman"/>
          <w:sz w:val="32"/>
          <w:szCs w:val="32"/>
        </w:rPr>
        <w:t>20.63%。主要原因是人口普查扫尾、脱贫攻坚结束。基本支出</w:t>
      </w:r>
      <w:r>
        <w:rPr>
          <w:rFonts w:ascii="仿宋_GB2312" w:hAnsi="仿宋" w:eastAsia="仿宋_GB2312" w:cs="Times New Roman"/>
          <w:sz w:val="32"/>
          <w:szCs w:val="32"/>
        </w:rPr>
        <w:t>5954553.57</w:t>
      </w:r>
      <w:r>
        <w:rPr>
          <w:rFonts w:hint="eastAsia" w:ascii="仿宋_GB2312" w:hAnsi="仿宋" w:eastAsia="仿宋_GB2312" w:cs="Times New Roman"/>
          <w:sz w:val="32"/>
          <w:szCs w:val="32"/>
        </w:rPr>
        <w:t>元，比去年3790525.35元增加2164028.22元，同比增长57.09%。项目支出</w:t>
      </w:r>
      <w:r>
        <w:rPr>
          <w:rFonts w:ascii="仿宋_GB2312" w:hAnsi="仿宋" w:eastAsia="仿宋_GB2312" w:cs="Times New Roman"/>
          <w:sz w:val="32"/>
          <w:szCs w:val="32"/>
        </w:rPr>
        <w:t>4518136.52</w:t>
      </w:r>
      <w:r>
        <w:rPr>
          <w:rFonts w:hint="eastAsia" w:ascii="仿宋_GB2312" w:hAnsi="仿宋" w:eastAsia="仿宋_GB2312" w:cs="Times New Roman"/>
          <w:sz w:val="32"/>
          <w:szCs w:val="32"/>
        </w:rPr>
        <w:t>元，比去年</w:t>
      </w:r>
      <w:r>
        <w:rPr>
          <w:rFonts w:hint="eastAsia" w:ascii="仿宋_GB2312" w:hAnsi="仿宋" w:eastAsia="仿宋_GB2312" w:cs="Times New Roman"/>
          <w:sz w:val="32"/>
          <w:szCs w:val="32"/>
          <w:lang w:val="en-US" w:eastAsia="zh-CN"/>
        </w:rPr>
        <w:t>9404613.6</w:t>
      </w:r>
      <w:r>
        <w:rPr>
          <w:rFonts w:hint="eastAsia" w:ascii="仿宋_GB2312" w:hAnsi="仿宋" w:eastAsia="仿宋_GB2312" w:cs="Times New Roman"/>
          <w:sz w:val="32"/>
          <w:szCs w:val="32"/>
        </w:rPr>
        <w:t>元减少</w:t>
      </w:r>
      <w:r>
        <w:rPr>
          <w:rFonts w:hint="eastAsia" w:ascii="仿宋_GB2312" w:hAnsi="仿宋" w:eastAsia="仿宋_GB2312" w:cs="Times New Roman"/>
          <w:sz w:val="32"/>
          <w:szCs w:val="32"/>
          <w:lang w:val="en-US" w:eastAsia="zh-CN"/>
        </w:rPr>
        <w:t>4886477.08</w:t>
      </w:r>
      <w:r>
        <w:rPr>
          <w:rFonts w:hint="eastAsia" w:ascii="仿宋_GB2312" w:hAnsi="仿宋" w:eastAsia="仿宋_GB2312" w:cs="Times New Roman"/>
          <w:sz w:val="32"/>
          <w:szCs w:val="32"/>
        </w:rPr>
        <w:t>元，同比下降</w:t>
      </w:r>
      <w:r>
        <w:rPr>
          <w:rFonts w:hint="eastAsia" w:ascii="仿宋_GB2312" w:hAnsi="仿宋" w:eastAsia="仿宋_GB2312" w:cs="Times New Roman"/>
          <w:sz w:val="32"/>
          <w:szCs w:val="32"/>
          <w:lang w:val="en-US" w:eastAsia="zh-CN"/>
        </w:rPr>
        <w:t>51.96</w:t>
      </w:r>
      <w:r>
        <w:rPr>
          <w:rFonts w:hint="eastAsia" w:ascii="仿宋_GB2312" w:hAnsi="仿宋" w:eastAsia="仿宋_GB2312" w:cs="Times New Roman"/>
          <w:sz w:val="32"/>
          <w:szCs w:val="32"/>
        </w:rPr>
        <w:t>%。</w:t>
      </w:r>
    </w:p>
    <w:p>
      <w:pPr>
        <w:snapToGrid w:val="0"/>
        <w:spacing w:line="520" w:lineRule="exact"/>
        <w:ind w:firstLine="640" w:firstLineChars="20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drawing>
          <wp:anchor distT="0" distB="0" distL="114300" distR="114300" simplePos="0" relativeHeight="251667456" behindDoc="0" locked="0" layoutInCell="1" allowOverlap="1">
            <wp:simplePos x="0" y="0"/>
            <wp:positionH relativeFrom="column">
              <wp:posOffset>-160655</wp:posOffset>
            </wp:positionH>
            <wp:positionV relativeFrom="paragraph">
              <wp:posOffset>116205</wp:posOffset>
            </wp:positionV>
            <wp:extent cx="5374005" cy="2742565"/>
            <wp:effectExtent l="4445" t="4445" r="12700" b="1524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pPr>
        <w:snapToGrid w:val="0"/>
        <w:spacing w:line="520" w:lineRule="exact"/>
        <w:ind w:firstLine="640" w:firstLineChars="200"/>
        <w:rPr>
          <w:rFonts w:hint="eastAsia" w:ascii="仿宋_GB2312" w:hAnsi="仿宋" w:eastAsia="仿宋_GB2312" w:cs="Times New Roman"/>
          <w:sz w:val="32"/>
          <w:szCs w:val="32"/>
        </w:rPr>
      </w:pPr>
    </w:p>
    <w:p>
      <w:pPr>
        <w:snapToGrid w:val="0"/>
        <w:spacing w:line="520" w:lineRule="exact"/>
        <w:ind w:firstLine="640" w:firstLineChars="200"/>
        <w:rPr>
          <w:rFonts w:hint="eastAsia" w:ascii="仿宋_GB2312" w:hAnsi="仿宋" w:eastAsia="仿宋_GB2312" w:cs="Times New Roman"/>
          <w:sz w:val="32"/>
          <w:szCs w:val="32"/>
        </w:rPr>
      </w:pPr>
    </w:p>
    <w:p>
      <w:pPr>
        <w:snapToGrid w:val="0"/>
        <w:spacing w:line="520" w:lineRule="exact"/>
        <w:ind w:firstLine="640" w:firstLineChars="200"/>
        <w:rPr>
          <w:rFonts w:hint="eastAsia" w:ascii="仿宋_GB2312" w:hAnsi="仿宋" w:eastAsia="仿宋_GB2312" w:cs="Times New Roman"/>
          <w:sz w:val="32"/>
          <w:szCs w:val="32"/>
        </w:rPr>
      </w:pPr>
    </w:p>
    <w:p>
      <w:pPr>
        <w:snapToGrid w:val="0"/>
        <w:spacing w:line="520" w:lineRule="exact"/>
        <w:ind w:firstLine="640" w:firstLineChars="200"/>
        <w:rPr>
          <w:rFonts w:hint="eastAsia" w:ascii="仿宋_GB2312" w:hAnsi="仿宋" w:eastAsia="仿宋_GB2312" w:cs="Times New Roman"/>
          <w:sz w:val="32"/>
          <w:szCs w:val="32"/>
        </w:rPr>
      </w:pPr>
    </w:p>
    <w:p>
      <w:pPr>
        <w:snapToGrid w:val="0"/>
        <w:spacing w:line="520" w:lineRule="exact"/>
        <w:ind w:firstLine="640" w:firstLineChars="200"/>
        <w:rPr>
          <w:rFonts w:hint="eastAsia" w:ascii="仿宋_GB2312" w:hAnsi="仿宋" w:eastAsia="仿宋_GB2312" w:cs="Times New Roman"/>
          <w:sz w:val="32"/>
          <w:szCs w:val="32"/>
        </w:rPr>
      </w:pPr>
    </w:p>
    <w:p>
      <w:pPr>
        <w:snapToGrid w:val="0"/>
        <w:spacing w:line="520" w:lineRule="exact"/>
        <w:ind w:firstLine="640" w:firstLineChars="200"/>
        <w:rPr>
          <w:rFonts w:hint="eastAsia" w:ascii="仿宋_GB2312" w:hAnsi="仿宋" w:eastAsia="仿宋_GB2312" w:cs="Times New Roman"/>
          <w:sz w:val="32"/>
          <w:szCs w:val="32"/>
        </w:rPr>
      </w:pPr>
    </w:p>
    <w:p>
      <w:pPr>
        <w:snapToGrid w:val="0"/>
        <w:spacing w:line="520" w:lineRule="exact"/>
        <w:ind w:firstLine="640" w:firstLineChars="200"/>
        <w:rPr>
          <w:rFonts w:hint="eastAsia" w:ascii="仿宋_GB2312" w:hAnsi="仿宋" w:eastAsia="仿宋_GB2312" w:cs="Times New Roman"/>
          <w:sz w:val="32"/>
          <w:szCs w:val="32"/>
        </w:rPr>
      </w:pP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w:t>
      </w:r>
      <w:r>
        <w:rPr>
          <w:rFonts w:hint="eastAsia" w:ascii="黑体" w:hAnsi="宋体" w:eastAsia="黑体" w:cs="宋体"/>
          <w:color w:val="000000"/>
          <w:kern w:val="0"/>
          <w:sz w:val="32"/>
          <w:szCs w:val="32"/>
          <w:u w:val="none"/>
          <w:shd w:val="clear" w:color="auto" w:fill="FFFFFF"/>
        </w:rPr>
        <w:t>部门整体预算绩效管理情况</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（一）部门预算项目绩效管理。</w:t>
      </w:r>
    </w:p>
    <w:p>
      <w:pPr>
        <w:keepNext w:val="0"/>
        <w:keepLines w:val="0"/>
        <w:pageBreakBefore w:val="0"/>
        <w:widowControl/>
        <w:kinsoku/>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及时按县财政要求编制20</w:t>
      </w:r>
      <w:r>
        <w:rPr>
          <w:rFonts w:hint="eastAsia" w:ascii="仿宋_GB2312" w:hAnsi="宋体" w:eastAsia="仿宋_GB2312" w:cs="宋体"/>
          <w:color w:val="000000"/>
          <w:kern w:val="0"/>
          <w:sz w:val="32"/>
          <w:szCs w:val="32"/>
          <w:shd w:val="clear" w:color="auto" w:fill="FFFFFF"/>
          <w:lang w:val="en-US" w:eastAsia="zh-CN"/>
        </w:rPr>
        <w:t>22</w:t>
      </w:r>
      <w:r>
        <w:rPr>
          <w:rFonts w:hint="eastAsia" w:ascii="仿宋_GB2312" w:hAnsi="宋体" w:eastAsia="仿宋_GB2312" w:cs="宋体"/>
          <w:color w:val="000000"/>
          <w:kern w:val="0"/>
          <w:sz w:val="32"/>
          <w:szCs w:val="32"/>
          <w:shd w:val="clear" w:color="auto" w:fill="FFFFFF"/>
          <w:lang w:val="zh-CN"/>
        </w:rPr>
        <w:t>年预算，按时报送基础库、项目库资料。20</w:t>
      </w:r>
      <w:r>
        <w:rPr>
          <w:rFonts w:hint="eastAsia" w:ascii="仿宋_GB2312" w:hAnsi="宋体" w:eastAsia="仿宋_GB2312" w:cs="宋体"/>
          <w:color w:val="000000"/>
          <w:kern w:val="0"/>
          <w:sz w:val="32"/>
          <w:szCs w:val="32"/>
          <w:shd w:val="clear" w:color="auto" w:fill="FFFFFF"/>
          <w:lang w:val="en-US" w:eastAsia="zh-CN"/>
        </w:rPr>
        <w:t>22</w:t>
      </w:r>
      <w:r>
        <w:rPr>
          <w:rFonts w:hint="eastAsia" w:ascii="仿宋_GB2312" w:hAnsi="宋体" w:eastAsia="仿宋_GB2312" w:cs="宋体"/>
          <w:color w:val="000000"/>
          <w:kern w:val="0"/>
          <w:sz w:val="32"/>
          <w:szCs w:val="32"/>
          <w:shd w:val="clear" w:color="auto" w:fill="FFFFFF"/>
          <w:lang w:val="zh-CN"/>
        </w:rPr>
        <w:t>年县级预算资金总来源</w:t>
      </w:r>
      <w:r>
        <w:rPr>
          <w:rFonts w:ascii="仿宋_GB2312" w:hAnsi="仿宋" w:eastAsia="仿宋_GB2312" w:cs="Times New Roman"/>
          <w:sz w:val="32"/>
          <w:szCs w:val="32"/>
        </w:rPr>
        <w:t>10359618.34</w:t>
      </w:r>
      <w:r>
        <w:rPr>
          <w:rFonts w:hint="eastAsia" w:ascii="仿宋_GB2312" w:hAnsi="宋体" w:eastAsia="仿宋_GB2312" w:cs="宋体"/>
          <w:color w:val="000000"/>
          <w:kern w:val="0"/>
          <w:sz w:val="32"/>
          <w:szCs w:val="32"/>
          <w:shd w:val="clear" w:color="auto" w:fill="FFFFFF"/>
          <w:lang w:val="zh-CN"/>
        </w:rPr>
        <w:t>元，无中期评估调整取消资金及预算结余注销资金。由于资金保障到位，保证人员工资的发放，确保机关的正常的运转。202</w:t>
      </w:r>
      <w:r>
        <w:rPr>
          <w:rFonts w:hint="eastAsia" w:ascii="仿宋_GB2312" w:hAnsi="宋体" w:eastAsia="仿宋_GB2312" w:cs="宋体"/>
          <w:color w:val="000000"/>
          <w:kern w:val="0"/>
          <w:sz w:val="32"/>
          <w:szCs w:val="32"/>
          <w:shd w:val="clear" w:color="auto" w:fill="FFFFFF"/>
          <w:lang w:val="en-US" w:eastAsia="zh-CN"/>
        </w:rPr>
        <w:t>2</w:t>
      </w:r>
      <w:r>
        <w:rPr>
          <w:rFonts w:hint="eastAsia" w:ascii="仿宋_GB2312" w:hAnsi="宋体" w:eastAsia="仿宋_GB2312" w:cs="宋体"/>
          <w:color w:val="000000"/>
          <w:kern w:val="0"/>
          <w:sz w:val="32"/>
          <w:szCs w:val="32"/>
          <w:shd w:val="clear" w:color="auto" w:fill="FFFFFF"/>
          <w:lang w:val="zh-CN"/>
        </w:rPr>
        <w:t>年很好地完成了</w:t>
      </w:r>
      <w:r>
        <w:rPr>
          <w:rFonts w:hint="eastAsia" w:ascii="仿宋_GB2312" w:hAnsi="仿宋" w:eastAsia="仿宋_GB2312" w:cs="Times New Roman"/>
          <w:sz w:val="32"/>
          <w:szCs w:val="32"/>
        </w:rPr>
        <w:t>住户样体轮换统计</w:t>
      </w:r>
      <w:r>
        <w:rPr>
          <w:rFonts w:hint="eastAsia" w:ascii="仿宋_GB2312" w:hAnsi="仿宋" w:eastAsia="仿宋_GB2312" w:cs="Times New Roman"/>
          <w:sz w:val="32"/>
          <w:szCs w:val="32"/>
          <w:lang w:eastAsia="zh-CN"/>
        </w:rPr>
        <w:t>调查、</w:t>
      </w:r>
      <w:r>
        <w:rPr>
          <w:rFonts w:hint="eastAsia" w:ascii="仿宋_GB2312" w:hAnsi="仿宋" w:eastAsia="仿宋_GB2312" w:cs="Times New Roman"/>
          <w:sz w:val="32"/>
          <w:szCs w:val="32"/>
        </w:rPr>
        <w:t>大豆测产统计调查</w:t>
      </w:r>
      <w:r>
        <w:rPr>
          <w:rFonts w:hint="eastAsia" w:ascii="仿宋_GB2312" w:hAnsi="仿宋" w:eastAsia="仿宋_GB2312" w:cs="Times New Roman"/>
          <w:sz w:val="32"/>
          <w:szCs w:val="32"/>
          <w:lang w:eastAsia="zh-CN"/>
        </w:rPr>
        <w:t>、</w:t>
      </w:r>
      <w:r>
        <w:rPr>
          <w:rFonts w:hint="eastAsia" w:ascii="仿宋_GB2312" w:hAnsi="宋体" w:eastAsia="仿宋_GB2312" w:cs="宋体"/>
          <w:color w:val="000000"/>
          <w:kern w:val="0"/>
          <w:sz w:val="32"/>
          <w:szCs w:val="32"/>
          <w:shd w:val="clear" w:color="auto" w:fill="FFFFFF"/>
          <w:lang w:val="zh-CN"/>
        </w:rPr>
        <w:t>第七次全国人口普查、统计执法、粮食监测、畜禽监测、节能统计监测、城乡一体化调查、劳动力调查、党风廉政建设社会评价工作、行风政风测评、工业、投资、房地产建筑业、服务业、商贸、科技文化、劳动工资、园区统计、综合核算、民营经济、名录库、乡镇信息等工作。</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（二）结果应用情况。</w:t>
      </w:r>
    </w:p>
    <w:p>
      <w:pPr>
        <w:keepNext w:val="0"/>
        <w:keepLines w:val="0"/>
        <w:pageBreakBefore w:val="0"/>
        <w:widowControl/>
        <w:kinsoku/>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我局严格贯彻落实资产配置、处置和管理规定，认真执行行政事业单位资产配置和资产使用处置申报、审批程序，未经批准，不得随意配置和处置国有资产，不断加强资产日常管理，维护资产安全完整，及时录入和维护资产管理信息系统。定期不定期对单位资产进行清查盘点，确保资产账卡相符、账账相符、账实相符，及时完整编制202</w:t>
      </w:r>
      <w:r>
        <w:rPr>
          <w:rFonts w:hint="eastAsia" w:ascii="仿宋_GB2312" w:hAnsi="宋体" w:eastAsia="仿宋_GB2312" w:cs="宋体"/>
          <w:color w:val="000000"/>
          <w:kern w:val="0"/>
          <w:sz w:val="32"/>
          <w:szCs w:val="32"/>
          <w:shd w:val="clear" w:color="auto" w:fill="FFFFFF"/>
          <w:lang w:val="en-US" w:eastAsia="zh-CN"/>
        </w:rPr>
        <w:t>2</w:t>
      </w:r>
      <w:r>
        <w:rPr>
          <w:rFonts w:hint="eastAsia" w:ascii="仿宋_GB2312" w:hAnsi="宋体" w:eastAsia="仿宋_GB2312" w:cs="宋体"/>
          <w:color w:val="000000"/>
          <w:kern w:val="0"/>
          <w:sz w:val="32"/>
          <w:szCs w:val="32"/>
          <w:shd w:val="clear" w:color="auto" w:fill="FFFFFF"/>
          <w:lang w:val="zh-CN"/>
        </w:rPr>
        <w:t>年资产报表并上报，合理编制资产配置预算，准确编制政府采购实施计划。</w:t>
      </w:r>
    </w:p>
    <w:p>
      <w:pPr>
        <w:keepNext w:val="0"/>
        <w:keepLines w:val="0"/>
        <w:pageBreakBefore w:val="0"/>
        <w:widowControl/>
        <w:kinsoku/>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按照“谁主管、谁公开、谁负责”的原则，按照财政局的要求向社会公开本单位收支预算、决算，并同时公开“三公”经费等支出，202</w:t>
      </w:r>
      <w:r>
        <w:rPr>
          <w:rFonts w:hint="eastAsia" w:ascii="仿宋_GB2312" w:hAnsi="宋体" w:eastAsia="仿宋_GB2312" w:cs="宋体"/>
          <w:color w:val="000000"/>
          <w:kern w:val="0"/>
          <w:sz w:val="32"/>
          <w:szCs w:val="32"/>
          <w:shd w:val="clear" w:color="auto" w:fill="FFFFFF"/>
          <w:lang w:val="en-US" w:eastAsia="zh-CN"/>
        </w:rPr>
        <w:t>2</w:t>
      </w:r>
      <w:r>
        <w:rPr>
          <w:rFonts w:hint="eastAsia" w:ascii="仿宋_GB2312" w:hAnsi="宋体" w:eastAsia="仿宋_GB2312" w:cs="宋体"/>
          <w:color w:val="000000"/>
          <w:kern w:val="0"/>
          <w:sz w:val="32"/>
          <w:szCs w:val="32"/>
          <w:shd w:val="clear" w:color="auto" w:fill="FFFFFF"/>
          <w:lang w:val="zh-CN"/>
        </w:rPr>
        <w:t>年3月</w:t>
      </w:r>
      <w:r>
        <w:rPr>
          <w:rFonts w:hint="eastAsia" w:ascii="仿宋_GB2312" w:hAnsi="宋体" w:eastAsia="仿宋_GB2312" w:cs="宋体"/>
          <w:color w:val="000000"/>
          <w:kern w:val="0"/>
          <w:sz w:val="32"/>
          <w:szCs w:val="32"/>
          <w:shd w:val="clear" w:color="auto" w:fill="FFFFFF"/>
          <w:lang w:val="en-US" w:eastAsia="zh-CN"/>
        </w:rPr>
        <w:t>18</w:t>
      </w:r>
      <w:r>
        <w:rPr>
          <w:rFonts w:hint="eastAsia" w:ascii="仿宋_GB2312" w:hAnsi="宋体" w:eastAsia="仿宋_GB2312" w:cs="宋体"/>
          <w:color w:val="000000"/>
          <w:kern w:val="0"/>
          <w:sz w:val="32"/>
          <w:szCs w:val="32"/>
          <w:shd w:val="clear" w:color="auto" w:fill="FFFFFF"/>
          <w:lang w:val="zh-CN"/>
        </w:rPr>
        <w:t>日在政府门户网站公开202</w:t>
      </w:r>
      <w:r>
        <w:rPr>
          <w:rFonts w:hint="eastAsia" w:ascii="仿宋_GB2312" w:hAnsi="宋体" w:eastAsia="仿宋_GB2312" w:cs="宋体"/>
          <w:color w:val="000000"/>
          <w:kern w:val="0"/>
          <w:sz w:val="32"/>
          <w:szCs w:val="32"/>
          <w:shd w:val="clear" w:color="auto" w:fill="FFFFFF"/>
          <w:lang w:val="en-US" w:eastAsia="zh-CN"/>
        </w:rPr>
        <w:t>2</w:t>
      </w:r>
      <w:r>
        <w:rPr>
          <w:rFonts w:hint="eastAsia" w:ascii="仿宋_GB2312" w:hAnsi="宋体" w:eastAsia="仿宋_GB2312" w:cs="宋体"/>
          <w:color w:val="000000"/>
          <w:kern w:val="0"/>
          <w:sz w:val="32"/>
          <w:szCs w:val="32"/>
          <w:shd w:val="clear" w:color="auto" w:fill="FFFFFF"/>
          <w:lang w:val="zh-CN"/>
        </w:rPr>
        <w:t>年部门预算编制说明，202</w:t>
      </w:r>
      <w:r>
        <w:rPr>
          <w:rFonts w:hint="eastAsia" w:ascii="仿宋_GB2312" w:hAnsi="宋体" w:eastAsia="仿宋_GB2312" w:cs="宋体"/>
          <w:color w:val="000000"/>
          <w:kern w:val="0"/>
          <w:sz w:val="32"/>
          <w:szCs w:val="32"/>
          <w:shd w:val="clear" w:color="auto" w:fill="FFFFFF"/>
          <w:lang w:val="en-US" w:eastAsia="zh-CN"/>
        </w:rPr>
        <w:t>2</w:t>
      </w:r>
      <w:r>
        <w:rPr>
          <w:rFonts w:hint="eastAsia" w:ascii="仿宋_GB2312" w:hAnsi="宋体" w:eastAsia="仿宋_GB2312" w:cs="宋体"/>
          <w:color w:val="000000"/>
          <w:kern w:val="0"/>
          <w:sz w:val="32"/>
          <w:szCs w:val="32"/>
          <w:shd w:val="clear" w:color="auto" w:fill="FFFFFF"/>
          <w:lang w:val="zh-CN"/>
        </w:rPr>
        <w:t>年</w:t>
      </w:r>
      <w:r>
        <w:rPr>
          <w:rFonts w:hint="eastAsia" w:ascii="仿宋_GB2312" w:hAnsi="宋体" w:eastAsia="仿宋_GB2312" w:cs="宋体"/>
          <w:color w:val="000000"/>
          <w:kern w:val="0"/>
          <w:sz w:val="32"/>
          <w:szCs w:val="32"/>
          <w:shd w:val="clear" w:color="auto" w:fill="FFFFFF"/>
          <w:lang w:val="en-US" w:eastAsia="zh-CN"/>
        </w:rPr>
        <w:t>9</w:t>
      </w:r>
      <w:r>
        <w:rPr>
          <w:rFonts w:hint="eastAsia" w:ascii="仿宋_GB2312" w:hAnsi="宋体" w:eastAsia="仿宋_GB2312" w:cs="宋体"/>
          <w:color w:val="000000"/>
          <w:kern w:val="0"/>
          <w:sz w:val="32"/>
          <w:szCs w:val="32"/>
          <w:shd w:val="clear" w:color="auto" w:fill="FFFFFF"/>
          <w:lang w:val="zh-CN"/>
        </w:rPr>
        <w:t>月</w:t>
      </w:r>
      <w:r>
        <w:rPr>
          <w:rFonts w:hint="eastAsia" w:ascii="仿宋_GB2312" w:hAnsi="宋体" w:eastAsia="仿宋_GB2312" w:cs="宋体"/>
          <w:color w:val="000000"/>
          <w:kern w:val="0"/>
          <w:sz w:val="32"/>
          <w:szCs w:val="32"/>
          <w:shd w:val="clear" w:color="auto" w:fill="FFFFFF"/>
          <w:lang w:val="en-US" w:eastAsia="zh-CN"/>
        </w:rPr>
        <w:t>9</w:t>
      </w:r>
      <w:r>
        <w:rPr>
          <w:rFonts w:hint="eastAsia" w:ascii="仿宋_GB2312" w:hAnsi="宋体" w:eastAsia="仿宋_GB2312" w:cs="宋体"/>
          <w:color w:val="000000"/>
          <w:kern w:val="0"/>
          <w:sz w:val="32"/>
          <w:szCs w:val="32"/>
          <w:shd w:val="clear" w:color="auto" w:fill="FFFFFF"/>
          <w:lang w:val="zh-CN"/>
        </w:rPr>
        <w:t>日在政府门户网站公开20</w:t>
      </w:r>
      <w:r>
        <w:rPr>
          <w:rFonts w:hint="eastAsia" w:ascii="仿宋_GB2312" w:hAnsi="宋体" w:eastAsia="仿宋_GB2312" w:cs="宋体"/>
          <w:color w:val="000000"/>
          <w:kern w:val="0"/>
          <w:sz w:val="32"/>
          <w:szCs w:val="32"/>
          <w:shd w:val="clear" w:color="auto" w:fill="FFFFFF"/>
          <w:lang w:val="en-US" w:eastAsia="zh-CN"/>
        </w:rPr>
        <w:t>21</w:t>
      </w:r>
      <w:r>
        <w:rPr>
          <w:rFonts w:hint="eastAsia" w:ascii="仿宋_GB2312" w:hAnsi="宋体" w:eastAsia="仿宋_GB2312" w:cs="宋体"/>
          <w:color w:val="000000"/>
          <w:kern w:val="0"/>
          <w:sz w:val="32"/>
          <w:szCs w:val="32"/>
          <w:shd w:val="clear" w:color="auto" w:fill="FFFFFF"/>
          <w:lang w:val="zh-CN"/>
        </w:rPr>
        <w:t>年部门决算编制说明。</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遵循全面性、重要性、制衡性、适应性和有效性的原则建立健全和完善内部控制制度，有效防控财政资金风险，提高公共服务的效率和效果。认真评价项目实施情况，执行情况和效率。认真开展自查自纠工作，发现问题及时整改，自觉接受纪委、财政、审计等部门的检查和监督。</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r>
        <w:rPr>
          <w:rFonts w:hint="eastAsia" w:ascii="仿宋_GB2312" w:hAnsi="宋体" w:eastAsia="仿宋_GB2312" w:cs="宋体"/>
          <w:color w:val="000000"/>
          <w:kern w:val="0"/>
          <w:sz w:val="32"/>
          <w:szCs w:val="32"/>
          <w:shd w:val="clear" w:color="auto" w:fill="FFFFFF"/>
          <w:lang w:val="zh-CN"/>
        </w:rPr>
        <w:t>全年基本支出保证了部门的正常运行和日常工作任务的顺利完成。全年项目支出达到预期绩效目标，在资金使用和管理主面，进一步强化资金统筹，优化资金结构，明确开支范围，细化资金用途，以有限的资金保证单位的正常运转。资金收支管理及会计核算较规范，能够按照相关会计制度和财务管理办法进行核算。认真落实积极财政政策，优化支出结构，深化管理改革，圆满完成各项目标任务。</w:t>
      </w: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p>
    <w:p>
      <w:pPr>
        <w:rPr>
          <w:rFonts w:hint="eastAsia" w:ascii="宋体" w:hAnsi="宋体" w:eastAsia="宋体" w:cs="宋体"/>
          <w:color w:val="auto"/>
          <w:kern w:val="0"/>
          <w:sz w:val="32"/>
          <w:szCs w:val="32"/>
          <w:highlight w:val="none"/>
          <w:lang w:val="en-US" w:eastAsia="zh-CN" w:bidi="ar-SA"/>
        </w:rPr>
        <w:sectPr>
          <w:footerReference r:id="rId5" w:type="first"/>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pPr>
    </w:p>
    <w:tbl>
      <w:tblPr>
        <w:tblStyle w:val="12"/>
        <w:tblpPr w:leftFromText="180" w:rightFromText="180" w:vertAnchor="text" w:horzAnchor="page" w:tblpX="1533" w:tblpY="143"/>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9"/>
        <w:gridCol w:w="2016"/>
        <w:gridCol w:w="1749"/>
        <w:gridCol w:w="2222"/>
        <w:gridCol w:w="522"/>
        <w:gridCol w:w="1653"/>
        <w:gridCol w:w="763"/>
        <w:gridCol w:w="1094"/>
        <w:gridCol w:w="505"/>
        <w:gridCol w:w="454"/>
        <w:gridCol w:w="25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5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48"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51172422T000005496530-人口普查县本级工作经费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95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3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大竹县统计局部门</w:t>
            </w:r>
          </w:p>
        </w:tc>
        <w:tc>
          <w:tcPr>
            <w:tcW w:w="383"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3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1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3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照《第七次全国人口普查方案》规定，国务院决定于2020年开展第七次全国人口普查。根据《国务院关于开展第七次全国人口普查的通知》（国发〔2019〕24号）、《四川省人民政府关于做好四川省第七次全国人口普查工作的通知》（川府发〔2019〕33号）精神和《达州市人民政府关于做好达州市第七次全国人口普查工作的通知》（达市府发〔2020〕4号），第七次全国人口普查2020-2022年开展，人口普查的对象是指普查标准时点在我县境内的户籍人口以及外来居住的人口。《国务院第七次全国人口普查领导小组办公室、财政部、人力资源和社会保障部、国家统计局关于做好第七次全国人口普查经费保障的通知》（国人普办[2020]5号）和《四川省统计局四川省财政厅关于印发统计部门周期性普查和大型调查经费机制研究的通知》（川统计划[2015]48号），全面查清我国人口数量、结构、分布、城乡住房等方面情况。</w:t>
            </w:r>
          </w:p>
        </w:tc>
        <w:tc>
          <w:tcPr>
            <w:tcW w:w="161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48"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全县建筑物标绘</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119302</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全县划分普查小区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324</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全县普查小区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5009</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全县人口普查准确率</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全县人口普查覆盖率</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8"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培训成本</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元/人·次</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印刷成本</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反映我县人口发展状况</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未党委政府决策提供人口统计数据</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党委政府、公众满意度</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773"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5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5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5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5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46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4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tc>
        <w:tc>
          <w:tcPr>
            <w:tcW w:w="71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1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5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48"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51172422T000005496544-统计快报、领导干部手册的编印费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95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3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大竹县统计局部门</w:t>
            </w:r>
          </w:p>
        </w:tc>
        <w:tc>
          <w:tcPr>
            <w:tcW w:w="383"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3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1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3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为提升辅政水平，丰富统计服务产品，客观、准确、及时反映垫大竹县国民经济和社会发展情况，统计局以每季度编印《统计快报》、每年编印《领导干部经济手册》的方式，最大程度地发挥统计产品服务各级党政领导和社会公众的作用。</w:t>
            </w:r>
          </w:p>
        </w:tc>
        <w:tc>
          <w:tcPr>
            <w:tcW w:w="161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48"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5.30</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5.30</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编印《统计快报》数量</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编印《领导干部手册》数量</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统计快报、领导干部手册的数据准确率</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及时编印率</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编印成本</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元/套</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会议成本</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元/人·次</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统计资料查阅、咨询</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统计资料持续使用</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党委政府、公众满意度</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73"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5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5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5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5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46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4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1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1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5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48"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51172422T000005496547-统计员补助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95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3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大竹县统计局部门</w:t>
            </w:r>
          </w:p>
        </w:tc>
        <w:tc>
          <w:tcPr>
            <w:tcW w:w="383"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3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1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5"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3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川办函[2013]174号文件《关于转发四川省分市县住户调查一体化实施方案的通知》、达市府办函《关于印发达州市城乡住户调查一体化实施方案的通知》、《关于印发四川基本单位名录库管理办法的通知》（川府发[2013]6号）、调字[2012]14号文件精神《关于加强生猪生产监测调查工作的通知》、《四川省服务业统计规范化实施方案》（川办函[2011]288号）、《大竹县人民</w:t>
            </w:r>
            <w:r>
              <w:rPr>
                <w:rFonts w:hint="eastAsia" w:ascii="宋体" w:hAnsi="宋体" w:cs="宋体"/>
                <w:i w:val="0"/>
                <w:iCs w:val="0"/>
                <w:color w:val="000000"/>
                <w:kern w:val="0"/>
                <w:sz w:val="18"/>
                <w:szCs w:val="18"/>
                <w:u w:val="none"/>
                <w:lang w:val="en-US" w:eastAsia="zh-CN" w:bidi="ar"/>
              </w:rPr>
              <w:t>政府</w:t>
            </w:r>
            <w:bookmarkStart w:id="67" w:name="_GoBack"/>
            <w:bookmarkEnd w:id="67"/>
            <w:r>
              <w:rPr>
                <w:rFonts w:ascii="宋体" w:hAnsi="宋体" w:eastAsia="宋体" w:cs="宋体"/>
                <w:i w:val="0"/>
                <w:iCs w:val="0"/>
                <w:color w:val="000000"/>
                <w:kern w:val="0"/>
                <w:sz w:val="18"/>
                <w:szCs w:val="18"/>
                <w:u w:val="none"/>
                <w:lang w:val="en-US" w:eastAsia="zh-CN" w:bidi="ar"/>
              </w:rPr>
              <w:t>办公室关于加强“四上一新”企业培育发展和升规入统工作的意见》竹府办[2017]60号、县委县政府关于建设西部新型强县意见（竹委发[2012]16号）做好规上工业统计监测等文件精神，发放城乡一体化住户调查、生猪监测、商贸、服务业、工业、房地产建筑业、基本名录库等统计员误工补助。</w:t>
            </w:r>
          </w:p>
        </w:tc>
        <w:tc>
          <w:tcPr>
            <w:tcW w:w="161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48"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384.82</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276.36</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276.36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384.82</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276.36</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276.36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房地产建筑业统计员</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102</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城乡一体化住户纸质、电子记账户、辅助调查员</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规上工业统计员</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基本单位名录库统计员</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畜禽监测户统计员</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农业统计、人口变动抽样调查</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粮食监测员、辅助调查员</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商贸企业统计员</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244</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服务业及其他营利性服务业统计员</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按标准发放补助，保证报表任务高质量完成</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补助成本</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元/人*月</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调高工作效率，工作积极性</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统计报表准确率</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党委政府、公众满意度</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773"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5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5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5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5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46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4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1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tc>
        <w:tc>
          <w:tcPr>
            <w:tcW w:w="61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5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48"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51172422T000005496918-统计调查工作经费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95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3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大竹县统计局部门</w:t>
            </w:r>
          </w:p>
        </w:tc>
        <w:tc>
          <w:tcPr>
            <w:tcW w:w="383"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3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1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3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依据国家法律法规和政策，组织领导和综合协调全县各级部门的统计和国民经济核算工作，会同有关部门组织完成统计调查工作，准确、及时、全面地反映县情县力，反映社会经济发展的基本情况，为县委、县政府制定政策、计划和指导经济、社会发展提供决策依据。</w:t>
            </w:r>
          </w:p>
        </w:tc>
        <w:tc>
          <w:tcPr>
            <w:tcW w:w="161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48"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108.85</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108.85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108.85</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108.85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畜禽监测点、大户</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城乡一体化住户调查点</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粮食遥感监测点</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工业、商贸、服务业、房地产建筑业企业数</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689</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所有统计调查报表准确率</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会议培训成本</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元/人·次</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印刷费成本</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位县委政府决策做好参考，调整一二三产业结构</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统计数据持续使用</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党委政府、公众满意度</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773"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5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5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5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5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46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4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1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1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5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48"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51172422T000005657639-人口普查县本级工作经费【存量】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95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3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大竹县统计局部门</w:t>
            </w:r>
          </w:p>
        </w:tc>
        <w:tc>
          <w:tcPr>
            <w:tcW w:w="383"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2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3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61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3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48"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2.84</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2.84</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773"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5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5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5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46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4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1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1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bl>
    <w:p>
      <w:pPr>
        <w:spacing w:line="600" w:lineRule="exact"/>
        <w:jc w:val="both"/>
        <w:outlineLvl w:val="0"/>
        <w:rPr>
          <w:rFonts w:hint="eastAsia" w:ascii="宋体" w:hAnsi="宋体" w:eastAsia="宋体" w:cs="宋体"/>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sectPr>
          <w:footerReference r:id="rId7" w:type="first"/>
          <w:footerReference r:id="rId6" w:type="default"/>
          <w:pgSz w:w="16838" w:h="11906" w:orient="landscape"/>
          <w:pgMar w:top="1800" w:right="1440" w:bottom="1800" w:left="1440" w:header="851" w:footer="992" w:gutter="0"/>
          <w:pgNumType w:fmt="decimal" w:start="25"/>
          <w:cols w:space="425" w:num="1"/>
          <w:titlePg/>
          <w:docGrid w:type="lines" w:linePitch="312" w:charSpace="0"/>
        </w:sectPr>
      </w:pPr>
    </w:p>
    <w:p>
      <w:pPr>
        <w:spacing w:line="600" w:lineRule="exact"/>
        <w:jc w:val="center"/>
        <w:outlineLvl w:val="0"/>
        <w:rPr>
          <w:rStyle w:val="24"/>
          <w:rFonts w:hint="eastAsia" w:ascii="黑体" w:hAnsi="黑体" w:eastAsia="黑体"/>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51"/>
      <w:bookmarkEnd w:id="53"/>
      <w:bookmarkStart w:id="54" w:name="_Toc15396619"/>
    </w:p>
    <w:p>
      <w:pPr>
        <w:spacing w:line="600" w:lineRule="exact"/>
        <w:jc w:val="both"/>
        <w:outlineLvl w:val="0"/>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54"/>
    </w:p>
    <w:p>
      <w:pPr>
        <w:pStyle w:val="3"/>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55"/>
    </w:p>
    <w:p>
      <w:pPr>
        <w:pStyle w:val="3"/>
        <w:rPr>
          <w:rFonts w:ascii="仿宋" w:hAnsi="仿宋" w:eastAsia="仿宋"/>
          <w:color w:val="auto"/>
          <w:highlight w:val="none"/>
        </w:rPr>
      </w:pPr>
      <w:bookmarkStart w:id="56"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56"/>
    </w:p>
    <w:p>
      <w:pPr>
        <w:pStyle w:val="3"/>
        <w:rPr>
          <w:rFonts w:ascii="仿宋" w:hAnsi="仿宋" w:eastAsia="仿宋"/>
          <w:b w:val="0"/>
          <w:color w:val="auto"/>
          <w:highlight w:val="none"/>
        </w:rPr>
      </w:pPr>
      <w:bookmarkStart w:id="57"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57"/>
    </w:p>
    <w:p>
      <w:pPr>
        <w:pStyle w:val="3"/>
        <w:rPr>
          <w:rStyle w:val="25"/>
          <w:rFonts w:ascii="仿宋" w:hAnsi="仿宋" w:eastAsia="仿宋"/>
          <w:b w:val="0"/>
          <w:bCs w:val="0"/>
          <w:color w:val="auto"/>
          <w:highlight w:val="none"/>
        </w:rPr>
      </w:pPr>
      <w:bookmarkStart w:id="58"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58"/>
      <w:bookmarkStart w:id="59" w:name="_Toc15396624"/>
    </w:p>
    <w:p>
      <w:pPr>
        <w:pStyle w:val="3"/>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59"/>
    </w:p>
    <w:p>
      <w:pPr>
        <w:pStyle w:val="3"/>
        <w:rPr>
          <w:rFonts w:ascii="仿宋" w:hAnsi="仿宋" w:eastAsia="仿宋"/>
          <w:color w:val="auto"/>
          <w:highlight w:val="none"/>
        </w:rPr>
      </w:pPr>
      <w:bookmarkStart w:id="60"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60"/>
    </w:p>
    <w:p>
      <w:pPr>
        <w:pStyle w:val="3"/>
        <w:rPr>
          <w:rFonts w:ascii="仿宋" w:hAnsi="仿宋" w:eastAsia="仿宋"/>
          <w:color w:val="auto"/>
          <w:highlight w:val="none"/>
        </w:rPr>
      </w:pPr>
      <w:bookmarkStart w:id="61"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61"/>
    </w:p>
    <w:p>
      <w:pPr>
        <w:pStyle w:val="3"/>
        <w:rPr>
          <w:rFonts w:ascii="仿宋" w:hAnsi="仿宋" w:eastAsia="仿宋"/>
          <w:color w:val="auto"/>
          <w:highlight w:val="none"/>
        </w:rPr>
      </w:pPr>
      <w:bookmarkStart w:id="62"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62"/>
    </w:p>
    <w:p>
      <w:pPr>
        <w:pStyle w:val="3"/>
        <w:rPr>
          <w:rFonts w:ascii="仿宋" w:hAnsi="仿宋" w:eastAsia="仿宋"/>
          <w:color w:val="auto"/>
          <w:highlight w:val="none"/>
        </w:rPr>
      </w:pPr>
      <w:bookmarkStart w:id="63" w:name="_Toc15396628"/>
      <w:r>
        <w:rPr>
          <w:rStyle w:val="25"/>
          <w:rFonts w:hint="eastAsia" w:ascii="仿宋" w:hAnsi="仿宋" w:eastAsia="仿宋"/>
          <w:b w:val="0"/>
          <w:bCs w:val="0"/>
          <w:color w:val="auto"/>
          <w:highlight w:val="none"/>
        </w:rPr>
        <w:t>十、</w:t>
      </w:r>
      <w:bookmarkEnd w:id="63"/>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p>
    <w:p>
      <w:pPr>
        <w:pStyle w:val="3"/>
        <w:rPr>
          <w:rFonts w:ascii="仿宋" w:hAnsi="仿宋" w:eastAsia="仿宋"/>
          <w:color w:val="auto"/>
          <w:highlight w:val="none"/>
        </w:rPr>
      </w:pPr>
      <w:bookmarkStart w:id="64" w:name="_Toc15396629"/>
      <w:r>
        <w:rPr>
          <w:rStyle w:val="25"/>
          <w:rFonts w:hint="eastAsia" w:ascii="仿宋" w:hAnsi="仿宋" w:eastAsia="仿宋"/>
          <w:b w:val="0"/>
          <w:bCs w:val="0"/>
          <w:color w:val="auto"/>
          <w:highlight w:val="none"/>
        </w:rPr>
        <w:t>十一、</w:t>
      </w:r>
      <w:bookmarkEnd w:id="64"/>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p>
    <w:p>
      <w:pPr>
        <w:pStyle w:val="3"/>
        <w:rPr>
          <w:rFonts w:ascii="仿宋" w:hAnsi="仿宋" w:eastAsia="仿宋"/>
          <w:color w:val="auto"/>
          <w:highlight w:val="none"/>
        </w:rPr>
      </w:pPr>
      <w:bookmarkStart w:id="65" w:name="_Toc15396630"/>
      <w:r>
        <w:rPr>
          <w:rStyle w:val="25"/>
          <w:rFonts w:hint="eastAsia" w:ascii="仿宋" w:hAnsi="仿宋" w:eastAsia="仿宋"/>
          <w:b w:val="0"/>
          <w:bCs w:val="0"/>
          <w:color w:val="auto"/>
          <w:highlight w:val="none"/>
        </w:rPr>
        <w:t>十二、</w:t>
      </w:r>
      <w:bookmarkEnd w:id="65"/>
      <w:r>
        <w:rPr>
          <w:rStyle w:val="25"/>
          <w:rFonts w:hint="eastAsia" w:ascii="仿宋" w:hAnsi="仿宋" w:eastAsia="仿宋"/>
          <w:b w:val="0"/>
          <w:bCs w:val="0"/>
          <w:color w:val="auto"/>
          <w:highlight w:val="none"/>
          <w:lang w:eastAsia="zh-CN"/>
        </w:rPr>
        <w:t>国有资本经营预算财政拨款支出决算表</w:t>
      </w:r>
    </w:p>
    <w:p>
      <w:pPr>
        <w:pStyle w:val="3"/>
        <w:rPr>
          <w:rStyle w:val="25"/>
          <w:rFonts w:hint="eastAsia" w:ascii="仿宋" w:hAnsi="仿宋" w:eastAsia="仿宋"/>
          <w:b w:val="0"/>
          <w:bCs w:val="0"/>
          <w:color w:val="auto"/>
          <w:highlight w:val="none"/>
          <w:lang w:eastAsia="zh-CN"/>
        </w:rPr>
      </w:pPr>
      <w:bookmarkStart w:id="66" w:name="_Toc15396631"/>
      <w:r>
        <w:rPr>
          <w:rStyle w:val="25"/>
          <w:rFonts w:hint="eastAsia" w:ascii="仿宋" w:hAnsi="仿宋" w:eastAsia="仿宋"/>
          <w:b w:val="0"/>
          <w:bCs w:val="0"/>
          <w:color w:val="auto"/>
          <w:highlight w:val="none"/>
        </w:rPr>
        <w:t>十三、</w:t>
      </w:r>
      <w:bookmarkEnd w:id="66"/>
      <w:r>
        <w:rPr>
          <w:rStyle w:val="25"/>
          <w:rFonts w:hint="eastAsia" w:ascii="仿宋" w:hAnsi="仿宋" w:eastAsia="仿宋"/>
          <w:b w:val="0"/>
          <w:bCs w:val="0"/>
          <w:color w:val="auto"/>
          <w:highlight w:val="none"/>
          <w:lang w:eastAsia="zh-CN"/>
        </w:rPr>
        <w:t>财政拨款“三公”经费支出决算表</w:t>
      </w:r>
    </w:p>
    <w:p>
      <w:pPr>
        <w:rPr>
          <w:rStyle w:val="25"/>
          <w:rFonts w:hint="eastAsia" w:ascii="仿宋" w:hAnsi="仿宋" w:eastAsia="仿宋"/>
          <w:b w:val="0"/>
          <w:bCs w:val="0"/>
          <w:color w:val="auto"/>
          <w:highlight w:val="none"/>
          <w:lang w:eastAsia="zh-CN"/>
        </w:rPr>
      </w:pPr>
    </w:p>
    <w:p>
      <w:pPr>
        <w:rPr>
          <w:rStyle w:val="25"/>
          <w:rFonts w:hint="eastAsia" w:ascii="仿宋" w:hAnsi="仿宋" w:eastAsia="仿宋"/>
          <w:b w:val="0"/>
          <w:bCs w:val="0"/>
          <w:color w:val="auto"/>
          <w:highlight w:val="none"/>
          <w:lang w:eastAsia="zh-CN"/>
        </w:rPr>
      </w:pPr>
    </w:p>
    <w:sectPr>
      <w:footerReference r:id="rId9" w:type="first"/>
      <w:footerReference r:id="rId8" w:type="default"/>
      <w:pgSz w:w="11906" w:h="16838"/>
      <w:pgMar w:top="2098" w:right="1474" w:bottom="1984" w:left="1587" w:header="851" w:footer="992" w:gutter="0"/>
      <w:pgNumType w:fmt="decimal" w:start="37"/>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txbxContent>
              </v:textbox>
            </v:shape>
          </w:pict>
        </mc:Fallback>
      </mc:AlternateConten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txbxContent>
              </v:textbox>
            </v:shape>
          </w:pict>
        </mc:Fallback>
      </mc:AlternateContent>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CBD3A9"/>
    <w:multiLevelType w:val="singleLevel"/>
    <w:tmpl w:val="ACCBD3A9"/>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E9A43BB2"/>
    <w:multiLevelType w:val="singleLevel"/>
    <w:tmpl w:val="E9A43BB2"/>
    <w:lvl w:ilvl="0" w:tentative="0">
      <w:start w:val="2"/>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818A09A"/>
    <w:multiLevelType w:val="singleLevel"/>
    <w:tmpl w:val="3818A09A"/>
    <w:lvl w:ilvl="0" w:tentative="0">
      <w:start w:val="1"/>
      <w:numFmt w:val="chineseCounting"/>
      <w:suff w:val="nothing"/>
      <w:lvlText w:val="%1、"/>
      <w:lvlJc w:val="left"/>
      <w:rPr>
        <w:rFonts w:hint="eastAsia"/>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YjBiZjhhOTkwMGQwNWQ3ZDg2N2E0NTlhNDY4ZT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F12408"/>
    <w:rsid w:val="025536D2"/>
    <w:rsid w:val="053A62B5"/>
    <w:rsid w:val="0A2032A3"/>
    <w:rsid w:val="0B486E23"/>
    <w:rsid w:val="0B8A37D8"/>
    <w:rsid w:val="0BC02AB7"/>
    <w:rsid w:val="0FD333F5"/>
    <w:rsid w:val="10C055FF"/>
    <w:rsid w:val="118107EC"/>
    <w:rsid w:val="11DD6519"/>
    <w:rsid w:val="16BB723D"/>
    <w:rsid w:val="18015F3F"/>
    <w:rsid w:val="1BE8440E"/>
    <w:rsid w:val="1D155CEE"/>
    <w:rsid w:val="20F57F95"/>
    <w:rsid w:val="240371BF"/>
    <w:rsid w:val="25711CC6"/>
    <w:rsid w:val="25C741E6"/>
    <w:rsid w:val="27842671"/>
    <w:rsid w:val="29FD04D3"/>
    <w:rsid w:val="2ABE7A3E"/>
    <w:rsid w:val="2CA234A8"/>
    <w:rsid w:val="2EFA178C"/>
    <w:rsid w:val="30B46D73"/>
    <w:rsid w:val="319F7F4E"/>
    <w:rsid w:val="383D272C"/>
    <w:rsid w:val="39AE70AB"/>
    <w:rsid w:val="3C0C0783"/>
    <w:rsid w:val="3F9F3A96"/>
    <w:rsid w:val="48BF60AB"/>
    <w:rsid w:val="493C27E9"/>
    <w:rsid w:val="496F39ED"/>
    <w:rsid w:val="49FF41D3"/>
    <w:rsid w:val="4BE068DB"/>
    <w:rsid w:val="4BF6002B"/>
    <w:rsid w:val="4ECE2238"/>
    <w:rsid w:val="51DB4B86"/>
    <w:rsid w:val="55333C3E"/>
    <w:rsid w:val="5FB21735"/>
    <w:rsid w:val="64CA39A1"/>
    <w:rsid w:val="69630ADE"/>
    <w:rsid w:val="6C4A05C8"/>
    <w:rsid w:val="6D3B1A89"/>
    <w:rsid w:val="71BF4EC2"/>
    <w:rsid w:val="72734D90"/>
    <w:rsid w:val="7412278C"/>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autoRedefine/>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autoRedefine/>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autoRedefine/>
    <w:qFormat/>
    <w:locked/>
    <w:uiPriority w:val="99"/>
    <w:rPr>
      <w:sz w:val="18"/>
    </w:rPr>
  </w:style>
  <w:style w:type="character" w:customStyle="1" w:styleId="20">
    <w:name w:val="Body Text Char"/>
    <w:basedOn w:val="13"/>
    <w:autoRedefine/>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autoRedefine/>
    <w:qFormat/>
    <w:uiPriority w:val="9"/>
    <w:rPr>
      <w:rFonts w:ascii="Times New Roman" w:hAnsi="Times New Roman"/>
      <w:b/>
      <w:bCs/>
      <w:kern w:val="44"/>
      <w:sz w:val="44"/>
      <w:szCs w:val="44"/>
    </w:rPr>
  </w:style>
  <w:style w:type="character" w:customStyle="1" w:styleId="25">
    <w:name w:val="标题 2 Char"/>
    <w:basedOn w:val="13"/>
    <w:link w:val="3"/>
    <w:autoRedefine/>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autoRedefine/>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8.xml"/><Relationship Id="rId2" Type="http://schemas.openxmlformats.org/officeDocument/2006/relationships/settings" Target="settings.xml"/><Relationship Id="rId19" Type="http://schemas.openxmlformats.org/officeDocument/2006/relationships/image" Target="media/image1.emf"/><Relationship Id="rId18" Type="http://schemas.openxmlformats.org/officeDocument/2006/relationships/oleObject" Target="embeddings/oleObject1.bin"/><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4" Type="http://schemas.microsoft.com/office/2011/relationships/chartColorStyle" Target="colors8.xml"/><Relationship Id="rId3" Type="http://schemas.microsoft.com/office/2011/relationships/chartStyle" Target="style8.xml"/><Relationship Id="rId2" Type="http://schemas.openxmlformats.org/officeDocument/2006/relationships/themeOverride" Target="../theme/themeOverride1.xml"/><Relationship Id="rId1" Type="http://schemas.openxmlformats.org/officeDocument/2006/relationships/package" Target="../embeddings/Workbook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spc="120" normalizeH="0" baseline="0">
                <a:solidFill>
                  <a:schemeClr val="tx1">
                    <a:lumMod val="65000"/>
                    <a:lumOff val="35000"/>
                  </a:schemeClr>
                </a:solidFill>
                <a:latin typeface="+mn-lt"/>
                <a:ea typeface="+mn-ea"/>
                <a:cs typeface="+mn-cs"/>
              </a:defRPr>
            </a:pPr>
            <a:r>
              <a:t>收、支决算总计变动情况图</a:t>
            </a:r>
          </a:p>
        </c:rich>
      </c:tx>
      <c:layout>
        <c:manualLayout>
          <c:xMode val="edge"/>
          <c:yMode val="edge"/>
          <c:x val="0.206037473976405"/>
          <c:y val="0.034328358208955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收、支决算总计（万元）</c:v>
                </c:pt>
              </c:strCache>
            </c:strRef>
          </c:tx>
          <c:spPr>
            <a:solidFill>
              <a:schemeClr val="accent1"/>
            </a:solidFill>
            <a:ln>
              <a:noFill/>
            </a:ln>
            <a:effectLst/>
          </c:spPr>
          <c:invertIfNegative val="0"/>
          <c:dLbls>
            <c:delete val="1"/>
          </c:dLbls>
          <c:cat>
            <c:strRef>
              <c:f>Sheet1!$A$2:$A$5</c:f>
              <c:strCache>
                <c:ptCount val="4"/>
                <c:pt idx="0">
                  <c:v>2021年</c:v>
                </c:pt>
                <c:pt idx="1">
                  <c:v>2022年</c:v>
                </c:pt>
              </c:strCache>
            </c:strRef>
          </c:cat>
          <c:val>
            <c:numRef>
              <c:f>Sheet1!$B$2:$B$5</c:f>
              <c:numCache>
                <c:formatCode>General</c:formatCode>
                <c:ptCount val="4"/>
                <c:pt idx="0">
                  <c:v>1536.1</c:v>
                </c:pt>
                <c:pt idx="1">
                  <c:v>1056.58</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2021年</c:v>
                </c:pt>
                <c:pt idx="1">
                  <c:v>2022年</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2021年</c:v>
                </c:pt>
                <c:pt idx="1">
                  <c:v>2022年</c:v>
                </c:pt>
              </c:strCache>
            </c:strRef>
          </c:cat>
          <c:val>
            <c:numRef>
              <c:f>Sheet1!$D$2:$D$5</c:f>
              <c:numCache>
                <c:formatCode>General</c:formatCode>
                <c:ptCount val="4"/>
              </c:numCache>
            </c:numRef>
          </c:val>
        </c:ser>
        <c:dLbls>
          <c:showLegendKey val="0"/>
          <c:showVal val="1"/>
          <c:showCatName val="0"/>
          <c:showSerName val="0"/>
          <c:showPercent val="0"/>
          <c:showBubbleSize val="0"/>
        </c:dLbls>
        <c:gapWidth val="75"/>
        <c:overlap val="-25"/>
        <c:axId val="554227023"/>
        <c:axId val="207938996"/>
      </c:barChart>
      <c:catAx>
        <c:axId val="55422702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207938996"/>
        <c:crosses val="autoZero"/>
        <c:auto val="1"/>
        <c:lblAlgn val="ctr"/>
        <c:lblOffset val="100"/>
        <c:noMultiLvlLbl val="0"/>
      </c:catAx>
      <c:valAx>
        <c:axId val="2079389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4227023"/>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explosion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一般公共预算财政拨款收入</c:v>
                </c:pt>
                <c:pt idx="1">
                  <c:v>其他收入</c:v>
                </c:pt>
              </c:strCache>
            </c:strRef>
          </c:cat>
          <c:val>
            <c:numRef>
              <c:f>Sheet1!$B$2:$B$5</c:f>
              <c:numCache>
                <c:formatCode>General</c:formatCode>
                <c:ptCount val="4"/>
                <c:pt idx="0">
                  <c:v>1035.96</c:v>
                </c:pt>
                <c:pt idx="1">
                  <c:v>12.76</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u="none" strike="noStrike" cap="none" normalizeH="0">
                <a:solidFill>
                  <a:schemeClr val="tx1"/>
                </a:solidFill>
                <a:uFill>
                  <a:solidFill>
                    <a:schemeClr val="tx1">
                      <a:lumMod val="65000"/>
                      <a:lumOff val="35000"/>
                    </a:schemeClr>
                  </a:solidFill>
                </a:uFill>
              </a:rPr>
              <a:t>支出决算结构图</a:t>
            </a:r>
            <a:endParaRPr u="none" strike="noStrike" cap="none" normalizeH="0">
              <a:solidFill>
                <a:schemeClr val="tx1"/>
              </a:solidFill>
              <a:uFill>
                <a:solidFill>
                  <a:schemeClr val="tx1">
                    <a:lumMod val="65000"/>
                    <a:lumOff val="35000"/>
                  </a:schemeClr>
                </a:solidFill>
              </a:uFill>
            </a:endParaRP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strCache>
            </c:strRef>
          </c:cat>
          <c:val>
            <c:numRef>
              <c:f>Sheet1!$B$2:$B$5</c:f>
              <c:numCache>
                <c:formatCode>General</c:formatCode>
                <c:ptCount val="4"/>
                <c:pt idx="0">
                  <c:v>595.46</c:v>
                </c:pt>
                <c:pt idx="1">
                  <c:v>451.81</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stacked"/>
        <c:varyColors val="0"/>
        <c:ser>
          <c:idx val="0"/>
          <c:order val="0"/>
          <c:tx>
            <c:strRef>
              <c:f>Sheet1!$B$1</c:f>
              <c:strCache>
                <c:ptCount val="1"/>
                <c:pt idx="0">
                  <c:v>财政拨款收、支总计</c:v>
                </c:pt>
              </c:strCache>
            </c:strRef>
          </c:tx>
          <c:spPr>
            <a:solidFill>
              <a:schemeClr val="accent1"/>
            </a:solidFill>
            <a:ln>
              <a:noFill/>
            </a:ln>
            <a:effectLst/>
          </c:spPr>
          <c:invertIfNegative val="0"/>
          <c:dLbls>
            <c:delete val="1"/>
          </c:dLbls>
          <c:cat>
            <c:strRef>
              <c:f>Sheet1!$A$2:$A$5</c:f>
              <c:strCache>
                <c:ptCount val="4"/>
                <c:pt idx="0">
                  <c:v>2021年</c:v>
                </c:pt>
                <c:pt idx="1">
                  <c:v>2022年</c:v>
                </c:pt>
              </c:strCache>
            </c:strRef>
          </c:cat>
          <c:val>
            <c:numRef>
              <c:f>Sheet1!$B$2:$B$5</c:f>
              <c:numCache>
                <c:formatCode>General</c:formatCode>
                <c:ptCount val="4"/>
                <c:pt idx="0">
                  <c:v>1526.74</c:v>
                </c:pt>
                <c:pt idx="1">
                  <c:v>1039.06</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2021年</c:v>
                </c:pt>
                <c:pt idx="1">
                  <c:v>2022年</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2021年</c:v>
                </c:pt>
                <c:pt idx="1">
                  <c:v>2022年</c:v>
                </c:pt>
              </c:strCache>
            </c:strRef>
          </c:cat>
          <c:val>
            <c:numRef>
              <c:f>Sheet1!$D$2:$D$5</c:f>
              <c:numCache>
                <c:formatCode>General</c:formatCode>
                <c:ptCount val="4"/>
              </c:numCache>
            </c:numRef>
          </c:val>
        </c:ser>
        <c:dLbls>
          <c:showLegendKey val="0"/>
          <c:showVal val="1"/>
          <c:showCatName val="0"/>
          <c:showSerName val="0"/>
          <c:showPercent val="0"/>
          <c:showBubbleSize val="0"/>
        </c:dLbls>
        <c:gapWidth val="75"/>
        <c:overlap val="100"/>
        <c:axId val="571710495"/>
        <c:axId val="51547620"/>
      </c:barChart>
      <c:catAx>
        <c:axId val="57171049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547620"/>
        <c:crosses val="autoZero"/>
        <c:auto val="1"/>
        <c:lblAlgn val="ctr"/>
        <c:lblOffset val="100"/>
        <c:noMultiLvlLbl val="0"/>
      </c:catAx>
      <c:valAx>
        <c:axId val="515476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171049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stack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2020</c:v>
                </c:pt>
                <c:pt idx="1">
                  <c:v>2021</c:v>
                </c:pt>
              </c:numCache>
            </c:numRef>
          </c:cat>
          <c:val>
            <c:numRef>
              <c:f>Sheet1!$B$2:$B$5</c:f>
              <c:numCache>
                <c:formatCode>General</c:formatCode>
                <c:ptCount val="4"/>
                <c:pt idx="0">
                  <c:v>941.56</c:v>
                </c:pt>
                <c:pt idx="1">
                  <c:v>1314.93</c:v>
                </c:pt>
              </c:numCache>
            </c:numRef>
          </c:val>
        </c:ser>
        <c:ser>
          <c:idx val="1"/>
          <c:order val="1"/>
          <c:tx>
            <c:strRef>
              <c:f>Sheet1!$C$1</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2020</c:v>
                </c:pt>
                <c:pt idx="1">
                  <c:v>2021</c:v>
                </c:pt>
              </c:numCache>
            </c:num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2020</c:v>
                </c:pt>
                <c:pt idx="1">
                  <c:v>2021</c:v>
                </c:pt>
              </c:numCache>
            </c:numRef>
          </c:cat>
          <c:val>
            <c:numRef>
              <c:f>Sheet1!$D$2:$D$5</c:f>
              <c:numCache>
                <c:formatCode>General</c:formatCode>
                <c:ptCount val="4"/>
              </c:numCache>
            </c:numRef>
          </c:val>
        </c:ser>
        <c:dLbls>
          <c:showLegendKey val="0"/>
          <c:showVal val="1"/>
          <c:showCatName val="0"/>
          <c:showSerName val="0"/>
          <c:showPercent val="0"/>
          <c:showBubbleSize val="0"/>
        </c:dLbls>
        <c:gapWidth val="75"/>
        <c:overlap val="100"/>
        <c:axId val="191082123"/>
        <c:axId val="84758498"/>
      </c:barChart>
      <c:catAx>
        <c:axId val="19108212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758498"/>
        <c:crosses val="autoZero"/>
        <c:auto val="1"/>
        <c:lblAlgn val="ctr"/>
        <c:lblOffset val="100"/>
        <c:noMultiLvlLbl val="0"/>
      </c:catAx>
      <c:valAx>
        <c:axId val="8475849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082123"/>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tx>
            <c:strRef>
              <c:f>Sheet1!$B$1</c:f>
              <c:strCache>
                <c:ptCount val="1"/>
                <c:pt idx="0">
                  <c:v>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General</c:formatCode>
                <c:ptCount val="4"/>
                <c:pt idx="0">
                  <c:v>927.31</c:v>
                </c:pt>
                <c:pt idx="1">
                  <c:v>38.03</c:v>
                </c:pt>
                <c:pt idx="2">
                  <c:v>19.85</c:v>
                </c:pt>
                <c:pt idx="3">
                  <c:v>28.78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rPr altLang="en-US"/>
              <a:t>三公</a:t>
            </a:r>
            <a:r>
              <a:rPr lang="en-US" altLang="zh-CN"/>
              <a:t>”</a:t>
            </a:r>
            <a:r>
              <a:rPr altLang="en-US"/>
              <a:t>经费财政拨款支出结构</a:t>
            </a:r>
            <a:endParaRPr altLang="en-US"/>
          </a:p>
        </c:rich>
      </c:tx>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公务接待费支出</c:v>
                </c:pt>
              </c:strCache>
            </c:strRef>
          </c:cat>
          <c:val>
            <c:numRef>
              <c:f>Sheet1!$B$2:$B$5</c:f>
              <c:numCache>
                <c:formatCode>General</c:formatCode>
                <c:ptCount val="4"/>
                <c:pt idx="0">
                  <c:v>4.12</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ysClr val="windowText" lastClr="000000">
                  <a:lumMod val="65000"/>
                  <a:lumOff val="35000"/>
                </a:sysClr>
              </a:solidFill>
              <a:latin typeface="+mn-lt"/>
              <a:ea typeface="+mn-ea"/>
              <a:cs typeface="+mn-cs"/>
            </a:defRPr>
          </a:pPr>
        </a:p>
      </c:txPr>
    </c:title>
    <c:autoTitleDeleted val="0"/>
    <c:plotArea>
      <c:layout/>
      <c:pieChart>
        <c:varyColors val="1"/>
        <c:ser>
          <c:idx val="0"/>
          <c:order val="0"/>
          <c:tx>
            <c:strRef>
              <c:f>Sheet1!$B$1</c:f>
              <c:strCache>
                <c:ptCount val="1"/>
                <c:pt idx="0">
                  <c:v>支出</c:v>
                </c:pt>
              </c:strCache>
            </c:strRef>
          </c:tx>
          <c:spPr/>
          <c:explosion val="0"/>
          <c:dPt>
            <c:idx val="0"/>
            <c:bubble3D val="0"/>
            <c:spPr>
              <a:solidFill>
                <a:srgbClr val="4F81BD"/>
              </a:solidFill>
              <a:ln w="19050">
                <a:solidFill>
                  <a:sysClr val="window" lastClr="FFFFFF"/>
                </a:solidFill>
              </a:ln>
              <a:effectLst/>
            </c:spPr>
          </c:dPt>
          <c:dPt>
            <c:idx val="1"/>
            <c:bubble3D val="0"/>
            <c:spPr>
              <a:solidFill>
                <a:srgbClr val="C0504D"/>
              </a:solidFill>
              <a:ln w="19050">
                <a:solidFill>
                  <a:sysClr val="window" lastClr="FFFFFF"/>
                </a:solidFill>
              </a:ln>
              <a:effectLst/>
            </c:spPr>
          </c:dPt>
          <c:dLbls>
            <c:dLbl>
              <c:idx val="0"/>
              <c:layout>
                <c:manualLayout>
                  <c:x val="0.0628179425096831"/>
                  <c:y val="-0.1347405119545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498389562809416"/>
                  <c:y val="-0.090881891064912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5954553.57</c:v>
                </c:pt>
                <c:pt idx="1">
                  <c:v>4518136.52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1"/>
    <c:dispBlanksAs val="gap"/>
    <c:showDLblsOverMax val="0"/>
  </c:chart>
  <c:spPr>
    <a:solidFill>
      <a:sysClr val="window" lastClr="FFFFFF"/>
    </a:solidFill>
    <a:ln w="9525" cap="flat" cmpd="sng" algn="ctr">
      <a:solidFill>
        <a:sysClr val="windowText" lastClr="000000">
          <a:lumMod val="15000"/>
          <a:lumOff val="85000"/>
        </a:sys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9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spPr>
      <a:ln w="19050">
        <a:solidFill>
          <a:sysClr val="window" lastClr="FFFFFF"/>
        </a:solidFill>
      </a:ln>
    </cs:spPr>
  </cs:dataPoint>
  <cs:dataPoint3D>
    <cs:lnRef idx="0"/>
    <cs:fillRef idx="1">
      <cs:styleClr val="auto"/>
    </cs:fillRef>
    <cs:effectRef idx="0"/>
    <cs:fontRef idx="minor">
      <a:sysClr val="windowText" lastClr="000000"/>
    </cs:fontRef>
    <cs:spPr>
      <a:ln w="25400">
        <a:solidFill>
          <a:sysClr val="window" lastClr="FFFFFF"/>
        </a:solidFill>
      </a:ln>
    </cs:spPr>
  </cs:dataPoint3D>
  <cs:dataPointLine>
    <cs:lnRef idx="0">
      <cs:styleClr val="auto"/>
    </cs:lnRef>
    <cs:fillRef idx="0"/>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5</TotalTime>
  <ScaleCrop>false</ScaleCrop>
  <LinksUpToDate>false</LinksUpToDate>
  <CharactersWithSpaces>8692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静候篱归</cp:lastModifiedBy>
  <cp:lastPrinted>2023-07-31T02:35:00Z</cp:lastPrinted>
  <dcterms:modified xsi:type="dcterms:W3CDTF">2024-01-11T07:08:49Z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913A95DE353C4F868C9532EC5C5983CA_13</vt:lpwstr>
  </property>
</Properties>
</file>