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7193"/>
      <w:bookmarkStart w:id="3" w:name="_Toc15378441"/>
      <w:bookmarkStart w:id="4" w:name="_Toc15396597"/>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高穴镇单位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r>
        <w:rPr>
          <w:rFonts w:hint="eastAsia" w:ascii="方正小标宋简体" w:hAnsi="宋体" w:eastAsia="方正小标宋简体"/>
          <w:color w:val="auto"/>
          <w:sz w:val="52"/>
          <w:szCs w:val="52"/>
          <w:highlight w:val="none"/>
        </w:rPr>
        <w:t>(</w:t>
      </w:r>
      <w:r>
        <w:rPr>
          <w:rFonts w:hint="eastAsia" w:ascii="方正小标宋简体" w:hAnsi="宋体" w:eastAsia="方正小标宋简体"/>
          <w:color w:val="auto"/>
          <w:sz w:val="52"/>
          <w:szCs w:val="52"/>
          <w:highlight w:val="none"/>
          <w:lang w:eastAsia="zh-CN"/>
        </w:rPr>
        <w:t>单位公开</w:t>
      </w:r>
      <w:r>
        <w:rPr>
          <w:rFonts w:hint="eastAsia" w:ascii="方正小标宋简体" w:hAnsi="宋体" w:eastAsia="方正小标宋简体"/>
          <w:color w:val="auto"/>
          <w:sz w:val="52"/>
          <w:szCs w:val="52"/>
          <w:highlight w:val="none"/>
        </w:rPr>
        <w:t>)</w:t>
      </w: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FF0000"/>
          <w:highlight w:val="none"/>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公开时间：</w:t>
      </w:r>
      <w:r>
        <w:rPr>
          <w:rFonts w:hint="eastAsia"/>
          <w:color w:val="FF0000"/>
          <w:sz w:val="32"/>
          <w:szCs w:val="32"/>
          <w:highlight w:val="none"/>
        </w:rPr>
        <w:t>20</w:t>
      </w:r>
      <w:r>
        <w:rPr>
          <w:rFonts w:hint="eastAsia"/>
          <w:color w:val="FF0000"/>
          <w:sz w:val="32"/>
          <w:szCs w:val="32"/>
          <w:highlight w:val="none"/>
          <w:lang w:val="en-US" w:eastAsia="zh-CN"/>
        </w:rPr>
        <w:t>23</w:t>
      </w:r>
      <w:r>
        <w:rPr>
          <w:rFonts w:hint="eastAsia"/>
          <w:color w:val="FF0000"/>
          <w:sz w:val="32"/>
          <w:szCs w:val="32"/>
          <w:highlight w:val="none"/>
        </w:rPr>
        <w:t>年</w:t>
      </w:r>
      <w:r>
        <w:rPr>
          <w:rFonts w:hint="eastAsia"/>
          <w:color w:val="FF0000"/>
          <w:sz w:val="32"/>
          <w:szCs w:val="32"/>
          <w:highlight w:val="none"/>
          <w:lang w:val="en-US" w:eastAsia="zh-CN"/>
        </w:rPr>
        <w:t>10</w:t>
      </w:r>
      <w:r>
        <w:rPr>
          <w:rFonts w:hint="eastAsia"/>
          <w:color w:val="FF0000"/>
          <w:sz w:val="32"/>
          <w:szCs w:val="32"/>
          <w:highlight w:val="none"/>
        </w:rPr>
        <w:t>月</w:t>
      </w:r>
      <w:r>
        <w:rPr>
          <w:rFonts w:hint="eastAsia"/>
          <w:color w:val="FF0000"/>
          <w:sz w:val="32"/>
          <w:szCs w:val="32"/>
          <w:highlight w:val="none"/>
          <w:lang w:val="en-US" w:eastAsia="zh-CN"/>
        </w:rPr>
        <w:t>10</w:t>
      </w:r>
      <w:r>
        <w:rPr>
          <w:rFonts w:hint="eastAsia"/>
          <w:color w:val="FF0000"/>
          <w:sz w:val="32"/>
          <w:szCs w:val="32"/>
          <w:highlight w:val="none"/>
        </w:rPr>
        <w:t>日</w:t>
      </w:r>
    </w:p>
    <w:p>
      <w:pPr>
        <w:keepNext w:val="0"/>
        <w:keepLines w:val="0"/>
        <w:pageBreakBefore w:val="0"/>
        <w:kinsoku/>
        <w:wordWrap/>
        <w:overflowPunct/>
        <w:topLinePunct w:val="0"/>
        <w:autoSpaceDE/>
        <w:autoSpaceDN/>
        <w:bidi w:val="0"/>
        <w:spacing w:line="578" w:lineRule="exact"/>
        <w:textAlignment w:val="auto"/>
        <w:rPr>
          <w:color w:val="auto"/>
          <w:highlight w:val="none"/>
        </w:rPr>
      </w:pP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第一部分 单位概况</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一、职能简介</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二、2022年重点工作完成情况</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default"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三、机构设置情况</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第二部分 2022年度单位决算情况说明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一、收入支出决算总体情况说明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二、收入决算情况说明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三、支出决算情况说明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四、财政拨款收入支出决算总体情况说明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五、一般公共预算财政拨款支出决算情况说明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六、一般公共预算财政拨款基本支出决算情况说明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七、“三公”经费财政拨款支出决算情况说明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八、政府性基金预算支出决算情况说明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九、国有资本经营预算支出决算情况说明</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十、其他重要事项的情况说明</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第三部分 名词解释</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第四部分 附件</w:t>
      </w:r>
    </w:p>
    <w:p>
      <w:pPr>
        <w:pStyle w:val="11"/>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第五部分 附表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一、收入支出决算总表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二、收入决算表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三、支出决算表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四、财政拨款收入支出决算总表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五、财政拨款支出决算明细表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六、一般公共预算财政拨款支出决算表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七、一般公共预算财政拨款支出决算明细表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八、一般公共预算财政拨款基本支出决算表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九、一般公共预算财政拨款项目支出决算表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十、一般公共预算财政拨款“三公”经费支出决算表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十一、政府性基金预算财政拨款收入支出决算表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十二、政府性基金预算财政拨款“三公”经费支出决算表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十三、国有资本经营预算财政拨款收入支出决算表</w:t>
      </w:r>
    </w:p>
    <w:p>
      <w:pPr>
        <w:pStyle w:val="12"/>
        <w:keepNext w:val="0"/>
        <w:keepLines w:val="0"/>
        <w:pageBreakBefore w:val="0"/>
        <w:kinsoku/>
        <w:wordWrap/>
        <w:overflowPunct/>
        <w:topLinePunct w:val="0"/>
        <w:autoSpaceDE/>
        <w:autoSpaceDN/>
        <w:bidi w:val="0"/>
        <w:adjustRightInd w:val="0"/>
        <w:snapToGrid w:val="0"/>
        <w:spacing w:line="578" w:lineRule="exact"/>
        <w:jc w:val="left"/>
        <w:textAlignment w:val="auto"/>
        <w:rPr>
          <w:rStyle w:val="16"/>
          <w:rFonts w:hint="default"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十四、国有资本经营预算财政拨款支出决算表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line="578" w:lineRule="exact"/>
        <w:ind w:firstLine="1760" w:firstLineChars="550"/>
        <w:jc w:val="lef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(注：请单位根据实际注明页码)</w:t>
      </w:r>
    </w:p>
    <w:p>
      <w:pPr>
        <w:pStyle w:val="3"/>
        <w:jc w:val="center"/>
        <w:rPr>
          <w:rFonts w:hint="eastAsia" w:ascii="黑体" w:hAnsi="黑体" w:eastAsia="黑体"/>
          <w:b w:val="0"/>
          <w:color w:val="auto"/>
          <w:highlight w:val="none"/>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bookmarkStart w:id="12" w:name="_Toc15377196"/>
      <w:bookmarkStart w:id="13" w:name="_Toc15396599"/>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14" w:name="_Toc15396600"/>
      <w:bookmarkStart w:id="15" w:name="_Toc15377197"/>
      <w:r>
        <w:rPr>
          <w:rFonts w:hint="eastAsia" w:ascii="Times New Roman" w:hAnsi="Times New Roman" w:eastAsia="黑体" w:cs="Times New Roman"/>
          <w:sz w:val="32"/>
          <w:szCs w:val="32"/>
          <w:lang w:eastAsia="zh-CN"/>
        </w:rPr>
        <w:t>一、职能简介</w:t>
      </w:r>
    </w:p>
    <w:p>
      <w:pPr>
        <w:snapToGrid w:val="0"/>
        <w:spacing w:line="520" w:lineRule="exact"/>
        <w:ind w:firstLine="560" w:firstLineChars="200"/>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eastAsia" w:ascii="仿宋" w:hAnsi="仿宋" w:eastAsia="仿宋" w:cs="仿宋"/>
          <w:sz w:val="28"/>
          <w:szCs w:val="28"/>
        </w:rPr>
        <w:t>1．</w:t>
      </w: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主要职能</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大竹县高穴镇人民政府基本职能是贯彻党的路线方针政策，承担各项财政收支管理责任，监督财政性经济发展支出，加强社会管理、提供好公共服务、维护社会稳定和巩固基层政权，推动物质文明、政治文明、精神文明协调发展。执行本级党代会人代会的决议和上级党委政府的决定和命令。</w:t>
      </w:r>
    </w:p>
    <w:p>
      <w:pPr>
        <w:ind w:firstLine="560" w:firstLineChars="200"/>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eastAsia" w:ascii="仿宋" w:hAnsi="仿宋" w:eastAsia="仿宋" w:cs="仿宋"/>
          <w:sz w:val="28"/>
          <w:szCs w:val="28"/>
        </w:rPr>
        <w:t>2．</w:t>
      </w: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机构情况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大竹县高穴镇人民政府为行政单位，财政一级预算，下属二级预算单位4个，其中行政单位7个，其他事业单位0个。</w:t>
      </w:r>
    </w:p>
    <w:p>
      <w:pPr>
        <w:snapToGrid w:val="0"/>
        <w:spacing w:line="520" w:lineRule="exact"/>
        <w:ind w:firstLine="560" w:firstLineChars="200"/>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eastAsia" w:ascii="仿宋" w:hAnsi="仿宋" w:eastAsia="仿宋" w:cs="仿宋"/>
          <w:sz w:val="28"/>
          <w:szCs w:val="28"/>
        </w:rPr>
        <w:t>3．</w:t>
      </w: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人员情况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我单位编制人数59人，其中：行政编制31人（其中工勤2人）；事业编制28人。2022年末实有人数54人，其中：行政29人（其中工勤1人）；事业25人。2022年末人数比2021年增加4人，其中：行政调进1人、调出1人；行政新参公增加2人，事业机构新参公增加3人；事业退休减少1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二、2022年重点</w:t>
      </w:r>
      <w:r>
        <w:rPr>
          <w:rFonts w:hint="eastAsia" w:ascii="Times New Roman" w:hAnsi="Times New Roman" w:eastAsia="黑体" w:cs="Times New Roman"/>
          <w:sz w:val="32"/>
          <w:szCs w:val="32"/>
          <w:lang w:eastAsia="zh-CN"/>
        </w:rPr>
        <w:t>工作</w:t>
      </w:r>
      <w:bookmarkEnd w:id="14"/>
      <w:bookmarkEnd w:id="15"/>
      <w:r>
        <w:rPr>
          <w:rFonts w:hint="eastAsia" w:ascii="Times New Roman" w:hAnsi="Times New Roman" w:eastAsia="黑体" w:cs="Times New Roman"/>
          <w:sz w:val="32"/>
          <w:szCs w:val="32"/>
          <w:lang w:eastAsia="zh-CN"/>
        </w:rPr>
        <w:t>完成情况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b w:val="0"/>
          <w:bCs w:val="0"/>
          <w:color w:val="000000"/>
          <w:spacing w:val="-4"/>
          <w:sz w:val="32"/>
          <w:szCs w:val="32"/>
          <w:lang w:val="en-US" w:eastAsia="zh-CN"/>
        </w:rPr>
      </w:pP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2022年，我镇高举中国特色社会主义伟大旗帜，以习近平新时代中国特色社会主义思想为指导，认真学习贯彻党的十九届历次全会精神，坚持“稳字当头、稳中求进”工作总基调，紧紧围绕建设“山水之乡、富美高穴”这一奋斗目标，坚持“产业兴镇、基础强镇、生态靓镇、依法治镇”工作思路，坚持“重执行、创一流”工作取向，强基础、补短板、惠民生、促提升，全镇经济社会全面发展。</w:t>
      </w:r>
      <w:r>
        <w:rPr>
          <w:rFonts w:hint="default" w:ascii="Times New Roman" w:hAnsi="Times New Roman" w:eastAsia="仿宋_GB2312" w:cs="Times New Roman"/>
          <w:b w:val="0"/>
          <w:bCs w:val="0"/>
          <w:color w:val="000000"/>
          <w:spacing w:val="-4"/>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eastAsia" w:ascii="楷体_GB2312" w:hAnsi="楷体_GB2312" w:eastAsia="楷体_GB2312" w:cs="楷体_GB2312"/>
          <w:b w:val="0"/>
          <w:bCs w:val="0"/>
          <w:color w:val="000000"/>
          <w:spacing w:val="-4"/>
          <w:sz w:val="32"/>
          <w:szCs w:val="32"/>
          <w:lang w:val="en-US" w:eastAsia="zh-CN"/>
        </w:rPr>
        <w:t>（一）总体经济不断增长，综合实力进一步提升</w:t>
      </w:r>
      <w:r>
        <w:rPr>
          <w:rFonts w:hint="eastAsia" w:ascii="楷体_GB2312" w:hAnsi="楷体_GB2312" w:eastAsia="楷体_GB2312" w:cs="楷体_GB2312"/>
          <w:b w:val="0"/>
          <w:bCs w:val="0"/>
          <w:color w:val="000000"/>
          <w:spacing w:val="-4"/>
          <w:kern w:val="2"/>
          <w:sz w:val="32"/>
          <w:szCs w:val="32"/>
          <w:lang w:val="en-US" w:eastAsia="zh-CN" w:bidi="ar-SA"/>
        </w:rPr>
        <w:t>。</w:t>
      </w: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坚持稳中求进工作“总基调”，各项经济指标持续向好，全镇预计实现GDP增长4.1%；工业经济稳中向好，极力推动产业转型升级，培育市场主体88家、个转企3家、升规入统1家，完成固定资产投资项目1.35亿元。</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78" w:lineRule="exact"/>
        <w:ind w:firstLine="624" w:firstLineChars="200"/>
        <w:jc w:val="both"/>
        <w:textAlignment w:val="auto"/>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default" w:ascii="楷体_GB2312" w:hAnsi="楷体_GB2312" w:eastAsia="楷体_GB2312" w:cs="楷体_GB2312"/>
          <w:b w:val="0"/>
          <w:bCs w:val="0"/>
          <w:color w:val="000000"/>
          <w:spacing w:val="-4"/>
          <w:sz w:val="32"/>
          <w:szCs w:val="32"/>
          <w:lang w:val="en-US" w:eastAsia="zh-CN"/>
        </w:rPr>
        <w:t>（二）产业结构不断优化，农业产值进一步壮大。</w:t>
      </w: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全镇围绕“基础提升、产业兴旺、生活富裕”的定位，不断巩固发展固有产业，完成精牧粮草种植360余亩、水稻制种840余亩、大豆种植8000余亩、晚秋生产7000余亩、粮食播种面积87685亩，持续发展白茶、藠头、柠檬、鱼腥草、烟叶等产业。除此之外，粮油、柑橘、蔬菜、中药材、蚕桑等各式产业均得到有序发展，实现一村一项目，促进特色产业现代化、标准化、规模化发展。</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78" w:lineRule="exact"/>
        <w:ind w:firstLine="624" w:firstLineChars="200"/>
        <w:jc w:val="both"/>
        <w:textAlignment w:val="auto"/>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default" w:ascii="楷体_GB2312" w:hAnsi="楷体_GB2312" w:eastAsia="楷体_GB2312" w:cs="楷体_GB2312"/>
          <w:b w:val="0"/>
          <w:bCs w:val="0"/>
          <w:color w:val="000000"/>
          <w:spacing w:val="-4"/>
          <w:sz w:val="32"/>
          <w:szCs w:val="32"/>
          <w:lang w:val="en-US" w:eastAsia="zh-CN"/>
        </w:rPr>
        <w:t>（三）生态文明理念牢固树立，城乡环境更加宜居。</w:t>
      </w: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按照“产业兴旺、生态宜居、乡风文明、治理有效、生活富裕”总要求，始终坚持基础设施建设支撑，不断提升经济发展软环境。扎实开展“散乱污”企业回头看、秸秆焚烧管控以及施工现场扬尘治理等工作，高穴镇全年空气质量优良率达85%以上。认真落实河长制，2022年高穴水质监测达标率稳步提升。聚焦农村生活垃圾治理、农村生活污水治理、农村厕所革命等重点任务，新建垃圾池，并实施垃圾填埋场整治。同时完成场镇过境道路排危工程，加大公共厕所和卫生厕所修建，全年修建无害化户厕340户。生活垃圾集中收运率达100％，全面开展畜禽散养整治工作，畜禽粪污综合利用率达100%，促进全镇环境整洁化、秩序化、优美化。</w:t>
      </w:r>
    </w:p>
    <w:p>
      <w:pPr>
        <w:keepNext w:val="0"/>
        <w:keepLines w:val="0"/>
        <w:pageBreakBefore w:val="0"/>
        <w:kinsoku/>
        <w:wordWrap/>
        <w:overflowPunct/>
        <w:topLinePunct w:val="0"/>
        <w:autoSpaceDE/>
        <w:autoSpaceDN/>
        <w:bidi w:val="0"/>
        <w:adjustRightInd/>
        <w:spacing w:line="578" w:lineRule="exact"/>
        <w:ind w:firstLine="624" w:firstLineChars="200"/>
        <w:jc w:val="both"/>
        <w:textAlignment w:val="auto"/>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Fonts w:hint="default" w:ascii="楷体_GB2312" w:hAnsi="楷体_GB2312" w:eastAsia="楷体_GB2312" w:cs="楷体_GB2312"/>
          <w:b w:val="0"/>
          <w:bCs w:val="0"/>
          <w:color w:val="000000"/>
          <w:spacing w:val="-4"/>
          <w:sz w:val="32"/>
          <w:szCs w:val="32"/>
          <w:lang w:val="en-US" w:eastAsia="zh-CN"/>
        </w:rPr>
        <w:t>（四）社会治理加强创新，和谐稳定持续巩固。</w:t>
      </w:r>
      <w:r>
        <w:rPr>
          <w:rFonts w:hint="default" w:ascii="Times New Roman" w:hAnsi="Times New Roman" w:eastAsia="仿宋_GB2312" w:cs="Times New Roman"/>
          <w:color w:val="000000"/>
          <w:sz w:val="32"/>
          <w:szCs w:val="32"/>
          <w:shd w:val="clear" w:fill="FFFFFF"/>
        </w:rPr>
        <w:t>坚持以人民为中心的发展思想，</w:t>
      </w:r>
      <w:r>
        <w:rPr>
          <w:rFonts w:hint="default" w:ascii="Times New Roman" w:hAnsi="Times New Roman" w:eastAsia="仿宋_GB2312" w:cs="Times New Roman"/>
          <w:color w:val="000000"/>
          <w:sz w:val="32"/>
          <w:szCs w:val="32"/>
          <w:shd w:val="clear" w:fill="FFFFFF"/>
          <w:lang w:eastAsia="zh-CN"/>
        </w:rPr>
        <w:t>全</w:t>
      </w:r>
      <w:r>
        <w:rPr>
          <w:rFonts w:hint="default" w:ascii="Times New Roman" w:hAnsi="Times New Roman" w:eastAsia="仿宋_GB2312" w:cs="Times New Roman"/>
          <w:color w:val="000000"/>
          <w:sz w:val="32"/>
          <w:szCs w:val="32"/>
          <w:shd w:val="clear" w:fill="FFFFFF"/>
        </w:rPr>
        <w:t>面依法治镇扎实推进</w:t>
      </w:r>
      <w:r>
        <w:rPr>
          <w:rFonts w:hint="default" w:ascii="Times New Roman" w:hAnsi="Times New Roman" w:eastAsia="仿宋_GB2312" w:cs="Times New Roman"/>
          <w:color w:val="000000"/>
          <w:sz w:val="32"/>
          <w:szCs w:val="32"/>
          <w:shd w:val="clear" w:fill="FFFFFF"/>
          <w:lang w:eastAsia="zh-CN"/>
        </w:rPr>
        <w:t>，</w:t>
      </w:r>
      <w:r>
        <w:rPr>
          <w:rFonts w:hint="default" w:ascii="Times New Roman" w:hAnsi="Times New Roman" w:eastAsia="仿宋_GB2312" w:cs="Times New Roman"/>
          <w:color w:val="000000"/>
          <w:sz w:val="32"/>
          <w:szCs w:val="32"/>
          <w:shd w:val="clear" w:fill="FFFFFF"/>
        </w:rPr>
        <w:t>深入学习贯彻习近平法治思想以及《民法典》等，</w:t>
      </w:r>
      <w:r>
        <w:rPr>
          <w:rFonts w:hint="default" w:ascii="Times New Roman" w:hAnsi="Times New Roman" w:eastAsia="仿宋_GB2312" w:cs="Times New Roman"/>
          <w:color w:val="000000"/>
          <w:sz w:val="32"/>
          <w:szCs w:val="32"/>
          <w:shd w:val="clear" w:fill="FFFFFF"/>
          <w:lang w:val="en-US" w:eastAsia="zh-CN"/>
        </w:rPr>
        <w:t>全力维护社会的稳定，增加群众的</w:t>
      </w: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安全感。紧紧围绕“构建和谐高穴”的奋斗目标，着力解决群众急难愁盼问题，深入开展扫黑除恶工作，对辖区内的重点人员、重点行业、重点项目等进行排查，严厉打击影响社会稳定的违法犯罪行为。充分利用横幅、LED、宣传单等多种形式扎实开展平安建设、禁毒、服刑人员社区矫正等工作，大力营造反诈防骗、爱老敬老的氛围。全年完成反诈APP注册5000余人，制作悬挂各种宣传标语40余幅，发放宣传单5000余份，开展宣讲30余场，人民群众福祉日益增进。</w:t>
      </w:r>
    </w:p>
    <w:p>
      <w:pPr>
        <w:pStyle w:val="9"/>
        <w:keepNext w:val="0"/>
        <w:keepLines w:val="0"/>
        <w:pageBreakBefore w:val="0"/>
        <w:widowControl w:val="0"/>
        <w:numPr>
          <w:ilvl w:val="0"/>
          <w:numId w:val="0"/>
        </w:numPr>
        <w:kinsoku/>
        <w:wordWrap/>
        <w:overflowPunct/>
        <w:topLinePunct w:val="0"/>
        <w:autoSpaceDE/>
        <w:autoSpaceDN/>
        <w:bidi w:val="0"/>
        <w:adjustRightInd/>
        <w:spacing w:line="578" w:lineRule="exact"/>
        <w:ind w:firstLine="624" w:firstLineChars="200"/>
        <w:textAlignment w:val="auto"/>
        <w:rPr>
          <w:rStyle w:val="16"/>
          <w:rFonts w:hint="default"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Fonts w:hint="default" w:ascii="楷体_GB2312" w:hAnsi="楷体_GB2312" w:eastAsia="楷体_GB2312" w:cs="楷体_GB2312"/>
          <w:b w:val="0"/>
          <w:bCs w:val="0"/>
          <w:color w:val="000000"/>
          <w:spacing w:val="-4"/>
          <w:kern w:val="2"/>
          <w:sz w:val="32"/>
          <w:szCs w:val="32"/>
          <w:lang w:val="en-US" w:eastAsia="zh-CN" w:bidi="ar-SA"/>
        </w:rPr>
        <w:t>（五）安全生产落地落实，自身建设持续加强。</w:t>
      </w:r>
      <w:r>
        <w:rPr>
          <w:rStyle w:val="16"/>
          <w:rFonts w:hint="default"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不断加强安全生产组织领导，成立安全工作领导小组，充实安全工作人员，组建应急管理队伍，增设疫情防控物资，更新应急物资装备，把开展安全生产大检查、消防火灾隐患排查整治、森林防灭火等工作作为全年一项重点工作抓紧抓实抓好。2022年，我镇对辖区内天然气、煤矿、学校、烟花爆竹销售点等重点场所开展安全生产检查60次，发放整改通知书40份；开展安全生产和森林防灭火专题培训3次，应急演练3次，发放宣传资料10000余份；生产经营租住村（居）民自建房重大火灾风险排查400户，全年无一例安全事故发生。</w:t>
      </w:r>
    </w:p>
    <w:p>
      <w:pPr>
        <w:keepNext w:val="0"/>
        <w:keepLines w:val="0"/>
        <w:pageBreakBefore w:val="0"/>
        <w:widowControl w:val="0"/>
        <w:kinsoku/>
        <w:wordWrap/>
        <w:overflowPunct/>
        <w:topLinePunct w:val="0"/>
        <w:autoSpaceDE/>
        <w:autoSpaceDN/>
        <w:bidi w:val="0"/>
        <w:adjustRightInd/>
        <w:snapToGrid/>
        <w:spacing w:line="578" w:lineRule="exact"/>
        <w:ind w:firstLine="697"/>
        <w:textAlignment w:val="auto"/>
        <w:outlineLvl w:val="9"/>
        <w:rPr>
          <w:rFonts w:hint="eastAsia" w:ascii="黑体" w:hAnsi="黑体" w:eastAsia="黑体"/>
          <w:b w:val="0"/>
          <w:color w:val="auto"/>
          <w:sz w:val="28"/>
          <w:szCs w:val="28"/>
          <w:highlight w:val="none"/>
          <w:lang w:eastAsia="zh-CN"/>
        </w:rPr>
      </w:pPr>
      <w:r>
        <w:rPr>
          <w:rFonts w:hint="default" w:ascii="楷体_GB2312" w:hAnsi="楷体_GB2312" w:eastAsia="楷体_GB2312" w:cs="楷体_GB2312"/>
          <w:b w:val="0"/>
          <w:bCs w:val="0"/>
          <w:color w:val="000000"/>
          <w:spacing w:val="-4"/>
          <w:sz w:val="32"/>
          <w:szCs w:val="32"/>
          <w:lang w:val="en-US" w:eastAsia="zh-CN"/>
        </w:rPr>
        <w:t>（六）慎终如始战疫情，疫情防控取得实效。</w:t>
      </w:r>
      <w:r>
        <w:rPr>
          <w:rStyle w:val="16"/>
          <w:rFonts w:hint="default" w:ascii="Times New Roman" w:hAnsi="Times New Roman" w:eastAsia="仿宋_GB2312" w:cs="Times New Roman"/>
          <w:b w:val="0"/>
          <w:bCs w:val="0"/>
          <w:i w:val="0"/>
          <w:iCs w:val="0"/>
          <w:caps w:val="0"/>
          <w:color w:val="auto"/>
          <w:spacing w:val="0"/>
          <w:w w:val="100"/>
          <w:sz w:val="32"/>
          <w:szCs w:val="32"/>
          <w:shd w:val="clear" w:color="auto" w:fill="FFFFFF"/>
          <w:lang w:val="en-US" w:eastAsia="zh-CN"/>
        </w:rPr>
        <w:t>今年以来，在县委县政府及县级领导的关心与指导下，高穴镇疫情防控工作取得较好成绩。截至目前，全镇累计设置核酸检测点位22个，扫码验码登记8000余人次；累计集中宣讲50次，发放宣传资料15000份，免费发放口罩10000余只；累计检查企业、学校、超市、药店等60次。截至目前，全镇未发生一例疑似或确诊病例。</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416" w:lineRule="auto"/>
        <w:textAlignment w:val="auto"/>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 xml:space="preserve">    三、机构设置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color w:val="auto"/>
          <w:sz w:val="28"/>
          <w:szCs w:val="28"/>
          <w:lang w:val="en-US" w:eastAsia="zh-CN"/>
        </w:rPr>
      </w:pPr>
      <w:r>
        <w:rPr>
          <w:rStyle w:val="28"/>
          <w:rFonts w:hint="eastAsia" w:ascii="黑体" w:hAnsi="黑体" w:eastAsia="黑体"/>
          <w:b w:val="0"/>
          <w:bCs w:val="0"/>
          <w:color w:val="auto"/>
          <w:highlight w:val="none"/>
          <w:lang w:val="en-US" w:eastAsia="zh-CN"/>
        </w:rPr>
        <w:t xml:space="preserve">    </w:t>
      </w: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我单位下属二级单位4个，其中行政单位7个，参照公务员法管理的事业单位0个，其他事业单位0个。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pPr>
      <w:r>
        <w:rPr>
          <w:rStyle w:val="16"/>
          <w:rFonts w:hint="eastAsia" w:ascii="Times New Roman" w:hAnsi="Times New Roman" w:eastAsia="仿宋_GB2312" w:cs="Times New Roman"/>
          <w:b w:val="0"/>
          <w:bCs w:val="0"/>
          <w:i w:val="0"/>
          <w:iCs w:val="0"/>
          <w:caps w:val="0"/>
          <w:color w:val="auto"/>
          <w:spacing w:val="0"/>
          <w:w w:val="100"/>
          <w:sz w:val="32"/>
          <w:szCs w:val="32"/>
          <w:shd w:val="clear" w:color="auto" w:fill="FFFFFF"/>
          <w:lang w:val="en-US" w:eastAsia="zh-CN"/>
        </w:rPr>
        <w:t>纳入2022年度部门决算编制范围的二级预算单位包括：</w:t>
      </w:r>
    </w:p>
    <w:p>
      <w:pPr>
        <w:pStyle w:val="2"/>
        <w:keepNext w:val="0"/>
        <w:keepLines w:val="0"/>
        <w:pageBreakBefore w:val="0"/>
        <w:widowControl w:val="0"/>
        <w:kinsoku/>
        <w:wordWrap/>
        <w:overflowPunct/>
        <w:topLinePunct w:val="0"/>
        <w:autoSpaceDE/>
        <w:autoSpaceDN/>
        <w:bidi w:val="0"/>
        <w:adjustRightInd/>
        <w:snapToGrid/>
        <w:spacing w:beforeLines="0" w:line="578" w:lineRule="exac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1.高穴镇人民政府办公室</w:t>
      </w:r>
    </w:p>
    <w:p>
      <w:pPr>
        <w:pStyle w:val="2"/>
        <w:keepNext w:val="0"/>
        <w:keepLines w:val="0"/>
        <w:pageBreakBefore w:val="0"/>
        <w:widowControl w:val="0"/>
        <w:kinsoku/>
        <w:wordWrap/>
        <w:overflowPunct/>
        <w:topLinePunct w:val="0"/>
        <w:autoSpaceDE/>
        <w:autoSpaceDN/>
        <w:bidi w:val="0"/>
        <w:adjustRightInd/>
        <w:snapToGrid/>
        <w:spacing w:beforeLines="0" w:line="578" w:lineRule="exac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2.高穴镇人民政府党建办公室</w:t>
      </w:r>
    </w:p>
    <w:p>
      <w:pPr>
        <w:pStyle w:val="2"/>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3.高穴镇人民政府综合执法办公室</w:t>
      </w:r>
    </w:p>
    <w:p>
      <w:pPr>
        <w:pStyle w:val="2"/>
        <w:keepNext w:val="0"/>
        <w:keepLines w:val="0"/>
        <w:pageBreakBefore w:val="0"/>
        <w:widowControl w:val="0"/>
        <w:kinsoku/>
        <w:wordWrap/>
        <w:overflowPunct/>
        <w:topLinePunct w:val="0"/>
        <w:autoSpaceDE/>
        <w:autoSpaceDN/>
        <w:bidi w:val="0"/>
        <w:adjustRightInd/>
        <w:snapToGrid/>
        <w:spacing w:beforeLines="0" w:line="578" w:lineRule="exact"/>
        <w:ind w:firstLine="640" w:firstLineChars="200"/>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4.高穴镇人民政府经济发展办公室</w:t>
      </w:r>
    </w:p>
    <w:p>
      <w:pPr>
        <w:pStyle w:val="2"/>
        <w:keepNext w:val="0"/>
        <w:keepLines w:val="0"/>
        <w:pageBreakBefore w:val="0"/>
        <w:widowControl w:val="0"/>
        <w:kinsoku/>
        <w:wordWrap/>
        <w:overflowPunct/>
        <w:topLinePunct w:val="0"/>
        <w:autoSpaceDE/>
        <w:autoSpaceDN/>
        <w:bidi w:val="0"/>
        <w:adjustRightInd/>
        <w:snapToGrid/>
        <w:spacing w:beforeLines="0"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5.高穴镇人民政府社会事务办公室</w:t>
      </w:r>
    </w:p>
    <w:p>
      <w:pPr>
        <w:pStyle w:val="2"/>
        <w:keepNext w:val="0"/>
        <w:keepLines w:val="0"/>
        <w:pageBreakBefore w:val="0"/>
        <w:widowControl w:val="0"/>
        <w:kinsoku/>
        <w:wordWrap/>
        <w:overflowPunct/>
        <w:topLinePunct w:val="0"/>
        <w:autoSpaceDE/>
        <w:autoSpaceDN/>
        <w:bidi w:val="0"/>
        <w:adjustRightInd/>
        <w:snapToGrid/>
        <w:spacing w:beforeLines="0"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6.高穴镇人民政府财政所</w:t>
      </w:r>
    </w:p>
    <w:p>
      <w:pPr>
        <w:pStyle w:val="2"/>
        <w:keepNext w:val="0"/>
        <w:keepLines w:val="0"/>
        <w:pageBreakBefore w:val="0"/>
        <w:widowControl w:val="0"/>
        <w:kinsoku/>
        <w:wordWrap/>
        <w:overflowPunct/>
        <w:topLinePunct w:val="0"/>
        <w:autoSpaceDE/>
        <w:autoSpaceDN/>
        <w:bidi w:val="0"/>
        <w:adjustRightInd/>
        <w:snapToGrid/>
        <w:spacing w:beforeLines="0"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Fonts w:hint="eastAsia" w:ascii="仿宋" w:hAnsi="仿宋" w:eastAsia="仿宋" w:cs="仿宋"/>
          <w:color w:val="auto"/>
          <w:kern w:val="2"/>
          <w:sz w:val="28"/>
          <w:szCs w:val="28"/>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7.高穴镇人民政府社会治安综合治理中心</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8.高穴镇便民服务中心</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9.高穴镇农民工服务中心</w:t>
      </w:r>
    </w:p>
    <w:p>
      <w:pPr>
        <w:pStyle w:val="2"/>
        <w:keepNext w:val="0"/>
        <w:keepLines w:val="0"/>
        <w:pageBreakBefore w:val="0"/>
        <w:widowControl w:val="0"/>
        <w:kinsoku/>
        <w:wordWrap/>
        <w:overflowPunct/>
        <w:topLinePunct w:val="0"/>
        <w:autoSpaceDE/>
        <w:autoSpaceDN/>
        <w:bidi w:val="0"/>
        <w:adjustRightInd/>
        <w:snapToGrid/>
        <w:spacing w:line="578" w:lineRule="exact"/>
        <w:textAlignment w:val="auto"/>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cs="Times New Roman"/>
          <w:b w:val="0"/>
          <w:bCs w:val="0"/>
          <w:i w:val="0"/>
          <w:iCs w:val="0"/>
          <w:caps w:val="0"/>
          <w:color w:val="auto"/>
          <w:spacing w:val="0"/>
          <w:w w:val="100"/>
          <w:kern w:val="2"/>
          <w:sz w:val="32"/>
          <w:szCs w:val="32"/>
          <w:shd w:val="clear" w:color="auto" w:fill="FFFFFF"/>
          <w:lang w:val="en-US" w:eastAsia="zh-CN" w:bidi="ar-SA"/>
        </w:rPr>
        <w:t xml:space="preserve">  </w:t>
      </w: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10.高穴镇农业综合服务中心</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Style w:val="16"/>
          <w:rFonts w:hint="default"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 xml:space="preserve"> 11.高穴镇社会事务服务中心</w:t>
      </w:r>
    </w:p>
    <w:p>
      <w:pPr>
        <w:pStyle w:val="3"/>
        <w:ind w:right="440"/>
        <w:jc w:val="center"/>
        <w:rPr>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6"/>
      <w:bookmarkEnd w:id="17"/>
    </w:p>
    <w:p>
      <w:pPr>
        <w:pStyle w:val="26"/>
        <w:numPr>
          <w:ilvl w:val="0"/>
          <w:numId w:val="1"/>
        </w:numPr>
        <w:tabs>
          <w:tab w:val="left" w:pos="423"/>
        </w:tabs>
        <w:spacing w:line="600" w:lineRule="exact"/>
        <w:ind w:firstLineChars="0"/>
        <w:outlineLvl w:val="1"/>
        <w:rPr>
          <w:rFonts w:hint="eastAsia" w:ascii="Times New Roman" w:hAnsi="Times New Roman" w:eastAsia="黑体" w:cs="Times New Roman"/>
          <w:kern w:val="2"/>
          <w:sz w:val="32"/>
          <w:szCs w:val="32"/>
          <w:lang w:val="en-US" w:eastAsia="zh-CN" w:bidi="ar-SA"/>
        </w:rPr>
      </w:pPr>
      <w:bookmarkStart w:id="18" w:name="_Toc15377205"/>
      <w:bookmarkStart w:id="19" w:name="_Toc15396603"/>
      <w:r>
        <w:rPr>
          <w:rFonts w:hint="eastAsia" w:ascii="Times New Roman" w:hAnsi="Times New Roman" w:eastAsia="黑体" w:cs="Times New Roman"/>
          <w:kern w:val="2"/>
          <w:sz w:val="32"/>
          <w:szCs w:val="32"/>
          <w:lang w:val="en-US" w:eastAsia="zh-CN" w:bidi="ar-SA"/>
        </w:rPr>
        <w:t>收入支出决算总体情况说明</w:t>
      </w:r>
      <w:bookmarkEnd w:id="18"/>
      <w:bookmarkEnd w:id="19"/>
    </w:p>
    <w:p>
      <w:pPr>
        <w:pStyle w:val="25"/>
        <w:numPr>
          <w:ilvl w:val="0"/>
          <w:numId w:val="0"/>
        </w:numPr>
        <w:ind w:firstLine="640" w:firstLineChars="200"/>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2022年度收入总计1287.44万元，支出总计1624.97万元。与2021年相比，收入总计减少203.05万元，支出总计减少200.64万元，收入下降13.62%，支出下降10.99%。主要变动原因是主要是2022年文化旅游体育与传媒支出、社会保障和就业支出、农林水支出、灾害防治及应急管理支出、节能环保支出较上年（2021年）减少。</w:t>
      </w:r>
    </w:p>
    <w:p>
      <w:pPr>
        <w:pStyle w:val="25"/>
        <w:numPr>
          <w:ilvl w:val="0"/>
          <w:numId w:val="0"/>
        </w:numPr>
        <w:rPr>
          <w:rFonts w:hint="default" w:ascii="仿宋_GB2312" w:eastAsia="仿宋_GB2312"/>
          <w:sz w:val="32"/>
          <w:szCs w:val="32"/>
          <w:lang w:val="en-US" w:eastAsia="zh-CN"/>
        </w:rPr>
      </w:pPr>
      <w:r>
        <w:drawing>
          <wp:inline distT="0" distB="0" distL="114300" distR="114300">
            <wp:extent cx="5267325" cy="2935605"/>
            <wp:effectExtent l="4445" t="4445" r="5080" b="12700"/>
            <wp:docPr id="71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（图1：收、支决算总计变动情况图）（柱状图）</w:t>
      </w:r>
    </w:p>
    <w:p>
      <w:pPr>
        <w:pStyle w:val="26"/>
        <w:numPr>
          <w:ilvl w:val="0"/>
          <w:numId w:val="1"/>
        </w:numPr>
        <w:spacing w:line="600" w:lineRule="exact"/>
        <w:ind w:firstLineChars="0"/>
        <w:outlineLvl w:val="1"/>
        <w:rPr>
          <w:rFonts w:hint="eastAsia" w:ascii="Times New Roman" w:hAnsi="Times New Roman" w:eastAsia="黑体" w:cs="Times New Roman"/>
          <w:kern w:val="2"/>
          <w:sz w:val="32"/>
          <w:szCs w:val="32"/>
          <w:lang w:val="en-US" w:eastAsia="zh-CN" w:bidi="ar-SA"/>
        </w:rPr>
      </w:pPr>
      <w:bookmarkStart w:id="20" w:name="_Toc15396604"/>
      <w:bookmarkStart w:id="21" w:name="_Toc15377206"/>
      <w:r>
        <w:rPr>
          <w:rFonts w:hint="eastAsia" w:ascii="Times New Roman" w:hAnsi="Times New Roman" w:eastAsia="黑体" w:cs="Times New Roman"/>
          <w:kern w:val="2"/>
          <w:sz w:val="32"/>
          <w:szCs w:val="32"/>
          <w:lang w:val="en-US" w:eastAsia="zh-CN" w:bidi="ar-SA"/>
        </w:rPr>
        <w:t>收入决算情况说明</w:t>
      </w:r>
      <w:bookmarkEnd w:id="20"/>
      <w:bookmarkEnd w:id="21"/>
    </w:p>
    <w:p>
      <w:pPr>
        <w:spacing w:line="600" w:lineRule="exact"/>
        <w:ind w:firstLine="640" w:firstLineChars="200"/>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2022年本年收入合计1287.44万元，其中：一般公共预算财政拨款收入1282.44万元，占99.6%；政府性基金预算财政拨款收入5万元，占0.4%；国有资本经营预算财政拨款收入0万元，占0%；上级补助收入0万元，占0%；事业收入0万元，占0%；经营收入0万元，占0%；附属单位上缴收入0万元，占0%；其他收入0万元，占0%；</w:t>
      </w:r>
    </w:p>
    <w:p>
      <w:pPr>
        <w:pStyle w:val="11"/>
        <w:rPr>
          <w:rFonts w:ascii="仿宋" w:hAnsi="仿宋" w:eastAsia="仿宋"/>
          <w:color w:val="auto"/>
          <w:sz w:val="32"/>
          <w:szCs w:val="32"/>
          <w:highlight w:val="none"/>
        </w:rPr>
      </w:pPr>
      <w:r>
        <w:drawing>
          <wp:inline distT="0" distB="0" distL="114300" distR="114300">
            <wp:extent cx="5270500" cy="2650490"/>
            <wp:effectExtent l="4445" t="4445" r="20955" b="12065"/>
            <wp:docPr id="615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600" w:firstLineChars="5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6"/>
        <w:numPr>
          <w:ilvl w:val="0"/>
          <w:numId w:val="1"/>
        </w:numPr>
        <w:spacing w:line="600" w:lineRule="exact"/>
        <w:ind w:firstLineChars="0"/>
        <w:outlineLvl w:val="1"/>
        <w:rPr>
          <w:rFonts w:hint="eastAsia" w:ascii="Times New Roman" w:hAnsi="Times New Roman" w:eastAsia="黑体" w:cs="Times New Roman"/>
          <w:kern w:val="2"/>
          <w:sz w:val="32"/>
          <w:szCs w:val="32"/>
          <w:lang w:val="en-US" w:eastAsia="zh-CN" w:bidi="ar-SA"/>
        </w:rPr>
      </w:pPr>
      <w:bookmarkStart w:id="22" w:name="_Toc15396605"/>
      <w:bookmarkStart w:id="23" w:name="_Toc15377207"/>
      <w:r>
        <w:rPr>
          <w:rFonts w:hint="eastAsia" w:ascii="Times New Roman" w:hAnsi="Times New Roman" w:eastAsia="黑体" w:cs="Times New Roman"/>
          <w:kern w:val="2"/>
          <w:sz w:val="32"/>
          <w:szCs w:val="32"/>
          <w:lang w:val="en-US" w:eastAsia="zh-CN" w:bidi="ar-SA"/>
        </w:rPr>
        <w:t>支出决算情况说明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shd w:val="pct10" w:color="auto" w:fill="FFFFFF"/>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2022年本年支出合计1624.97万元，其中：基本支出940.21万元，占58%；项目支出684.76万元，占42%；上缴上级支出0万元，占0%；经营支出0万元，占0%；对附属单位补助支出0万元，占0%。</w:t>
      </w:r>
    </w:p>
    <w:p>
      <w:pPr>
        <w:rPr>
          <w:rFonts w:ascii="仿宋" w:hAnsi="仿宋" w:eastAsia="仿宋"/>
          <w:color w:val="auto"/>
          <w:sz w:val="32"/>
          <w:szCs w:val="32"/>
          <w:highlight w:val="none"/>
          <w:shd w:val="pct10" w:color="auto" w:fill="FFFFFF"/>
        </w:rPr>
      </w:pPr>
      <w:r>
        <w:drawing>
          <wp:inline distT="0" distB="0" distL="114300" distR="114300">
            <wp:extent cx="5330190" cy="2522220"/>
            <wp:effectExtent l="4445" t="4445" r="1841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0" w:firstLineChars="200"/>
        <w:outlineLvl w:val="1"/>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（图3：支出决算结构图）（饼状图）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24" w:name="_Toc15396606"/>
      <w:bookmarkStart w:id="25" w:name="_Toc15377208"/>
      <w:r>
        <w:rPr>
          <w:rFonts w:hint="eastAsia" w:ascii="Times New Roman" w:hAnsi="Times New Roman" w:eastAsia="黑体" w:cs="Times New Roman"/>
          <w:sz w:val="32"/>
          <w:szCs w:val="32"/>
          <w:lang w:eastAsia="zh-CN"/>
        </w:rPr>
        <w:t>四、财政拨款收入支出决算总体情况说明</w:t>
      </w:r>
      <w:bookmarkEnd w:id="24"/>
      <w:bookmarkEnd w:id="25"/>
    </w:p>
    <w:p>
      <w:pPr>
        <w:spacing w:line="600" w:lineRule="exact"/>
        <w:ind w:firstLine="640" w:firstLineChars="200"/>
        <w:outlineLvl w:val="1"/>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2022年财政拨款收入总计1287.44万元、支总计1624.97万元。与2021年相比，财政拨款收入总计减少203.05万元，财政拨款支出总计增加200.64万元，收入下降13.62%，支出下降10.99%。主要变动原因是主要是以下项目未完成：其他政府办公厅（室）及相关机构事务支出、其他文化和旅游支出、社会保障和就业支出、死亡抚恤、农村道路建设、其他农业农村支出、其他灾害防治及应急管理支出造成2022年年初资金结转和结余337.53万元。</w:t>
      </w:r>
    </w:p>
    <w:p>
      <w:pPr>
        <w:rPr>
          <w:rFonts w:ascii="仿宋" w:hAnsi="仿宋" w:eastAsia="仿宋"/>
          <w:color w:val="auto"/>
          <w:sz w:val="32"/>
          <w:szCs w:val="32"/>
          <w:highlight w:val="none"/>
        </w:rPr>
      </w:pPr>
    </w:p>
    <w:p>
      <w:pPr>
        <w:pStyle w:val="11"/>
      </w:pPr>
      <w:r>
        <w:drawing>
          <wp:inline distT="0" distB="0" distL="114300" distR="114300">
            <wp:extent cx="6049645" cy="4545965"/>
            <wp:effectExtent l="4445" t="4445" r="22860" b="2159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（图4：财政拨款收、支决算总计变动情况）（柱状图）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26" w:name="_Toc15396607"/>
      <w:bookmarkStart w:id="27" w:name="_Toc15377209"/>
      <w:r>
        <w:rPr>
          <w:rFonts w:hint="eastAsia" w:ascii="Times New Roman" w:hAnsi="Times New Roman" w:eastAsia="黑体" w:cs="Times New Roman"/>
          <w:sz w:val="32"/>
          <w:szCs w:val="32"/>
          <w:lang w:eastAsia="zh-CN"/>
        </w:rPr>
        <w:t>五、一般公共预算财政拨款支出决算情况说明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pStyle w:val="25"/>
        <w:numPr>
          <w:ilvl w:val="0"/>
          <w:numId w:val="0"/>
        </w:numPr>
        <w:ind w:firstLine="640" w:firstLineChars="200"/>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2022年一般公共预算财政拨款支出1619.97万元，占本年支出合计的99.69%。与2021年相比，一般公共预算财政拨款支出减少186.64万元，减少10.33%。主要变动原因主要是2022年文化旅游体育与传媒支出、社会保障和就业支出、农林水支出、灾害防治及应急管理支出、节能环保支出较上年（2021年）减少。</w:t>
      </w:r>
    </w:p>
    <w:p>
      <w:pPr>
        <w:spacing w:line="600" w:lineRule="exact"/>
        <w:ind w:firstLine="640" w:firstLineChars="200"/>
        <w:rPr>
          <w:rFonts w:ascii="仿宋" w:hAnsi="仿宋" w:eastAsia="仿宋"/>
          <w:color w:val="auto"/>
          <w:sz w:val="32"/>
          <w:szCs w:val="32"/>
          <w:highlight w:val="none"/>
        </w:rPr>
      </w:pPr>
    </w:p>
    <w:p>
      <w:pPr>
        <w:pStyle w:val="11"/>
        <w:rPr>
          <w:rFonts w:ascii="仿宋" w:hAnsi="仿宋" w:eastAsia="仿宋"/>
          <w:color w:val="auto"/>
          <w:sz w:val="32"/>
          <w:szCs w:val="32"/>
          <w:highlight w:val="none"/>
        </w:rPr>
      </w:pPr>
    </w:p>
    <w:p>
      <w:pPr>
        <w:rPr>
          <w:rFonts w:ascii="仿宋" w:hAnsi="仿宋" w:eastAsia="仿宋"/>
          <w:color w:val="auto"/>
          <w:sz w:val="32"/>
          <w:szCs w:val="32"/>
          <w:highlight w:val="none"/>
        </w:rPr>
      </w:pPr>
      <w:r>
        <w:drawing>
          <wp:inline distT="0" distB="0" distL="114300" distR="114300">
            <wp:extent cx="5834380" cy="2633980"/>
            <wp:effectExtent l="4445" t="4445" r="9525" b="9525"/>
            <wp:docPr id="410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left="4478" w:leftChars="456" w:hanging="3520" w:hangingChars="1100"/>
        <w:jc w:val="left"/>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（图5：一般公共预算财政拨款支出决算变动情况）</w:t>
      </w:r>
    </w:p>
    <w:p>
      <w:pPr>
        <w:spacing w:line="600" w:lineRule="exact"/>
        <w:ind w:left="4470" w:leftChars="1824" w:hanging="640" w:hangingChars="200"/>
        <w:jc w:val="left"/>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pPr>
      <w:r>
        <w:rPr>
          <w:rStyle w:val="16"/>
          <w:rFonts w:hint="eastAsia" w:ascii="Times New Roman" w:hAnsi="Times New Roman" w:eastAsia="仿宋_GB2312" w:cs="Times New Roman"/>
          <w:b w:val="0"/>
          <w:bCs w:val="0"/>
          <w:i w:val="0"/>
          <w:iCs w:val="0"/>
          <w:caps w:val="0"/>
          <w:color w:val="auto"/>
          <w:spacing w:val="0"/>
          <w:w w:val="100"/>
          <w:kern w:val="2"/>
          <w:sz w:val="32"/>
          <w:szCs w:val="32"/>
          <w:shd w:val="clear" w:color="auto" w:fill="FFFFFF"/>
          <w:lang w:val="en-US" w:eastAsia="zh-CN" w:bidi="ar-SA"/>
        </w:rPr>
        <w:t>（柱状图）</w:t>
      </w:r>
    </w:p>
    <w:p>
      <w:pPr>
        <w:pStyle w:val="2"/>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1619.97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419.2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教育（类）</w:t>
      </w:r>
      <w:r>
        <w:rPr>
          <w:rFonts w:hint="eastAsia" w:ascii="仿宋" w:hAnsi="仿宋" w:eastAsia="仿宋"/>
          <w:b w:val="0"/>
          <w:bCs/>
          <w:color w:val="auto"/>
          <w:sz w:val="32"/>
          <w:szCs w:val="32"/>
          <w:highlight w:val="none"/>
          <w:lang w:eastAsia="zh-CN"/>
        </w:rPr>
        <w:t>支出</w:t>
      </w:r>
      <w:r>
        <w:rPr>
          <w:rFonts w:hint="eastAsia" w:ascii="仿宋" w:hAnsi="仿宋" w:eastAsia="仿宋"/>
          <w:b w:val="0"/>
          <w:bCs/>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w:t>
      </w:r>
      <w:r>
        <w:rPr>
          <w:rFonts w:hint="eastAsia" w:ascii="仿宋" w:hAnsi="仿宋" w:eastAsia="仿宋"/>
          <w:b w:val="0"/>
          <w:bCs w:val="0"/>
          <w:color w:val="auto"/>
          <w:sz w:val="32"/>
          <w:szCs w:val="32"/>
          <w:highlight w:val="none"/>
        </w:rPr>
        <w:t>支出</w:t>
      </w:r>
      <w:r>
        <w:rPr>
          <w:rFonts w:hint="eastAsia" w:ascii="仿宋" w:hAnsi="仿宋" w:eastAsia="仿宋"/>
          <w:b w:val="0"/>
          <w:bCs w:val="0"/>
          <w:color w:val="auto"/>
          <w:sz w:val="32"/>
          <w:szCs w:val="32"/>
          <w:highlight w:val="none"/>
          <w:lang w:val="en-US" w:eastAsia="zh-CN"/>
        </w:rPr>
        <w:t>36.55</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2</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105.5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（类）</w:t>
      </w:r>
      <w:r>
        <w:rPr>
          <w:rFonts w:hint="eastAsia" w:ascii="仿宋" w:hAnsi="仿宋" w:eastAsia="仿宋"/>
          <w:b w:val="0"/>
          <w:bCs w:val="0"/>
          <w:color w:val="auto"/>
          <w:sz w:val="32"/>
          <w:szCs w:val="32"/>
          <w:highlight w:val="none"/>
        </w:rPr>
        <w:t>支出</w:t>
      </w:r>
      <w:r>
        <w:rPr>
          <w:rFonts w:hint="eastAsia" w:ascii="仿宋" w:hAnsi="仿宋" w:eastAsia="仿宋"/>
          <w:b w:val="0"/>
          <w:bCs w:val="0"/>
          <w:color w:val="auto"/>
          <w:sz w:val="32"/>
          <w:szCs w:val="32"/>
          <w:highlight w:val="none"/>
          <w:lang w:val="en-US" w:eastAsia="zh-CN"/>
        </w:rPr>
        <w:t>53.6</w:t>
      </w:r>
      <w:r>
        <w:rPr>
          <w:rFonts w:hint="eastAsia" w:ascii="仿宋" w:hAnsi="仿宋" w:eastAsia="仿宋"/>
          <w:b w:val="0"/>
          <w:bCs w:val="0"/>
          <w:color w:val="auto"/>
          <w:sz w:val="32"/>
          <w:szCs w:val="32"/>
          <w:highlight w:val="none"/>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w:t>
      </w:r>
      <w:r>
        <w:rPr>
          <w:rFonts w:hint="eastAsia" w:ascii="仿宋" w:hAnsi="仿宋" w:eastAsia="仿宋"/>
          <w:b/>
          <w:bCs/>
          <w:color w:val="auto"/>
          <w:sz w:val="32"/>
          <w:szCs w:val="32"/>
          <w:highlight w:val="none"/>
          <w:lang w:eastAsia="zh-CN"/>
        </w:rPr>
        <w:t>（类）</w:t>
      </w:r>
      <w:r>
        <w:rPr>
          <w:rFonts w:hint="eastAsia" w:ascii="仿宋" w:hAnsi="仿宋" w:eastAsia="仿宋"/>
          <w:b w:val="0"/>
          <w:bCs w:val="0"/>
          <w:color w:val="auto"/>
          <w:sz w:val="32"/>
          <w:szCs w:val="32"/>
          <w:highlight w:val="none"/>
        </w:rPr>
        <w:t>支出</w:t>
      </w:r>
      <w:r>
        <w:rPr>
          <w:rFonts w:hint="eastAsia" w:ascii="仿宋" w:hAnsi="仿宋" w:eastAsia="仿宋"/>
          <w:b w:val="0"/>
          <w:bCs w:val="0"/>
          <w:color w:val="auto"/>
          <w:sz w:val="32"/>
          <w:szCs w:val="32"/>
          <w:highlight w:val="none"/>
          <w:lang w:val="en-US" w:eastAsia="zh-CN"/>
        </w:rPr>
        <w:t>52.72</w:t>
      </w:r>
      <w:r>
        <w:rPr>
          <w:rFonts w:hint="eastAsia" w:ascii="仿宋" w:hAnsi="仿宋" w:eastAsia="仿宋"/>
          <w:b w:val="0"/>
          <w:bCs w:val="0"/>
          <w:color w:val="auto"/>
          <w:sz w:val="32"/>
          <w:szCs w:val="32"/>
          <w:highlight w:val="none"/>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节能环保（类）</w:t>
      </w:r>
      <w:r>
        <w:rPr>
          <w:rFonts w:hint="eastAsia" w:ascii="仿宋" w:hAnsi="仿宋" w:eastAsia="仿宋"/>
          <w:b w:val="0"/>
          <w:bCs w:val="0"/>
          <w:color w:val="auto"/>
          <w:sz w:val="32"/>
          <w:szCs w:val="32"/>
          <w:highlight w:val="none"/>
          <w:lang w:eastAsia="zh-CN"/>
        </w:rPr>
        <w:t>支出</w:t>
      </w:r>
      <w:r>
        <w:rPr>
          <w:rFonts w:hint="eastAsia" w:ascii="仿宋" w:hAnsi="仿宋" w:eastAsia="仿宋"/>
          <w:color w:val="auto"/>
          <w:sz w:val="32"/>
          <w:szCs w:val="32"/>
          <w:highlight w:val="none"/>
          <w:lang w:val="en-US" w:eastAsia="zh-CN"/>
        </w:rPr>
        <w:t>0万元，占0%；</w:t>
      </w:r>
      <w:r>
        <w:rPr>
          <w:rFonts w:hint="eastAsia" w:ascii="仿宋" w:hAnsi="仿宋" w:eastAsia="仿宋"/>
          <w:b/>
          <w:bCs/>
          <w:color w:val="auto"/>
          <w:sz w:val="32"/>
          <w:szCs w:val="32"/>
          <w:highlight w:val="none"/>
          <w:lang w:val="en-US" w:eastAsia="zh-CN"/>
        </w:rPr>
        <w:t>城乡社区（类）</w:t>
      </w:r>
      <w:r>
        <w:rPr>
          <w:rFonts w:hint="eastAsia" w:ascii="仿宋" w:hAnsi="仿宋" w:eastAsia="仿宋"/>
          <w:b w:val="0"/>
          <w:bCs w:val="0"/>
          <w:color w:val="auto"/>
          <w:sz w:val="32"/>
          <w:szCs w:val="32"/>
          <w:highlight w:val="none"/>
          <w:lang w:val="en-US" w:eastAsia="zh-CN"/>
        </w:rPr>
        <w:t>支出65</w:t>
      </w:r>
      <w:r>
        <w:rPr>
          <w:rFonts w:hint="eastAsia" w:ascii="仿宋" w:hAnsi="仿宋" w:eastAsia="仿宋"/>
          <w:color w:val="auto"/>
          <w:sz w:val="32"/>
          <w:szCs w:val="32"/>
          <w:highlight w:val="none"/>
          <w:lang w:val="en-US" w:eastAsia="zh-CN"/>
        </w:rPr>
        <w:t>.6万元，占4%；</w:t>
      </w:r>
      <w:r>
        <w:rPr>
          <w:rFonts w:hint="eastAsia" w:ascii="仿宋" w:hAnsi="仿宋" w:eastAsia="仿宋"/>
          <w:b/>
          <w:bCs/>
          <w:color w:val="auto"/>
          <w:sz w:val="32"/>
          <w:szCs w:val="32"/>
          <w:highlight w:val="none"/>
          <w:lang w:val="en-US" w:eastAsia="zh-CN"/>
        </w:rPr>
        <w:t>农林水（类）</w:t>
      </w:r>
      <w:r>
        <w:rPr>
          <w:rFonts w:hint="eastAsia" w:ascii="仿宋" w:hAnsi="仿宋" w:eastAsia="仿宋"/>
          <w:b w:val="0"/>
          <w:bCs w:val="0"/>
          <w:color w:val="auto"/>
          <w:sz w:val="32"/>
          <w:szCs w:val="32"/>
          <w:highlight w:val="none"/>
          <w:lang w:val="en-US" w:eastAsia="zh-CN"/>
        </w:rPr>
        <w:t>支出858.</w:t>
      </w:r>
      <w:r>
        <w:rPr>
          <w:rFonts w:hint="eastAsia" w:ascii="仿宋" w:hAnsi="仿宋" w:eastAsia="仿宋"/>
          <w:color w:val="auto"/>
          <w:sz w:val="32"/>
          <w:szCs w:val="32"/>
          <w:highlight w:val="none"/>
          <w:lang w:val="en-US" w:eastAsia="zh-CN"/>
        </w:rPr>
        <w:t>2 万元，占53%；</w:t>
      </w:r>
      <w:r>
        <w:rPr>
          <w:rFonts w:hint="eastAsia" w:ascii="仿宋" w:hAnsi="仿宋" w:eastAsia="仿宋"/>
          <w:b/>
          <w:bCs/>
          <w:color w:val="auto"/>
          <w:sz w:val="32"/>
          <w:szCs w:val="32"/>
          <w:highlight w:val="none"/>
          <w:lang w:val="en-US" w:eastAsia="zh-CN"/>
        </w:rPr>
        <w:t>交通运输（类）</w:t>
      </w:r>
      <w:r>
        <w:rPr>
          <w:rFonts w:hint="eastAsia" w:ascii="仿宋" w:hAnsi="仿宋" w:eastAsia="仿宋"/>
          <w:b w:val="0"/>
          <w:bCs w:val="0"/>
          <w:color w:val="auto"/>
          <w:sz w:val="32"/>
          <w:szCs w:val="32"/>
          <w:highlight w:val="none"/>
          <w:lang w:val="en-US" w:eastAsia="zh-CN"/>
        </w:rPr>
        <w:t>支出27.6万元</w:t>
      </w:r>
      <w:r>
        <w:rPr>
          <w:rFonts w:hint="eastAsia" w:ascii="仿宋" w:hAnsi="仿宋" w:eastAsia="仿宋"/>
          <w:color w:val="auto"/>
          <w:sz w:val="32"/>
          <w:szCs w:val="32"/>
          <w:highlight w:val="none"/>
          <w:lang w:val="en-US" w:eastAsia="zh-CN"/>
        </w:rPr>
        <w:t>，占1.8%；</w:t>
      </w:r>
      <w:r>
        <w:rPr>
          <w:rFonts w:hint="eastAsia" w:ascii="仿宋" w:hAnsi="仿宋" w:eastAsia="仿宋"/>
          <w:b/>
          <w:bCs/>
          <w:color w:val="auto"/>
          <w:sz w:val="32"/>
          <w:szCs w:val="32"/>
          <w:highlight w:val="none"/>
          <w:lang w:val="en-US" w:eastAsia="zh-CN"/>
        </w:rPr>
        <w:t>灾害防治及应急管理（类）</w:t>
      </w:r>
      <w:r>
        <w:rPr>
          <w:rFonts w:hint="eastAsia" w:ascii="仿宋" w:hAnsi="仿宋" w:eastAsia="仿宋"/>
          <w:b w:val="0"/>
          <w:bCs w:val="0"/>
          <w:color w:val="auto"/>
          <w:sz w:val="32"/>
          <w:szCs w:val="32"/>
          <w:highlight w:val="none"/>
          <w:lang w:val="en-US" w:eastAsia="zh-CN"/>
        </w:rPr>
        <w:t>支出1万元</w:t>
      </w:r>
      <w:r>
        <w:rPr>
          <w:rFonts w:hint="eastAsia" w:ascii="仿宋" w:hAnsi="仿宋" w:eastAsia="仿宋"/>
          <w:color w:val="auto"/>
          <w:sz w:val="32"/>
          <w:szCs w:val="32"/>
          <w:highlight w:val="none"/>
          <w:lang w:val="en-US" w:eastAsia="zh-CN"/>
        </w:rPr>
        <w:t>，占0.2%；</w:t>
      </w:r>
      <w:r>
        <w:rPr>
          <w:rFonts w:hint="eastAsia" w:ascii="仿宋" w:hAnsi="仿宋" w:eastAsia="仿宋"/>
          <w:b/>
          <w:bCs/>
          <w:color w:val="auto"/>
          <w:sz w:val="32"/>
          <w:szCs w:val="32"/>
          <w:highlight w:val="none"/>
          <w:lang w:val="en-US" w:eastAsia="zh-CN"/>
        </w:rPr>
        <w:t>其他（类）</w:t>
      </w:r>
      <w:r>
        <w:rPr>
          <w:rFonts w:hint="eastAsia" w:ascii="仿宋" w:hAnsi="仿宋" w:eastAsia="仿宋"/>
          <w:b w:val="0"/>
          <w:bCs w:val="0"/>
          <w:color w:val="auto"/>
          <w:sz w:val="32"/>
          <w:szCs w:val="32"/>
          <w:highlight w:val="none"/>
          <w:lang w:val="en-US" w:eastAsia="zh-CN"/>
        </w:rPr>
        <w:t>支出</w:t>
      </w:r>
      <w:r>
        <w:rPr>
          <w:rFonts w:hint="eastAsia" w:ascii="仿宋" w:hAnsi="仿宋" w:eastAsia="仿宋"/>
          <w:color w:val="auto"/>
          <w:sz w:val="32"/>
          <w:szCs w:val="32"/>
          <w:highlight w:val="none"/>
          <w:lang w:val="en-US" w:eastAsia="zh-CN"/>
        </w:rPr>
        <w:t>0万，占0%。</w:t>
      </w:r>
    </w:p>
    <w:p>
      <w:pPr>
        <w:spacing w:line="600" w:lineRule="exact"/>
        <w:ind w:firstLine="640"/>
        <w:rPr>
          <w:rFonts w:ascii="仿宋" w:hAnsi="仿宋" w:eastAsia="仿宋"/>
          <w:color w:val="auto"/>
          <w:sz w:val="32"/>
          <w:szCs w:val="32"/>
          <w:highlight w:val="none"/>
        </w:rPr>
      </w:pPr>
    </w:p>
    <w:p>
      <w:pPr>
        <w:pStyle w:val="11"/>
        <w:rPr>
          <w:rFonts w:ascii="仿宋" w:hAnsi="仿宋" w:eastAsia="仿宋"/>
          <w:color w:val="auto"/>
          <w:sz w:val="32"/>
          <w:szCs w:val="32"/>
          <w:highlight w:val="none"/>
        </w:rPr>
      </w:pPr>
      <w:r>
        <w:drawing>
          <wp:inline distT="0" distB="0" distL="114300" distR="114300">
            <wp:extent cx="5591810" cy="3905885"/>
            <wp:effectExtent l="6350" t="6350" r="21590" b="12065"/>
            <wp:docPr id="10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Style w:val="16"/>
          <w:rFonts w:hint="eastAsia" w:ascii="仿宋" w:hAnsi="仿宋" w:eastAsia="仿宋"/>
          <w:bCs/>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1619.97万元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auto"/>
          <w:sz w:val="32"/>
          <w:szCs w:val="32"/>
          <w:highlight w:val="none"/>
          <w:lang w:val="en-US" w:eastAsia="zh-CN"/>
        </w:rPr>
        <w:t>100</w:t>
      </w:r>
      <w:r>
        <w:rPr>
          <w:rStyle w:val="16"/>
          <w:rFonts w:ascii="仿宋" w:hAnsi="仿宋" w:eastAsia="仿宋"/>
          <w:bCs/>
          <w:color w:val="auto"/>
          <w:sz w:val="32"/>
          <w:szCs w:val="32"/>
          <w:highlight w:val="none"/>
        </w:rPr>
        <w:t>%</w:t>
      </w:r>
      <w:r>
        <w:rPr>
          <w:rStyle w:val="16"/>
          <w:rFonts w:hint="eastAsia" w:ascii="仿宋" w:hAnsi="仿宋" w:eastAsia="仿宋"/>
          <w:bCs/>
          <w:color w:val="auto"/>
          <w:sz w:val="32"/>
          <w:szCs w:val="32"/>
          <w:highlight w:val="none"/>
        </w:rPr>
        <w:t>。其中：</w:t>
      </w:r>
      <w:bookmarkEnd w:id="31"/>
      <w:bookmarkEnd w:id="32"/>
      <w:bookmarkEnd w:id="33"/>
    </w:p>
    <w:p>
      <w:pPr>
        <w:numPr>
          <w:ilvl w:val="0"/>
          <w:numId w:val="2"/>
        </w:numPr>
        <w:spacing w:line="600" w:lineRule="exact"/>
        <w:ind w:left="-13" w:leftChars="0" w:firstLine="643" w:firstLineChars="0"/>
        <w:rPr>
          <w:rStyle w:val="16"/>
          <w:rFonts w:hint="eastAsia" w:ascii="仿宋" w:hAnsi="仿宋" w:eastAsia="仿宋"/>
          <w:b w:val="0"/>
          <w:bCs/>
          <w:color w:val="auto"/>
          <w:sz w:val="32"/>
          <w:szCs w:val="32"/>
          <w:highlight w:val="none"/>
        </w:rPr>
      </w:pPr>
      <w:r>
        <w:rPr>
          <w:rStyle w:val="16"/>
          <w:rFonts w:hint="eastAsia" w:ascii="仿宋" w:hAnsi="仿宋" w:eastAsia="仿宋"/>
          <w:bCs/>
          <w:color w:val="auto"/>
          <w:sz w:val="32"/>
          <w:szCs w:val="32"/>
          <w:highlight w:val="none"/>
        </w:rPr>
        <w:t>一般公共服务（类）（</w:t>
      </w:r>
      <w:r>
        <w:rPr>
          <w:rStyle w:val="16"/>
          <w:rFonts w:hint="eastAsia" w:ascii="仿宋" w:hAnsi="仿宋" w:eastAsia="仿宋"/>
          <w:bCs/>
          <w:color w:val="auto"/>
          <w:sz w:val="32"/>
          <w:szCs w:val="32"/>
          <w:highlight w:val="none"/>
          <w:lang w:val="en-US" w:eastAsia="zh-CN"/>
        </w:rPr>
        <w:t>201</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人大事务</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val="en-US" w:eastAsia="zh-CN"/>
        </w:rPr>
        <w:t>01</w:t>
      </w:r>
      <w:r>
        <w:rPr>
          <w:rStyle w:val="16"/>
          <w:rFonts w:hint="eastAsia" w:ascii="仿宋" w:hAnsi="仿宋" w:eastAsia="仿宋"/>
          <w:bCs/>
          <w:color w:val="auto"/>
          <w:sz w:val="32"/>
          <w:szCs w:val="32"/>
          <w:highlight w:val="none"/>
        </w:rPr>
        <w:t>）</w:t>
      </w:r>
      <w:r>
        <w:rPr>
          <w:rStyle w:val="16"/>
          <w:rFonts w:hint="eastAsia" w:ascii="仿宋" w:hAnsi="仿宋" w:eastAsia="仿宋"/>
          <w:bCs/>
          <w:color w:val="auto"/>
          <w:sz w:val="32"/>
          <w:szCs w:val="32"/>
          <w:highlight w:val="none"/>
          <w:lang w:eastAsia="zh-CN"/>
        </w:rPr>
        <w:t>行政运行（</w:t>
      </w:r>
      <w:r>
        <w:rPr>
          <w:rStyle w:val="16"/>
          <w:rFonts w:hint="eastAsia" w:ascii="仿宋" w:hAnsi="仿宋" w:eastAsia="仿宋"/>
          <w:bCs/>
          <w:color w:val="auto"/>
          <w:sz w:val="32"/>
          <w:szCs w:val="32"/>
          <w:highlight w:val="none"/>
          <w:lang w:val="en-US" w:eastAsia="zh-CN"/>
        </w:rPr>
        <w:t>01</w:t>
      </w:r>
      <w:r>
        <w:rPr>
          <w:rStyle w:val="16"/>
          <w:rFonts w:hint="eastAsia" w:ascii="仿宋" w:hAnsi="仿宋" w:eastAsia="仿宋"/>
          <w:bCs/>
          <w:color w:val="auto"/>
          <w:sz w:val="32"/>
          <w:szCs w:val="32"/>
          <w:highlight w:val="none"/>
          <w:lang w:eastAsia="zh-CN"/>
        </w:rPr>
        <w:t>）</w:t>
      </w:r>
      <w:r>
        <w:rPr>
          <w:rStyle w:val="16"/>
          <w:rFonts w:ascii="仿宋" w:hAnsi="仿宋" w:eastAsia="仿宋"/>
          <w:bCs/>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3.3</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，决算数等于预算数。</w:t>
      </w:r>
    </w:p>
    <w:p>
      <w:pPr>
        <w:numPr>
          <w:ilvl w:val="0"/>
          <w:numId w:val="2"/>
        </w:numPr>
        <w:spacing w:line="578" w:lineRule="exact"/>
        <w:ind w:left="-13" w:leftChars="0" w:firstLine="643"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一般公共服务支出（201）政府办公厅及相关机构事务（03）行政运行（01）：支出决算为</w:t>
      </w:r>
      <w:r>
        <w:rPr>
          <w:rFonts w:hint="eastAsia" w:ascii="仿宋" w:hAnsi="仿宋" w:eastAsia="仿宋" w:cs="仿宋"/>
          <w:color w:val="auto"/>
          <w:sz w:val="32"/>
          <w:szCs w:val="32"/>
          <w:lang w:val="en-US" w:eastAsia="zh-CN"/>
        </w:rPr>
        <w:t>342.71</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一般公共服务支出（201）政府办公厅及相关机构事务（03）其他政府办公厅（室）及相关机构事务支出（99）：支出决算数为</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0%</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一般公共服务支出（201）财政事务（06）行政运行（0</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支出决算数为</w:t>
      </w:r>
      <w:r>
        <w:rPr>
          <w:rFonts w:hint="eastAsia" w:ascii="仿宋" w:hAnsi="仿宋" w:eastAsia="仿宋" w:cs="仿宋"/>
          <w:color w:val="auto"/>
          <w:sz w:val="32"/>
          <w:szCs w:val="32"/>
          <w:lang w:val="en-US" w:eastAsia="zh-CN"/>
        </w:rPr>
        <w:t>6.59</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一般公共服务支出（201）财政事务（06）</w:t>
      </w:r>
      <w:r>
        <w:rPr>
          <w:rFonts w:hint="eastAsia" w:ascii="仿宋" w:hAnsi="仿宋" w:eastAsia="仿宋" w:cs="仿宋"/>
          <w:color w:val="auto"/>
          <w:sz w:val="32"/>
          <w:szCs w:val="32"/>
          <w:lang w:eastAsia="zh-CN"/>
        </w:rPr>
        <w:t>事业</w:t>
      </w:r>
      <w:r>
        <w:rPr>
          <w:rFonts w:hint="eastAsia" w:ascii="仿宋" w:hAnsi="仿宋" w:eastAsia="仿宋" w:cs="仿宋"/>
          <w:color w:val="auto"/>
          <w:sz w:val="32"/>
          <w:szCs w:val="32"/>
        </w:rPr>
        <w:t>运行（</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 支出决算数为</w:t>
      </w:r>
      <w:r>
        <w:rPr>
          <w:rFonts w:hint="eastAsia" w:ascii="仿宋" w:hAnsi="仿宋" w:eastAsia="仿宋" w:cs="仿宋"/>
          <w:color w:val="auto"/>
          <w:sz w:val="32"/>
          <w:szCs w:val="32"/>
          <w:lang w:val="en-US" w:eastAsia="zh-CN"/>
        </w:rPr>
        <w:t>32.76</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一般公共服务支出（201）财政事务（06）其他财政事务支出（99）：支出决算数为6.</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一般公共服务支出（201）纪检监察事务（11）一般行政管理事务（02）：支出决算数为3万元，完成预算100%，决算数等于预算数；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一般公共服务支出（201）纪检监察事务（11）</w:t>
      </w:r>
      <w:r>
        <w:rPr>
          <w:rFonts w:hint="eastAsia" w:ascii="仿宋" w:hAnsi="仿宋" w:eastAsia="仿宋" w:cs="仿宋"/>
          <w:color w:val="auto"/>
          <w:sz w:val="32"/>
          <w:szCs w:val="32"/>
          <w:lang w:eastAsia="zh-CN"/>
        </w:rPr>
        <w:t>其他纪检监察事务支出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一般公共服务支出（201）群众团体事务（29）其他群众团体事务（99）：支出决算数为</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万元，完成预算100%，决算数等于预算数；</w:t>
      </w:r>
    </w:p>
    <w:p>
      <w:pPr>
        <w:spacing w:line="578" w:lineRule="exact"/>
        <w:ind w:firstLine="640" w:firstLineChars="200"/>
        <w:rPr>
          <w:color w:val="auto"/>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0</w:t>
      </w:r>
      <w:r>
        <w:rPr>
          <w:rFonts w:hint="eastAsia" w:cs="仿宋"/>
          <w:color w:val="auto"/>
          <w:sz w:val="32"/>
          <w:szCs w:val="32"/>
          <w:lang w:val="en-US" w:eastAsia="zh-CN"/>
        </w:rPr>
        <w:t>.</w:t>
      </w:r>
      <w:r>
        <w:rPr>
          <w:rFonts w:hint="eastAsia" w:ascii="仿宋" w:hAnsi="仿宋" w:eastAsia="仿宋" w:cs="仿宋"/>
          <w:color w:val="auto"/>
          <w:sz w:val="32"/>
          <w:szCs w:val="32"/>
        </w:rPr>
        <w:t>一般公共服务支出（201）组织事务（3</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其他组织事务支出</w:t>
      </w:r>
      <w:r>
        <w:rPr>
          <w:rFonts w:hint="eastAsia" w:ascii="仿宋" w:hAnsi="仿宋" w:eastAsia="仿宋" w:cs="仿宋"/>
          <w:color w:val="auto"/>
          <w:sz w:val="32"/>
          <w:szCs w:val="32"/>
        </w:rPr>
        <w:t>（99）：支出决算数为</w:t>
      </w:r>
      <w:r>
        <w:rPr>
          <w:rFonts w:hint="eastAsia" w:ascii="仿宋" w:hAnsi="仿宋" w:eastAsia="仿宋" w:cs="仿宋"/>
          <w:color w:val="auto"/>
          <w:sz w:val="32"/>
          <w:szCs w:val="32"/>
          <w:lang w:val="en-US" w:eastAsia="zh-CN"/>
        </w:rPr>
        <w:t>11.49</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r>
        <w:rPr>
          <w:rFonts w:hint="eastAsia" w:cs="仿宋"/>
          <w:color w:val="auto"/>
          <w:sz w:val="32"/>
          <w:szCs w:val="32"/>
          <w:lang w:eastAsia="zh-CN"/>
        </w:rPr>
        <w:t>，</w:t>
      </w:r>
      <w:r>
        <w:rPr>
          <w:rFonts w:hint="eastAsia" w:ascii="仿宋" w:hAnsi="仿宋" w:eastAsia="仿宋" w:cs="仿宋"/>
          <w:b w:val="0"/>
          <w:bCs w:val="0"/>
          <w:color w:val="auto"/>
          <w:sz w:val="32"/>
          <w:szCs w:val="32"/>
          <w:lang w:eastAsia="zh-CN"/>
        </w:rPr>
        <w:t>决算数等于预算数；</w:t>
      </w:r>
    </w:p>
    <w:p>
      <w:pPr>
        <w:spacing w:line="600" w:lineRule="exact"/>
        <w:ind w:firstLine="640" w:firstLineChars="200"/>
        <w:rPr>
          <w:rStyle w:val="16"/>
          <w:rFonts w:hint="eastAsia" w:ascii="仿宋" w:hAnsi="仿宋" w:eastAsia="仿宋"/>
          <w:b w:val="0"/>
          <w:bCs/>
          <w:color w:val="auto"/>
          <w:sz w:val="32"/>
          <w:szCs w:val="32"/>
          <w:highlight w:val="none"/>
        </w:rPr>
      </w:pPr>
      <w:r>
        <w:rPr>
          <w:rStyle w:val="16"/>
          <w:rFonts w:hint="eastAsia" w:ascii="仿宋" w:hAnsi="仿宋" w:eastAsia="仿宋"/>
          <w:b w:val="0"/>
          <w:bCs w:val="0"/>
          <w:color w:val="auto"/>
          <w:sz w:val="32"/>
          <w:szCs w:val="32"/>
          <w:highlight w:val="none"/>
          <w:lang w:val="en-US" w:eastAsia="zh-CN"/>
        </w:rPr>
        <w:t>11</w:t>
      </w:r>
      <w:r>
        <w:rPr>
          <w:rStyle w:val="16"/>
          <w:rFonts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rPr>
        <w:t>文化旅游体育与传媒（</w:t>
      </w:r>
      <w:r>
        <w:rPr>
          <w:rStyle w:val="16"/>
          <w:rFonts w:hint="eastAsia" w:ascii="仿宋" w:hAnsi="仿宋" w:eastAsia="仿宋"/>
          <w:b w:val="0"/>
          <w:bCs w:val="0"/>
          <w:color w:val="auto"/>
          <w:sz w:val="32"/>
          <w:szCs w:val="32"/>
          <w:highlight w:val="none"/>
          <w:lang w:val="en-US" w:eastAsia="zh-CN"/>
        </w:rPr>
        <w:t>207</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eastAsia="zh-CN"/>
        </w:rPr>
        <w:t>文化和旅游</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val="en-US" w:eastAsia="zh-CN"/>
        </w:rPr>
        <w:t>01</w:t>
      </w:r>
      <w:r>
        <w:rPr>
          <w:rStyle w:val="16"/>
          <w:rFonts w:hint="eastAsia" w:ascii="仿宋" w:hAnsi="仿宋" w:eastAsia="仿宋"/>
          <w:b w:val="0"/>
          <w:bCs w:val="0"/>
          <w:color w:val="auto"/>
          <w:sz w:val="32"/>
          <w:szCs w:val="32"/>
          <w:highlight w:val="none"/>
        </w:rPr>
        <w:t>）</w:t>
      </w:r>
      <w:r>
        <w:rPr>
          <w:rStyle w:val="16"/>
          <w:rFonts w:hint="eastAsia" w:ascii="仿宋" w:hAnsi="仿宋" w:eastAsia="仿宋"/>
          <w:b w:val="0"/>
          <w:bCs w:val="0"/>
          <w:color w:val="auto"/>
          <w:sz w:val="32"/>
          <w:szCs w:val="32"/>
          <w:highlight w:val="none"/>
          <w:lang w:eastAsia="zh-CN"/>
        </w:rPr>
        <w:t>群众文化（</w:t>
      </w:r>
      <w:r>
        <w:rPr>
          <w:rStyle w:val="16"/>
          <w:rFonts w:hint="eastAsia" w:ascii="仿宋" w:hAnsi="仿宋" w:eastAsia="仿宋"/>
          <w:b w:val="0"/>
          <w:bCs w:val="0"/>
          <w:color w:val="auto"/>
          <w:sz w:val="32"/>
          <w:szCs w:val="32"/>
          <w:highlight w:val="none"/>
          <w:lang w:val="en-US" w:eastAsia="zh-CN"/>
        </w:rPr>
        <w:t>09</w:t>
      </w:r>
      <w:r>
        <w:rPr>
          <w:rStyle w:val="16"/>
          <w:rFonts w:hint="eastAsia" w:ascii="仿宋" w:hAnsi="仿宋" w:eastAsia="仿宋"/>
          <w:b w:val="0"/>
          <w:bCs w:val="0"/>
          <w:color w:val="auto"/>
          <w:sz w:val="32"/>
          <w:szCs w:val="32"/>
          <w:highlight w:val="none"/>
          <w:lang w:eastAsia="zh-CN"/>
        </w:rPr>
        <w:t>）</w:t>
      </w:r>
      <w:r>
        <w:rPr>
          <w:rStyle w:val="16"/>
          <w:rFonts w:ascii="仿宋" w:hAnsi="仿宋" w:eastAsia="仿宋"/>
          <w:b w:val="0"/>
          <w:bCs w:val="0"/>
          <w:color w:val="auto"/>
          <w:sz w:val="32"/>
          <w:szCs w:val="32"/>
          <w:highlight w:val="none"/>
        </w:rPr>
        <w:t>:</w:t>
      </w:r>
      <w:r>
        <w:rPr>
          <w:rStyle w:val="16"/>
          <w:rFonts w:ascii="仿宋" w:hAnsi="仿宋" w:eastAsia="仿宋"/>
          <w:b w:val="0"/>
          <w:bCs/>
          <w:color w:val="auto"/>
          <w:sz w:val="32"/>
          <w:szCs w:val="32"/>
          <w:highlight w:val="none"/>
        </w:rPr>
        <w:t xml:space="preserve"> </w:t>
      </w:r>
      <w:r>
        <w:rPr>
          <w:rStyle w:val="16"/>
          <w:rFonts w:hint="eastAsia" w:ascii="仿宋" w:hAnsi="仿宋" w:eastAsia="仿宋"/>
          <w:b w:val="0"/>
          <w:bCs/>
          <w:color w:val="auto"/>
          <w:sz w:val="32"/>
          <w:szCs w:val="32"/>
          <w:highlight w:val="none"/>
        </w:rPr>
        <w:t>支出决算为</w:t>
      </w:r>
      <w:r>
        <w:rPr>
          <w:rStyle w:val="16"/>
          <w:rFonts w:hint="eastAsia" w:ascii="仿宋" w:hAnsi="仿宋" w:eastAsia="仿宋"/>
          <w:b w:val="0"/>
          <w:bCs/>
          <w:color w:val="auto"/>
          <w:sz w:val="32"/>
          <w:szCs w:val="32"/>
          <w:highlight w:val="none"/>
          <w:lang w:val="en-US" w:eastAsia="zh-CN"/>
        </w:rPr>
        <w:t>21.55</w:t>
      </w:r>
      <w:r>
        <w:rPr>
          <w:rStyle w:val="16"/>
          <w:rFonts w:hint="eastAsia" w:ascii="仿宋" w:hAnsi="仿宋" w:eastAsia="仿宋"/>
          <w:b w:val="0"/>
          <w:bCs/>
          <w:color w:val="auto"/>
          <w:sz w:val="32"/>
          <w:szCs w:val="32"/>
          <w:highlight w:val="none"/>
        </w:rPr>
        <w:t>万元，完成预算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，决算数等于预算</w:t>
      </w:r>
      <w:r>
        <w:rPr>
          <w:rStyle w:val="16"/>
          <w:rFonts w:hint="eastAsia" w:ascii="仿宋" w:hAnsi="仿宋" w:eastAsia="仿宋"/>
          <w:b w:val="0"/>
          <w:bCs/>
          <w:color w:val="auto"/>
          <w:sz w:val="32"/>
          <w:szCs w:val="32"/>
          <w:highlight w:val="none"/>
          <w:lang w:eastAsia="zh-CN"/>
        </w:rPr>
        <w:t>数</w:t>
      </w:r>
      <w:r>
        <w:rPr>
          <w:rStyle w:val="16"/>
          <w:rFonts w:hint="eastAsia" w:ascii="仿宋" w:hAnsi="仿宋" w:eastAsia="仿宋"/>
          <w:b w:val="0"/>
          <w:bCs/>
          <w:color w:val="auto"/>
          <w:sz w:val="32"/>
          <w:szCs w:val="32"/>
          <w:highlight w:val="none"/>
        </w:rPr>
        <w:t>。</w:t>
      </w:r>
    </w:p>
    <w:p>
      <w:pPr>
        <w:spacing w:line="578" w:lineRule="exact"/>
        <w:ind w:firstLine="640" w:firstLineChars="200"/>
        <w:rPr>
          <w:rFonts w:hint="eastAsia" w:ascii="仿宋" w:hAnsi="仿宋" w:eastAsia="仿宋" w:cs="仿宋"/>
          <w:color w:val="auto"/>
          <w:sz w:val="32"/>
          <w:szCs w:val="32"/>
          <w:lang w:eastAsia="zh-CN"/>
        </w:rPr>
      </w:pPr>
      <w:r>
        <w:rPr>
          <w:rStyle w:val="16"/>
          <w:rFonts w:hint="eastAsia"/>
          <w:b w:val="0"/>
          <w:bCs/>
          <w:color w:val="auto"/>
          <w:sz w:val="32"/>
          <w:szCs w:val="32"/>
          <w:highlight w:val="none"/>
          <w:lang w:val="en-US" w:eastAsia="zh-CN"/>
        </w:rPr>
        <w:t>12</w:t>
      </w:r>
      <w:r>
        <w:rPr>
          <w:rFonts w:hint="eastAsia"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rPr>
        <w:t>文化旅游体育与传媒支出</w:t>
      </w:r>
      <w:r>
        <w:rPr>
          <w:rFonts w:hint="eastAsia" w:ascii="仿宋" w:hAnsi="仿宋" w:eastAsia="仿宋" w:cs="仿宋"/>
          <w:color w:val="auto"/>
          <w:sz w:val="32"/>
          <w:szCs w:val="32"/>
        </w:rPr>
        <w:t>（207）文化和旅游（01）其他文化和旅游支出（99）：支出决算数为</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r>
        <w:rPr>
          <w:rFonts w:hint="eastAsia" w:ascii="仿宋" w:hAnsi="仿宋" w:eastAsia="仿宋" w:cs="仿宋"/>
          <w:color w:val="auto"/>
          <w:sz w:val="32"/>
          <w:szCs w:val="32"/>
          <w:lang w:eastAsia="zh-CN"/>
        </w:rPr>
        <w:t>；</w:t>
      </w:r>
    </w:p>
    <w:p>
      <w:pPr>
        <w:spacing w:line="578"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社会保障和就业（208）行政事业单位离退休（05）</w:t>
      </w:r>
      <w:r>
        <w:rPr>
          <w:rFonts w:hint="eastAsia" w:ascii="仿宋" w:hAnsi="仿宋" w:eastAsia="仿宋" w:cs="仿宋"/>
          <w:color w:val="auto"/>
          <w:sz w:val="32"/>
          <w:szCs w:val="32"/>
          <w:lang w:eastAsia="zh-CN"/>
        </w:rPr>
        <w:t>行政单位离退休</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25.43</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社会保障和就业（208）行政事业单位离退休（05）机关事业单位基本养老保险缴费支出（05）：支出决算数为</w:t>
      </w:r>
      <w:r>
        <w:rPr>
          <w:rFonts w:hint="eastAsia" w:ascii="仿宋" w:hAnsi="仿宋" w:eastAsia="仿宋" w:cs="仿宋"/>
          <w:color w:val="auto"/>
          <w:sz w:val="32"/>
          <w:szCs w:val="32"/>
          <w:lang w:val="en-US" w:eastAsia="zh-CN"/>
        </w:rPr>
        <w:t>22.34</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社会保障和就业（208）行政事业单位离退休（05）机关事业单位职业年金缴费支出（06）：支出决算数为</w:t>
      </w:r>
      <w:r>
        <w:rPr>
          <w:rFonts w:hint="eastAsia" w:ascii="仿宋" w:hAnsi="仿宋" w:eastAsia="仿宋" w:cs="仿宋"/>
          <w:color w:val="auto"/>
          <w:sz w:val="32"/>
          <w:szCs w:val="32"/>
          <w:lang w:val="en-US" w:eastAsia="zh-CN"/>
        </w:rPr>
        <w:t>6.99</w:t>
      </w:r>
      <w:r>
        <w:rPr>
          <w:rFonts w:hint="eastAsia" w:ascii="仿宋" w:hAnsi="仿宋" w:eastAsia="仿宋" w:cs="仿宋"/>
          <w:color w:val="auto"/>
          <w:sz w:val="32"/>
          <w:szCs w:val="32"/>
        </w:rPr>
        <w:t>万元，完成预算100%，决算数等于预算数；</w:t>
      </w:r>
    </w:p>
    <w:p>
      <w:pPr>
        <w:pStyle w:val="11"/>
        <w:jc w:val="both"/>
        <w:rPr>
          <w:rFonts w:hint="default" w:eastAsia="仿宋"/>
          <w:color w:val="auto"/>
          <w:lang w:val="en-US" w:eastAsia="zh-CN"/>
        </w:rPr>
      </w:pPr>
      <w:r>
        <w:rPr>
          <w:rFonts w:hint="eastAsia" w:cs="仿宋"/>
          <w:color w:val="auto"/>
          <w:sz w:val="32"/>
          <w:szCs w:val="32"/>
          <w:lang w:val="en-US" w:eastAsia="zh-CN"/>
        </w:rPr>
        <w:t xml:space="preserve">    16.社会保障和就业（208）就业补助（07）公益性岗位补贴（05）：支出决算数10.37万元，完成预算100%，决算数等于预算数；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社会保障和就业（208）抚恤（08）死亡抚恤（01）：支出决算数为</w:t>
      </w:r>
      <w:r>
        <w:rPr>
          <w:rFonts w:hint="eastAsia" w:ascii="仿宋" w:hAnsi="仿宋" w:eastAsia="仿宋" w:cs="仿宋"/>
          <w:color w:val="auto"/>
          <w:sz w:val="32"/>
          <w:szCs w:val="32"/>
          <w:lang w:val="en-US" w:eastAsia="zh-CN"/>
        </w:rPr>
        <w:t>39.48</w:t>
      </w:r>
      <w:r>
        <w:rPr>
          <w:rFonts w:hint="eastAsia" w:ascii="仿宋" w:hAnsi="仿宋" w:eastAsia="仿宋" w:cs="仿宋"/>
          <w:color w:val="auto"/>
          <w:sz w:val="32"/>
          <w:szCs w:val="32"/>
        </w:rPr>
        <w:t>万元，完成预算100%，决算数等于预算数；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社会保障和就业（208）其他社会保障和就业支出（99）其他社会保障和就业支出（</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0.88万</w:t>
      </w:r>
      <w:r>
        <w:rPr>
          <w:rFonts w:hint="eastAsia" w:ascii="仿宋" w:hAnsi="仿宋" w:eastAsia="仿宋" w:cs="仿宋"/>
          <w:color w:val="auto"/>
          <w:sz w:val="32"/>
          <w:szCs w:val="32"/>
        </w:rPr>
        <w:t>元，完成预算100%，决算数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卫生健康支出（210）计划生育事务（07）计划生育机构（16）：支出决算数为</w:t>
      </w:r>
      <w:r>
        <w:rPr>
          <w:rFonts w:hint="eastAsia" w:ascii="仿宋" w:hAnsi="仿宋" w:eastAsia="仿宋" w:cs="仿宋"/>
          <w:color w:val="auto"/>
          <w:sz w:val="32"/>
          <w:szCs w:val="32"/>
          <w:lang w:val="en-US" w:eastAsia="zh-CN"/>
        </w:rPr>
        <w:t>5.88</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卫生健康支出（210）行政事业单位医疗（11）行政单位医疗（01）：支出决算数为</w:t>
      </w:r>
      <w:r>
        <w:rPr>
          <w:rFonts w:hint="eastAsia" w:ascii="仿宋" w:hAnsi="仿宋" w:eastAsia="仿宋" w:cs="仿宋"/>
          <w:color w:val="auto"/>
          <w:sz w:val="32"/>
          <w:szCs w:val="32"/>
          <w:lang w:val="en-US" w:eastAsia="zh-CN"/>
        </w:rPr>
        <w:t>13.23</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卫生健康支出（210）行政事业单位医疗（11）</w:t>
      </w:r>
      <w:r>
        <w:rPr>
          <w:rFonts w:hint="eastAsia" w:ascii="仿宋" w:hAnsi="仿宋" w:eastAsia="仿宋" w:cs="仿宋"/>
          <w:color w:val="auto"/>
          <w:sz w:val="32"/>
          <w:szCs w:val="32"/>
          <w:lang w:eastAsia="zh-CN"/>
        </w:rPr>
        <w:t>事业</w:t>
      </w:r>
      <w:r>
        <w:rPr>
          <w:rFonts w:hint="eastAsia" w:ascii="仿宋" w:hAnsi="仿宋" w:eastAsia="仿宋" w:cs="仿宋"/>
          <w:color w:val="auto"/>
          <w:sz w:val="32"/>
          <w:szCs w:val="32"/>
        </w:rPr>
        <w:t>单位医疗（0</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24.83</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卫生健康支出（210）行政事业单位医疗（11）公务员医疗补助（03）：支出决算数为9.</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城乡社区支出（212）城乡社区管理事务（01）</w:t>
      </w:r>
      <w:r>
        <w:rPr>
          <w:rFonts w:hint="eastAsia" w:ascii="仿宋" w:hAnsi="仿宋" w:eastAsia="仿宋" w:cs="仿宋"/>
          <w:color w:val="auto"/>
          <w:sz w:val="32"/>
          <w:szCs w:val="32"/>
          <w:lang w:eastAsia="zh-CN"/>
        </w:rPr>
        <w:t>其他城乡社区</w:t>
      </w:r>
      <w:r>
        <w:rPr>
          <w:rFonts w:hint="eastAsia" w:ascii="仿宋" w:hAnsi="仿宋" w:eastAsia="仿宋" w:cs="仿宋"/>
          <w:color w:val="auto"/>
          <w:sz w:val="32"/>
          <w:szCs w:val="32"/>
        </w:rPr>
        <w:t>管理事务（</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万元，完成预算100%，决算数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城乡社区支出（212）城乡社区环境卫生（05）城乡社区环境卫生（01）：支出决算数为</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城乡社区支出（212）</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城乡社区</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城乡社区</w:t>
      </w:r>
      <w:r>
        <w:rPr>
          <w:rFonts w:hint="eastAsia" w:ascii="仿宋" w:hAnsi="仿宋" w:eastAsia="仿宋" w:cs="仿宋"/>
          <w:color w:val="auto"/>
          <w:sz w:val="32"/>
          <w:szCs w:val="32"/>
          <w:lang w:eastAsia="zh-CN"/>
        </w:rPr>
        <w:t>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4.6</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320" w:firstLineChars="100"/>
        <w:rPr>
          <w:rFonts w:hint="eastAsia"/>
          <w:color w:val="auto"/>
        </w:rPr>
      </w:pPr>
      <w:r>
        <w:rPr>
          <w:rFonts w:hint="eastAsia" w:cs="仿宋"/>
          <w:color w:val="auto"/>
          <w:sz w:val="32"/>
          <w:szCs w:val="32"/>
          <w:lang w:val="en-US" w:eastAsia="zh-CN"/>
        </w:rPr>
        <w:t xml:space="preserve">  </w:t>
      </w: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农林水支出（213）农业（01）</w:t>
      </w:r>
      <w:r>
        <w:rPr>
          <w:rFonts w:hint="eastAsia" w:cs="仿宋"/>
          <w:color w:val="auto"/>
          <w:sz w:val="32"/>
          <w:szCs w:val="32"/>
          <w:lang w:eastAsia="zh-CN"/>
        </w:rPr>
        <w:t>事业运行</w:t>
      </w:r>
      <w:r>
        <w:rPr>
          <w:rFonts w:hint="eastAsia" w:ascii="仿宋" w:hAnsi="仿宋" w:eastAsia="仿宋" w:cs="仿宋"/>
          <w:color w:val="auto"/>
          <w:sz w:val="32"/>
          <w:szCs w:val="32"/>
        </w:rPr>
        <w:t>（</w:t>
      </w:r>
      <w:r>
        <w:rPr>
          <w:rFonts w:hint="eastAsia" w:cs="仿宋"/>
          <w:color w:val="auto"/>
          <w:sz w:val="32"/>
          <w:szCs w:val="32"/>
          <w:lang w:val="en-US" w:eastAsia="zh-CN"/>
        </w:rPr>
        <w:t>04</w:t>
      </w:r>
      <w:r>
        <w:rPr>
          <w:rFonts w:hint="eastAsia" w:ascii="仿宋" w:hAnsi="仿宋" w:eastAsia="仿宋" w:cs="仿宋"/>
          <w:color w:val="auto"/>
          <w:sz w:val="32"/>
          <w:szCs w:val="32"/>
        </w:rPr>
        <w:t>）：支出决算数为</w:t>
      </w:r>
      <w:r>
        <w:rPr>
          <w:rFonts w:hint="eastAsia" w:cs="仿宋"/>
          <w:color w:val="auto"/>
          <w:sz w:val="32"/>
          <w:szCs w:val="32"/>
          <w:lang w:val="en-US" w:eastAsia="zh-CN"/>
        </w:rPr>
        <w:t>145.99</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农林水支出（213）农业（01）病虫害防治（0</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）：支出决算数为0.6万元，完成预算100%，决算数等于预算数；</w:t>
      </w:r>
      <w:r>
        <w:rPr>
          <w:rFonts w:hint="eastAsia" w:ascii="仿宋" w:hAnsi="仿宋" w:eastAsia="仿宋" w:cs="仿宋"/>
          <w:color w:val="auto"/>
          <w:sz w:val="32"/>
          <w:szCs w:val="32"/>
          <w:lang w:val="en-US" w:eastAsia="zh-CN"/>
        </w:rPr>
        <w:t xml:space="preserve"> </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农林水支出（213）农业（01）</w:t>
      </w:r>
      <w:r>
        <w:rPr>
          <w:rFonts w:hint="eastAsia" w:ascii="仿宋" w:hAnsi="仿宋" w:eastAsia="仿宋" w:cs="仿宋"/>
          <w:color w:val="auto"/>
          <w:sz w:val="32"/>
          <w:szCs w:val="32"/>
          <w:lang w:eastAsia="zh-CN"/>
        </w:rPr>
        <w:t>农村道路建设</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83</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农林水支出（213）农业（01）</w:t>
      </w:r>
      <w:r>
        <w:rPr>
          <w:rFonts w:hint="eastAsia" w:ascii="仿宋" w:hAnsi="仿宋" w:eastAsia="仿宋" w:cs="仿宋"/>
          <w:color w:val="auto"/>
          <w:sz w:val="32"/>
          <w:szCs w:val="32"/>
          <w:lang w:eastAsia="zh-CN"/>
        </w:rPr>
        <w:t>其他农业农村支出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万元，完成预算100%，决算数等于预算数；</w:t>
      </w:r>
    </w:p>
    <w:p>
      <w:pPr>
        <w:spacing w:line="578" w:lineRule="exact"/>
        <w:ind w:firstLine="660"/>
        <w:rPr>
          <w:rFonts w:hint="default" w:eastAsia="仿宋"/>
          <w:lang w:val="en-US"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农林水支出（213）</w:t>
      </w:r>
      <w:r>
        <w:rPr>
          <w:rFonts w:hint="eastAsia" w:ascii="仿宋" w:hAnsi="仿宋" w:eastAsia="仿宋" w:cs="仿宋"/>
          <w:color w:val="auto"/>
          <w:sz w:val="32"/>
          <w:szCs w:val="32"/>
          <w:lang w:eastAsia="zh-CN"/>
        </w:rPr>
        <w:t>林业和草原</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其他林业和草原支出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农林水支出（213）扶贫（05）其他扶贫支出（99）：支出决算数为</w:t>
      </w:r>
      <w:r>
        <w:rPr>
          <w:rFonts w:hint="eastAsia" w:ascii="仿宋" w:hAnsi="仿宋" w:eastAsia="仿宋" w:cs="仿宋"/>
          <w:color w:val="auto"/>
          <w:sz w:val="32"/>
          <w:szCs w:val="32"/>
          <w:lang w:val="en-US" w:eastAsia="zh-CN"/>
        </w:rPr>
        <w:t>14.55</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农林水支出（213）农村综合改革（07）对村级</w:t>
      </w:r>
      <w:r>
        <w:rPr>
          <w:rFonts w:hint="eastAsia" w:ascii="仿宋" w:hAnsi="仿宋" w:eastAsia="仿宋" w:cs="仿宋"/>
          <w:color w:val="auto"/>
          <w:sz w:val="32"/>
          <w:szCs w:val="32"/>
          <w:lang w:eastAsia="zh-CN"/>
        </w:rPr>
        <w:t>公益事业建设（</w:t>
      </w:r>
      <w:r>
        <w:rPr>
          <w:rFonts w:hint="eastAsia" w:ascii="仿宋" w:hAnsi="仿宋" w:eastAsia="仿宋" w:cs="仿宋"/>
          <w:color w:val="auto"/>
          <w:sz w:val="32"/>
          <w:szCs w:val="32"/>
        </w:rPr>
        <w:t>一事一议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的补助（01）：支出决算数为</w:t>
      </w:r>
      <w:r>
        <w:rPr>
          <w:rFonts w:hint="eastAsia" w:ascii="仿宋" w:hAnsi="仿宋" w:eastAsia="仿宋" w:cs="仿宋"/>
          <w:color w:val="auto"/>
          <w:sz w:val="32"/>
          <w:szCs w:val="32"/>
          <w:lang w:val="en-US" w:eastAsia="zh-CN"/>
        </w:rPr>
        <w:t>214.72</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r>
        <w:rPr>
          <w:rFonts w:hint="eastAsia" w:ascii="仿宋" w:hAnsi="仿宋" w:eastAsia="仿宋" w:cs="仿宋"/>
          <w:color w:val="auto"/>
          <w:sz w:val="32"/>
          <w:szCs w:val="32"/>
          <w:lang w:eastAsia="zh-CN"/>
        </w:rPr>
        <w:t>；</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农林水支出（213）农村综合改革（07）对村民委员会和村党支部的补助（05）：支出决算数为</w:t>
      </w:r>
      <w:r>
        <w:rPr>
          <w:rFonts w:hint="eastAsia" w:ascii="仿宋" w:hAnsi="仿宋" w:eastAsia="仿宋" w:cs="仿宋"/>
          <w:color w:val="auto"/>
          <w:sz w:val="32"/>
          <w:szCs w:val="32"/>
          <w:lang w:val="en-US" w:eastAsia="zh-CN"/>
        </w:rPr>
        <w:t>333.09</w:t>
      </w:r>
      <w:r>
        <w:rPr>
          <w:rFonts w:hint="eastAsia" w:ascii="仿宋" w:hAnsi="仿宋" w:eastAsia="仿宋" w:cs="仿宋"/>
          <w:color w:val="auto"/>
          <w:sz w:val="32"/>
          <w:szCs w:val="32"/>
        </w:rPr>
        <w:t>万元，完成预算</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w:t>
      </w:r>
      <w:r>
        <w:rPr>
          <w:rFonts w:hint="eastAsia" w:ascii="仿宋" w:hAnsi="仿宋" w:eastAsia="仿宋" w:cs="仿宋"/>
          <w:color w:val="auto"/>
          <w:sz w:val="32"/>
          <w:szCs w:val="32"/>
          <w:lang w:eastAsia="zh-CN"/>
        </w:rPr>
        <w:t>数等于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39.</w:t>
      </w:r>
      <w:r>
        <w:rPr>
          <w:rFonts w:hint="eastAsia" w:ascii="仿宋" w:hAnsi="仿宋" w:eastAsia="仿宋" w:cs="仿宋"/>
          <w:color w:val="auto"/>
          <w:sz w:val="32"/>
          <w:szCs w:val="32"/>
        </w:rPr>
        <w:t>农林水支出（213）农村综合改革（07）农村综合改革示范试点补助（07）：支出决算数为</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万元，完成预算100%，决算数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40.交通运输支出</w:t>
      </w:r>
      <w:r>
        <w:rPr>
          <w:rFonts w:hint="eastAsia" w:ascii="仿宋" w:hAnsi="仿宋" w:eastAsia="仿宋" w:cs="仿宋"/>
          <w:color w:val="auto"/>
          <w:sz w:val="32"/>
          <w:szCs w:val="32"/>
        </w:rPr>
        <w:t>（21</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公路水路运输</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公路养护</w:t>
      </w:r>
      <w:r>
        <w:rPr>
          <w:rFonts w:hint="eastAsia" w:ascii="仿宋" w:hAnsi="仿宋" w:eastAsia="仿宋" w:cs="仿宋"/>
          <w:color w:val="auto"/>
          <w:sz w:val="32"/>
          <w:szCs w:val="32"/>
        </w:rPr>
        <w:t>（0</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22.81</w:t>
      </w:r>
      <w:r>
        <w:rPr>
          <w:rFonts w:hint="eastAsia" w:ascii="仿宋" w:hAnsi="仿宋" w:eastAsia="仿宋" w:cs="仿宋"/>
          <w:color w:val="auto"/>
          <w:sz w:val="32"/>
          <w:szCs w:val="32"/>
        </w:rPr>
        <w:t>万元，完成预算100%，决算数</w:t>
      </w:r>
      <w:r>
        <w:rPr>
          <w:rFonts w:hint="eastAsia" w:ascii="仿宋" w:hAnsi="仿宋" w:eastAsia="仿宋" w:cs="仿宋"/>
          <w:color w:val="auto"/>
          <w:sz w:val="32"/>
          <w:szCs w:val="32"/>
          <w:lang w:eastAsia="zh-CN"/>
        </w:rPr>
        <w:t>等于</w:t>
      </w:r>
      <w:r>
        <w:rPr>
          <w:rFonts w:hint="eastAsia" w:ascii="仿宋" w:hAnsi="仿宋" w:eastAsia="仿宋" w:cs="仿宋"/>
          <w:color w:val="auto"/>
          <w:sz w:val="32"/>
          <w:szCs w:val="32"/>
        </w:rPr>
        <w:t>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41.</w:t>
      </w:r>
      <w:r>
        <w:rPr>
          <w:rFonts w:hint="eastAsia" w:ascii="仿宋" w:hAnsi="仿宋" w:eastAsia="仿宋" w:cs="仿宋"/>
          <w:color w:val="auto"/>
          <w:sz w:val="32"/>
          <w:szCs w:val="32"/>
        </w:rPr>
        <w:t>交通运输支出（214）公路水路运输（01）其他公路水路运运输支出（99）：支出决算数为</w:t>
      </w:r>
      <w:r>
        <w:rPr>
          <w:rFonts w:hint="eastAsia" w:ascii="仿宋" w:hAnsi="仿宋" w:eastAsia="仿宋" w:cs="仿宋"/>
          <w:color w:val="auto"/>
          <w:sz w:val="32"/>
          <w:szCs w:val="32"/>
          <w:lang w:val="en-US" w:eastAsia="zh-CN"/>
        </w:rPr>
        <w:t>4.79</w:t>
      </w:r>
      <w:r>
        <w:rPr>
          <w:rFonts w:hint="eastAsia" w:ascii="仿宋" w:hAnsi="仿宋" w:eastAsia="仿宋" w:cs="仿宋"/>
          <w:color w:val="auto"/>
          <w:sz w:val="32"/>
          <w:szCs w:val="32"/>
        </w:rPr>
        <w:t>万元，完成预算100%，决算数等于预算数；</w:t>
      </w:r>
    </w:p>
    <w:p>
      <w:pPr>
        <w:spacing w:line="578" w:lineRule="exact"/>
        <w:ind w:firstLine="66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住房保障支出（221）住房改革支出（02）住房公积金（01）：支出决算数为</w:t>
      </w:r>
      <w:r>
        <w:rPr>
          <w:rFonts w:hint="eastAsia" w:ascii="仿宋" w:hAnsi="仿宋" w:eastAsia="仿宋" w:cs="仿宋"/>
          <w:color w:val="auto"/>
          <w:sz w:val="32"/>
          <w:szCs w:val="32"/>
          <w:lang w:val="en-US" w:eastAsia="zh-CN"/>
        </w:rPr>
        <w:t>52.72</w:t>
      </w:r>
      <w:r>
        <w:rPr>
          <w:rFonts w:hint="eastAsia" w:ascii="仿宋" w:hAnsi="仿宋" w:eastAsia="仿宋" w:cs="仿宋"/>
          <w:color w:val="auto"/>
          <w:sz w:val="32"/>
          <w:szCs w:val="32"/>
        </w:rPr>
        <w:t>万元，完成预算100%，决算数等于预算数；</w:t>
      </w:r>
    </w:p>
    <w:p>
      <w:pPr>
        <w:spacing w:line="578" w:lineRule="exact"/>
        <w:ind w:firstLine="660"/>
        <w:rPr>
          <w:rFonts w:hint="default" w:eastAsia="仿宋"/>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3.灾害防治及应急管理支出</w:t>
      </w:r>
      <w:r>
        <w:rPr>
          <w:rFonts w:hint="eastAsia" w:ascii="仿宋" w:hAnsi="仿宋" w:eastAsia="仿宋" w:cs="仿宋"/>
          <w:color w:val="auto"/>
          <w:sz w:val="32"/>
          <w:szCs w:val="32"/>
        </w:rPr>
        <w:t>（22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Style w:val="16"/>
          <w:rFonts w:hint="eastAsia" w:ascii="仿宋" w:hAnsi="仿宋" w:eastAsia="仿宋" w:cs="仿宋"/>
          <w:b w:val="0"/>
          <w:color w:val="auto"/>
          <w:sz w:val="32"/>
          <w:szCs w:val="32"/>
        </w:rPr>
        <w:t>其他</w:t>
      </w:r>
      <w:r>
        <w:rPr>
          <w:rFonts w:hint="eastAsia" w:ascii="仿宋" w:hAnsi="仿宋" w:eastAsia="仿宋" w:cs="仿宋"/>
          <w:color w:val="auto"/>
          <w:sz w:val="32"/>
          <w:szCs w:val="32"/>
          <w:lang w:val="en-US" w:eastAsia="zh-CN"/>
        </w:rPr>
        <w:t>灾害防治及应急管理</w:t>
      </w:r>
      <w:r>
        <w:rPr>
          <w:rStyle w:val="16"/>
          <w:rFonts w:hint="eastAsia" w:ascii="仿宋" w:hAnsi="仿宋" w:eastAsia="仿宋" w:cs="仿宋"/>
          <w:b w:val="0"/>
          <w:color w:val="auto"/>
          <w:sz w:val="32"/>
          <w:szCs w:val="32"/>
        </w:rPr>
        <w:t>支出</w:t>
      </w:r>
      <w:r>
        <w:rPr>
          <w:rFonts w:hint="eastAsia" w:ascii="仿宋" w:hAnsi="仿宋" w:eastAsia="仿宋" w:cs="仿宋"/>
          <w:color w:val="auto"/>
          <w:sz w:val="32"/>
          <w:szCs w:val="32"/>
        </w:rPr>
        <w:t>（99）</w:t>
      </w:r>
      <w:r>
        <w:rPr>
          <w:rStyle w:val="16"/>
          <w:rFonts w:hint="eastAsia" w:ascii="仿宋" w:hAnsi="仿宋" w:eastAsia="仿宋" w:cs="仿宋"/>
          <w:b w:val="0"/>
          <w:color w:val="auto"/>
          <w:sz w:val="32"/>
          <w:szCs w:val="32"/>
        </w:rPr>
        <w:t>其他</w:t>
      </w:r>
      <w:r>
        <w:rPr>
          <w:rFonts w:hint="eastAsia" w:ascii="仿宋" w:hAnsi="仿宋" w:eastAsia="仿宋" w:cs="仿宋"/>
          <w:color w:val="auto"/>
          <w:sz w:val="32"/>
          <w:szCs w:val="32"/>
          <w:lang w:val="en-US" w:eastAsia="zh-CN"/>
        </w:rPr>
        <w:t>灾害防治及应急管理</w:t>
      </w:r>
      <w:r>
        <w:rPr>
          <w:rStyle w:val="16"/>
          <w:rFonts w:hint="eastAsia" w:ascii="仿宋" w:hAnsi="仿宋" w:eastAsia="仿宋" w:cs="仿宋"/>
          <w:b w:val="0"/>
          <w:color w:val="auto"/>
          <w:sz w:val="32"/>
          <w:szCs w:val="32"/>
        </w:rPr>
        <w:t>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rPr>
        <w:t>）：支出决算数为</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万元，完成预算100%，决算数等于预算数。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outlineLvl w:val="1"/>
        <w:rPr>
          <w:rStyle w:val="28"/>
          <w:color w:val="auto"/>
          <w:highlight w:val="none"/>
        </w:rPr>
      </w:pPr>
      <w:bookmarkStart w:id="34" w:name="_Toc15377214"/>
      <w:bookmarkStart w:id="35" w:name="_Toc15396608"/>
      <w:r>
        <w:rPr>
          <w:rFonts w:hint="eastAsia" w:ascii="Times New Roman" w:hAnsi="Times New Roman" w:eastAsia="黑体" w:cs="Times New Roman"/>
          <w:sz w:val="32"/>
          <w:szCs w:val="32"/>
          <w:lang w:eastAsia="zh-CN"/>
        </w:rPr>
        <w:t>六、一般公共预算财政拨款基本支出决算情况说明</w:t>
      </w:r>
      <w:bookmarkEnd w:id="34"/>
      <w:bookmarkEnd w:id="35"/>
      <w:r>
        <w:rPr>
          <w:rStyle w:val="28"/>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2022年一般公共预算财政拨款基本支出940.21万元，其中：</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人员经费849.18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公用经费91.03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36" w:name="_Toc15377215"/>
      <w:bookmarkStart w:id="37" w:name="_Toc15396609"/>
      <w:r>
        <w:rPr>
          <w:rFonts w:hint="eastAsia" w:ascii="Times New Roman" w:hAnsi="Times New Roman" w:eastAsia="黑体" w:cs="Times New Roman"/>
          <w:sz w:val="32"/>
          <w:szCs w:val="32"/>
          <w:lang w:eastAsia="zh-CN"/>
        </w:rPr>
        <w:t>七、“三公”经费财政拨款支出决算情况说明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2022年“三公”经费财政拨款支出决算为8万元，完成预算100%，决算数等于预算数。</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2022年“三公”经费财政拨款支出决算中，因公出国（境）费支出决算0万元，占0%；公务用车购置及运行维护费支出决算0万元，占0%；公务接待费支出决算8万元，占100%。具体情况如下：</w:t>
      </w:r>
    </w:p>
    <w:p>
      <w:pPr>
        <w:pStyle w:val="11"/>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r>
        <w:drawing>
          <wp:inline distT="0" distB="0" distL="114300" distR="114300">
            <wp:extent cx="5268595" cy="3460115"/>
            <wp:effectExtent l="4445" t="4445" r="22860" b="21590"/>
            <wp:docPr id="20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hint="eastAsia" w:ascii="仿宋_GB2312" w:eastAsia="仿宋_GB2312"/>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rPr>
        <w:t>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下降</w:t>
      </w: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严格遵行相应政策，例行节约、相应费用减少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8</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268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1800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w:t>
      </w:r>
      <w:r>
        <w:rPr>
          <w:rFonts w:hint="eastAsia" w:ascii="仿宋_GB2312" w:eastAsia="仿宋_GB2312"/>
          <w:color w:val="auto"/>
          <w:sz w:val="32"/>
          <w:szCs w:val="32"/>
          <w:highlight w:val="none"/>
          <w:lang w:eastAsia="zh-CN"/>
        </w:rPr>
        <w:t>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w:t>
      </w:r>
      <w:bookmarkStart w:id="40" w:name="_Toc15396610"/>
      <w:bookmarkStart w:id="41" w:name="_Toc15377218"/>
      <w:r>
        <w:rPr>
          <w:rFonts w:hint="eastAsia" w:ascii="仿宋_GB2312" w:eastAsia="仿宋_GB2312"/>
          <w:color w:val="auto"/>
          <w:sz w:val="32"/>
          <w:szCs w:val="32"/>
          <w:highlight w:val="none"/>
          <w:lang w:eastAsia="zh-CN"/>
        </w:rPr>
        <w:t>。</w:t>
      </w:r>
    </w:p>
    <w:p>
      <w:pPr>
        <w:spacing w:line="600" w:lineRule="exact"/>
        <w:ind w:firstLine="640"/>
        <w:outlineLvl w:val="1"/>
        <w:rPr>
          <w:rStyle w:val="28"/>
          <w:rFonts w:ascii="黑体" w:hAnsi="黑体" w:eastAsia="黑体"/>
          <w:color w:val="auto"/>
          <w:highlight w:val="none"/>
        </w:rPr>
      </w:pPr>
      <w:r>
        <w:rPr>
          <w:rFonts w:hint="eastAsia" w:ascii="黑体" w:eastAsia="黑体"/>
          <w:color w:val="auto"/>
          <w:sz w:val="32"/>
          <w:szCs w:val="32"/>
          <w:highlight w:val="none"/>
        </w:rPr>
        <w:t>八</w:t>
      </w:r>
      <w:r>
        <w:rPr>
          <w:rFonts w:hint="eastAsia" w:ascii="Times New Roman" w:hAnsi="Times New Roman" w:eastAsia="黑体" w:cs="Times New Roman"/>
          <w:sz w:val="32"/>
          <w:szCs w:val="32"/>
          <w:lang w:eastAsia="zh-CN"/>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42" w:name="_Toc15396611"/>
      <w:bookmarkStart w:id="43" w:name="_Toc15377219"/>
      <w:r>
        <w:rPr>
          <w:rFonts w:hint="eastAsia" w:ascii="Times New Roman" w:hAnsi="Times New Roman" w:eastAsia="黑体" w:cs="Times New Roman"/>
          <w:sz w:val="32"/>
          <w:szCs w:val="32"/>
          <w:lang w:eastAsia="zh-CN"/>
        </w:rPr>
        <w:t>九、国有资本经营预算支出决算情况说明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sz w:val="32"/>
          <w:szCs w:val="32"/>
          <w:lang w:eastAsia="zh-CN"/>
        </w:rPr>
      </w:pPr>
      <w:bookmarkStart w:id="44" w:name="_Toc15396612"/>
      <w:bookmarkStart w:id="45" w:name="_Toc15377221"/>
      <w:r>
        <w:rPr>
          <w:rFonts w:hint="eastAsia" w:ascii="Times New Roman" w:hAnsi="Times New Roman" w:eastAsia="黑体" w:cs="Times New Roman"/>
          <w:sz w:val="32"/>
          <w:szCs w:val="32"/>
          <w:lang w:eastAsia="zh-CN"/>
        </w:rPr>
        <w:t>十、其他重要事项的情况说明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2022年，高穴镇机关运行经费支出91.03万元，比2021年减少11.51万元，下降11.22%，主要原因是由于部分经费2022年未支付，相应资金结转结余至2023年。</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hint="eastAsia" w:ascii="Times New Roman" w:hAnsi="Times New Roman" w:eastAsia="仿宋_GB2312" w:cs="Times New Roman"/>
          <w:b w:val="0"/>
          <w:bCs w:val="0"/>
          <w:kern w:val="2"/>
          <w:sz w:val="32"/>
          <w:szCs w:val="32"/>
          <w:lang w:val="en-US" w:eastAsia="zh-CN" w:bidi="ar-SA"/>
        </w:rPr>
        <w:t>2022年，高穴镇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 w:val="32"/>
          <w:szCs w:val="32"/>
          <w:highlight w:val="none"/>
        </w:rPr>
      </w:pPr>
      <w:r>
        <w:rPr>
          <w:rFonts w:hint="eastAsia" w:ascii="Times New Roman" w:hAnsi="Times New Roman" w:eastAsia="仿宋_GB2312" w:cs="Times New Roman"/>
          <w:b w:val="0"/>
          <w:bCs w:val="0"/>
          <w:kern w:val="2"/>
          <w:sz w:val="32"/>
          <w:szCs w:val="32"/>
          <w:lang w:val="en-US" w:eastAsia="zh-CN" w:bidi="ar-SA"/>
        </w:rPr>
        <w:t>截至2022年12月31日，高穴镇人民政府共有车辆0辆，其中：主要领导干部用车0辆、机要通信用车0辆、应急保障用车0辆、其他用车0辆，单价50万元以上通用设备0台（套），单价100万元以上专用设备0台（套）。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根据预算绩效管理要求，本部门（单位）在年初预算编制阶段，组织对2022年五治工作经费项目开展了预算事前绩效评估，对五治工作项目编制了绩效目标，预算执行过程中，选取五治工作经费项目开展绩效监控，年终执行完毕后，对五治工作经费项目开展了绩效目标完成情况自评。</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部门按要求对2022年部门整体支出开展绩效自评，从评价情况来看，我镇整体财政支出预算合理，执行情况较好，符合国家财经法规和财务管理制度的规定，对财政预决算执行情况及时上网公示，公开接受群众监督。</w:t>
      </w:r>
    </w:p>
    <w:p>
      <w:pPr>
        <w:numPr>
          <w:ilvl w:val="0"/>
          <w:numId w:val="0"/>
        </w:numPr>
        <w:snapToGrid w:val="0"/>
        <w:spacing w:line="520" w:lineRule="exact"/>
        <w:ind w:firstLine="61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本部门还自行组织了1个项目支出绩效评价，从评价情况来看，2022年我镇五治工作经费项目实施与村民提议相符，验收合格，资金使用合理，充分发挥实际效益，群众满意度达95%以上。</w:t>
      </w:r>
    </w:p>
    <w:p>
      <w:pPr>
        <w:pStyle w:val="11"/>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pStyle w:val="11"/>
        <w:rPr>
          <w:rFonts w:hint="eastAsia"/>
          <w:color w:val="auto"/>
          <w:lang w:val="en-US" w:eastAsia="zh-CN"/>
        </w:rPr>
      </w:pPr>
    </w:p>
    <w:p>
      <w:pPr>
        <w:rPr>
          <w:rFonts w:hint="eastAsia"/>
          <w:color w:val="auto"/>
          <w:lang w:val="en-US" w:eastAsia="zh-CN"/>
        </w:rPr>
      </w:pPr>
    </w:p>
    <w:p>
      <w:pPr>
        <w:pStyle w:val="11"/>
        <w:rPr>
          <w:rFonts w:hint="eastAsia"/>
          <w:color w:val="auto"/>
          <w:lang w:val="en-US" w:eastAsia="zh-CN"/>
        </w:rPr>
      </w:pPr>
    </w:p>
    <w:tbl>
      <w:tblPr>
        <w:tblStyle w:val="14"/>
        <w:tblW w:w="9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1616"/>
        <w:gridCol w:w="1222"/>
        <w:gridCol w:w="2501"/>
        <w:gridCol w:w="2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18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项目支出绩效目标情况表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w:t>
            </w: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大竹县高穴镇人民政府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项目资金（万元）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年度资金总额</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58.28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其中：财政拨款</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45.04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其他资金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sz w:val="20"/>
                <w:szCs w:val="20"/>
                <w:u w:val="none"/>
                <w:lang w:val="en-US" w:eastAsia="zh-CN"/>
              </w:rPr>
            </w:pPr>
            <w:r>
              <w:rPr>
                <w:rFonts w:hint="eastAsia" w:ascii="宋体" w:hAnsi="宋体" w:cs="宋体"/>
                <w:i w:val="0"/>
                <w:iCs w:val="0"/>
                <w:color w:val="auto"/>
                <w:sz w:val="20"/>
                <w:szCs w:val="20"/>
                <w:u w:val="none"/>
                <w:lang w:val="en-US" w:eastAsia="zh-CN"/>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0" w:type="auto"/>
            <w:gridSpan w:val="4"/>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完成全镇垃圾的清运和保洁工作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绩效指标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二级指标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三级指标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数量指标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指标1：及时清理全镇垃圾，包括运输处理和场镇保洁工作</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保障全年1400余吨的垃圾运输处理，保障全镇17名保洁人员的工资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质量指标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指标1：全镇垃圾无外露及时运输处理，保障全镇的清洁卫生，</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每天及时保证垃圾外运处理和保洁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时效指标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指标1：做好全镇垃圾日产日销，及时运输处理</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按照合同要约，不定时的检查运输处理情况，发现问题24小时内解决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指标2：日常保洁正常开展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发现问题24小时内解决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成本指标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指标1：垃圾及时清运</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每月3万余元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指标2：日常保洁</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全年20万余元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项目效益</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经济效益指标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指标1：保障全镇工作开展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集中处理，减少资源浪费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社会效益指标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指标1：垃圾转运及处理及时，社会反响良好，解决了垃圾乱倒问题农村环境干净卫生了，减少了污染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生态效益指标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指标1：垃圾统一运输、统一处理，节约了成本</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节约成本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指标2：由于垃圾的及时转运与处理，大大减少了垃圾带来的污染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减少污染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可持续影响指标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指标1：群众幸福感提升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满意度指标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指标1：群众满意度提高</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r>
    </w:tbl>
    <w:p>
      <w:pPr>
        <w:numPr>
          <w:ilvl w:val="0"/>
          <w:numId w:val="0"/>
        </w:numPr>
        <w:snapToGrid w:val="0"/>
        <w:spacing w:line="520" w:lineRule="exact"/>
        <w:ind w:firstLine="610"/>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二、部门绩效评价结果。</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本部门按要求对2022年部门整体支出绩效评价情况开展自评，《高穴镇人民政府2022年部门整体支出绩效评价报告》见附件（附件2）。</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仿宋" w:hAnsi="仿宋" w:eastAsia="仿宋" w:cs="仿宋"/>
          <w:color w:val="auto"/>
          <w:sz w:val="32"/>
          <w:szCs w:val="32"/>
        </w:rPr>
      </w:pPr>
      <w:r>
        <w:rPr>
          <w:rFonts w:hint="eastAsia" w:ascii="Times New Roman" w:hAnsi="Times New Roman" w:eastAsia="仿宋_GB2312" w:cs="Times New Roman"/>
          <w:b w:val="0"/>
          <w:bCs w:val="0"/>
          <w:kern w:val="2"/>
          <w:sz w:val="32"/>
          <w:szCs w:val="32"/>
          <w:lang w:val="en-US" w:eastAsia="zh-CN" w:bidi="ar-SA"/>
        </w:rPr>
        <w:t>本部门自行组织对五治工作经费开展了绩效评价，《高穴镇人民政府项目2022年绩效评价报告》见附件（附件3）。</w:t>
      </w:r>
    </w:p>
    <w:p>
      <w:pPr>
        <w:pStyle w:val="11"/>
        <w:jc w:val="both"/>
        <w:rPr>
          <w:rFonts w:hint="eastAsia"/>
        </w:rPr>
      </w:pP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1.财政拨款收入：指单位从同级财政部门取得的财政预算资金。</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2.事业收入：指事业单位开展专业业务活动及辅助活动取得的收入。</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3.经营收入：指事业单位在专业业务活动及其辅助活动之外开展非独立核算经营活动取得的收入。</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4.其他收入：指单位取得的除上述收入以外的各项收入。 </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5.使用非财政拨款结余：指事业单位使用以前年度积累的非财政拨款结余弥补当年收支差额的金额。 </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6.年初结转和结余：指以前年度尚未完成、结转到本年按有关规定继续使用的资金。 </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7.结余分配：指事业单位按照会计制度规定缴纳的所得税、提取的专用结余以及转入非财政拨款结余的金额等。</w:t>
      </w:r>
    </w:p>
    <w:p>
      <w:pPr>
        <w:pStyle w:val="25"/>
        <w:spacing w:line="560" w:lineRule="exact"/>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8、年末结转和结余：指单位按有关规定结转到下年或以后年度继续使用的资金。</w:t>
      </w:r>
    </w:p>
    <w:p>
      <w:pPr>
        <w:spacing w:line="600" w:lineRule="exact"/>
        <w:ind w:firstLine="64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9.一般公共服务（201）人大事务（01）其他人大事务支出（99）：指反映各级人大开展监督工作的支出。</w:t>
      </w:r>
    </w:p>
    <w:p>
      <w:pPr>
        <w:spacing w:line="600" w:lineRule="exact"/>
        <w:ind w:firstLine="320" w:firstLineChars="1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 xml:space="preserve">  10.一般公共服务（201）政府办公厅及相关机构事务（03）行政运行（01）：指反映行政单位（包括实行公务员管理的事业单位）的基本支出。</w:t>
      </w:r>
    </w:p>
    <w:p>
      <w:pPr>
        <w:spacing w:line="600" w:lineRule="exact"/>
        <w:ind w:firstLine="640"/>
        <w:rPr>
          <w:rFonts w:hint="eastAsia" w:ascii="仿宋" w:hAnsi="仿宋" w:eastAsia="仿宋" w:cs="仿宋"/>
          <w:sz w:val="32"/>
          <w:szCs w:val="32"/>
        </w:rPr>
      </w:pPr>
      <w:r>
        <w:rPr>
          <w:rFonts w:hint="eastAsia" w:ascii="Times New Roman" w:hAnsi="Times New Roman" w:eastAsia="仿宋_GB2312" w:cs="Times New Roman"/>
          <w:b w:val="0"/>
          <w:bCs w:val="0"/>
          <w:color w:val="auto"/>
          <w:kern w:val="2"/>
          <w:sz w:val="32"/>
          <w:szCs w:val="32"/>
          <w:lang w:val="en-US" w:eastAsia="zh-CN" w:bidi="ar-SA"/>
        </w:rPr>
        <w:t>11.一般公共服务（201）政府办公厅及相关机构事务（03）其他政府办公厅（室）及相关机构事务支出（99）：指反映其他政府办公厅（室）及相关机构事务支出。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12.一般公共服务（201）统计信息事务（05）普查活动（07）：指反映统计部门统计普查活动的支出。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13.一般公共服务（201）财政事务（06）行政运行（01）：指反映行政单位（包括实行公务员管理的事业单位）的基本支出。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14.一般公共服务（201）财政事务（06）其他财政事务支出（99）：指反映其他财政事务支出。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15.一般公共服务（201）纪检监察事务（11）一般行政管理事务（02）：指反映行政单位（包括实行公务员管理的事业单位）未单独设置项级科目的其他项目支出。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16.一般公共服务（201）群众团体事务（29）行政运行（02）：指反映行政单位群众团体事务支出。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17.一般公共服务（201）群众团体事务（29）其他群众团体事务（99）：指反映其他用于群众团体事务方面的支出。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18.文化旅游体育与传媒（207）文化和旅游（01）群众文化（09）: 指反映群众文化方面的支出，包括基层文化馆（站）、群众艺术馆支出等。</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19.文化旅游体育与传媒支出（207）文化和旅游（01）其他文化和旅游支出（99）：指反映其他用于文化和旅游方面的支出。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20.社会保障和就业（208）行政事业单位离退休（05）机关事业单位基本养老保险缴费支出（05）：指反映机关事业单位实施养老保险制度由单位缴纳的基本养老保险费支出。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21.社会保障和就业（208）行政事业单位离退休（05）机关事业单位职业年金缴费支出（06）：指反映机关事业单位实施养老保险制度由单位实际缴纳的职业年金支出。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22.社会保障和就业（208）行政事业单位离退休（05）其他行政事业单位养老支出（99）：指反映机关事业单位其他行政事业单位养老支出。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23.社会保障和就业（208）就业补助（07）公益性岗位补贴（05）：指反映财政对符合条件的就业困难人员在公益性岗位就业给予的岗位补贴支出。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24.社会保障和就业（208）抚恤（08）死亡抚恤（01）：指反映按规定用于烈士和牺牲、病故人员家属的一次性和定期抚恤金以及丧葬补助费。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25.社会保障和就业（208）最低生活保障（19）农村最低生活保障金支出（02）：指反映按规定用于最低生活保障的人员的资金支出。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26.社会保障和就业（208）其他社会保障和就业支出（99）其他社会保障和就业支出（99）：指反映其他用于社会保障和就业方面的支出。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27.卫生健康支出（210）基层医疗卫生机构（03）其他基层医疗卫生机构支出（99）：指反映其他基层医疗卫生机构支出。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28.卫生健康支出（210）计划生育事务（07）计划生育机构（16）：指反映卫生健康部门所属计划生育机构的支出。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29.卫生健康支出（210）行政事业单位医疗（11）行政单位医疗（01）：指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30.卫生健康支出（210）行政事业单位医疗（11）公务员医疗补助（03）：指反映财政部门安排的公务员医疗补助经费。</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31.卫生健康支出（210）其他卫生健康支出（99）其他卫生健康支出（99）：指反映其他卫生健康支出。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32.节能环保支出（211）污染防治（03）水体（02）：指反映政府在排水、污水处理、水污染防治、湖库生态环境保护、水源地保护、国土江河综合整治、河流治理与保护、地下水修复与保护等方面的支出。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33.节能环保支出（211）污染防治（03）其他污染防治支出（99）：指反映其他用于污染防治方面的支出。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34.节能环保支出（211）自然生态保护（04）农村环境保护（02）：指反映用于自然生态农村环境保护的支出。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35.节能环保支出（211）天然林保护（05）其他天然林保护支出（99）：指其他天然林保护的支出。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36.城乡社区支出（212）城乡社区管理事务（01）其他城乡社区管理事务（99）：指反映其他用于城乡社区方面的支出。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37.城乡社区支出（212）城乡社区环境卫生（05）城乡社区环境卫生（01）：指反映城乡社区道路清扫、垃圾清理与处理、公厕建设与维护、园林绿化等方面的支出。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38.城乡社区支出（212）国有土地使用权出让收入安排的支出（08）土地开发支出（02）：指反映国有土地使用权出让收入土地开发的支出。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39.农林水支出（213）农业（01）事业运行（04）：指行政事业单位等方面的支出。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40.农林水支出（213）农业（01）病虫害防治（08）：指反映用于病虫鼠害及疫情监测、预报、预防、控制、检疫、防疫所需的仪器、设施、药物、疫苗、种苗，疫畜（禽、鱼、植物）防治、扑杀补偿及劳务补助、菌（毒）种保藏及动植物及其产品检疫、检测等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41.农林水支出（213）扶贫（05）一般行政管理事务（02）：指反映行政单位（包括实行公务员管理的事业单位）未单独设置项级科目的其他项目支出。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42.农林水支出（213）扶贫（05）其他扶贫支出（99）：指反映其他用于扶贫方面的支出。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43.农林水支出（213）农村综合改革（07）对村级公益事业建设（一事一议）的补助（01）：指反映农村税费改革后对村级公益事业建设的补助支出。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44.农林水支出（213）农村综合改革（07）对村民委员会和村党支部的补助（05）：指反映各级财政对村民委员会和村党支部的补助支出，以及支持建立县级基本财力保障机制安排的村级组织运转资补奖金。</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45.农林水支出（213）农村综合改革（07）农村综合改革示范试点补助（07）：指反映各级财政对农村综合改革示范试点、新型农业社会化服务体系建设等补助支出。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46.农林水支出（213）其他农林水支出（99）其他农林水支出（99）：指反映除化解债务支出以外其他用于农林水方面的支出。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47.交通运输支出（214）公路水路运输（01）其他公路水路运运输支出（99）：指反映其他用于公路水路运输方面的支出。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48.住房保障支出（221）住房改革支出（02）住房公积金（01）：指反映行政事业单位按人力资源和社会保障部、财政部规定的基本工资和津贴补贴以及规定比例为职工缴纳的住房公积金。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49.灾害防治及应急管理支出（224）其他灾害防治及应急管理支出（99）其他灾害防治及应急管理支出（99）：指其他灾害防治及应急管理的支出。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50</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51</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项目支出：指在基本支出之外为完成特定行政任务和事业发展目标所发生的支出。</w:t>
      </w:r>
      <w:r>
        <w:rPr>
          <w:rFonts w:hint="default" w:ascii="Times New Roman" w:hAnsi="Times New Roman" w:eastAsia="仿宋_GB2312" w:cs="Times New Roman"/>
          <w:b w:val="0"/>
          <w:bCs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52</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53</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54</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bookmarkStart w:id="55" w:name="_GoBack"/>
      <w:bookmarkEnd w:id="55"/>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hint="eastAsia" w:ascii="黑体" w:hAnsi="黑体" w:eastAsia="黑体" w:cs="黑体"/>
          <w:sz w:val="32"/>
          <w:szCs w:val="32"/>
        </w:rPr>
      </w:pPr>
      <w:r>
        <w:rPr>
          <w:rFonts w:hint="eastAsia" w:ascii="黑体" w:hAnsi="黑体" w:eastAsia="黑体" w:cs="黑体"/>
          <w:sz w:val="32"/>
          <w:szCs w:val="32"/>
        </w:rPr>
        <w:t>附件2</w:t>
      </w:r>
    </w:p>
    <w:p>
      <w:pPr>
        <w:pStyle w:val="18"/>
        <w:keepNext w:val="0"/>
        <w:keepLines w:val="0"/>
        <w:pageBreakBefore w:val="0"/>
        <w:widowControl w:val="0"/>
        <w:kinsoku/>
        <w:wordWrap/>
        <w:overflowPunct/>
        <w:topLinePunct w:val="0"/>
        <w:bidi w:val="0"/>
        <w:snapToGrid/>
        <w:spacing w:line="578" w:lineRule="exact"/>
        <w:textAlignment w:val="auto"/>
        <w:rPr>
          <w:rFonts w:hint="default"/>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578" w:lineRule="exact"/>
        <w:ind w:left="0" w:right="0"/>
        <w:jc w:val="center"/>
        <w:textAlignment w:val="auto"/>
        <w:rPr>
          <w:rFonts w:hint="eastAsia" w:ascii="Times New Roman" w:hAnsi="Times New Roman" w:eastAsia="方正小标宋简体" w:cs="Times New Roman"/>
          <w:kern w:val="0"/>
          <w:sz w:val="44"/>
          <w:szCs w:val="44"/>
          <w:lang w:val="en-US" w:eastAsia="zh-CN"/>
        </w:rPr>
      </w:pPr>
      <w:r>
        <w:rPr>
          <w:rFonts w:hint="eastAsia" w:ascii="Times New Roman" w:hAnsi="Times New Roman" w:eastAsia="方正小标宋简体" w:cs="Times New Roman"/>
          <w:kern w:val="0"/>
          <w:sz w:val="44"/>
          <w:szCs w:val="44"/>
          <w:lang w:val="en-US" w:eastAsia="zh-CN"/>
        </w:rPr>
        <w:t>大竹县高穴镇人民政府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lang w:val="en-US" w:eastAsia="zh-CN" w:bidi="ar"/>
        </w:rPr>
      </w:pPr>
      <w:r>
        <w:rPr>
          <w:rFonts w:hint="default" w:ascii="Times New Roman" w:hAnsi="Times New Roman" w:eastAsia="方正小标宋简体" w:cs="Times New Roman"/>
          <w:color w:val="auto"/>
          <w:kern w:val="0"/>
          <w:sz w:val="44"/>
          <w:szCs w:val="44"/>
          <w:lang w:val="en-US" w:eastAsia="zh-CN" w:bidi="ar"/>
        </w:rPr>
        <w:t>关于2023年部门整体支出绩效评价的</w:t>
      </w:r>
      <w:r>
        <w:rPr>
          <w:rFonts w:hint="eastAsia" w:ascii="Times New Roman" w:hAnsi="Times New Roman" w:eastAsia="方正小标宋简体" w:cs="Times New Roman"/>
          <w:color w:val="auto"/>
          <w:kern w:val="0"/>
          <w:sz w:val="44"/>
          <w:szCs w:val="44"/>
          <w:lang w:val="en-US" w:eastAsia="zh-CN" w:bidi="ar"/>
        </w:rPr>
        <w:t>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color w:val="auto"/>
          <w:sz w:val="32"/>
          <w:szCs w:val="32"/>
        </w:rPr>
      </w:pPr>
    </w:p>
    <w:p>
      <w:pPr>
        <w:pStyle w:val="13"/>
        <w:keepNext w:val="0"/>
        <w:keepLines w:val="0"/>
        <w:pageBreakBefore w:val="0"/>
        <w:widowControl w:val="0"/>
        <w:kinsoku/>
        <w:wordWrap/>
        <w:overflowPunct/>
        <w:topLinePunct w:val="0"/>
        <w:bidi w:val="0"/>
        <w:snapToGrid/>
        <w:spacing w:line="578" w:lineRule="exact"/>
        <w:ind w:left="0" w:leftChars="0" w:firstLine="0" w:firstLineChars="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大竹县财政局：</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b w:val="0"/>
          <w:bCs w:val="0"/>
          <w:kern w:val="2"/>
          <w:sz w:val="32"/>
          <w:szCs w:val="32"/>
          <w:lang w:val="en-US" w:eastAsia="zh-CN" w:bidi="ar-SA"/>
        </w:rPr>
        <w:t>根据贵局下发的《关于开展2023年部门、政策和项目支出绩效评价工作的通知》（竹财绩〔2023〕4号）的安排部署，为强化绩效理念，落实绩效管理主体责任，切实提升绩效管理水平。我镇通过统计调查、资料分析等多种形式，对我镇2022年财政资金的管理、分配和绩效情况开展了绩效自查、自评工作。现将情况汇报如下：</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一、部门（单位）概况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楷体_GB2312" w:hAnsi="楷体_GB2312" w:eastAsia="楷体_GB2312" w:cs="楷体_GB2312"/>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（一）主要职能</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2022年，是实施“十四五”规划、承上启下全面开启社会主义现代化新征程的关键一年，也是我镇积能蓄力、实现追赶超越的关键机遇期。大竹县高穴镇人民政府在县委、县政府的坚强领导下，深入贯彻落实习近平新时代中国特色社会主义思想和中央、省、市、县各次全会精神，承担各项财政收支管理责任，监督财政性经济发展支出，巩固拓展脱贫攻坚成果同乡村振兴有效衔接，靠实责任，狠抓落实，认真履行政府职能，统筹推进疫情防控和经济社会发展工作，推动物质文明、政治文明、精神文明协调发展，圆满完成全年各项目标任务。执行本级党代会人代会的决议和上级党委政府的决定和命令。</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（二）机构组成</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大竹县高穴镇人民政府为行政单位，财政一级预算，无下属二级单位。</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default"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（三）机构职能</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实践发展永无止境，我们推进基层工作、全心全意为人民服务也永无止境。坚持认真贯彻党的路线、方针、政策，执行本级党代会、人代会的决议和上级党委、政府的决定和命令。对待基层工作、服务人民，不能采取教条主义的态度，也不能采取形式主义的态度，而是应该以科学的态度、践行的动力、“老黄牛”的精神对待科学、以真理的精神追求真理。承担各项财政收支管理责任，监督财政性经济发展支出，加强社会管理、提供好公共服务、维护社会稳定和巩固基层政权，推动物质文明、政治文明、精神文明协调发展。</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（四）人员概况</w:t>
      </w:r>
    </w:p>
    <w:p>
      <w:pPr>
        <w:snapToGrid w:val="0"/>
        <w:spacing w:line="520" w:lineRule="exact"/>
        <w:ind w:firstLine="640" w:firstLineChars="200"/>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功以才成，业由才广。世上一切事物中人是最可宝贵的，一切创新成果都是人做出来的。</w:t>
      </w:r>
    </w:p>
    <w:p>
      <w:pPr>
        <w:snapToGrid w:val="0"/>
        <w:spacing w:line="520" w:lineRule="exact"/>
        <w:ind w:firstLine="640" w:firstLineChars="200"/>
        <w:rPr>
          <w:rFonts w:hint="eastAsia" w:ascii="仿宋" w:hAnsi="仿宋" w:eastAsia="仿宋" w:cs="仿宋"/>
          <w:sz w:val="28"/>
          <w:szCs w:val="28"/>
        </w:rPr>
      </w:pPr>
      <w:r>
        <w:rPr>
          <w:rFonts w:hint="eastAsia" w:ascii="仿宋" w:hAnsi="仿宋" w:eastAsia="仿宋" w:cs="仿宋"/>
          <w:sz w:val="32"/>
          <w:szCs w:val="32"/>
        </w:rPr>
        <w:t>我单位编制人数59人，其中：行政编制31人（其中工勤2人）；事业编制28人。20</w:t>
      </w:r>
      <w:r>
        <w:rPr>
          <w:rFonts w:hint="eastAsia" w:ascii="仿宋" w:hAnsi="仿宋" w:eastAsia="仿宋" w:cs="仿宋"/>
          <w:sz w:val="32"/>
          <w:szCs w:val="32"/>
          <w:lang w:val="en-US" w:eastAsia="zh-CN"/>
        </w:rPr>
        <w:t>22</w:t>
      </w:r>
      <w:r>
        <w:rPr>
          <w:rFonts w:hint="eastAsia" w:ascii="仿宋" w:hAnsi="仿宋" w:eastAsia="仿宋" w:cs="仿宋"/>
          <w:sz w:val="32"/>
          <w:szCs w:val="32"/>
        </w:rPr>
        <w:t>年末实有人数</w:t>
      </w:r>
      <w:r>
        <w:rPr>
          <w:rFonts w:hint="eastAsia" w:ascii="仿宋" w:hAnsi="仿宋" w:eastAsia="仿宋" w:cs="仿宋"/>
          <w:sz w:val="32"/>
          <w:szCs w:val="32"/>
          <w:lang w:val="en-US" w:eastAsia="zh-CN"/>
        </w:rPr>
        <w:t>54</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29</w:t>
      </w:r>
      <w:r>
        <w:rPr>
          <w:rFonts w:hint="eastAsia" w:ascii="仿宋" w:hAnsi="仿宋" w:eastAsia="仿宋" w:cs="仿宋"/>
          <w:sz w:val="32"/>
          <w:szCs w:val="32"/>
        </w:rPr>
        <w:t>人（其中工勤1人）；事业</w:t>
      </w:r>
      <w:r>
        <w:rPr>
          <w:rFonts w:hint="eastAsia" w:ascii="仿宋" w:hAnsi="仿宋" w:eastAsia="仿宋" w:cs="仿宋"/>
          <w:sz w:val="32"/>
          <w:szCs w:val="32"/>
          <w:lang w:val="en-US" w:eastAsia="zh-CN"/>
        </w:rPr>
        <w:t>25</w:t>
      </w:r>
      <w:r>
        <w:rPr>
          <w:rFonts w:hint="eastAsia" w:ascii="仿宋" w:hAnsi="仿宋" w:eastAsia="仿宋" w:cs="仿宋"/>
          <w:sz w:val="32"/>
          <w:szCs w:val="32"/>
        </w:rPr>
        <w:t>人。20</w:t>
      </w:r>
      <w:r>
        <w:rPr>
          <w:rFonts w:hint="eastAsia" w:ascii="仿宋" w:hAnsi="仿宋" w:eastAsia="仿宋" w:cs="仿宋"/>
          <w:sz w:val="32"/>
          <w:szCs w:val="32"/>
          <w:lang w:val="en-US" w:eastAsia="zh-CN"/>
        </w:rPr>
        <w:t>22</w:t>
      </w:r>
      <w:r>
        <w:rPr>
          <w:rFonts w:hint="eastAsia" w:ascii="仿宋" w:hAnsi="仿宋" w:eastAsia="仿宋" w:cs="仿宋"/>
          <w:sz w:val="32"/>
          <w:szCs w:val="32"/>
        </w:rPr>
        <w:t>年末人数比20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人，其中：行政调</w:t>
      </w:r>
      <w:r>
        <w:rPr>
          <w:rFonts w:hint="eastAsia" w:ascii="仿宋" w:hAnsi="仿宋" w:eastAsia="仿宋" w:cs="仿宋"/>
          <w:sz w:val="32"/>
          <w:szCs w:val="32"/>
          <w:lang w:eastAsia="zh-CN"/>
        </w:rPr>
        <w:t>进</w:t>
      </w:r>
      <w:r>
        <w:rPr>
          <w:rFonts w:hint="eastAsia" w:ascii="仿宋" w:hAnsi="仿宋" w:eastAsia="仿宋" w:cs="仿宋"/>
          <w:sz w:val="32"/>
          <w:szCs w:val="32"/>
          <w:lang w:val="en-US" w:eastAsia="zh-CN"/>
        </w:rPr>
        <w:t>1人、</w:t>
      </w:r>
      <w:r>
        <w:rPr>
          <w:rFonts w:hint="eastAsia" w:ascii="仿宋" w:hAnsi="仿宋" w:eastAsia="仿宋" w:cs="仿宋"/>
          <w:sz w:val="32"/>
          <w:szCs w:val="32"/>
          <w:lang w:eastAsia="zh-CN"/>
        </w:rPr>
        <w:t>调出</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eastAsia="zh-CN"/>
        </w:rPr>
        <w:t>行政新参公增加</w:t>
      </w:r>
      <w:r>
        <w:rPr>
          <w:rFonts w:hint="eastAsia" w:ascii="仿宋" w:hAnsi="仿宋" w:eastAsia="仿宋" w:cs="仿宋"/>
          <w:sz w:val="32"/>
          <w:szCs w:val="32"/>
          <w:lang w:val="en-US" w:eastAsia="zh-CN"/>
        </w:rPr>
        <w:t>2人，</w:t>
      </w:r>
      <w:r>
        <w:rPr>
          <w:rFonts w:hint="eastAsia" w:ascii="仿宋" w:hAnsi="仿宋" w:eastAsia="仿宋" w:cs="仿宋"/>
          <w:sz w:val="32"/>
          <w:szCs w:val="32"/>
          <w:lang w:eastAsia="zh-CN"/>
        </w:rPr>
        <w:t>事业机构新参公增加</w:t>
      </w:r>
      <w:r>
        <w:rPr>
          <w:rFonts w:hint="eastAsia" w:ascii="仿宋" w:hAnsi="仿宋" w:eastAsia="仿宋" w:cs="仿宋"/>
          <w:sz w:val="32"/>
          <w:szCs w:val="32"/>
          <w:lang w:val="en-US" w:eastAsia="zh-CN"/>
        </w:rPr>
        <w:t>3人；</w:t>
      </w:r>
      <w:r>
        <w:rPr>
          <w:rFonts w:hint="eastAsia" w:ascii="仿宋" w:hAnsi="仿宋" w:eastAsia="仿宋" w:cs="仿宋"/>
          <w:sz w:val="32"/>
          <w:szCs w:val="32"/>
          <w:lang w:eastAsia="zh-CN"/>
        </w:rPr>
        <w:t>事业退休减少</w:t>
      </w:r>
      <w:r>
        <w:rPr>
          <w:rFonts w:hint="eastAsia" w:ascii="仿宋" w:hAnsi="仿宋" w:eastAsia="仿宋" w:cs="仿宋"/>
          <w:sz w:val="32"/>
          <w:szCs w:val="32"/>
          <w:lang w:val="en-US" w:eastAsia="zh-CN"/>
        </w:rPr>
        <w:t>1人</w:t>
      </w:r>
      <w:r>
        <w:rPr>
          <w:rFonts w:hint="eastAsia" w:ascii="仿宋" w:hAnsi="仿宋" w:eastAsia="仿宋" w:cs="仿宋"/>
          <w:sz w:val="32"/>
          <w:szCs w:val="32"/>
        </w:rPr>
        <w:t>。</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二、部门财政资金收支情况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杜绝铺张浪费之风，重申勤俭节约之风，确是一记当予敲响的警钟”。不论我们国家发展到什么水平，不论人民生活改善到什么地步，艰苦奋斗、勤俭节约的思想永远不能丢。今天，广大党员干部要继续弘扬勤俭节约的优良传统，努力使厉行节约、艰苦奋斗在全社会蔚然成风。部门财政资金收入支出也要风成于上，俗化于下。</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（一）部门财政资金收入情况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大竹县高穴镇人民政府为全额拨款单位，2022年初预算收入为1282.44万元，年末调整决算收入1624.97万元（其中：一般公共预算财政拨款收入1282.44万元，占78.92%；政府性基金预算财政拨款收入5万元，占0.3%），年初拨款结转结余337.53万元。</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（二）部门财政资金支出情况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1.基本支出</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基本支出主要用于发放在职、退休、村（社区）干部人员工资、行政办公、公务接待、公务用车运行维护费、电费、邮电费等日常支出。2022年基本支出940.21万元。其中：工资福利支出607.92万元；商品和服务支出为91.03万元；对个人和家庭的补助241.26万元。</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2022年“三公“经费支出总额为8万元。其中：公务用车运行维护费0万元，公务接待费8万元。未超预算开支。</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2.项目支出</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项目支出共684.76万元。其中：商品和服务支出为215.11万元；对个人和家庭补助支出171.93万元；资本性支出为297.72万元。</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三、部门整体预算绩效管理情况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每一项事业，不论大小，都是靠脚踏实地、一点一滴干出来的。“道虽迩，不行不至；事虽小，不为不成。”这是永恒的道理。中国的先人们早在2500多年前就认识到：“苟利于民，不必法古；苟周于事，不必循俗”。变革创新是推动人类社会向前发展的根本动力。</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（一）部门预算项目绩效管理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我单位绩效目标编制要素完整，对绩效指标进行细化、量化，并将评价部门绩效目标纳入党委会集体决策，我镇整体绩效目标各指标实现程度达100%，自评得分30分。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我镇日常公用经费及非定额公用支出年初预算数与决算数偏差程度都在10%以内，部门绩效监控调整取消额与结余注销额均为零，6、9、11月预算执行实际支出进度因预算审批较慢未达到要求，故此项自评得分19分。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我镇于12月预算执行进度达100%，资金结余率小于0.1，未出现部门预算管理方面违规违纪现象，自评得分20分。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（二）结果应用情况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我镇将下属单位绩效统一纳入考核体系，按要求将相关绩效信息公开，及时根据绩效管理过程中提出的问题进行整改，按规定时间向财政部门反馈应用绩效结果，自评得分20分。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楷体_GB2312" w:hAnsi="楷体_GB2312" w:eastAsia="楷体_GB2312" w:cs="楷体_GB2312"/>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（三）自评质量</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大竹县高穴镇人民政府部门整体支出自评准确率差异在5%之内，自评得分10分。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四、评价结论及建议</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楷体_GB2312" w:hAnsi="楷体_GB2312" w:eastAsia="楷体_GB2312" w:cs="楷体_GB2312"/>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（一）评价结论</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大竹县高穴镇人民政府在财政预算支出及项目支出方面，严格执行财经管理制度，项目实施进行跟踪检查，做到支出按进度拨款，财政项目资金按照管理程序进行管理并落到实处，充分发挥了财政资金效益，2023年部门整体支出绩效评价总分值为99分。</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楷体_GB2312" w:hAnsi="楷体_GB2312" w:eastAsia="楷体_GB2312" w:cs="楷体_GB2312"/>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（二）存在问题</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1.预算审批较慢，难以满足乡镇支出的需求，计划审核不够及时，导致该用某一指标时，未能及时审核，导致预算执行过程中压力过大。</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2.乡镇干部人员工资较低，因人员紧缺都是“一对多”的工作，业务操作水平有限，实际操作中难度增加，加大了基层工作人员的工作压力。</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3.对绩效目标评价工作认识不够，工作开展形成了一定阻力。</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default"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4.工作机制有待进一步完善，由于在平时工作中未加强对绩效监控工作的重视，绩效监控工作容易滞后，未形成对绩效目标进行监控的习惯。</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5.单位各部门衔接不及时，无法及时监控预算绩效目标实施情况。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6.部门整体支出的资金安排和使用上仍有不可预见性，在实际工作中有资金延迟到位的情况。</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7.乡镇基层工作繁杂，很多资金并未纳入预算，例如垃圾的清运处理等经费县财政未纳入预算，资金缺口大，公用经费支出太大。</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楷体_GB2312" w:hAnsi="楷体_GB2312" w:eastAsia="楷体_GB2312" w:cs="楷体_GB2312"/>
          <w:i w:val="0"/>
          <w:iCs w:val="0"/>
          <w:color w:val="auto"/>
          <w:spacing w:val="0"/>
          <w:sz w:val="32"/>
          <w:szCs w:val="32"/>
          <w:shd w:val="clear" w:fill="FFFFFF"/>
          <w:lang w:val="en-US" w:eastAsia="zh-CN"/>
        </w:rPr>
      </w:pPr>
      <w:r>
        <w:rPr>
          <w:rFonts w:hint="eastAsia" w:ascii="楷体_GB2312" w:hAnsi="楷体_GB2312" w:eastAsia="楷体_GB2312" w:cs="楷体_GB2312"/>
          <w:i w:val="0"/>
          <w:iCs w:val="0"/>
          <w:color w:val="auto"/>
          <w:spacing w:val="0"/>
          <w:sz w:val="32"/>
          <w:szCs w:val="32"/>
          <w:shd w:val="clear" w:fill="FFFFFF"/>
          <w:lang w:val="en-US" w:eastAsia="zh-CN"/>
        </w:rPr>
        <w:t>（三）改进建议</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1.坚持把绩效评价理念贯穿管理全过程，在今后的工作中加强对绩效评价的认识，用绩效评价方法考核工作细节和预算指标。</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2.细化预算编制工作，严格按照预算编制的相关制度和要求做好预算的编制，进一步加强预算管理意识；全面编制预算项目，优先保障固定的、相对刚性的费用支出项目，尽量压缩变动的、有控制空间的费用项目，进一步提高预算编制的科学性、严谨性和可控性。</w:t>
      </w:r>
    </w:p>
    <w:p>
      <w:pPr>
        <w:pStyle w:val="13"/>
        <w:keepNext w:val="0"/>
        <w:keepLines w:val="0"/>
        <w:pageBreakBefore w:val="0"/>
        <w:widowControl w:val="0"/>
        <w:kinsoku/>
        <w:wordWrap/>
        <w:overflowPunct/>
        <w:topLinePunct w:val="0"/>
        <w:bidi w:val="0"/>
        <w:snapToGrid/>
        <w:spacing w:line="578" w:lineRule="exact"/>
        <w:ind w:left="0" w:leftChars="0" w:firstLine="640" w:firstLineChars="200"/>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3.建立健全财务管理制度及内部控制制度，积极探索在新形势下财政支出改革的特点，不断更新管理思路，在规范财政收支和控制经费增长上，创新管理手段，用新思路、新方法，改进完善财务管理方法。严格财务审核，在费用报账支付时，按照预算规定的费用项目和用途进行资金审核、列报支付、财务核算，杜绝超支现象的发生。</w:t>
      </w:r>
    </w:p>
    <w:p>
      <w:pPr>
        <w:pStyle w:val="13"/>
        <w:keepNext w:val="0"/>
        <w:keepLines w:val="0"/>
        <w:pageBreakBefore w:val="0"/>
        <w:widowControl w:val="0"/>
        <w:kinsoku/>
        <w:wordWrap/>
        <w:overflowPunct/>
        <w:topLinePunct w:val="0"/>
        <w:bidi w:val="0"/>
        <w:snapToGrid/>
        <w:spacing w:line="578" w:lineRule="exact"/>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p>
    <w:p>
      <w:pPr>
        <w:pStyle w:val="13"/>
        <w:keepNext w:val="0"/>
        <w:keepLines w:val="0"/>
        <w:pageBreakBefore w:val="0"/>
        <w:widowControl w:val="0"/>
        <w:kinsoku/>
        <w:wordWrap/>
        <w:overflowPunct/>
        <w:topLinePunct w:val="0"/>
        <w:bidi w:val="0"/>
        <w:snapToGrid/>
        <w:spacing w:line="578" w:lineRule="exact"/>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p>
    <w:p>
      <w:pPr>
        <w:pStyle w:val="13"/>
        <w:keepNext w:val="0"/>
        <w:keepLines w:val="0"/>
        <w:pageBreakBefore w:val="0"/>
        <w:widowControl w:val="0"/>
        <w:kinsoku/>
        <w:wordWrap/>
        <w:overflowPunct/>
        <w:topLinePunct w:val="0"/>
        <w:bidi w:val="0"/>
        <w:snapToGrid/>
        <w:spacing w:line="578" w:lineRule="exact"/>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 xml:space="preserve">                     大竹县高穴镇人民政府</w:t>
      </w:r>
    </w:p>
    <w:p>
      <w:pPr>
        <w:pStyle w:val="13"/>
        <w:keepNext w:val="0"/>
        <w:keepLines w:val="0"/>
        <w:pageBreakBefore w:val="0"/>
        <w:widowControl w:val="0"/>
        <w:kinsoku/>
        <w:wordWrap/>
        <w:overflowPunct/>
        <w:topLinePunct w:val="0"/>
        <w:bidi w:val="0"/>
        <w:snapToGrid/>
        <w:spacing w:line="578" w:lineRule="exact"/>
        <w:textAlignment w:val="auto"/>
        <w:rPr>
          <w:rFonts w:hint="eastAsia" w:ascii="Times New Roman" w:hAnsi="Times New Roman" w:eastAsia="仿宋_GB2312" w:cs="Times New Roman"/>
          <w:i w:val="0"/>
          <w:iCs w:val="0"/>
          <w:color w:val="auto"/>
          <w:spacing w:val="0"/>
          <w:sz w:val="32"/>
          <w:szCs w:val="32"/>
          <w:shd w:val="clear" w:fill="FFFFFF"/>
          <w:lang w:val="en-US" w:eastAsia="zh-CN"/>
        </w:rPr>
      </w:pPr>
      <w:r>
        <w:rPr>
          <w:rFonts w:hint="eastAsia" w:ascii="Times New Roman" w:hAnsi="Times New Roman" w:eastAsia="仿宋_GB2312" w:cs="Times New Roman"/>
          <w:i w:val="0"/>
          <w:iCs w:val="0"/>
          <w:color w:val="auto"/>
          <w:spacing w:val="0"/>
          <w:sz w:val="32"/>
          <w:szCs w:val="32"/>
          <w:shd w:val="clear" w:fill="FFFFFF"/>
          <w:lang w:val="en-US" w:eastAsia="zh-CN"/>
        </w:rPr>
        <w:t xml:space="preserve">                        2023年6月18日</w:t>
      </w:r>
    </w:p>
    <w:tbl>
      <w:tblPr>
        <w:tblW w:w="52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4"/>
        <w:gridCol w:w="734"/>
        <w:gridCol w:w="736"/>
        <w:gridCol w:w="481"/>
        <w:gridCol w:w="2399"/>
        <w:gridCol w:w="1494"/>
        <w:gridCol w:w="481"/>
        <w:gridCol w:w="484"/>
        <w:gridCol w:w="481"/>
        <w:gridCol w:w="484"/>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4" w:hRule="atLeast"/>
        </w:trPr>
        <w:tc>
          <w:tcPr>
            <w:tcW w:w="5000" w:type="pct"/>
            <w:gridSpan w:val="11"/>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高穴镇2023年部门整体支出绩效评价指标体系（适用于无专项预算项目的部门）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22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绩效指标</w:t>
            </w:r>
          </w:p>
        </w:tc>
        <w:tc>
          <w:tcPr>
            <w:tcW w:w="26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指标分值</w:t>
            </w:r>
          </w:p>
        </w:tc>
        <w:tc>
          <w:tcPr>
            <w:tcW w:w="133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指标解释</w:t>
            </w:r>
          </w:p>
        </w:tc>
        <w:tc>
          <w:tcPr>
            <w:tcW w:w="830"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计分标准</w:t>
            </w:r>
          </w:p>
        </w:tc>
        <w:tc>
          <w:tcPr>
            <w:tcW w:w="5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评价方式</w:t>
            </w:r>
          </w:p>
        </w:tc>
        <w:tc>
          <w:tcPr>
            <w:tcW w:w="5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评价属性</w:t>
            </w:r>
          </w:p>
        </w:tc>
        <w:tc>
          <w:tcPr>
            <w:tcW w:w="2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一级指标</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二级指标</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三级指标</w:t>
            </w:r>
          </w:p>
        </w:tc>
        <w:tc>
          <w:tcPr>
            <w:tcW w:w="2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3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830"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267"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整体评价</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样本评价</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定性评价</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定量评价</w:t>
            </w:r>
          </w:p>
        </w:tc>
        <w:tc>
          <w:tcPr>
            <w:tcW w:w="2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0"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部门预算绩效管理（70分）</w:t>
            </w: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目标管理（30分）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目标制定</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评价部门绩效目标是否要素完整、细化量化并集体决策。</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1.绩效目标编制要素完整的，得5分，否则酌情扣分。                                                       2.绩效指标细化量化的，得5分，否则酌情扣分。                  3.评价部门绩效目标纳入部门党组（委）会（办公会）集体决策范围的得5分，否则不得分。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目标实现</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评价部门绩效目标实际实现程度与预期目标的偏离度。</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整体绩效目标各指标的实现程度*100%*15。</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3"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动态调整（20分）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支出控制</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部门公用经费及非定额公用支出控制情况。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计算部门日常公用经费、项目支出中“差旅费、印刷费、培训费、会议费、办公费、公务接待费”等科目年初预算数与决算数偏差程度。                                                            预决算偏差程度在10%以内的，得5分。偏差度在10%-20%之间的，得2分，偏差度超过20%的，不得分。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9"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及时处置</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评价部门开展绩效运行监控后，将绩效监控结果应用到预算调整的情况。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1.当部门绩效监控调整取消额和结余注销额均不为零时，指标得分=部门支出绩效监控调整取消额÷(部门绩效监控调整取消额+预算结余注销额）*10。                                                2.当部门绩效监控调整取消额为零，结余注销额不为零时，指标得分=（1-10*结余注销额/年度预算总额）*10，结余注销额超过部门年度预算总额10%的，指标不得分。                  3.当部门绩效监控调整取消额与结余注销额均为零时，得满分。                                                             </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1"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执行进度</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评价部门在6、9、11月的预算执行情况。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部门预算执行进度在6、9、11月应达到序时进度的80%、90%、90%，即实际支出进度分别达到40%、67.5%、82.5%。                                                     6、9、11月部门预算执行进度达到量化指标的分别得1、2、2分，未达到目标进度的的按其实际进度占目标进度的比重计算得分。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5"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完成结果（20分）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预算完成</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评价部门预算年终预算执行情况。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部门预算12月预算执行进度达到100%的，得10分，未达100%的，按照实际进度量化计算得分。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资金结余率（低效无效率）</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评价部门预算年终资金结余情况。                 </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部门预算资金结余率小于0.1为5分。每递增0.05扣1分。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7"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违规记录</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根据审计监督、财政检查结果反映部门上一年度部门预算管理是否合规。</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依据评价年度审计监督、财政检查结果，出现部门预算管理方面违纪违规问题的，每个问题扣0.5分，直至扣完。</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3"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绩效结果应用（20分）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内部应用（6分）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预算挂钩</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部门内部绩效结果与预算挂钩情况。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将内设机构和下属单位绩效自评纳入考核体系，建立对内设机构和下属单位预算与绩效挂钩机制的，得4分，否则酌情扣分。    </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信息公开（4分)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自评公开</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评价部门是否按要求将部门整体绩效自评情况和自行组织的评价情况向社会公开。</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按要求将相关绩效信息公开的，得4分，否则不得分。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7"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整改反馈（10分）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问题整改</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评价部门根据绩效管理结果整改问题、完善政策、改进管理的情况。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针对绩效管理过程中（包括绩效目标核查、绩效监控核查和重点绩效评价）提出的问题进行整改，得5分，否则酌情扣分。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3"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应用反馈</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评价部门按要求及时向财政部门反馈结果应用情况。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部门在规定时间内向财政部门反馈应用绩效结果报告的，得5分，否则不得分。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0" w:hRule="atLeast"/>
        </w:trPr>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自评质量（10分）</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自评质量</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自评质量</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评价部门整体支出自评准确率。</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部门整体支出自评得分与评价组抽查得分差异在5%以内的，不扣分；在5%-10%之间的，扣4分，在10%-20%的，扣8分，在20%以上的，扣10分。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8" w:hRule="atLeast"/>
        </w:trPr>
        <w:tc>
          <w:tcPr>
            <w:tcW w:w="122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扣分项（10分）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3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被评价单位配合评价工作情况。</w:t>
            </w:r>
          </w:p>
        </w:tc>
        <w:tc>
          <w:tcPr>
            <w:tcW w:w="8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财政重点绩效评价工作开展过程中，评价组发现被评价对象拖延推诿、提交资料不及时等拒不配合评价工作的，经报财政局复核确认后按0.5分/次予以扣分，最高扣10分</w:t>
            </w: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2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bl>
    <w:p>
      <w:pPr>
        <w:pStyle w:val="13"/>
        <w:keepNext w:val="0"/>
        <w:keepLines w:val="0"/>
        <w:pageBreakBefore w:val="0"/>
        <w:widowControl w:val="0"/>
        <w:kinsoku/>
        <w:wordWrap/>
        <w:overflowPunct/>
        <w:topLinePunct w:val="0"/>
        <w:bidi w:val="0"/>
        <w:snapToGrid/>
        <w:spacing w:line="578" w:lineRule="exact"/>
        <w:textAlignment w:val="auto"/>
        <w:rPr>
          <w:rFonts w:ascii="仿宋_GB2312" w:hAnsi="仿宋_GB2312" w:eastAsia="仿宋_GB2312" w:cs="仿宋_GB2312"/>
          <w:color w:val="FF0000"/>
          <w:sz w:val="32"/>
          <w:szCs w:val="32"/>
        </w:rPr>
      </w:pPr>
    </w:p>
    <w:p>
      <w:pPr>
        <w:pStyle w:val="13"/>
        <w:keepNext w:val="0"/>
        <w:keepLines w:val="0"/>
        <w:pageBreakBefore w:val="0"/>
        <w:widowControl w:val="0"/>
        <w:kinsoku/>
        <w:wordWrap/>
        <w:overflowPunct/>
        <w:topLinePunct w:val="0"/>
        <w:bidi w:val="0"/>
        <w:snapToGrid/>
        <w:spacing w:line="578" w:lineRule="exact"/>
        <w:textAlignment w:val="auto"/>
        <w:rPr>
          <w:rFonts w:ascii="仿宋_GB2312" w:hAnsi="仿宋_GB2312" w:eastAsia="仿宋_GB2312" w:cs="仿宋_GB2312"/>
          <w:color w:val="FF0000"/>
          <w:sz w:val="32"/>
          <w:szCs w:val="32"/>
        </w:rPr>
      </w:pPr>
    </w:p>
    <w:p>
      <w:pPr>
        <w:pStyle w:val="13"/>
        <w:keepNext w:val="0"/>
        <w:keepLines w:val="0"/>
        <w:pageBreakBefore w:val="0"/>
        <w:widowControl w:val="0"/>
        <w:kinsoku/>
        <w:wordWrap/>
        <w:overflowPunct/>
        <w:topLinePunct w:val="0"/>
        <w:bidi w:val="0"/>
        <w:snapToGrid/>
        <w:spacing w:line="578" w:lineRule="exact"/>
        <w:textAlignment w:val="auto"/>
        <w:rPr>
          <w:rFonts w:ascii="仿宋_GB2312" w:hAnsi="仿宋_GB2312" w:eastAsia="仿宋_GB2312" w:cs="仿宋_GB2312"/>
          <w:color w:val="FF0000"/>
          <w:sz w:val="32"/>
          <w:szCs w:val="32"/>
        </w:rPr>
      </w:pPr>
    </w:p>
    <w:p>
      <w:pPr>
        <w:pStyle w:val="13"/>
        <w:keepNext w:val="0"/>
        <w:keepLines w:val="0"/>
        <w:pageBreakBefore w:val="0"/>
        <w:widowControl w:val="0"/>
        <w:kinsoku/>
        <w:wordWrap/>
        <w:overflowPunct/>
        <w:topLinePunct w:val="0"/>
        <w:bidi w:val="0"/>
        <w:snapToGrid/>
        <w:spacing w:line="578" w:lineRule="exact"/>
        <w:textAlignment w:val="auto"/>
        <w:rPr>
          <w:rFonts w:ascii="仿宋_GB2312" w:hAnsi="仿宋_GB2312" w:eastAsia="仿宋_GB2312" w:cs="仿宋_GB2312"/>
          <w:color w:val="FF0000"/>
          <w:sz w:val="32"/>
          <w:szCs w:val="32"/>
        </w:rPr>
      </w:pPr>
    </w:p>
    <w:p>
      <w:pPr>
        <w:spacing w:line="580" w:lineRule="exact"/>
        <w:rPr>
          <w:rFonts w:ascii="仿宋_GB2312" w:hAnsi="仿宋_GB2312" w:eastAsia="仿宋_GB2312" w:cs="仿宋_GB2312"/>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pStyle w:val="34"/>
        <w:keepNext w:val="0"/>
        <w:keepLines w:val="0"/>
        <w:pageBreakBefore w:val="0"/>
        <w:widowControl w:val="0"/>
        <w:kinsoku/>
        <w:wordWrap/>
        <w:overflowPunct/>
        <w:topLinePunct w:val="0"/>
        <w:autoSpaceDE/>
        <w:autoSpaceDN/>
        <w:bidi w:val="0"/>
        <w:spacing w:line="570" w:lineRule="exact"/>
        <w:jc w:val="center"/>
        <w:textAlignment w:val="auto"/>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auto"/>
          <w:sz w:val="44"/>
          <w:szCs w:val="44"/>
          <w:lang w:val="en-US" w:eastAsia="zh-CN"/>
        </w:rPr>
        <w:t>高穴镇</w:t>
      </w:r>
      <w:r>
        <w:rPr>
          <w:rFonts w:hint="eastAsia" w:ascii="方正小标宋简体" w:hAnsi="宋体" w:eastAsia="方正小标宋简体"/>
          <w:color w:val="auto"/>
          <w:sz w:val="44"/>
          <w:szCs w:val="44"/>
          <w:lang w:eastAsia="zh-CN"/>
        </w:rPr>
        <w:t>人民政府</w:t>
      </w:r>
    </w:p>
    <w:p>
      <w:pPr>
        <w:pStyle w:val="34"/>
        <w:keepNext w:val="0"/>
        <w:keepLines w:val="0"/>
        <w:pageBreakBefore w:val="0"/>
        <w:widowControl w:val="0"/>
        <w:kinsoku/>
        <w:wordWrap/>
        <w:overflowPunct/>
        <w:topLinePunct w:val="0"/>
        <w:autoSpaceDE/>
        <w:autoSpaceDN/>
        <w:bidi w:val="0"/>
        <w:spacing w:line="570" w:lineRule="exact"/>
        <w:jc w:val="center"/>
        <w:textAlignment w:val="auto"/>
        <w:rPr>
          <w:rFonts w:ascii="仿宋_GB2312" w:hAnsi="宋体" w:eastAsia="仿宋_GB2312"/>
          <w:color w:val="auto"/>
          <w:kern w:val="2"/>
          <w:sz w:val="32"/>
          <w:szCs w:val="32"/>
        </w:rPr>
      </w:pPr>
      <w:r>
        <w:rPr>
          <w:rFonts w:hint="eastAsia" w:ascii="方正小标宋简体" w:hAnsi="宋体" w:eastAsia="方正小标宋简体"/>
          <w:color w:val="auto"/>
          <w:sz w:val="44"/>
          <w:szCs w:val="44"/>
        </w:rPr>
        <w:t>项目支出绩效自评报告</w:t>
      </w:r>
    </w:p>
    <w:p>
      <w:pPr>
        <w:pStyle w:val="35"/>
        <w:tabs>
          <w:tab w:val="left" w:pos="1871"/>
        </w:tabs>
        <w:spacing w:line="578" w:lineRule="atLeast"/>
        <w:ind w:left="0" w:firstLine="640" w:firstLineChars="200"/>
        <w:jc w:val="both"/>
        <w:rPr>
          <w:rFonts w:ascii="Times New Roman" w:hAnsi="Times New Roman" w:eastAsia="黑体" w:cs="Times New Roman"/>
          <w:b w:val="0"/>
          <w:color w:val="auto"/>
          <w:sz w:val="32"/>
          <w:szCs w:val="32"/>
          <w:lang w:val="en-US" w:eastAsia="zh-CN"/>
        </w:rPr>
      </w:pPr>
    </w:p>
    <w:p>
      <w:pPr>
        <w:pStyle w:val="35"/>
        <w:tabs>
          <w:tab w:val="left" w:pos="1871"/>
        </w:tabs>
        <w:spacing w:line="578" w:lineRule="atLeast"/>
        <w:ind w:left="0" w:firstLine="640" w:firstLineChars="200"/>
        <w:jc w:val="both"/>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 xml:space="preserve">一、项目基本情况 </w:t>
      </w:r>
    </w:p>
    <w:p>
      <w:pPr>
        <w:pStyle w:val="36"/>
        <w:spacing w:line="578"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val="en-US" w:eastAsia="zh-CN"/>
        </w:rPr>
        <w:t>绩效名称：高穴镇人民政府五治工作经费</w:t>
      </w:r>
    </w:p>
    <w:p>
      <w:pPr>
        <w:pStyle w:val="36"/>
        <w:spacing w:line="578" w:lineRule="atLeas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val="en-US" w:eastAsia="zh-CN"/>
        </w:rPr>
        <w:t xml:space="preserve">（二）项目起止日期 </w:t>
      </w:r>
      <w:r>
        <w:rPr>
          <w:rFonts w:hint="eastAsia" w:ascii="Times New Roman" w:hAnsi="Times New Roman" w:eastAsia="仿宋_GB2312" w:cs="Times New Roman"/>
          <w:color w:val="auto"/>
          <w:sz w:val="32"/>
          <w:szCs w:val="32"/>
          <w:lang w:val="en-US" w:eastAsia="zh-CN"/>
        </w:rPr>
        <w:t>：2022年1月1日至2022年12月31日</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（三）项目主要内容、涉及范围 </w:t>
      </w:r>
      <w:r>
        <w:rPr>
          <w:rFonts w:hint="eastAsia" w:ascii="Times New Roman" w:hAnsi="Times New Roman" w:eastAsia="仿宋_GB2312" w:cs="Times New Roman"/>
          <w:color w:val="auto"/>
          <w:sz w:val="32"/>
          <w:szCs w:val="32"/>
          <w:lang w:val="en-US" w:eastAsia="zh-CN"/>
        </w:rPr>
        <w:t>：</w:t>
      </w:r>
    </w:p>
    <w:p>
      <w:pPr>
        <w:pStyle w:val="36"/>
        <w:spacing w:line="578" w:lineRule="atLeast"/>
        <w:ind w:firstLine="640" w:firstLineChars="200"/>
        <w:rPr>
          <w:rFonts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eastAsia="zh-CN"/>
        </w:rPr>
        <w:t>五治工作包</w:t>
      </w:r>
      <w:r>
        <w:rPr>
          <w:rFonts w:hint="eastAsia" w:ascii="Times New Roman" w:hAnsi="Times New Roman" w:eastAsia="仿宋_GB2312" w:cs="Times New Roman"/>
          <w:b w:val="0"/>
          <w:bCs w:val="0"/>
          <w:kern w:val="2"/>
          <w:sz w:val="32"/>
          <w:szCs w:val="32"/>
          <w:lang w:val="en-US" w:eastAsia="zh-CN" w:bidi="ar-SA"/>
        </w:rPr>
        <w:t>括全镇范围内垃圾清扫、清运、外包处理，垃圾池建设，场镇保洁，购买垃圾桶，河道清理，废弃口罩等特殊２有害垃圾收集运输处</w:t>
      </w:r>
      <w:r>
        <w:rPr>
          <w:rFonts w:hint="eastAsia" w:ascii="Times New Roman" w:hAnsi="Times New Roman" w:eastAsia="仿宋_GB2312" w:cs="Times New Roman"/>
          <w:color w:val="auto"/>
          <w:sz w:val="32"/>
          <w:szCs w:val="32"/>
          <w:lang w:val="en-US" w:eastAsia="zh-CN"/>
        </w:rPr>
        <w:t>置。</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（四）项目资金（包括财政资金、自筹资金等）投入安排情况 </w:t>
      </w:r>
      <w:r>
        <w:rPr>
          <w:rFonts w:hint="eastAsia" w:ascii="Times New Roman" w:hAnsi="Times New Roman" w:eastAsia="仿宋_GB2312" w:cs="Times New Roman"/>
          <w:color w:val="auto"/>
          <w:sz w:val="32"/>
          <w:szCs w:val="32"/>
          <w:lang w:val="en-US" w:eastAsia="zh-CN"/>
        </w:rPr>
        <w:t>：</w:t>
      </w:r>
    </w:p>
    <w:p>
      <w:pPr>
        <w:pStyle w:val="36"/>
        <w:spacing w:line="578" w:lineRule="atLeast"/>
        <w:ind w:firstLine="640" w:firstLineChars="200"/>
        <w:rPr>
          <w:rFonts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eastAsia="zh-CN"/>
        </w:rPr>
        <w:t>年初预算“五治”工作经费共45.28万元，调整预算“五治”工作经费为45.04万元，我镇投入自有资金13.24万元。</w:t>
      </w:r>
    </w:p>
    <w:p>
      <w:pPr>
        <w:pStyle w:val="35"/>
        <w:tabs>
          <w:tab w:val="left" w:pos="1871"/>
        </w:tabs>
        <w:spacing w:line="578" w:lineRule="atLeast"/>
        <w:ind w:left="0" w:firstLine="640" w:firstLineChars="200"/>
        <w:jc w:val="both"/>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 xml:space="preserve">二、绩效目标的核对和确定情况 </w:t>
      </w:r>
    </w:p>
    <w:p>
      <w:pPr>
        <w:pStyle w:val="36"/>
        <w:spacing w:line="578" w:lineRule="atLeast"/>
        <w:ind w:firstLine="640" w:firstLineChars="200"/>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（一）项目绩效目标设定情况 </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总体目标：完成全镇垃圾清运、清扫、保洁、修枝除杂等工作；分三级指标进行保障，确保达到预算项目支出绩效目标值。确保群众满意度指标值达到95%以上。</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其中一级目标：1、项目完成，2、项目效益；二级指标：数量指标、质量指标、时效指标、成本指标；经济效益指标、社会效益指标、生态效益指标、可持续影响；三级指标：分列指标细项确定指标目标，达到相应的绩效目标指标值。其中一、项目完成数量指标1：及时清理全镇垃圾，包括垃圾压缩、运输处理和场镇清扫、保洁工作；质量指标：全镇垃圾无外露及时运输处理，保障全镇的清洁卫生，共创文明美丽的高穴镇；时效指标1：做好全镇垃圾日产日销，及时运输处理；时效指标2：日常保洁正常开展；成本指标1：垃圾及时清运，成本指标2：日常保洁；二、项目效益指标</w:t>
      </w:r>
    </w:p>
    <w:p>
      <w:pPr>
        <w:pStyle w:val="36"/>
        <w:numPr>
          <w:ilvl w:val="0"/>
          <w:numId w:val="4"/>
        </w:numPr>
        <w:spacing w:line="578" w:lineRule="atLeast"/>
        <w:ind w:firstLine="960" w:firstLineChars="3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经济效益指标:保障全镇工作正常有序、高质量、高效率的开展；</w:t>
      </w:r>
    </w:p>
    <w:p>
      <w:pPr>
        <w:pStyle w:val="36"/>
        <w:numPr>
          <w:ilvl w:val="0"/>
          <w:numId w:val="4"/>
        </w:numPr>
        <w:spacing w:line="578" w:lineRule="atLeast"/>
        <w:ind w:left="0" w:leftChars="0" w:firstLine="960" w:firstLineChars="3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社会效益指标：垃圾收集、转运、压缩处理及时，社会反响良好，解决了垃圾乱到问题，保障农村环境干净卫生，减少环境污染；</w:t>
      </w:r>
    </w:p>
    <w:p>
      <w:pPr>
        <w:pStyle w:val="36"/>
        <w:numPr>
          <w:ilvl w:val="0"/>
          <w:numId w:val="4"/>
        </w:numPr>
        <w:spacing w:line="578" w:lineRule="atLeast"/>
        <w:ind w:left="0" w:leftChars="0" w:firstLine="960" w:firstLineChars="3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生态目标指标①：垃圾统一运输、统一分类处理，节约成本；</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生态目标指标②：由于垃圾的及时转运与处理，</w:t>
      </w:r>
      <w:r>
        <w:rPr>
          <w:rFonts w:hint="eastAsia" w:ascii="Times New Roman" w:hAnsi="Times New Roman" w:eastAsia="仿宋_GB2312" w:cs="Times New Roman"/>
          <w:b w:val="0"/>
          <w:bCs w:val="0"/>
          <w:kern w:val="2"/>
          <w:sz w:val="32"/>
          <w:szCs w:val="32"/>
          <w:lang w:val="en-US" w:eastAsia="zh-CN" w:bidi="ar-SA"/>
        </w:rPr>
        <w:t>大大</w:t>
      </w:r>
      <w:r>
        <w:rPr>
          <w:rFonts w:hint="eastAsia" w:ascii="Times New Roman" w:hAnsi="Times New Roman" w:eastAsia="仿宋_GB2312" w:cs="Times New Roman"/>
          <w:color w:val="auto"/>
          <w:sz w:val="32"/>
          <w:szCs w:val="32"/>
          <w:lang w:val="en-US" w:eastAsia="zh-CN"/>
        </w:rPr>
        <w:t>减少垃圾的乱丢、乱倒、乱放给环境带来的污染。</w:t>
      </w:r>
    </w:p>
    <w:p>
      <w:pPr>
        <w:pStyle w:val="36"/>
        <w:numPr>
          <w:ilvl w:val="0"/>
          <w:numId w:val="5"/>
        </w:numPr>
        <w:spacing w:line="578" w:lineRule="atLeast"/>
        <w:ind w:firstLine="640" w:firstLineChars="200"/>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项目绩效目标核对和确定情况（如有调整，应说明原因） </w:t>
      </w:r>
    </w:p>
    <w:p>
      <w:pPr>
        <w:pStyle w:val="36"/>
        <w:numPr>
          <w:ilvl w:val="0"/>
          <w:numId w:val="0"/>
        </w:numPr>
        <w:spacing w:line="578" w:lineRule="atLeas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通过日常工作的开展，每天全镇垃圾的清扫、收集、处理，以及保洁工作的正常开展。做到专人监管，列支台账，签订合同等方式确定了全镇全年1400余吨的垃圾运输处理，全镇17名保洁人员全年365天的坚守岗位、做好本职；镇、村（社区）成立专门环境治理小组，不定期不定时对运输处理情况进行检查，发现问题24小时内解决，对落实不到位的村或社区进行追责问责处理。其中每月垃圾清运费用3余万元，日常保洁全年20余万元。通过采用传统的垃圾处理加创新的垃圾分类，回收处理等方式，减少资源浪费，节约成本，减少污染，走可持续发展路线，以实现群众满意度95%以上。为乡村振兴，共创和谐美丽高穴助力。</w:t>
      </w:r>
    </w:p>
    <w:p>
      <w:pPr>
        <w:pStyle w:val="35"/>
        <w:tabs>
          <w:tab w:val="left" w:pos="1871"/>
        </w:tabs>
        <w:spacing w:line="578" w:lineRule="atLeast"/>
        <w:ind w:left="0" w:firstLine="640" w:firstLineChars="200"/>
        <w:jc w:val="both"/>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三、项目资金使用情况</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（一）项目资金实际拨付情况</w:t>
      </w:r>
    </w:p>
    <w:p>
      <w:pPr>
        <w:pStyle w:val="36"/>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2022年1-12月以来：镇财政已拨付58.28万元用于全镇的垃圾清运及保洁工作的开展，已支付完成额为全镇全年五治经费总额的100%。其中：垃圾清运每月10车，每月垃圾运输费500元*10车=5000元/月；垃圾处理费960元*10车=9600元/车，转运工工资3800*2=7600元/月/2人，压缩工工资1500*2=3000元/月，油费5000元/月，保险+审车，1000元/月，共计  374400 元；保洁人员工资 1000元/月/人，全镇17名每月17000 元，全年工具费（扫帚、斗车、阳铲等）4400元，共计  208400元。</w:t>
      </w:r>
    </w:p>
    <w:p>
      <w:pPr>
        <w:pStyle w:val="36"/>
        <w:numPr>
          <w:ilvl w:val="0"/>
          <w:numId w:val="0"/>
        </w:numPr>
        <w:spacing w:line="578" w:lineRule="atLeas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（二）项目完成进度或合同拨付等应拨付情况</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Chars="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通过实际的场镇运维及垃圾清运完成情况，从2022年1月-2022年12月以来，全镇共清运垃圾 120车，共计 1400余吨；已完成全镇全年垃圾清运总量的100%。根据合同约定，应拨付合同金额 58.28万元，已实现合同拨付资金 58.28万元，其中：垃圾清运37.44万元，保洁工作及工具费20.84万元）做到了按时按约完成支付，确保全镇五治工作正常有序高质量、高效益的开展。</w:t>
      </w:r>
    </w:p>
    <w:p>
      <w:pPr>
        <w:pStyle w:val="36"/>
        <w:keepNext w:val="0"/>
        <w:keepLines w:val="0"/>
        <w:pageBreakBefore w:val="0"/>
        <w:widowControl w:val="0"/>
        <w:numPr>
          <w:ilvl w:val="0"/>
          <w:numId w:val="5"/>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差异分析</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Chars="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由于2022年的新冠疫请以及自然灾害等的巨大破坏，给全镇的环境治理、垃圾清运处理，保洁工作的开展，增加了巨大的工作量，同时也投入了更多的财力、人力、物力。进而导致项目绩效目标与实际绩效目标有一定的偏差，造成了成本指标增加了20%以上。天灾无情，人间有爱，通过全镇党委政府、村（社区）、社会有爱人士、全镇群众共同努力，战胜了洪灾、改善了环境、减少了污染，节约了相应成本，提升了群众幸福感，并在未来的工作中持续改善，修正绩效目标偏差，圆满完成2022年的项目绩效目标。</w:t>
      </w:r>
    </w:p>
    <w:p>
      <w:pPr>
        <w:pStyle w:val="35"/>
        <w:keepNext w:val="0"/>
        <w:keepLines w:val="0"/>
        <w:pageBreakBefore w:val="0"/>
        <w:widowControl w:val="0"/>
        <w:tabs>
          <w:tab w:val="left" w:pos="1871"/>
        </w:tabs>
        <w:kinsoku/>
        <w:wordWrap/>
        <w:overflowPunct/>
        <w:topLinePunct w:val="0"/>
        <w:autoSpaceDE/>
        <w:autoSpaceDN/>
        <w:bidi w:val="0"/>
        <w:adjustRightInd/>
        <w:snapToGrid/>
        <w:spacing w:line="578" w:lineRule="atLeast"/>
        <w:ind w:left="0" w:leftChars="0" w:firstLine="640" w:firstLineChars="200"/>
        <w:jc w:val="both"/>
        <w:textAlignment w:val="auto"/>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 xml:space="preserve">四、项目绩效情况 </w:t>
      </w:r>
    </w:p>
    <w:p>
      <w:pPr>
        <w:pStyle w:val="36"/>
        <w:keepNext w:val="0"/>
        <w:keepLines w:val="0"/>
        <w:pageBreakBefore w:val="0"/>
        <w:widowControl w:val="0"/>
        <w:kinsoku/>
        <w:wordWrap/>
        <w:overflowPunct/>
        <w:topLinePunct w:val="0"/>
        <w:autoSpaceDE/>
        <w:autoSpaceDN/>
        <w:bidi w:val="0"/>
        <w:adjustRightInd/>
        <w:snapToGrid/>
        <w:spacing w:line="578" w:lineRule="atLeast"/>
        <w:ind w:leftChars="0" w:firstLine="640" w:firstLineChars="200"/>
        <w:textAlignment w:val="auto"/>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（一）项目产出目标、效果目标的实现情况 </w:t>
      </w:r>
    </w:p>
    <w:p>
      <w:pPr>
        <w:pStyle w:val="36"/>
        <w:keepNext w:val="0"/>
        <w:keepLines w:val="0"/>
        <w:pageBreakBefore w:val="0"/>
        <w:widowControl w:val="0"/>
        <w:kinsoku/>
        <w:wordWrap/>
        <w:overflowPunct/>
        <w:topLinePunct w:val="0"/>
        <w:autoSpaceDE/>
        <w:autoSpaceDN/>
        <w:bidi w:val="0"/>
        <w:adjustRightInd/>
        <w:snapToGrid/>
        <w:spacing w:line="578" w:lineRule="atLeast"/>
        <w:ind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1.产出目标</w:t>
      </w:r>
    </w:p>
    <w:p>
      <w:pPr>
        <w:pStyle w:val="36"/>
        <w:keepNext w:val="0"/>
        <w:keepLines w:val="0"/>
        <w:pageBreakBefore w:val="0"/>
        <w:widowControl w:val="0"/>
        <w:kinsoku/>
        <w:wordWrap/>
        <w:overflowPunct/>
        <w:topLinePunct w:val="0"/>
        <w:autoSpaceDE/>
        <w:autoSpaceDN/>
        <w:bidi w:val="0"/>
        <w:adjustRightInd/>
        <w:snapToGrid/>
        <w:spacing w:line="578" w:lineRule="atLeast"/>
        <w:ind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幸福不幸福关键是看老百姓是哭还是笑！推行环境治理，建设生态文明、倡行可持续发展，实施乡村振兴，其最根本的目标就在于减少环境污染，节约成本，持续改善民生环境，为老百姓谋福祉，提升群众幸福感，提高群众满意度。</w:t>
      </w:r>
    </w:p>
    <w:p>
      <w:pPr>
        <w:pStyle w:val="36"/>
        <w:numPr>
          <w:ilvl w:val="0"/>
          <w:numId w:val="6"/>
        </w:numPr>
        <w:spacing w:line="578" w:lineRule="atLeast"/>
        <w:ind w:firstLine="851" w:firstLineChars="266"/>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效果目标</w:t>
      </w:r>
    </w:p>
    <w:p>
      <w:pPr>
        <w:pStyle w:val="36"/>
        <w:numPr>
          <w:ilvl w:val="0"/>
          <w:numId w:val="0"/>
        </w:numPr>
        <w:spacing w:line="578" w:lineRule="atLeas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在县级党委、镇级党委的带领下，全镇人民的通力合作下，我镇2022年1-12月的项目效果实施目标已基本实现项目预期目标。县级党委用“拓荒牛</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精神为我镇的项目实施提供了全新的理念和创新的发展，推动了高质量、高效率的发展；镇级党委用“孺子牛”精神，以勤劳、踏实、可靠、全心全意为民服务的果敢，勇担了时代赋予的重担；村（社区）以及全镇人民充分发扬“老黄牛”精神，用艰苦奋斗、不等扬鞭自奋蹄，将环保、生态、可持续发展内化于心，外化于行，助力全镇的垃圾清运，环境治理，保洁等工作高质量、高效率、高环保的开展。</w:t>
      </w:r>
    </w:p>
    <w:p>
      <w:pPr>
        <w:pStyle w:val="36"/>
        <w:keepNext w:val="0"/>
        <w:keepLines w:val="0"/>
        <w:pageBreakBefore w:val="0"/>
        <w:widowControl w:val="0"/>
        <w:numPr>
          <w:ilvl w:val="0"/>
          <w:numId w:val="7"/>
        </w:numPr>
        <w:kinsoku/>
        <w:wordWrap/>
        <w:overflowPunct/>
        <w:topLinePunct w:val="0"/>
        <w:autoSpaceDE/>
        <w:autoSpaceDN/>
        <w:bidi w:val="0"/>
        <w:adjustRightInd/>
        <w:snapToGrid/>
        <w:spacing w:line="578" w:lineRule="atLeast"/>
        <w:ind w:left="0" w:leftChars="0" w:firstLine="640" w:firstLineChars="0"/>
        <w:textAlignment w:val="auto"/>
        <w:rPr>
          <w:rFonts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lang w:val="en-US" w:eastAsia="zh-CN"/>
        </w:rPr>
        <w:t xml:space="preserve">项目绩效情况分析（从经济性、效率性、效益性和公正性等方面进行具体分析） </w:t>
      </w:r>
    </w:p>
    <w:p>
      <w:pPr>
        <w:pStyle w:val="36"/>
        <w:keepNext w:val="0"/>
        <w:keepLines w:val="0"/>
        <w:pageBreakBefore w:val="0"/>
        <w:widowControl w:val="0"/>
        <w:numPr>
          <w:ilvl w:val="0"/>
          <w:numId w:val="8"/>
        </w:numPr>
        <w:kinsoku/>
        <w:wordWrap/>
        <w:overflowPunct/>
        <w:topLinePunct w:val="0"/>
        <w:autoSpaceDE/>
        <w:autoSpaceDN/>
        <w:bidi w:val="0"/>
        <w:adjustRightInd/>
        <w:snapToGrid/>
        <w:spacing w:line="578" w:lineRule="atLeast"/>
        <w:ind w:left="640" w:leftChars="0" w:firstLine="0" w:firstLineChars="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经济性</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节能损耗、节能减排、减少资源浪费是动机，确保全镇工作正常、有序、高效的开展是行动，保障人民的福祉是目标。通过对垃圾的清运处理、分类回收，河道的清淤、禁渔；场镇、村道的清扫保洁；禁燃烧等一系列措施，保障了垃圾的集中处理，减少了资源的浪费，促进了生态文明的发展，保障全镇工作有序发展。</w:t>
      </w:r>
    </w:p>
    <w:p>
      <w:pPr>
        <w:pStyle w:val="36"/>
        <w:numPr>
          <w:ilvl w:val="0"/>
          <w:numId w:val="8"/>
        </w:numPr>
        <w:spacing w:line="578" w:lineRule="atLeast"/>
        <w:ind w:left="640" w:leftChars="0" w:firstLine="0" w:firstLine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效率性</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效率”是展现党委政府的实力，也是回馈县委政府的信赖，更是答复人民群众的期盼。做好全镇垃圾日产日销，及时运输处理，确保日常保洁正常开展；同时按照合同约定，成立专门检查小组，采取不定期不定时的检查垃圾清运、处理情况，发现问题及时上报，确保24小时内解决问题。为全镇五治工作高质量、高效率、低能耗的开展“保驾护航”。</w:t>
      </w:r>
    </w:p>
    <w:p>
      <w:pPr>
        <w:pStyle w:val="36"/>
        <w:keepNext w:val="0"/>
        <w:keepLines w:val="0"/>
        <w:pageBreakBefore w:val="0"/>
        <w:widowControl w:val="0"/>
        <w:numPr>
          <w:ilvl w:val="0"/>
          <w:numId w:val="8"/>
        </w:numPr>
        <w:kinsoku/>
        <w:wordWrap/>
        <w:overflowPunct/>
        <w:topLinePunct w:val="0"/>
        <w:autoSpaceDE/>
        <w:autoSpaceDN/>
        <w:bidi w:val="0"/>
        <w:adjustRightInd/>
        <w:snapToGrid/>
        <w:spacing w:line="578" w:lineRule="atLeast"/>
        <w:ind w:left="640" w:leftChars="0" w:firstLine="0" w:firstLineChars="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效益性</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2022年是我党建党101周年，在这伟岸华诞之际，全心全意为人民服务的根本宗旨永恒不变，五治工作的出发点也是持续改善民生、改善环境。通过对场镇垃圾的清扫、分类收集、集中转运、压缩处理；对农村修建垃圾池、安放分类垃圾桶，定期派运垃圾清运车集中清运、定期清扫道路等系列措施，保障了垃圾转运、处理及时，解决了垃圾乱倒问题，场镇和农村环境卫生干净了，减少了污染，巩固了脱贫攻坚成果，为乡村振兴战略的实施打下了坚实的基础。</w:t>
      </w:r>
    </w:p>
    <w:p>
      <w:pPr>
        <w:pStyle w:val="36"/>
        <w:keepNext w:val="0"/>
        <w:keepLines w:val="0"/>
        <w:pageBreakBefore w:val="0"/>
        <w:widowControl w:val="0"/>
        <w:numPr>
          <w:ilvl w:val="0"/>
          <w:numId w:val="8"/>
        </w:numPr>
        <w:kinsoku/>
        <w:wordWrap/>
        <w:overflowPunct/>
        <w:topLinePunct w:val="0"/>
        <w:autoSpaceDE/>
        <w:autoSpaceDN/>
        <w:bidi w:val="0"/>
        <w:adjustRightInd/>
        <w:snapToGrid/>
        <w:spacing w:line="578" w:lineRule="atLeast"/>
        <w:ind w:left="640" w:leftChars="0" w:firstLine="0" w:firstLineChars="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公正性</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kern w:val="2"/>
          <w:sz w:val="32"/>
          <w:szCs w:val="32"/>
          <w:lang w:val="en-US" w:eastAsia="zh-CN" w:bidi="ar-SA"/>
        </w:rPr>
        <w:t>“自由、平等、公正、法治“”是对美好社会的生动阐述，也是从社会层面对社会主义核心价值观基本理念的凝练，更是镇党委政府日常工作开展的“明灯”。五治工作是最基础的民生工程，涉及人民群众最根本的利益，对于在日常工作中出现的一系列问题，党委政府始终坚持公正、平等、法治为原则，以节约成本为着力点，以减少环境污染为目标，</w:t>
      </w:r>
      <w:r>
        <w:rPr>
          <w:rFonts w:hint="eastAsia" w:ascii="Times New Roman" w:hAnsi="Times New Roman" w:eastAsia="仿宋_GB2312" w:cs="Times New Roman"/>
          <w:color w:val="auto"/>
          <w:sz w:val="32"/>
          <w:szCs w:val="32"/>
          <w:lang w:val="en-US" w:eastAsia="zh-CN"/>
        </w:rPr>
        <w:t>保障五治工作的公正、高质量的开展。</w:t>
      </w:r>
    </w:p>
    <w:p>
      <w:pPr>
        <w:pStyle w:val="35"/>
        <w:tabs>
          <w:tab w:val="left" w:pos="1871"/>
        </w:tabs>
        <w:spacing w:line="578" w:lineRule="atLeast"/>
        <w:ind w:left="0" w:firstLine="640" w:firstLineChars="200"/>
        <w:jc w:val="both"/>
        <w:rPr>
          <w:rFonts w:ascii="Times New Roman" w:hAnsi="Times New Roman" w:eastAsia="黑体" w:cs="Times New Roman"/>
          <w:b w:val="0"/>
          <w:color w:val="auto"/>
          <w:sz w:val="32"/>
          <w:szCs w:val="32"/>
          <w:lang w:val="en-US" w:eastAsia="zh-CN"/>
        </w:rPr>
      </w:pPr>
      <w:r>
        <w:rPr>
          <w:rFonts w:hint="eastAsia" w:ascii="Times New Roman" w:hAnsi="Times New Roman" w:eastAsia="黑体" w:cs="Times New Roman"/>
          <w:b w:val="0"/>
          <w:color w:val="auto"/>
          <w:sz w:val="32"/>
          <w:szCs w:val="32"/>
          <w:lang w:val="en-US" w:eastAsia="zh-CN"/>
        </w:rPr>
        <w:t>五</w:t>
      </w:r>
      <w:r>
        <w:rPr>
          <w:rFonts w:ascii="Times New Roman" w:hAnsi="Times New Roman" w:eastAsia="黑体" w:cs="Times New Roman"/>
          <w:b w:val="0"/>
          <w:color w:val="auto"/>
          <w:sz w:val="32"/>
          <w:szCs w:val="32"/>
          <w:lang w:val="en-US" w:eastAsia="zh-CN"/>
        </w:rPr>
        <w:t xml:space="preserve">、问题、纠偏措施和建议 </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（一）主要问题 </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1.垃圾清运不及时</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各村垃圾采用垃圾池定期定点收集的方式，部分老百姓倾倒垃圾时间与清运垃圾时间发生偏差，进而导致垃圾清运不及时。</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2.垃圾分类回收不到位</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垃圾分类一直是我国在倡行的环保措施，但由于地方财力、物力、人力、以及老百姓缺乏相应的垃圾分类意识和垃圾分类方法，进而就导致全镇垃圾分类回收工作有待提升。</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3.群众意识不到位</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随着经济的发展，人民群众的“钱袋子”充实了起来，但随之而来的是相应的意识没跟进，在一系列消费过后，由于缺乏相应的节约意识、环保意识、进而导致垃圾产生量加剧，乱扔、浪费现象频发等。</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（三）改进措施 </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1.加大宣传</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①通过镇、村喇叭播报、村民院坝会宣讲相应的环保危害及垃圾分类处理的技术方法等，让老百姓建立起节能减排和垃圾分类意识。</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②针对各村垃圾清运车收集垃圾时间进行时间公布，让广大村民知晓定期垃圾清运时间，主动提前将各自垃圾拿到垃圾池处理。</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210" w:leftChars="0" w:firstLine="320" w:firstLineChars="1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2.开展培训及评估</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①通过各村村委会召开村民大会，请专业的垃圾分类技术骨干对村民进行垃圾分类计数培训，丰富老百姓的知识盲区。</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②各村民委员会采取垃圾分类积分制，由村委牵头上门收取可回收利用垃圾，实行奖惩制，同各村集体产业经济分红挂钩，带动广大村民积极能动性。</w:t>
      </w:r>
    </w:p>
    <w:p>
      <w:pPr>
        <w:pStyle w:val="36"/>
        <w:keepNext w:val="0"/>
        <w:keepLines w:val="0"/>
        <w:pageBreakBefore w:val="0"/>
        <w:widowControl w:val="0"/>
        <w:numPr>
          <w:ilvl w:val="0"/>
          <w:numId w:val="7"/>
        </w:numPr>
        <w:kinsoku/>
        <w:wordWrap/>
        <w:overflowPunct/>
        <w:topLinePunct w:val="0"/>
        <w:autoSpaceDE/>
        <w:autoSpaceDN/>
        <w:bidi w:val="0"/>
        <w:adjustRightInd/>
        <w:snapToGrid/>
        <w:spacing w:line="578" w:lineRule="atLeast"/>
        <w:ind w:left="0" w:leftChars="0" w:firstLine="640" w:firstLineChars="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纠偏情况 </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①针对一些乱扔、浪费、破坏环境的现象要给予重罚，同时要充分发挥公益性岗位的先天优势，让他们从群众来，到群众中去，做城乡治理的“第一人”。</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②同时针对清运不及时的问题，要积极采取相应办法，各方协调，务必保障全镇垃圾日产日销。</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③日常保洁工作要确保高质量、高效率开展。</w:t>
      </w:r>
    </w:p>
    <w:p>
      <w:pPr>
        <w:pStyle w:val="36"/>
        <w:keepNext w:val="0"/>
        <w:keepLines w:val="0"/>
        <w:pageBreakBefore w:val="0"/>
        <w:widowControl w:val="0"/>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五</w:t>
      </w:r>
      <w:r>
        <w:rPr>
          <w:rFonts w:hint="default" w:ascii="Times New Roman" w:hAnsi="Times New Roman" w:eastAsia="仿宋_GB2312" w:cs="Times New Roman"/>
          <w:b w:val="0"/>
          <w:bCs w:val="0"/>
          <w:kern w:val="2"/>
          <w:sz w:val="32"/>
          <w:szCs w:val="32"/>
          <w:lang w:val="en-US" w:eastAsia="zh-CN" w:bidi="ar-SA"/>
        </w:rPr>
        <w:t xml:space="preserve">）有关建议 </w:t>
      </w:r>
    </w:p>
    <w:p>
      <w:pPr>
        <w:pStyle w:val="36"/>
        <w:keepNext w:val="0"/>
        <w:keepLines w:val="0"/>
        <w:pageBreakBefore w:val="0"/>
        <w:widowControl w:val="0"/>
        <w:kinsoku/>
        <w:wordWrap/>
        <w:overflowPunct/>
        <w:topLinePunct w:val="0"/>
        <w:autoSpaceDE/>
        <w:autoSpaceDN/>
        <w:bidi w:val="0"/>
        <w:adjustRightInd/>
        <w:snapToGrid/>
        <w:spacing w:line="578" w:lineRule="atLeast"/>
        <w:ind w:left="0" w:leftChars="0"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①五治工作不仅是一个常态化工作，更是一项艰巨的民生工程，耗时长、突发情况较多、物资匮乏、财力有限。希望相关部门给予持续关注，给予高穴镇财政部分财力政策倾斜，保障五治工作全面圆满的完成绩效目标，提高群众满意度100%。</w:t>
      </w:r>
    </w:p>
    <w:p>
      <w:pPr>
        <w:pStyle w:val="36"/>
        <w:keepNext w:val="0"/>
        <w:keepLines w:val="0"/>
        <w:pageBreakBefore w:val="0"/>
        <w:widowControl w:val="0"/>
        <w:kinsoku/>
        <w:wordWrap/>
        <w:overflowPunct/>
        <w:topLinePunct w:val="0"/>
        <w:autoSpaceDE/>
        <w:autoSpaceDN/>
        <w:bidi w:val="0"/>
        <w:adjustRightInd/>
        <w:snapToGrid/>
        <w:spacing w:line="578" w:lineRule="atLeas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②呼吁社会各界人士，把环境治理，节能、减排、减少污染作为日常，争做绿水青山的践行者。</w:t>
      </w:r>
    </w:p>
    <w:p>
      <w:pPr>
        <w:pStyle w:val="35"/>
        <w:tabs>
          <w:tab w:val="left" w:pos="1871"/>
        </w:tabs>
        <w:spacing w:line="578" w:lineRule="atLeast"/>
        <w:ind w:left="0" w:firstLine="640" w:firstLineChars="200"/>
        <w:jc w:val="both"/>
        <w:rPr>
          <w:rFonts w:hint="eastAsia"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 xml:space="preserve">六、其他需要说明的问题 </w:t>
      </w:r>
    </w:p>
    <w:p>
      <w:pPr>
        <w:pStyle w:val="36"/>
        <w:spacing w:line="578" w:lineRule="atLeast"/>
        <w:ind w:firstLine="640" w:firstLineChars="200"/>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1.高穴镇人民政府五治经费项目申报前期测算金额不足，五治工作经费项目存在测算不科学、不全面，预算执行与预算编制存在部分差异。预算与工作计划脱节，财政所掌握信息与本单位工作计划存在不对称情况。</w:t>
      </w:r>
    </w:p>
    <w:p>
      <w:pPr>
        <w:pStyle w:val="36"/>
        <w:spacing w:line="578" w:lineRule="atLeast"/>
        <w:ind w:left="0" w:leftChars="0"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2.在日后的工作中高穴镇党委政府建立重大政策和项目绩效跟踪机制，加强业务指导和监督检查，科学、全面测算五治工作经费项目，及时督促项目实施，做好项目协调工作，解决实施中的难点和问题。</w:t>
      </w:r>
    </w:p>
    <w:p>
      <w:pPr>
        <w:pStyle w:val="36"/>
        <w:spacing w:line="578" w:lineRule="atLeast"/>
        <w:ind w:firstLine="640" w:firstLineChars="200"/>
        <w:rPr>
          <w:rFonts w:hint="eastAsia" w:ascii="Times New Roman" w:hAnsi="Times New Roman" w:eastAsia="仿宋_GB2312" w:cs="Times New Roman"/>
          <w:color w:val="auto"/>
          <w:sz w:val="32"/>
          <w:szCs w:val="32"/>
          <w:lang w:eastAsia="zh-CN"/>
        </w:rPr>
      </w:pPr>
    </w:p>
    <w:p>
      <w:pPr>
        <w:pStyle w:val="36"/>
        <w:spacing w:line="578" w:lineRule="atLeast"/>
        <w:ind w:left="0" w:leftChars="0" w:firstLine="3520" w:firstLineChars="1100"/>
        <w:rPr>
          <w:rFonts w:hint="eastAsia" w:ascii="黑体" w:hAnsi="黑体" w:eastAsia="黑体"/>
          <w:color w:val="auto"/>
          <w:sz w:val="44"/>
          <w:szCs w:val="44"/>
          <w:highlight w:val="none"/>
        </w:rPr>
      </w:pPr>
      <w:r>
        <w:rPr>
          <w:rFonts w:hint="eastAsia" w:ascii="Times New Roman" w:hAnsi="Times New Roman" w:eastAsia="仿宋_GB2312" w:cs="Times New Roman"/>
          <w:color w:val="auto"/>
          <w:sz w:val="32"/>
          <w:szCs w:val="32"/>
          <w:lang w:val="en-US" w:eastAsia="zh-CN"/>
        </w:rPr>
        <w:t xml:space="preserve">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9"/>
        <w:gridCol w:w="711"/>
        <w:gridCol w:w="815"/>
        <w:gridCol w:w="852"/>
        <w:gridCol w:w="470"/>
        <w:gridCol w:w="740"/>
        <w:gridCol w:w="470"/>
        <w:gridCol w:w="924"/>
        <w:gridCol w:w="496"/>
        <w:gridCol w:w="412"/>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bdr w:val="none" w:color="auto" w:sz="0" w:space="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项目名称</w:t>
            </w:r>
          </w:p>
        </w:tc>
        <w:tc>
          <w:tcPr>
            <w:tcW w:w="4178"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51172422T000005152291-乡村振兴及“五治”工作经费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8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主管部门</w:t>
            </w:r>
          </w:p>
        </w:tc>
        <w:tc>
          <w:tcPr>
            <w:tcW w:w="196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大竹县高穴镇人民政府部门</w:t>
            </w:r>
          </w:p>
        </w:tc>
        <w:tc>
          <w:tcPr>
            <w:tcW w:w="539" w:type="pct"/>
            <w:tcBorders>
              <w:top w:val="nil"/>
              <w:left w:val="nil"/>
              <w:bottom w:val="nil"/>
              <w:right w:val="nil"/>
            </w:tcBorders>
            <w:shd w:val="clear"/>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实施单位 （盖章）</w:t>
            </w:r>
          </w:p>
        </w:tc>
        <w:tc>
          <w:tcPr>
            <w:tcW w:w="167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大竹县高穴镇人民政府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项目基本情况</w:t>
            </w: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1.项目年度目标完成情况</w:t>
            </w:r>
          </w:p>
        </w:tc>
        <w:tc>
          <w:tcPr>
            <w:tcW w:w="196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项目年度目标</w:t>
            </w:r>
          </w:p>
        </w:tc>
        <w:tc>
          <w:tcPr>
            <w:tcW w:w="221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96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确保髙穴场镇清扫、垃圾清运、垃圾处理、垃圾池维修、道路理沟、河道淤泥、漂浮物等清理；清理社区撑杆搭棚、牛皮癣等</w:t>
            </w:r>
          </w:p>
        </w:tc>
        <w:tc>
          <w:tcPr>
            <w:tcW w:w="221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2.项目实施内容及过程概述</w:t>
            </w:r>
          </w:p>
        </w:tc>
        <w:tc>
          <w:tcPr>
            <w:tcW w:w="4178" w:type="pct"/>
            <w:gridSpan w:val="9"/>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预算执行情况（10分）</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年度预算数（万元）</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年初预算</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调整后预算数</w:t>
            </w: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预算执行数</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总额</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45.28</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45.04</w:t>
            </w: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45.04</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bdr w:val="none" w:color="auto" w:sz="0" w:space="0"/>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其中：财政资金</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45.28</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45.04</w:t>
            </w: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45.04</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139"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财政专户管理资金</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139"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单位资金</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139"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其他资金</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985"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139" w:type="pct"/>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绩效指标（90分）</w:t>
            </w: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指标性质</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度量单位</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完成值</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产出指标</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清理全镇垃圾</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800</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吨</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质量指标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环境整洁率</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95</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时效指标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垃圾及时清运率</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成本指标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清理运输成本</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40000</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元/月</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效益指标</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社会效益指标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居民生活环境改善</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定性</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高中低</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生态效益指标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污染降低，改善空气质量</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定性</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优良中低差</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满意度指标</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服务对象满意度指标</w:t>
            </w:r>
          </w:p>
        </w:tc>
        <w:tc>
          <w:tcPr>
            <w:tcW w:w="5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群众满意度</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95</w:t>
            </w:r>
          </w:p>
        </w:tc>
        <w:tc>
          <w:tcPr>
            <w:tcW w:w="2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5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3326"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2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242"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3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评价结论</w:t>
            </w:r>
          </w:p>
        </w:tc>
        <w:tc>
          <w:tcPr>
            <w:tcW w:w="4595"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4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存在问题</w:t>
            </w:r>
          </w:p>
        </w:tc>
        <w:tc>
          <w:tcPr>
            <w:tcW w:w="4595"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改进措施</w:t>
            </w:r>
          </w:p>
        </w:tc>
        <w:tc>
          <w:tcPr>
            <w:tcW w:w="4595"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2075"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项目负责人：</w:t>
            </w:r>
          </w:p>
        </w:tc>
        <w:tc>
          <w:tcPr>
            <w:tcW w:w="292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000" w:type="pct"/>
            <w:gridSpan w:val="11"/>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11"/>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000" w:type="pct"/>
            <w:gridSpan w:val="11"/>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000" w:type="pct"/>
            <w:gridSpan w:val="11"/>
            <w:tcBorders>
              <w:top w:val="nil"/>
              <w:left w:val="nil"/>
              <w:bottom w:val="nil"/>
              <w:right w:val="nil"/>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适用用户：部门用户、单位用户</w:t>
            </w:r>
          </w:p>
        </w:tc>
      </w:tr>
    </w:tbl>
    <w:p>
      <w:pPr>
        <w:spacing w:line="600" w:lineRule="exact"/>
        <w:jc w:val="center"/>
        <w:outlineLvl w:val="0"/>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spacing w:line="600" w:lineRule="exact"/>
        <w:jc w:val="center"/>
        <w:outlineLvl w:val="0"/>
        <w:rPr>
          <w:rStyle w:val="27"/>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bidi w:val="0"/>
        <w:rPr>
          <w:rFonts w:hint="eastAsia"/>
          <w:color w:val="auto"/>
        </w:rPr>
      </w:pP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一、收入支出决算总表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二、收入决算表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四、财政拨款收入支出决算总表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五、财政拨款支出决算明细表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六、一般公共预算财政拨款支出决算表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七、一般公共预算财政拨款支出决算明细表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八、一般公共预算财政拨款基本支出决算表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九、一般公共预算财政拨款项目支出决算表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十、一般公共预算财政拨款“三公”经费支出决算表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十一、政府性基金预算财政拨款收入支出决算表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十二、政府性基金预算财政拨款“三公”经费支出决算表</w:t>
      </w:r>
    </w:p>
    <w:p>
      <w:pPr>
        <w:pStyle w:val="4"/>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十三、国有资本经营预算财政拨款收入支出决算表</w:t>
      </w:r>
    </w:p>
    <w:p>
      <w:pPr>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十四、国有资本经营预算财政拨款支出决算表</w:t>
      </w:r>
    </w:p>
    <w:p>
      <w:pPr>
        <w:bidi w:val="0"/>
        <w:rPr>
          <w:rFonts w:hint="eastAsia"/>
        </w:rPr>
      </w:pPr>
    </w:p>
    <w:p>
      <w:pPr>
        <w:bidi w:val="0"/>
        <w:rPr>
          <w:rFonts w:hint="eastAsia"/>
        </w:rPr>
      </w:pPr>
    </w:p>
    <w:p>
      <w:pPr>
        <w:bidi w:val="0"/>
        <w:rPr>
          <w:rFonts w:hint="eastAsia"/>
        </w:rPr>
      </w:pPr>
    </w:p>
    <w:bookmarkEnd w:id="54"/>
    <w:p>
      <w:pPr>
        <w:rPr>
          <w:rFonts w:hint="eastAsia" w:eastAsia="仿宋"/>
          <w:color w:val="auto"/>
          <w:highlight w:val="none"/>
          <w:lang w:eastAsia="zh-CN"/>
        </w:rPr>
      </w:pP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B2263"/>
    <w:multiLevelType w:val="singleLevel"/>
    <w:tmpl w:val="AF4B2263"/>
    <w:lvl w:ilvl="0" w:tentative="0">
      <w:start w:val="2"/>
      <w:numFmt w:val="chineseCounting"/>
      <w:suff w:val="nothing"/>
      <w:lvlText w:val="（%1）"/>
      <w:lvlJc w:val="left"/>
      <w:pPr>
        <w:ind w:left="80"/>
      </w:pPr>
      <w:rPr>
        <w:rFonts w:hint="eastAsia"/>
      </w:rPr>
    </w:lvl>
  </w:abstractNum>
  <w:abstractNum w:abstractNumId="1">
    <w:nsid w:val="DE9BB94C"/>
    <w:multiLevelType w:val="singleLevel"/>
    <w:tmpl w:val="DE9BB94C"/>
    <w:lvl w:ilvl="0" w:tentative="0">
      <w:start w:val="1"/>
      <w:numFmt w:val="decimal"/>
      <w:lvlText w:val="%1."/>
      <w:lvlJc w:val="left"/>
      <w:pPr>
        <w:tabs>
          <w:tab w:val="left" w:pos="312"/>
        </w:tabs>
        <w:ind w:left="-13"/>
      </w:pPr>
    </w:lvl>
  </w:abstractNum>
  <w:abstractNum w:abstractNumId="2">
    <w:nsid w:val="DFB16E91"/>
    <w:multiLevelType w:val="singleLevel"/>
    <w:tmpl w:val="DFB16E91"/>
    <w:lvl w:ilvl="0" w:tentative="0">
      <w:start w:val="2"/>
      <w:numFmt w:val="decimal"/>
      <w:lvlText w:val="%1."/>
      <w:lvlJc w:val="left"/>
      <w:pPr>
        <w:tabs>
          <w:tab w:val="left" w:pos="312"/>
        </w:tabs>
      </w:p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19110DD"/>
    <w:multiLevelType w:val="singleLevel"/>
    <w:tmpl w:val="119110DD"/>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2B2C398"/>
    <w:multiLevelType w:val="singleLevel"/>
    <w:tmpl w:val="22B2C398"/>
    <w:lvl w:ilvl="0" w:tentative="0">
      <w:start w:val="1"/>
      <w:numFmt w:val="decimal"/>
      <w:suff w:val="space"/>
      <w:lvlText w:val="%1."/>
      <w:lvlJc w:val="left"/>
      <w:pPr>
        <w:ind w:left="640" w:leftChars="0" w:firstLine="0" w:firstLineChars="0"/>
      </w:pPr>
    </w:lvl>
  </w:abstractNum>
  <w:abstractNum w:abstractNumId="7">
    <w:nsid w:val="693F88BC"/>
    <w:multiLevelType w:val="singleLevel"/>
    <w:tmpl w:val="693F88BC"/>
    <w:lvl w:ilvl="0" w:tentative="0">
      <w:start w:val="2"/>
      <w:numFmt w:val="chineseCounting"/>
      <w:suff w:val="nothing"/>
      <w:lvlText w:val="（%1）"/>
      <w:lvlJc w:val="left"/>
      <w:rPr>
        <w:rFonts w:hint="eastAsia"/>
      </w:rPr>
    </w:lvl>
  </w:abstractNum>
  <w:num w:numId="1">
    <w:abstractNumId w:val="5"/>
  </w:num>
  <w:num w:numId="2">
    <w:abstractNumId w:val="1"/>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TI5Zjc2MTVmNjhmYTczNmE0NmFjYzc3NDY3ZG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3AE6"/>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6F63"/>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0FAC"/>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70DAE"/>
    <w:rsid w:val="029C7664"/>
    <w:rsid w:val="02A824AD"/>
    <w:rsid w:val="02FD6AF8"/>
    <w:rsid w:val="031A67DB"/>
    <w:rsid w:val="033C2BF5"/>
    <w:rsid w:val="0394658D"/>
    <w:rsid w:val="03A765A0"/>
    <w:rsid w:val="03DA602B"/>
    <w:rsid w:val="03DB6BF1"/>
    <w:rsid w:val="044D4343"/>
    <w:rsid w:val="04E57E5F"/>
    <w:rsid w:val="04EC361C"/>
    <w:rsid w:val="055C132D"/>
    <w:rsid w:val="05F26F30"/>
    <w:rsid w:val="060F639F"/>
    <w:rsid w:val="0627463A"/>
    <w:rsid w:val="064C7409"/>
    <w:rsid w:val="06BF6017"/>
    <w:rsid w:val="06C66A2A"/>
    <w:rsid w:val="072D4D2F"/>
    <w:rsid w:val="07303849"/>
    <w:rsid w:val="073E63CE"/>
    <w:rsid w:val="07B22D02"/>
    <w:rsid w:val="07D715A1"/>
    <w:rsid w:val="07DE24CD"/>
    <w:rsid w:val="080E2C49"/>
    <w:rsid w:val="08732C15"/>
    <w:rsid w:val="08E65ADD"/>
    <w:rsid w:val="0949575F"/>
    <w:rsid w:val="09CA7160"/>
    <w:rsid w:val="09CF6A0C"/>
    <w:rsid w:val="09D678FF"/>
    <w:rsid w:val="0A187F18"/>
    <w:rsid w:val="0A2032A3"/>
    <w:rsid w:val="0B1F3EA8"/>
    <w:rsid w:val="0B8A37D8"/>
    <w:rsid w:val="0B974E6D"/>
    <w:rsid w:val="0BF91683"/>
    <w:rsid w:val="0C00660B"/>
    <w:rsid w:val="0C0F1970"/>
    <w:rsid w:val="0CA94973"/>
    <w:rsid w:val="0CD67C16"/>
    <w:rsid w:val="0D091D9A"/>
    <w:rsid w:val="0D570D57"/>
    <w:rsid w:val="0D705975"/>
    <w:rsid w:val="0D7E2A74"/>
    <w:rsid w:val="0D7F1DF6"/>
    <w:rsid w:val="0D842F55"/>
    <w:rsid w:val="0D907DC5"/>
    <w:rsid w:val="0D9378B6"/>
    <w:rsid w:val="0DE72889"/>
    <w:rsid w:val="0E552DBD"/>
    <w:rsid w:val="0E770F85"/>
    <w:rsid w:val="0ED23EEC"/>
    <w:rsid w:val="0F0C1F2A"/>
    <w:rsid w:val="0FC233E4"/>
    <w:rsid w:val="0FC5304C"/>
    <w:rsid w:val="10757746"/>
    <w:rsid w:val="10C055FF"/>
    <w:rsid w:val="11017E3D"/>
    <w:rsid w:val="113E7D7C"/>
    <w:rsid w:val="118107EC"/>
    <w:rsid w:val="11877731"/>
    <w:rsid w:val="11964CC3"/>
    <w:rsid w:val="11AC2752"/>
    <w:rsid w:val="11BF0DB9"/>
    <w:rsid w:val="11C30C49"/>
    <w:rsid w:val="11DD6519"/>
    <w:rsid w:val="12635AA8"/>
    <w:rsid w:val="12915785"/>
    <w:rsid w:val="129F0AAB"/>
    <w:rsid w:val="1319085D"/>
    <w:rsid w:val="13623FB2"/>
    <w:rsid w:val="13965F1A"/>
    <w:rsid w:val="139B4CFC"/>
    <w:rsid w:val="13E4036C"/>
    <w:rsid w:val="13FF42B8"/>
    <w:rsid w:val="14015C32"/>
    <w:rsid w:val="141B23B3"/>
    <w:rsid w:val="145108B5"/>
    <w:rsid w:val="15694C03"/>
    <w:rsid w:val="15910B7E"/>
    <w:rsid w:val="15AC6CC5"/>
    <w:rsid w:val="15DC45FD"/>
    <w:rsid w:val="1609105D"/>
    <w:rsid w:val="160D4614"/>
    <w:rsid w:val="16A11583"/>
    <w:rsid w:val="16A62408"/>
    <w:rsid w:val="16BB723D"/>
    <w:rsid w:val="1700654B"/>
    <w:rsid w:val="178C50E2"/>
    <w:rsid w:val="178F10EE"/>
    <w:rsid w:val="17A76F55"/>
    <w:rsid w:val="17B31DC8"/>
    <w:rsid w:val="18015F3F"/>
    <w:rsid w:val="18227555"/>
    <w:rsid w:val="182860D2"/>
    <w:rsid w:val="1840688C"/>
    <w:rsid w:val="18550589"/>
    <w:rsid w:val="185C44E2"/>
    <w:rsid w:val="18A01AF5"/>
    <w:rsid w:val="190311F4"/>
    <w:rsid w:val="190760C6"/>
    <w:rsid w:val="19A4034B"/>
    <w:rsid w:val="1A010CDB"/>
    <w:rsid w:val="1A3A5D92"/>
    <w:rsid w:val="1ABD5639"/>
    <w:rsid w:val="1B3A5814"/>
    <w:rsid w:val="1B5A125F"/>
    <w:rsid w:val="1BA1262E"/>
    <w:rsid w:val="1BE8440E"/>
    <w:rsid w:val="1C40546F"/>
    <w:rsid w:val="1C7865F4"/>
    <w:rsid w:val="1CE26164"/>
    <w:rsid w:val="1D155CEE"/>
    <w:rsid w:val="1D1A0915"/>
    <w:rsid w:val="1D3A5FA0"/>
    <w:rsid w:val="1D7A3E1C"/>
    <w:rsid w:val="1DCA2E80"/>
    <w:rsid w:val="1E432C32"/>
    <w:rsid w:val="1F0C7D73"/>
    <w:rsid w:val="1F533349"/>
    <w:rsid w:val="1F9D7DE3"/>
    <w:rsid w:val="2013517E"/>
    <w:rsid w:val="203F7F8A"/>
    <w:rsid w:val="2071286B"/>
    <w:rsid w:val="20770BA3"/>
    <w:rsid w:val="20841B24"/>
    <w:rsid w:val="20976DD2"/>
    <w:rsid w:val="209D0691"/>
    <w:rsid w:val="20F57F95"/>
    <w:rsid w:val="21502035"/>
    <w:rsid w:val="215F13D6"/>
    <w:rsid w:val="21E93AF0"/>
    <w:rsid w:val="2265384E"/>
    <w:rsid w:val="22851F9A"/>
    <w:rsid w:val="228850B7"/>
    <w:rsid w:val="22A217C3"/>
    <w:rsid w:val="23172040"/>
    <w:rsid w:val="23563685"/>
    <w:rsid w:val="2375280F"/>
    <w:rsid w:val="2378512C"/>
    <w:rsid w:val="238771A5"/>
    <w:rsid w:val="238C0BD7"/>
    <w:rsid w:val="240371BF"/>
    <w:rsid w:val="242A0B89"/>
    <w:rsid w:val="2438765C"/>
    <w:rsid w:val="24A65CC9"/>
    <w:rsid w:val="24E62609"/>
    <w:rsid w:val="24F73F73"/>
    <w:rsid w:val="255B3C04"/>
    <w:rsid w:val="25C741E6"/>
    <w:rsid w:val="261A311D"/>
    <w:rsid w:val="265C3FE5"/>
    <w:rsid w:val="26D86956"/>
    <w:rsid w:val="27156F59"/>
    <w:rsid w:val="27533EE6"/>
    <w:rsid w:val="275B2D9A"/>
    <w:rsid w:val="27842671"/>
    <w:rsid w:val="27B26FE5"/>
    <w:rsid w:val="28090A48"/>
    <w:rsid w:val="280C22E7"/>
    <w:rsid w:val="28277120"/>
    <w:rsid w:val="283D60E2"/>
    <w:rsid w:val="28447CD2"/>
    <w:rsid w:val="28C61A3E"/>
    <w:rsid w:val="28CD5F1A"/>
    <w:rsid w:val="290C07F0"/>
    <w:rsid w:val="29FD04D3"/>
    <w:rsid w:val="2A0776C6"/>
    <w:rsid w:val="2A1F685B"/>
    <w:rsid w:val="2A2B681E"/>
    <w:rsid w:val="2AB47391"/>
    <w:rsid w:val="2ABE7A3E"/>
    <w:rsid w:val="2B793C85"/>
    <w:rsid w:val="2B966A97"/>
    <w:rsid w:val="2BBF5FEE"/>
    <w:rsid w:val="2BCC698E"/>
    <w:rsid w:val="2BDF34CC"/>
    <w:rsid w:val="2C0D166E"/>
    <w:rsid w:val="2C1C22EA"/>
    <w:rsid w:val="2C2A42CB"/>
    <w:rsid w:val="2C6121B5"/>
    <w:rsid w:val="2C842D93"/>
    <w:rsid w:val="2C846BF8"/>
    <w:rsid w:val="2DEC33B9"/>
    <w:rsid w:val="2E0E4BF6"/>
    <w:rsid w:val="2E255A7A"/>
    <w:rsid w:val="2E2D329F"/>
    <w:rsid w:val="2E67296D"/>
    <w:rsid w:val="2EA04A37"/>
    <w:rsid w:val="2EF52E9E"/>
    <w:rsid w:val="2EFA178C"/>
    <w:rsid w:val="2EFB1311"/>
    <w:rsid w:val="2F61560E"/>
    <w:rsid w:val="2FAF5BAA"/>
    <w:rsid w:val="2FB66570"/>
    <w:rsid w:val="2FBE036A"/>
    <w:rsid w:val="2FC605E8"/>
    <w:rsid w:val="2FD049C2"/>
    <w:rsid w:val="2FE83639"/>
    <w:rsid w:val="2FEE5271"/>
    <w:rsid w:val="2FFB336C"/>
    <w:rsid w:val="300E1349"/>
    <w:rsid w:val="30980BBB"/>
    <w:rsid w:val="30A6152A"/>
    <w:rsid w:val="30B46D73"/>
    <w:rsid w:val="30EE4C7F"/>
    <w:rsid w:val="30F33128"/>
    <w:rsid w:val="30FC55EE"/>
    <w:rsid w:val="31093867"/>
    <w:rsid w:val="315C2953"/>
    <w:rsid w:val="319B4E07"/>
    <w:rsid w:val="319F7F4E"/>
    <w:rsid w:val="3207249C"/>
    <w:rsid w:val="32AE46C6"/>
    <w:rsid w:val="33734351"/>
    <w:rsid w:val="33B739EB"/>
    <w:rsid w:val="340C21F4"/>
    <w:rsid w:val="340C5B48"/>
    <w:rsid w:val="341C22D4"/>
    <w:rsid w:val="342866FA"/>
    <w:rsid w:val="34833930"/>
    <w:rsid w:val="34CE6044"/>
    <w:rsid w:val="34E3457E"/>
    <w:rsid w:val="353167A6"/>
    <w:rsid w:val="358561D2"/>
    <w:rsid w:val="35D501BC"/>
    <w:rsid w:val="35E37E83"/>
    <w:rsid w:val="3620749B"/>
    <w:rsid w:val="363A0C65"/>
    <w:rsid w:val="36877708"/>
    <w:rsid w:val="369708EE"/>
    <w:rsid w:val="3717055E"/>
    <w:rsid w:val="372B665E"/>
    <w:rsid w:val="373A08FC"/>
    <w:rsid w:val="37AE0381"/>
    <w:rsid w:val="37C24C19"/>
    <w:rsid w:val="37CB5D1A"/>
    <w:rsid w:val="37D606F3"/>
    <w:rsid w:val="38080D1C"/>
    <w:rsid w:val="380F5A24"/>
    <w:rsid w:val="38AE3672"/>
    <w:rsid w:val="3971469F"/>
    <w:rsid w:val="39AE70AB"/>
    <w:rsid w:val="39BC591B"/>
    <w:rsid w:val="39C70C72"/>
    <w:rsid w:val="39D569DC"/>
    <w:rsid w:val="3A377B8F"/>
    <w:rsid w:val="3A7D43E3"/>
    <w:rsid w:val="3AA75770"/>
    <w:rsid w:val="3AC12BBB"/>
    <w:rsid w:val="3AD0638B"/>
    <w:rsid w:val="3B9D352A"/>
    <w:rsid w:val="3BC76709"/>
    <w:rsid w:val="3C0C0783"/>
    <w:rsid w:val="3C12216A"/>
    <w:rsid w:val="3C7D76E3"/>
    <w:rsid w:val="3C814BF9"/>
    <w:rsid w:val="3C9454E1"/>
    <w:rsid w:val="3D037D04"/>
    <w:rsid w:val="3DE03BA2"/>
    <w:rsid w:val="3E045AE2"/>
    <w:rsid w:val="3E3839DE"/>
    <w:rsid w:val="3F5C7D12"/>
    <w:rsid w:val="3F861F3F"/>
    <w:rsid w:val="3F8F762D"/>
    <w:rsid w:val="3F9F3A96"/>
    <w:rsid w:val="3FAB7363"/>
    <w:rsid w:val="3FF37BBC"/>
    <w:rsid w:val="40844CB8"/>
    <w:rsid w:val="40941F3A"/>
    <w:rsid w:val="410012D2"/>
    <w:rsid w:val="411029F0"/>
    <w:rsid w:val="41236753"/>
    <w:rsid w:val="41AD1046"/>
    <w:rsid w:val="41D8543D"/>
    <w:rsid w:val="41F2695A"/>
    <w:rsid w:val="421B1721"/>
    <w:rsid w:val="42780B05"/>
    <w:rsid w:val="42CA3E52"/>
    <w:rsid w:val="42F235FB"/>
    <w:rsid w:val="4305067F"/>
    <w:rsid w:val="431F6F1A"/>
    <w:rsid w:val="43284021"/>
    <w:rsid w:val="435B5398"/>
    <w:rsid w:val="43AC4C52"/>
    <w:rsid w:val="4455472F"/>
    <w:rsid w:val="44716FCA"/>
    <w:rsid w:val="44D2693A"/>
    <w:rsid w:val="45444AC8"/>
    <w:rsid w:val="454E1D28"/>
    <w:rsid w:val="4555735F"/>
    <w:rsid w:val="45723C79"/>
    <w:rsid w:val="46276860"/>
    <w:rsid w:val="4651388E"/>
    <w:rsid w:val="466A5D01"/>
    <w:rsid w:val="466E4989"/>
    <w:rsid w:val="46D52711"/>
    <w:rsid w:val="46E464B1"/>
    <w:rsid w:val="46FB7EEA"/>
    <w:rsid w:val="47E36768"/>
    <w:rsid w:val="47E94411"/>
    <w:rsid w:val="47FC5A7C"/>
    <w:rsid w:val="48254FD3"/>
    <w:rsid w:val="48691363"/>
    <w:rsid w:val="48D06F9D"/>
    <w:rsid w:val="48DF2723"/>
    <w:rsid w:val="49287C70"/>
    <w:rsid w:val="493C27E9"/>
    <w:rsid w:val="496E6505"/>
    <w:rsid w:val="496F39ED"/>
    <w:rsid w:val="497958A5"/>
    <w:rsid w:val="49FF41D3"/>
    <w:rsid w:val="4A2B5779"/>
    <w:rsid w:val="4A6224E4"/>
    <w:rsid w:val="4B3D0885"/>
    <w:rsid w:val="4B99062E"/>
    <w:rsid w:val="4BE068DB"/>
    <w:rsid w:val="4BF058F8"/>
    <w:rsid w:val="4BF6002B"/>
    <w:rsid w:val="4BF83930"/>
    <w:rsid w:val="4C4A325A"/>
    <w:rsid w:val="4C7B2B5A"/>
    <w:rsid w:val="4C962698"/>
    <w:rsid w:val="4D4D1254"/>
    <w:rsid w:val="4D88228C"/>
    <w:rsid w:val="4DAF61C6"/>
    <w:rsid w:val="4DCB51C5"/>
    <w:rsid w:val="4DD903E4"/>
    <w:rsid w:val="4E616639"/>
    <w:rsid w:val="4E7108CA"/>
    <w:rsid w:val="4E710E89"/>
    <w:rsid w:val="4ECE2238"/>
    <w:rsid w:val="4ED67027"/>
    <w:rsid w:val="4EF24DD6"/>
    <w:rsid w:val="4F0A1A3E"/>
    <w:rsid w:val="4F1C7D98"/>
    <w:rsid w:val="4FD572DE"/>
    <w:rsid w:val="502B382E"/>
    <w:rsid w:val="50687996"/>
    <w:rsid w:val="509E5922"/>
    <w:rsid w:val="50E832AC"/>
    <w:rsid w:val="51956D25"/>
    <w:rsid w:val="519A3775"/>
    <w:rsid w:val="51BB2504"/>
    <w:rsid w:val="51D535C6"/>
    <w:rsid w:val="51D86DB3"/>
    <w:rsid w:val="51DB4B86"/>
    <w:rsid w:val="52756B57"/>
    <w:rsid w:val="529C6ABB"/>
    <w:rsid w:val="52AA4A52"/>
    <w:rsid w:val="52C60227"/>
    <w:rsid w:val="52C612A0"/>
    <w:rsid w:val="53767D92"/>
    <w:rsid w:val="53890B0C"/>
    <w:rsid w:val="53FA0B44"/>
    <w:rsid w:val="544F1A6A"/>
    <w:rsid w:val="544F3BE0"/>
    <w:rsid w:val="5473551E"/>
    <w:rsid w:val="54A13750"/>
    <w:rsid w:val="54BF230B"/>
    <w:rsid w:val="54F80A0C"/>
    <w:rsid w:val="55125EC4"/>
    <w:rsid w:val="55333C3E"/>
    <w:rsid w:val="55501DDF"/>
    <w:rsid w:val="559612BE"/>
    <w:rsid w:val="55E0078B"/>
    <w:rsid w:val="561668E2"/>
    <w:rsid w:val="570167E5"/>
    <w:rsid w:val="57212E09"/>
    <w:rsid w:val="57704B4D"/>
    <w:rsid w:val="57CA5D81"/>
    <w:rsid w:val="57CE11E3"/>
    <w:rsid w:val="57DA51E1"/>
    <w:rsid w:val="57DE6F4C"/>
    <w:rsid w:val="58166D2C"/>
    <w:rsid w:val="582157B7"/>
    <w:rsid w:val="583640C7"/>
    <w:rsid w:val="586C6BBE"/>
    <w:rsid w:val="58C72436"/>
    <w:rsid w:val="599678C9"/>
    <w:rsid w:val="59F77673"/>
    <w:rsid w:val="5A681A97"/>
    <w:rsid w:val="5AA601FA"/>
    <w:rsid w:val="5AAD1EE4"/>
    <w:rsid w:val="5AB0697E"/>
    <w:rsid w:val="5B2C3E7A"/>
    <w:rsid w:val="5B3A2569"/>
    <w:rsid w:val="5BA06CB1"/>
    <w:rsid w:val="5BCE1AB6"/>
    <w:rsid w:val="5C6735EF"/>
    <w:rsid w:val="5C9421D6"/>
    <w:rsid w:val="5C9A78E6"/>
    <w:rsid w:val="5CBB5A34"/>
    <w:rsid w:val="5D3465E8"/>
    <w:rsid w:val="5D72779D"/>
    <w:rsid w:val="5DAA3E0E"/>
    <w:rsid w:val="5DE23008"/>
    <w:rsid w:val="5DE62663"/>
    <w:rsid w:val="5DF64FF0"/>
    <w:rsid w:val="5E441E20"/>
    <w:rsid w:val="5E6141E5"/>
    <w:rsid w:val="5EB96396"/>
    <w:rsid w:val="5ED05841"/>
    <w:rsid w:val="5F0C40E6"/>
    <w:rsid w:val="5F207A31"/>
    <w:rsid w:val="5F787FE5"/>
    <w:rsid w:val="5F975305"/>
    <w:rsid w:val="5FAC19D9"/>
    <w:rsid w:val="5FC3371E"/>
    <w:rsid w:val="5FF643C0"/>
    <w:rsid w:val="5FFC638B"/>
    <w:rsid w:val="60CC4594"/>
    <w:rsid w:val="60E125F2"/>
    <w:rsid w:val="61775072"/>
    <w:rsid w:val="61B03707"/>
    <w:rsid w:val="6287090C"/>
    <w:rsid w:val="62A07339"/>
    <w:rsid w:val="62A31D1A"/>
    <w:rsid w:val="62B337E3"/>
    <w:rsid w:val="62CF5490"/>
    <w:rsid w:val="62DE6052"/>
    <w:rsid w:val="62E95227"/>
    <w:rsid w:val="632C27D3"/>
    <w:rsid w:val="63330D8F"/>
    <w:rsid w:val="63F1414E"/>
    <w:rsid w:val="646A6B88"/>
    <w:rsid w:val="64CA39A1"/>
    <w:rsid w:val="64E864C4"/>
    <w:rsid w:val="65425D45"/>
    <w:rsid w:val="65AE154C"/>
    <w:rsid w:val="65B23EF2"/>
    <w:rsid w:val="66744005"/>
    <w:rsid w:val="669B4986"/>
    <w:rsid w:val="66B9773D"/>
    <w:rsid w:val="66CE63C4"/>
    <w:rsid w:val="67176D91"/>
    <w:rsid w:val="675C0650"/>
    <w:rsid w:val="676D34A0"/>
    <w:rsid w:val="67C1666E"/>
    <w:rsid w:val="67FD2842"/>
    <w:rsid w:val="68271210"/>
    <w:rsid w:val="68B0223F"/>
    <w:rsid w:val="68D02BEC"/>
    <w:rsid w:val="68DD35AD"/>
    <w:rsid w:val="699851AD"/>
    <w:rsid w:val="69E01975"/>
    <w:rsid w:val="6A2829D5"/>
    <w:rsid w:val="6A42336B"/>
    <w:rsid w:val="6A774588"/>
    <w:rsid w:val="6A9525EC"/>
    <w:rsid w:val="6B1908A6"/>
    <w:rsid w:val="6B2A452A"/>
    <w:rsid w:val="6B3A7059"/>
    <w:rsid w:val="6C4A05C8"/>
    <w:rsid w:val="6C7F2654"/>
    <w:rsid w:val="6C9358BC"/>
    <w:rsid w:val="6C9B25AA"/>
    <w:rsid w:val="6CBD64D2"/>
    <w:rsid w:val="6CC60C6F"/>
    <w:rsid w:val="6CDF2C9A"/>
    <w:rsid w:val="6CE34AA4"/>
    <w:rsid w:val="6D084099"/>
    <w:rsid w:val="6D1E00BF"/>
    <w:rsid w:val="6DFB0400"/>
    <w:rsid w:val="6DFC092C"/>
    <w:rsid w:val="6E5037DB"/>
    <w:rsid w:val="6E89513B"/>
    <w:rsid w:val="6F2E3EBD"/>
    <w:rsid w:val="6F3815DF"/>
    <w:rsid w:val="6F935D3D"/>
    <w:rsid w:val="6FB37C0A"/>
    <w:rsid w:val="6FBB0776"/>
    <w:rsid w:val="707A560C"/>
    <w:rsid w:val="70AD46B7"/>
    <w:rsid w:val="70EE752B"/>
    <w:rsid w:val="71883D59"/>
    <w:rsid w:val="71E85F6A"/>
    <w:rsid w:val="726C71D7"/>
    <w:rsid w:val="72734D90"/>
    <w:rsid w:val="7295353F"/>
    <w:rsid w:val="72CC080B"/>
    <w:rsid w:val="737549FF"/>
    <w:rsid w:val="73F25CD2"/>
    <w:rsid w:val="74933140"/>
    <w:rsid w:val="75A82B22"/>
    <w:rsid w:val="75D740B3"/>
    <w:rsid w:val="76487F5B"/>
    <w:rsid w:val="766A1C7F"/>
    <w:rsid w:val="76ED0653"/>
    <w:rsid w:val="76FF686B"/>
    <w:rsid w:val="770976EA"/>
    <w:rsid w:val="7756518C"/>
    <w:rsid w:val="77AE0F4C"/>
    <w:rsid w:val="77B11044"/>
    <w:rsid w:val="78337AB4"/>
    <w:rsid w:val="78B212B8"/>
    <w:rsid w:val="78FE2B52"/>
    <w:rsid w:val="79080B6A"/>
    <w:rsid w:val="79725C7F"/>
    <w:rsid w:val="79BA17DE"/>
    <w:rsid w:val="79E7B28D"/>
    <w:rsid w:val="79F33AD0"/>
    <w:rsid w:val="7A17242B"/>
    <w:rsid w:val="7A21770D"/>
    <w:rsid w:val="7B4F1751"/>
    <w:rsid w:val="7BFD5343"/>
    <w:rsid w:val="7C765BB4"/>
    <w:rsid w:val="7C8F243F"/>
    <w:rsid w:val="7C926ED7"/>
    <w:rsid w:val="7D0F17D2"/>
    <w:rsid w:val="7D4F51BD"/>
    <w:rsid w:val="7D923621"/>
    <w:rsid w:val="7E2D1F10"/>
    <w:rsid w:val="7E737D06"/>
    <w:rsid w:val="7E763E3F"/>
    <w:rsid w:val="7EF81AB2"/>
    <w:rsid w:val="7F196B1D"/>
    <w:rsid w:val="7F2257ED"/>
    <w:rsid w:val="7F5C561F"/>
    <w:rsid w:val="7F9F20EE"/>
    <w:rsid w:val="7FC54D70"/>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ind w:left="200" w:leftChars="200"/>
    </w:pPr>
    <w:rPr>
      <w:rFonts w:ascii="Calibri" w:hAnsi="Calibri" w:eastAsia="宋体"/>
      <w:sz w:val="21"/>
      <w:szCs w:val="24"/>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qFormat/>
    <w:uiPriority w:val="0"/>
    <w:pPr>
      <w:ind w:firstLine="20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4"/>
    <w:basedOn w:val="1"/>
    <w:qFormat/>
    <w:uiPriority w:val="99"/>
    <w:pPr>
      <w:adjustRightInd w:val="0"/>
      <w:spacing w:before="240" w:after="360" w:line="240" w:lineRule="exact"/>
      <w:outlineLvl w:val="3"/>
    </w:pPr>
    <w:rPr>
      <w:rFonts w:ascii="Arial" w:hAnsi="Arial" w:cs="Arial"/>
      <w:b/>
      <w:bCs/>
      <w:kern w:val="24"/>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Other|1"/>
    <w:basedOn w:val="1"/>
    <w:qFormat/>
    <w:uiPriority w:val="0"/>
    <w:pPr>
      <w:spacing w:line="403" w:lineRule="auto"/>
      <w:ind w:firstLine="400"/>
    </w:pPr>
    <w:rPr>
      <w:rFonts w:ascii="宋体" w:hAnsi="宋体" w:eastAsia="宋体" w:cs="宋体"/>
      <w:color w:val="auto"/>
      <w:kern w:val="2"/>
      <w:sz w:val="30"/>
      <w:szCs w:val="30"/>
      <w:lang w:val="zh-TW" w:eastAsia="zh-TW" w:bidi="zh-TW"/>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Heading #3|1"/>
    <w:basedOn w:val="1"/>
    <w:qFormat/>
    <w:uiPriority w:val="0"/>
    <w:pPr>
      <w:spacing w:line="598" w:lineRule="exact"/>
      <w:ind w:left="1220"/>
      <w:outlineLvl w:val="2"/>
    </w:pPr>
    <w:rPr>
      <w:rFonts w:ascii="宋体" w:hAnsi="宋体" w:eastAsia="宋体" w:cs="宋体"/>
      <w:b/>
      <w:bCs/>
      <w:sz w:val="30"/>
      <w:szCs w:val="30"/>
      <w:lang w:val="zh-TW" w:eastAsia="zh-TW" w:bidi="zh-TW"/>
    </w:rPr>
  </w:style>
  <w:style w:type="paragraph" w:customStyle="1" w:styleId="36">
    <w:name w:val="Body text|1"/>
    <w:basedOn w:val="1"/>
    <w:qFormat/>
    <w:uiPriority w:val="0"/>
    <w:pPr>
      <w:spacing w:line="403"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USER-20200913VV\Desktop\2021&#24180;&#25253;\2020&#24180;&#39640;&#31348;&#20915;&#31639;&#20844;&#24320;&#36164;&#26009;\&#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财政拨款收、支决算变动图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manualLayout>
          <c:layoutTarget val="inner"/>
          <c:xMode val="edge"/>
          <c:yMode val="edge"/>
          <c:x val="0.104820118818309"/>
          <c:y val="0.113100256361728"/>
          <c:w val="0.726580448228773"/>
          <c:h val="0.777839335180055"/>
        </c:manualLayout>
      </c:layout>
      <c:barChart>
        <c:barDir val="col"/>
        <c:grouping val="clustered"/>
        <c:varyColors val="0"/>
        <c:ser>
          <c:idx val="0"/>
          <c:order val="0"/>
          <c:tx>
            <c:strRef>
              <c:f>[图.xls]图1收、支决算变动图!$A$2</c:f>
              <c:strCache>
                <c:ptCount val="1"/>
                <c:pt idx="0">
                  <c:v>收入</c:v>
                </c:pt>
              </c:strCache>
            </c:strRef>
          </c:tx>
          <c:spPr>
            <a:solidFill>
              <a:srgbClr val="9999FF">
                <a:alpha val="100000"/>
              </a:srgbClr>
            </a:solidFill>
            <a:ln w="12700">
              <a:solidFill>
                <a:srgbClr val="000000">
                  <a:alpha val="100000"/>
                </a:srgbClr>
              </a:solidFill>
              <a:prstDash val="solid"/>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[图.xls]图1收、支决算变动图!$B$1:$C$1</c:f>
              <c:strCache>
                <c:ptCount val="2"/>
                <c:pt idx="0">
                  <c:v>2021年</c:v>
                </c:pt>
                <c:pt idx="1">
                  <c:v>2022年</c:v>
                </c:pt>
              </c:strCache>
            </c:strRef>
          </c:cat>
          <c:val>
            <c:numRef>
              <c:f>[图.xls]图1收、支决算变动图!$B$2:$C$2</c:f>
              <c:numCache>
                <c:formatCode>General</c:formatCode>
                <c:ptCount val="2"/>
                <c:pt idx="0">
                  <c:v>1490.49</c:v>
                </c:pt>
                <c:pt idx="1">
                  <c:v>1287.44</c:v>
                </c:pt>
              </c:numCache>
            </c:numRef>
          </c:val>
        </c:ser>
        <c:ser>
          <c:idx val="1"/>
          <c:order val="1"/>
          <c:tx>
            <c:strRef>
              <c:f>[图.xls]图1收、支决算变动图!$A$3</c:f>
              <c:strCache>
                <c:ptCount val="1"/>
                <c:pt idx="0">
                  <c:v>支出</c:v>
                </c:pt>
              </c:strCache>
            </c:strRef>
          </c:tx>
          <c:spPr>
            <a:solidFill>
              <a:srgbClr val="993366">
                <a:alpha val="100000"/>
              </a:srgbClr>
            </a:solidFill>
            <a:ln w="12700">
              <a:solidFill>
                <a:srgbClr val="000000">
                  <a:alpha val="100000"/>
                </a:srgbClr>
              </a:solidFill>
              <a:prstDash val="solid"/>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[图.xls]图1收、支决算变动图!$B$1:$C$1</c:f>
              <c:strCache>
                <c:ptCount val="2"/>
                <c:pt idx="0">
                  <c:v>2021年</c:v>
                </c:pt>
                <c:pt idx="1">
                  <c:v>2022年</c:v>
                </c:pt>
              </c:strCache>
            </c:strRef>
          </c:cat>
          <c:val>
            <c:numRef>
              <c:f>[图.xls]图1收、支决算变动图!$B$3:$C$3</c:f>
              <c:numCache>
                <c:formatCode>General</c:formatCode>
                <c:ptCount val="2"/>
                <c:pt idx="0">
                  <c:v>1825.61</c:v>
                </c:pt>
                <c:pt idx="1">
                  <c:v>1624.97</c:v>
                </c:pt>
              </c:numCache>
            </c:numRef>
          </c:val>
        </c:ser>
        <c:dLbls>
          <c:showLegendKey val="0"/>
          <c:showVal val="0"/>
          <c:showCatName val="0"/>
          <c:showSerName val="0"/>
          <c:showPercent val="0"/>
          <c:showBubbleSize val="0"/>
        </c:dLbls>
        <c:gapWidth val="150"/>
        <c:overlap val="0"/>
        <c:axId val="287365393"/>
        <c:axId val="699410912"/>
      </c:barChart>
      <c:catAx>
        <c:axId val="287365393"/>
        <c:scaling>
          <c:orientation val="minMax"/>
        </c:scaling>
        <c:delete val="0"/>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699410912"/>
        <c:crosses val="autoZero"/>
        <c:auto val="1"/>
        <c:lblAlgn val="ctr"/>
        <c:lblOffset val="100"/>
        <c:noMultiLvlLbl val="0"/>
      </c:catAx>
      <c:valAx>
        <c:axId val="699410912"/>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7365393"/>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861354325648646"/>
          <c:y val="0.31618519984171"/>
          <c:w val="0.10725"/>
          <c:h val="0.295"/>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收入决算结构图</a:t>
            </a:r>
            <a:endParaRPr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explosion val="0"/>
            <c:spPr>
              <a:solidFill>
                <a:srgbClr val="9999FF">
                  <a:alpha val="100000"/>
                </a:srgbClr>
              </a:solidFill>
              <a:ln w="12700">
                <a:solidFill>
                  <a:srgbClr val="000000">
                    <a:alpha val="100000"/>
                  </a:srgbClr>
                </a:solidFill>
                <a:prstDash val="solid"/>
              </a:ln>
            </c:spPr>
          </c:dPt>
          <c:dPt>
            <c:idx val="1"/>
            <c:bubble3D val="0"/>
            <c:explosion val="0"/>
            <c:spPr>
              <a:solidFill>
                <a:srgbClr val="993366">
                  <a:alpha val="100000"/>
                </a:srgbClr>
              </a:solidFill>
              <a:ln w="12700">
                <a:solidFill>
                  <a:srgbClr val="000000">
                    <a:alpha val="100000"/>
                  </a:srgbClr>
                </a:solidFill>
                <a:prstDash val="solid"/>
              </a:ln>
            </c:spPr>
          </c:dPt>
          <c:dLbls>
            <c:dLbl>
              <c:idx val="0"/>
              <c:layout/>
              <c:tx>
                <c:rich>
                  <a:bodyPr rot="0" spcFirstLastPara="0" vertOverflow="ellipsis" vert="horz" wrap="square" lIns="38100" tIns="19050" rIns="38100" bIns="19050"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99.6</a:t>
                    </a:r>
                    <a:r>
                      <a:t>%</a:t>
                    </a:r>
                  </a:p>
                </c:rich>
              </c:tx>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0</a:t>
                    </a:r>
                    <a:r>
                      <a:rPr lang="en-US" altLang="zh-CN"/>
                      <a:t>.4</a:t>
                    </a:r>
                    <a:endParaRPr lang="en-US" altLang="zh-CN"/>
                  </a:p>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a:t>
                    </a:r>
                  </a:p>
                </c:rich>
              </c:tx>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[图.xls]图2收入决算结构图!$A$2:$A$3</c:f>
              <c:strCache>
                <c:ptCount val="2"/>
                <c:pt idx="0">
                  <c:v>一般公共预算收入</c:v>
                </c:pt>
                <c:pt idx="1">
                  <c:v>政府性基金预算收入</c:v>
                </c:pt>
              </c:strCache>
            </c:strRef>
          </c:cat>
          <c:val>
            <c:numRef>
              <c:f>[图.xls]图2收入决算结构图!$B$2:$B$3</c:f>
              <c:numCache>
                <c:formatCode>General</c:formatCode>
                <c:ptCount val="2"/>
                <c:pt idx="0">
                  <c:v>1282.44</c:v>
                </c:pt>
                <c:pt idx="1">
                  <c:v>5</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733231707317073"/>
          <c:y val="0.482051282051282"/>
          <c:w val="0.260569105691057"/>
          <c:h val="0.244871794871795"/>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支出决算结构图</a:t>
            </a:r>
            <a:endParaRPr sz="8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pieChart>
        <c:varyColors val="1"/>
        <c:ser>
          <c:idx val="0"/>
          <c:order val="0"/>
          <c:spPr>
            <a:solidFill>
              <a:srgbClr val="9999FF"/>
            </a:solidFill>
            <a:ln w="12700">
              <a:solidFill>
                <a:srgbClr val="000000"/>
              </a:solidFill>
              <a:prstDash val="solid"/>
            </a:ln>
          </c:spPr>
          <c:explosion val="0"/>
          <c:dPt>
            <c:idx val="0"/>
            <c:bubble3D val="0"/>
            <c:spPr>
              <a:solidFill>
                <a:srgbClr val="9999FF"/>
              </a:solidFill>
              <a:ln w="12700">
                <a:solidFill>
                  <a:srgbClr val="000000"/>
                </a:solidFill>
                <a:prstDash val="solid"/>
              </a:ln>
              <a:effectLst/>
            </c:spPr>
          </c:dPt>
          <c:dPt>
            <c:idx val="1"/>
            <c:bubble3D val="0"/>
            <c:spPr>
              <a:solidFill>
                <a:srgbClr val="993366"/>
              </a:solidFill>
              <a:ln w="12700">
                <a:solidFill>
                  <a:srgbClr val="000000"/>
                </a:solidFill>
                <a:prstDash val="solid"/>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图3支出决算结构图!$A$2:$A$3</c:f>
              <c:strCache>
                <c:ptCount val="2"/>
                <c:pt idx="0">
                  <c:v>基本支出 </c:v>
                </c:pt>
                <c:pt idx="1">
                  <c:v>项目支出</c:v>
                </c:pt>
              </c:strCache>
            </c:strRef>
          </c:cat>
          <c:val>
            <c:numRef>
              <c:f>图3支出决算结构图!$B$2:$B$3</c:f>
              <c:numCache>
                <c:formatCode>General</c:formatCode>
                <c:ptCount val="2"/>
                <c:pt idx="0">
                  <c:v>940.21</c:v>
                </c:pt>
                <c:pt idx="1">
                  <c:v>684.76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31"/>
          <c:y val="0.48725"/>
          <c:w val="0.1595"/>
          <c:h val="0.13675"/>
        </c:manualLayout>
      </c:layout>
      <c:overlay val="0"/>
      <c:spPr>
        <a:solidFill>
          <a:srgbClr val="FFFFFF"/>
        </a:solidFill>
        <a:ln>
          <a:solidFill>
            <a:srgbClr val="000000"/>
          </a:solidFill>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solidFill>
    <a:ln w="3175" cap="flat" cmpd="sng" algn="ctr">
      <a:solidFill>
        <a:srgbClr val="000000">
          <a:alpha val="100000"/>
        </a:srgbClr>
      </a:solidFill>
      <a:prstDash val="solid"/>
      <a:round/>
    </a:ln>
  </c:spPr>
  <c:txPr>
    <a:bodyPr rot="0" wrap="square" anchor="ctr" anchorCtr="1"/>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t>财政拨款收、支决算变动图</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title>
    <c:autoTitleDeleted val="0"/>
    <c:plotArea>
      <c:layout>
        <c:manualLayout>
          <c:layoutTarget val="inner"/>
          <c:xMode val="edge"/>
          <c:yMode val="edge"/>
          <c:x val="0.107221463571371"/>
          <c:y val="0.115552037989711"/>
          <c:w val="0.726580448228773"/>
          <c:h val="0.777839335180055"/>
        </c:manualLayout>
      </c:layout>
      <c:barChart>
        <c:barDir val="col"/>
        <c:grouping val="clustered"/>
        <c:varyColors val="0"/>
        <c:ser>
          <c:idx val="0"/>
          <c:order val="0"/>
          <c:tx>
            <c:strRef>
              <c:f>[图.xls]图1收、支决算变动图!$A$2</c:f>
              <c:strCache>
                <c:ptCount val="1"/>
                <c:pt idx="0">
                  <c:v>收入</c:v>
                </c:pt>
              </c:strCache>
            </c:strRef>
          </c:tx>
          <c:spPr>
            <a:solidFill>
              <a:srgbClr val="9999FF">
                <a:alpha val="100000"/>
              </a:srgbClr>
            </a:solidFill>
            <a:ln w="12700">
              <a:solidFill>
                <a:srgbClr val="000000">
                  <a:alpha val="100000"/>
                </a:srgbClr>
              </a:solidFill>
              <a:prstDash val="solid"/>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[图.xls]图1收、支决算变动图!$B$1:$C$1</c:f>
              <c:strCache>
                <c:ptCount val="2"/>
                <c:pt idx="0">
                  <c:v>2021年</c:v>
                </c:pt>
                <c:pt idx="1">
                  <c:v>2022年</c:v>
                </c:pt>
              </c:strCache>
            </c:strRef>
          </c:cat>
          <c:val>
            <c:numRef>
              <c:f>[图.xls]图1收、支决算变动图!$B$2:$C$2</c:f>
              <c:numCache>
                <c:formatCode>General</c:formatCode>
                <c:ptCount val="2"/>
                <c:pt idx="0">
                  <c:v>1490.49</c:v>
                </c:pt>
                <c:pt idx="1">
                  <c:v>1287.44</c:v>
                </c:pt>
              </c:numCache>
            </c:numRef>
          </c:val>
        </c:ser>
        <c:ser>
          <c:idx val="1"/>
          <c:order val="1"/>
          <c:tx>
            <c:strRef>
              <c:f>[图.xls]图1收、支决算变动图!$A$3</c:f>
              <c:strCache>
                <c:ptCount val="1"/>
                <c:pt idx="0">
                  <c:v>支出</c:v>
                </c:pt>
              </c:strCache>
            </c:strRef>
          </c:tx>
          <c:spPr>
            <a:solidFill>
              <a:srgbClr val="993366">
                <a:alpha val="100000"/>
              </a:srgbClr>
            </a:solidFill>
            <a:ln w="12700">
              <a:solidFill>
                <a:srgbClr val="000000">
                  <a:alpha val="100000"/>
                </a:srgbClr>
              </a:solidFill>
              <a:prstDash val="solid"/>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[图.xls]图1收、支决算变动图!$B$1:$C$1</c:f>
              <c:strCache>
                <c:ptCount val="2"/>
                <c:pt idx="0">
                  <c:v>2021年</c:v>
                </c:pt>
                <c:pt idx="1">
                  <c:v>2022年</c:v>
                </c:pt>
              </c:strCache>
            </c:strRef>
          </c:cat>
          <c:val>
            <c:numRef>
              <c:f>[图.xls]图1收、支决算变动图!$B$3:$C$3</c:f>
              <c:numCache>
                <c:formatCode>General</c:formatCode>
                <c:ptCount val="2"/>
                <c:pt idx="0">
                  <c:v>1825.61</c:v>
                </c:pt>
                <c:pt idx="1">
                  <c:v>1624.97</c:v>
                </c:pt>
              </c:numCache>
            </c:numRef>
          </c:val>
        </c:ser>
        <c:dLbls>
          <c:showLegendKey val="0"/>
          <c:showVal val="0"/>
          <c:showCatName val="0"/>
          <c:showSerName val="0"/>
          <c:showPercent val="0"/>
          <c:showBubbleSize val="0"/>
        </c:dLbls>
        <c:gapWidth val="150"/>
        <c:overlap val="0"/>
        <c:axId val="130662834"/>
        <c:axId val="527681781"/>
      </c:barChart>
      <c:catAx>
        <c:axId val="130662834"/>
        <c:scaling>
          <c:orientation val="minMax"/>
        </c:scaling>
        <c:delete val="0"/>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527681781"/>
        <c:crosses val="autoZero"/>
        <c:auto val="1"/>
        <c:lblAlgn val="ctr"/>
        <c:lblOffset val="100"/>
        <c:noMultiLvlLbl val="0"/>
      </c:catAx>
      <c:valAx>
        <c:axId val="527681781"/>
        <c:scaling>
          <c:orientation val="minMax"/>
        </c:scaling>
        <c:delete val="0"/>
        <c:axPos val="l"/>
        <c:majorGridlines>
          <c:spPr>
            <a:ln w="3175" cap="flat" cmpd="sng" algn="ctr">
              <a:solidFill>
                <a:srgbClr val="000000">
                  <a:alpha val="100000"/>
                </a:srgbClr>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0662834"/>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861354325648646"/>
          <c:y val="0.31618519984171"/>
          <c:w val="0.10725"/>
          <c:h val="0.295"/>
        </c:manualLayout>
      </c:layout>
      <c:overlay val="0"/>
      <c:spPr>
        <a:solidFill>
          <a:srgbClr val="FFFFFF"/>
        </a:solidFill>
        <a:ln>
          <a:solidFill>
            <a:srgbClr val="000000"/>
          </a:solidFill>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"一般公共预算财政拨款"</c:f>
              <c:strCache>
                <c:ptCount val="1"/>
                <c:pt idx="0">
                  <c:v>一般公共预算财政拨款</c:v>
                </c:pt>
              </c:strCache>
            </c:strRef>
          </c:tx>
          <c:spPr>
            <a:solidFill>
              <a:srgbClr val="9999FF">
                <a:alpha val="100000"/>
              </a:srgbClr>
            </a:solidFill>
            <a:ln w="12700">
              <a:solidFill>
                <a:srgbClr val="000000">
                  <a:alpha val="100000"/>
                </a:srgbClr>
              </a:solidFill>
              <a:prstDash val="solid"/>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10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'[图.xls]图5一般公共预算财政拨款决算变动 '!$B$1:$C$1</c:f>
              <c:strCache>
                <c:ptCount val="2"/>
                <c:pt idx="0">
                  <c:v>2021年</c:v>
                </c:pt>
                <c:pt idx="1">
                  <c:v>2022年</c:v>
                </c:pt>
              </c:strCache>
            </c:strRef>
          </c:cat>
          <c:val>
            <c:numRef>
              <c:f>'[图.xls]图5一般公共预算财政拨款决算变动 '!$B$2:$C$2</c:f>
              <c:numCache>
                <c:formatCode>General</c:formatCode>
                <c:ptCount val="2"/>
                <c:pt idx="0">
                  <c:v>1806.61</c:v>
                </c:pt>
                <c:pt idx="1">
                  <c:v>1619.97</c:v>
                </c:pt>
              </c:numCache>
            </c:numRef>
          </c:val>
        </c:ser>
        <c:dLbls>
          <c:showLegendKey val="0"/>
          <c:showVal val="0"/>
          <c:showCatName val="0"/>
          <c:showSerName val="0"/>
          <c:showPercent val="0"/>
          <c:showBubbleSize val="0"/>
        </c:dLbls>
        <c:gapWidth val="150"/>
        <c:overlap val="0"/>
        <c:axId val="525228143"/>
        <c:axId val="276670236"/>
      </c:barChart>
      <c:catAx>
        <c:axId val="525228143"/>
        <c:scaling>
          <c:orientation val="minMax"/>
        </c:scaling>
        <c:delete val="0"/>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0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76670236"/>
        <c:crosses val="autoZero"/>
        <c:auto val="1"/>
        <c:lblAlgn val="ctr"/>
        <c:lblOffset val="100"/>
        <c:noMultiLvlLbl val="0"/>
      </c:catAx>
      <c:valAx>
        <c:axId val="276670236"/>
        <c:scaling>
          <c:orientation val="minMax"/>
        </c:scaling>
        <c:delete val="0"/>
        <c:axPos val="l"/>
        <c:numFmt formatCode="General" sourceLinked="1"/>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1"/>
          <a:lstStyle/>
          <a:p>
            <a:pPr>
              <a:defRPr lang="zh-CN" sz="10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25228143"/>
        <c:crosses val="autoZero"/>
        <c:crossBetween val="between"/>
      </c:valAx>
      <c:spPr>
        <a:solidFill>
          <a:srgbClr val="C0C0C0">
            <a:alpha val="100000"/>
          </a:srgbClr>
        </a:solidFill>
        <a:ln w="12700">
          <a:solidFill>
            <a:srgbClr val="808080">
              <a:alpha val="100000"/>
            </a:srgbClr>
          </a:solidFill>
          <a:prstDash val="solid"/>
        </a:ln>
      </c:spPr>
    </c:plotArea>
    <c:legend>
      <c:legendPos val="r"/>
      <c:layout>
        <c:manualLayout>
          <c:xMode val="edge"/>
          <c:yMode val="edge"/>
          <c:x val="0.702"/>
          <c:y val="0.42975"/>
          <c:w val="0.29075"/>
          <c:h val="0.07025"/>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02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0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baseline="0">
                <a:solidFill>
                  <a:schemeClr val="dk1"/>
                </a:solidFill>
                <a:latin typeface="+mn-lt"/>
                <a:ea typeface="+mn-ea"/>
                <a:cs typeface="+mn-cs"/>
              </a:defRPr>
            </a:pPr>
            <a:r>
              <a:rPr>
                <a:solidFill>
                  <a:schemeClr val="dk1"/>
                </a:solidFill>
                <a:latin typeface="+mn-lt"/>
                <a:ea typeface="+mn-ea"/>
                <a:cs typeface="+mn-cs"/>
              </a:rPr>
              <a:t>一般公共预算财政拨款支出决算结构图</a:t>
            </a:r>
            <a:endParaRPr sz="1000" b="0" i="0" u="none" strike="noStrike" baseline="0">
              <a:solidFill>
                <a:schemeClr val="dk1"/>
              </a:solidFill>
              <a:latin typeface="+mn-lt"/>
              <a:ea typeface="+mn-ea"/>
              <a:cs typeface="+mn-cs"/>
            </a:endParaRPr>
          </a:p>
        </c:rich>
      </c:tx>
      <c:layout/>
      <c:overlay val="0"/>
    </c:title>
    <c:autoTitleDeleted val="0"/>
    <c:plotArea>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explosion val="0"/>
            <c:spPr>
              <a:solidFill>
                <a:srgbClr val="9999FF">
                  <a:alpha val="100000"/>
                </a:srgbClr>
              </a:solidFill>
              <a:ln w="12700">
                <a:solidFill>
                  <a:srgbClr val="000000">
                    <a:alpha val="100000"/>
                  </a:srgbClr>
                </a:solidFill>
                <a:prstDash val="solid"/>
              </a:ln>
            </c:spPr>
          </c:dPt>
          <c:dPt>
            <c:idx val="1"/>
            <c:bubble3D val="0"/>
            <c:explosion val="0"/>
            <c:spPr>
              <a:solidFill>
                <a:srgbClr val="993366">
                  <a:alpha val="100000"/>
                </a:srgbClr>
              </a:solidFill>
              <a:ln w="12700">
                <a:solidFill>
                  <a:srgbClr val="000000">
                    <a:alpha val="100000"/>
                  </a:srgbClr>
                </a:solidFill>
                <a:prstDash val="solid"/>
              </a:ln>
            </c:spPr>
          </c:dPt>
          <c:dPt>
            <c:idx val="2"/>
            <c:bubble3D val="0"/>
            <c:explosion val="0"/>
            <c:spPr>
              <a:solidFill>
                <a:srgbClr val="FFFFCC">
                  <a:alpha val="100000"/>
                </a:srgbClr>
              </a:solidFill>
              <a:ln w="12700">
                <a:solidFill>
                  <a:srgbClr val="000000">
                    <a:alpha val="100000"/>
                  </a:srgbClr>
                </a:solidFill>
                <a:prstDash val="solid"/>
              </a:ln>
            </c:spPr>
          </c:dPt>
          <c:dPt>
            <c:idx val="3"/>
            <c:bubble3D val="0"/>
            <c:explosion val="0"/>
            <c:spPr>
              <a:solidFill>
                <a:srgbClr val="CCFFFF">
                  <a:alpha val="100000"/>
                </a:srgbClr>
              </a:solidFill>
              <a:ln w="12700">
                <a:solidFill>
                  <a:srgbClr val="000000">
                    <a:alpha val="100000"/>
                  </a:srgbClr>
                </a:solidFill>
                <a:prstDash val="solid"/>
              </a:ln>
            </c:spPr>
          </c:dPt>
          <c:dPt>
            <c:idx val="4"/>
            <c:bubble3D val="0"/>
            <c:explosion val="0"/>
            <c:spPr>
              <a:solidFill>
                <a:srgbClr val="660066">
                  <a:alpha val="100000"/>
                </a:srgbClr>
              </a:solidFill>
              <a:ln w="12700">
                <a:solidFill>
                  <a:srgbClr val="000000">
                    <a:alpha val="100000"/>
                  </a:srgbClr>
                </a:solidFill>
                <a:prstDash val="solid"/>
              </a:ln>
            </c:spPr>
          </c:dPt>
          <c:dPt>
            <c:idx val="5"/>
            <c:bubble3D val="0"/>
            <c:explosion val="0"/>
            <c:spPr>
              <a:solidFill>
                <a:srgbClr val="FF8080">
                  <a:alpha val="100000"/>
                </a:srgbClr>
              </a:solidFill>
              <a:ln w="12700">
                <a:solidFill>
                  <a:srgbClr val="000000">
                    <a:alpha val="100000"/>
                  </a:srgbClr>
                </a:solidFill>
                <a:prstDash val="solid"/>
              </a:ln>
            </c:spPr>
          </c:dPt>
          <c:dPt>
            <c:idx val="6"/>
            <c:bubble3D val="0"/>
            <c:explosion val="0"/>
            <c:spPr>
              <a:solidFill>
                <a:srgbClr val="0066CC">
                  <a:alpha val="100000"/>
                </a:srgbClr>
              </a:solidFill>
              <a:ln w="12700">
                <a:solidFill>
                  <a:srgbClr val="000000">
                    <a:alpha val="100000"/>
                  </a:srgbClr>
                </a:solidFill>
                <a:prstDash val="solid"/>
              </a:ln>
            </c:spPr>
          </c:dPt>
          <c:dPt>
            <c:idx val="7"/>
            <c:bubble3D val="0"/>
            <c:explosion val="0"/>
            <c:spPr>
              <a:solidFill>
                <a:srgbClr val="CCCCFF">
                  <a:alpha val="100000"/>
                </a:srgbClr>
              </a:solidFill>
              <a:ln w="12700">
                <a:solidFill>
                  <a:srgbClr val="000000">
                    <a:alpha val="100000"/>
                  </a:srgbClr>
                </a:solidFill>
                <a:prstDash val="solid"/>
              </a:ln>
            </c:spPr>
          </c:dPt>
          <c:dPt>
            <c:idx val="8"/>
            <c:bubble3D val="0"/>
            <c:explosion val="0"/>
            <c:spPr>
              <a:solidFill>
                <a:srgbClr val="000080">
                  <a:alpha val="100000"/>
                </a:srgbClr>
              </a:solidFill>
              <a:ln w="12700">
                <a:solidFill>
                  <a:srgbClr val="000000">
                    <a:alpha val="100000"/>
                  </a:srgbClr>
                </a:solidFill>
                <a:prstDash val="solid"/>
              </a:ln>
            </c:spPr>
          </c:dPt>
          <c:dPt>
            <c:idx val="9"/>
            <c:bubble3D val="0"/>
            <c:explosion val="0"/>
            <c:spPr>
              <a:solidFill>
                <a:srgbClr val="FF00FF">
                  <a:alpha val="100000"/>
                </a:srgbClr>
              </a:solidFill>
              <a:ln w="12700">
                <a:solidFill>
                  <a:srgbClr val="000000">
                    <a:alpha val="100000"/>
                  </a:srgbClr>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[图.xls]图6结构图!$A$2:$A$11</c:f>
              <c:strCache>
                <c:ptCount val="10"/>
                <c:pt idx="0">
                  <c:v>一般公共服务支出</c:v>
                </c:pt>
                <c:pt idx="1">
                  <c:v>文化旅游体育与传媒支出</c:v>
                </c:pt>
                <c:pt idx="2">
                  <c:v>社会保障和就业支出</c:v>
                </c:pt>
                <c:pt idx="3">
                  <c:v>卫生健康支出</c:v>
                </c:pt>
                <c:pt idx="4">
                  <c:v>节能环保支出</c:v>
                </c:pt>
                <c:pt idx="5">
                  <c:v>城乡社区支出</c:v>
                </c:pt>
                <c:pt idx="6">
                  <c:v>农林水支出</c:v>
                </c:pt>
                <c:pt idx="7">
                  <c:v>交通运输支出</c:v>
                </c:pt>
                <c:pt idx="8">
                  <c:v>住房保障支出</c:v>
                </c:pt>
                <c:pt idx="9">
                  <c:v>灾害防治及应急管理支出</c:v>
                </c:pt>
              </c:strCache>
            </c:strRef>
          </c:cat>
          <c:val>
            <c:numRef>
              <c:f>[图.xls]图6结构图!$B$2:$B$11</c:f>
              <c:numCache>
                <c:formatCode>#,##0.00</c:formatCode>
                <c:ptCount val="10"/>
                <c:pt idx="0">
                  <c:v>419.2</c:v>
                </c:pt>
                <c:pt idx="1">
                  <c:v>36.55</c:v>
                </c:pt>
                <c:pt idx="2">
                  <c:v>105.5</c:v>
                </c:pt>
                <c:pt idx="3">
                  <c:v>53.6</c:v>
                </c:pt>
                <c:pt idx="4">
                  <c:v>0</c:v>
                </c:pt>
                <c:pt idx="5">
                  <c:v>65.6</c:v>
                </c:pt>
                <c:pt idx="6">
                  <c:v>858.2</c:v>
                </c:pt>
                <c:pt idx="7">
                  <c:v>27.6</c:v>
                </c:pt>
                <c:pt idx="8">
                  <c:v>52.72</c:v>
                </c:pt>
                <c:pt idx="9">
                  <c:v>1</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egendEntry>
        <c:idx val="0"/>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4"/>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5"/>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6"/>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7"/>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8"/>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egendEntry>
        <c:idx val="9"/>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Entry>
      <c:layout>
        <c:manualLayout>
          <c:xMode val="edge"/>
          <c:yMode val="edge"/>
          <c:x val="0.678522727272727"/>
          <c:y val="0.294708083832335"/>
          <c:w val="0.30125"/>
          <c:h val="0.5535"/>
        </c:manualLayout>
      </c:layout>
      <c:overlay val="0"/>
      <c:spPr>
        <a:solidFill>
          <a:srgbClr val="FFFFFF"/>
        </a:solidFill>
        <a:ln>
          <a:solidFill>
            <a:srgbClr val="000000"/>
          </a:solidFill>
        </a:ln>
      </c:spPr>
      <c:txPr>
        <a:bodyPr rot="0" spcFirstLastPara="0" vertOverflow="ellipsis" vert="horz" wrap="square" anchor="ctr" anchorCtr="1"/>
        <a:lstStyle/>
        <a:p>
          <a:pPr>
            <a:defRPr lang="zh-CN" sz="1000" b="0" i="0" u="none" strike="noStrike" kern="1200" baseline="0">
              <a:solidFill>
                <a:schemeClr val="dk1"/>
              </a:solidFill>
              <a:latin typeface="+mn-lt"/>
              <a:ea typeface="+mn-ea"/>
              <a:cs typeface="+mn-cs"/>
            </a:defRPr>
          </a:pPr>
        </a:p>
      </c:txPr>
    </c:legend>
    <c:plotVisOnly val="1"/>
    <c:dispBlanksAs val="zero"/>
    <c:showDLblsOverMax val="0"/>
  </c:chart>
  <c:spPr>
    <a:solidFill>
      <a:schemeClr val="lt1"/>
    </a:solidFill>
    <a:ln w="12700" cap="flat" cmpd="sng" algn="ctr">
      <a:solidFill>
        <a:schemeClr val="dk1"/>
      </a:solidFill>
      <a:prstDash val="solid"/>
      <a:miter lim="800000"/>
    </a:ln>
    <a:sp3d>
      <a:extrusionClr>
        <a:srgbClr val="FFFFFF"/>
      </a:extrusionClr>
      <a:contourClr>
        <a:srgbClr val="FFFFFF"/>
      </a:contourClr>
    </a:sp3d>
  </c:spPr>
  <c:txPr>
    <a:bodyPr rot="0" wrap="square" anchor="ctr" anchorCtr="1"/>
    <a:lstStyle/>
    <a:p>
      <a:pPr>
        <a:defRPr lang="zh-CN" sz="1000" b="0" i="0" u="none" strike="noStrike" baseline="0">
          <a:solidFill>
            <a:schemeClr val="dk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“三公”经费财政拨款支出结构</a:t>
            </a:r>
            <a:endParaRPr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manualLayout>
          <c:layoutTarget val="inner"/>
          <c:xMode val="edge"/>
          <c:yMode val="edge"/>
          <c:x val="0.189532520325203"/>
          <c:y val="0.252924791086351"/>
          <c:w val="0.359247967479675"/>
          <c:h val="0.656453110492108"/>
        </c:manualLayout>
      </c:layout>
      <c:pieChart>
        <c:varyColors val="1"/>
        <c:ser>
          <c:idx val="0"/>
          <c:order val="0"/>
          <c:spPr>
            <a:solidFill>
              <a:srgbClr val="9999FF">
                <a:alpha val="100000"/>
              </a:srgbClr>
            </a:solidFill>
            <a:ln w="12700">
              <a:solidFill>
                <a:srgbClr val="000000">
                  <a:alpha val="100000"/>
                </a:srgbClr>
              </a:solidFill>
              <a:prstDash val="solid"/>
            </a:ln>
          </c:spPr>
          <c:explosion val="0"/>
          <c:dPt>
            <c:idx val="0"/>
            <c:bubble3D val="0"/>
            <c:explosion val="0"/>
            <c:spPr>
              <a:solidFill>
                <a:srgbClr val="9999FF">
                  <a:alpha val="100000"/>
                </a:srgbClr>
              </a:solidFill>
              <a:ln w="12700">
                <a:solidFill>
                  <a:srgbClr val="000000">
                    <a:alpha val="100000"/>
                  </a:srgbClr>
                </a:solidFill>
                <a:prstDash val="solid"/>
              </a:ln>
            </c:spPr>
          </c:dPt>
          <c:dPt>
            <c:idx val="1"/>
            <c:bubble3D val="0"/>
            <c:explosion val="0"/>
            <c:spPr>
              <a:solidFill>
                <a:srgbClr val="993366">
                  <a:alpha val="100000"/>
                </a:srgbClr>
              </a:solidFill>
              <a:ln w="12700">
                <a:solidFill>
                  <a:srgbClr val="000000">
                    <a:alpha val="100000"/>
                  </a:srgbClr>
                </a:solidFill>
                <a:prstDash val="solid"/>
              </a:ln>
            </c:spPr>
          </c:dPt>
          <c:dPt>
            <c:idx val="2"/>
            <c:bubble3D val="0"/>
            <c:explosion val="0"/>
            <c:spPr>
              <a:solidFill>
                <a:srgbClr val="FFFFCC">
                  <a:alpha val="100000"/>
                </a:srgbClr>
              </a:solidFill>
              <a:ln w="12700">
                <a:solidFill>
                  <a:srgbClr val="000000">
                    <a:alpha val="100000"/>
                  </a:srgbClr>
                </a:solidFill>
                <a:prstDash val="solid"/>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74390243902439"/>
                  <c:y val="-0.01114206128133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[图.xls]图7“三公”经费结构!$B$2:$B$4</c:f>
              <c:strCache>
                <c:ptCount val="3"/>
                <c:pt idx="0">
                  <c:v>公务出国（境）</c:v>
                </c:pt>
                <c:pt idx="1">
                  <c:v>公务用车及维护</c:v>
                </c:pt>
                <c:pt idx="2">
                  <c:v>公务接待</c:v>
                </c:pt>
              </c:strCache>
            </c:strRef>
          </c:cat>
          <c:val>
            <c:numRef>
              <c:f>[图.xls]图7“三公”经费结构!$C$2:$C$4</c:f>
              <c:numCache>
                <c:formatCode>General</c:formatCode>
                <c:ptCount val="3"/>
                <c:pt idx="0">
                  <c:v>0</c:v>
                </c:pt>
                <c:pt idx="1">
                  <c:v>0</c:v>
                </c:pt>
                <c:pt idx="2">
                  <c:v>8</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7835"/>
          <c:y val="0.43825"/>
          <c:w val="0.21025"/>
          <c:h val="0.251"/>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44</Pages>
  <Words>17020</Words>
  <Characters>18621</Characters>
  <Lines>61</Lines>
  <Paragraphs>17</Paragraphs>
  <TotalTime>9</TotalTime>
  <ScaleCrop>false</ScaleCrop>
  <LinksUpToDate>false</LinksUpToDate>
  <CharactersWithSpaces>18779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无问西东</cp:lastModifiedBy>
  <cp:lastPrinted>2022-09-04T04:57:00Z</cp:lastPrinted>
  <dcterms:modified xsi:type="dcterms:W3CDTF">2023-10-10T02:27:26Z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5E2B1713A908451EA6AD50102B3DB2A5_13</vt:lpwstr>
  </property>
</Properties>
</file>