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left="0"/>
        <w:rPr>
          <w:rFonts w:ascii="Times New Roman"/>
          <w:color w:val="auto"/>
          <w:sz w:val="20"/>
          <w:highlight w:val="none"/>
        </w:rPr>
      </w:pPr>
    </w:p>
    <w:p>
      <w:pPr>
        <w:pStyle w:val="10"/>
        <w:ind w:left="0"/>
        <w:rPr>
          <w:rFonts w:ascii="Times New Roman"/>
          <w:color w:val="auto"/>
          <w:sz w:val="20"/>
          <w:highlight w:val="none"/>
        </w:rPr>
      </w:pPr>
    </w:p>
    <w:p>
      <w:pPr>
        <w:pStyle w:val="10"/>
        <w:ind w:left="0"/>
        <w:rPr>
          <w:rFonts w:ascii="Times New Roman"/>
          <w:color w:val="auto"/>
          <w:sz w:val="20"/>
          <w:highlight w:val="none"/>
        </w:rPr>
      </w:pPr>
    </w:p>
    <w:p>
      <w:pPr>
        <w:pStyle w:val="10"/>
        <w:spacing w:before="1"/>
        <w:ind w:left="0"/>
        <w:rPr>
          <w:rFonts w:ascii="Times New Roman"/>
          <w:color w:val="auto"/>
          <w:highlight w:val="none"/>
        </w:rPr>
      </w:pPr>
    </w:p>
    <w:p>
      <w:pPr>
        <w:spacing w:before="45"/>
        <w:ind w:left="0" w:leftChars="0" w:right="9" w:firstLine="0" w:firstLineChars="0"/>
        <w:jc w:val="center"/>
        <w:rPr>
          <w:b/>
          <w:color w:val="auto"/>
          <w:sz w:val="40"/>
          <w:highlight w:val="none"/>
        </w:rPr>
      </w:pPr>
      <w:r>
        <w:rPr>
          <w:rFonts w:hint="eastAsia"/>
          <w:b/>
          <w:color w:val="auto"/>
          <w:sz w:val="40"/>
          <w:highlight w:val="none"/>
          <w:lang w:eastAsia="zh-CN"/>
        </w:rPr>
        <w:t>四川省</w:t>
      </w:r>
      <w:r>
        <w:rPr>
          <w:b/>
          <w:color w:val="auto"/>
          <w:sz w:val="40"/>
          <w:highlight w:val="none"/>
        </w:rPr>
        <w:t>达州市</w:t>
      </w:r>
      <w:r>
        <w:rPr>
          <w:rFonts w:hint="eastAsia"/>
          <w:b/>
          <w:color w:val="auto"/>
          <w:sz w:val="40"/>
          <w:highlight w:val="none"/>
          <w:lang w:eastAsia="zh-CN"/>
        </w:rPr>
        <w:t>大竹县</w:t>
      </w:r>
      <w:r>
        <w:rPr>
          <w:b/>
          <w:color w:val="auto"/>
          <w:sz w:val="40"/>
          <w:highlight w:val="none"/>
        </w:rPr>
        <w:t>煤炭矿区总体规划</w:t>
      </w:r>
    </w:p>
    <w:p>
      <w:pPr>
        <w:pStyle w:val="10"/>
        <w:spacing w:before="1"/>
        <w:ind w:left="0"/>
        <w:rPr>
          <w:b/>
          <w:color w:val="auto"/>
          <w:sz w:val="58"/>
          <w:highlight w:val="none"/>
        </w:rPr>
      </w:pPr>
    </w:p>
    <w:p>
      <w:pPr>
        <w:spacing w:before="0"/>
        <w:ind w:left="0" w:leftChars="0" w:right="14" w:firstLine="0" w:firstLineChars="0"/>
        <w:jc w:val="center"/>
        <w:rPr>
          <w:b/>
          <w:color w:val="auto"/>
          <w:sz w:val="72"/>
          <w:highlight w:val="none"/>
        </w:rPr>
      </w:pPr>
      <w:r>
        <w:rPr>
          <w:b/>
          <w:color w:val="auto"/>
          <w:sz w:val="72"/>
          <w:highlight w:val="none"/>
        </w:rPr>
        <w:t>环境影响报告书</w:t>
      </w:r>
    </w:p>
    <w:p>
      <w:pPr>
        <w:spacing w:before="362"/>
        <w:ind w:left="0" w:right="16" w:firstLine="0"/>
        <w:jc w:val="center"/>
        <w:rPr>
          <w:b/>
          <w:color w:val="auto"/>
          <w:sz w:val="36"/>
          <w:highlight w:val="none"/>
        </w:rPr>
      </w:pPr>
      <w:r>
        <w:rPr>
          <w:b/>
          <w:color w:val="auto"/>
          <w:sz w:val="36"/>
          <w:highlight w:val="none"/>
        </w:rPr>
        <w:t>（</w:t>
      </w:r>
      <w:r>
        <w:rPr>
          <w:rFonts w:hint="eastAsia"/>
          <w:b/>
          <w:color w:val="auto"/>
          <w:sz w:val="36"/>
          <w:highlight w:val="none"/>
          <w:lang w:eastAsia="zh-CN"/>
        </w:rPr>
        <w:t>征求意见</w:t>
      </w:r>
      <w:r>
        <w:rPr>
          <w:b/>
          <w:color w:val="auto"/>
          <w:sz w:val="36"/>
          <w:highlight w:val="none"/>
        </w:rPr>
        <w:t>稿）</w:t>
      </w:r>
    </w:p>
    <w:p>
      <w:pPr>
        <w:pStyle w:val="10"/>
        <w:ind w:left="0"/>
        <w:rPr>
          <w:b/>
          <w:color w:val="auto"/>
          <w:sz w:val="36"/>
          <w:highlight w:val="none"/>
        </w:rPr>
      </w:pPr>
    </w:p>
    <w:p>
      <w:pPr>
        <w:pStyle w:val="10"/>
        <w:ind w:left="0"/>
        <w:rPr>
          <w:b/>
          <w:color w:val="auto"/>
          <w:sz w:val="36"/>
          <w:highlight w:val="none"/>
        </w:rPr>
      </w:pPr>
    </w:p>
    <w:p>
      <w:pPr>
        <w:pStyle w:val="10"/>
        <w:ind w:left="0"/>
        <w:rPr>
          <w:b/>
          <w:color w:val="auto"/>
          <w:sz w:val="36"/>
          <w:highlight w:val="none"/>
        </w:rPr>
      </w:pPr>
    </w:p>
    <w:p>
      <w:pPr>
        <w:pStyle w:val="10"/>
        <w:ind w:left="0"/>
        <w:rPr>
          <w:b/>
          <w:color w:val="auto"/>
          <w:sz w:val="36"/>
          <w:highlight w:val="none"/>
        </w:rPr>
      </w:pPr>
    </w:p>
    <w:p>
      <w:pPr>
        <w:pStyle w:val="10"/>
        <w:ind w:left="0"/>
        <w:rPr>
          <w:b/>
          <w:color w:val="auto"/>
          <w:sz w:val="36"/>
          <w:highlight w:val="none"/>
        </w:rPr>
      </w:pPr>
    </w:p>
    <w:p>
      <w:pPr>
        <w:pStyle w:val="10"/>
        <w:ind w:left="0"/>
        <w:rPr>
          <w:b/>
          <w:color w:val="auto"/>
          <w:sz w:val="36"/>
          <w:highlight w:val="none"/>
        </w:rPr>
      </w:pPr>
    </w:p>
    <w:p>
      <w:pPr>
        <w:pStyle w:val="10"/>
        <w:ind w:left="0"/>
        <w:rPr>
          <w:b/>
          <w:color w:val="auto"/>
          <w:sz w:val="36"/>
          <w:highlight w:val="none"/>
        </w:rPr>
      </w:pPr>
    </w:p>
    <w:p>
      <w:pPr>
        <w:pStyle w:val="10"/>
        <w:ind w:left="0"/>
        <w:rPr>
          <w:b/>
          <w:color w:val="auto"/>
          <w:sz w:val="36"/>
          <w:highlight w:val="none"/>
        </w:rPr>
      </w:pPr>
    </w:p>
    <w:p>
      <w:pPr>
        <w:pStyle w:val="10"/>
        <w:spacing w:before="4"/>
        <w:ind w:left="0"/>
        <w:rPr>
          <w:b/>
          <w:color w:val="auto"/>
          <w:sz w:val="51"/>
          <w:highlight w:val="none"/>
        </w:rPr>
      </w:pPr>
    </w:p>
    <w:p>
      <w:pPr>
        <w:bidi w:val="0"/>
        <w:jc w:val="center"/>
        <w:rPr>
          <w:rFonts w:hint="eastAsia"/>
          <w:b/>
          <w:bCs/>
          <w:color w:val="auto"/>
          <w:spacing w:val="-11"/>
          <w:sz w:val="28"/>
          <w:szCs w:val="28"/>
          <w:highlight w:val="none"/>
          <w:lang w:eastAsia="zh-CN"/>
        </w:rPr>
      </w:pPr>
      <w:bookmarkStart w:id="0" w:name="实施单位： 达州市达川区发展和改革局"/>
      <w:bookmarkEnd w:id="0"/>
      <w:r>
        <w:rPr>
          <w:b/>
          <w:bCs/>
          <w:color w:val="auto"/>
          <w:spacing w:val="-11"/>
          <w:sz w:val="28"/>
          <w:szCs w:val="28"/>
          <w:highlight w:val="none"/>
        </w:rPr>
        <w:t>实施单位：达州市</w:t>
      </w:r>
      <w:r>
        <w:rPr>
          <w:rFonts w:hint="eastAsia"/>
          <w:b/>
          <w:bCs/>
          <w:color w:val="auto"/>
          <w:spacing w:val="-11"/>
          <w:sz w:val="28"/>
          <w:szCs w:val="28"/>
          <w:highlight w:val="none"/>
          <w:lang w:eastAsia="zh-CN"/>
        </w:rPr>
        <w:t>大竹县应急管理局</w:t>
      </w:r>
    </w:p>
    <w:p>
      <w:pPr>
        <w:bidi w:val="0"/>
        <w:jc w:val="center"/>
        <w:rPr>
          <w:b/>
          <w:bCs/>
          <w:color w:val="auto"/>
          <w:sz w:val="28"/>
          <w:szCs w:val="28"/>
          <w:highlight w:val="none"/>
        </w:rPr>
      </w:pPr>
      <w:r>
        <w:rPr>
          <w:b/>
          <w:bCs/>
          <w:color w:val="auto"/>
          <w:spacing w:val="-5"/>
          <w:sz w:val="28"/>
          <w:szCs w:val="28"/>
          <w:highlight w:val="none"/>
        </w:rPr>
        <w:t>编制日期：</w:t>
      </w:r>
      <w:r>
        <w:rPr>
          <w:rFonts w:ascii="Times New Roman" w:eastAsia="Times New Roman"/>
          <w:b/>
          <w:bCs/>
          <w:color w:val="auto"/>
          <w:spacing w:val="-3"/>
          <w:sz w:val="28"/>
          <w:szCs w:val="28"/>
          <w:highlight w:val="none"/>
        </w:rPr>
        <w:t>2021</w:t>
      </w:r>
      <w:r>
        <w:rPr>
          <w:b/>
          <w:bCs/>
          <w:color w:val="auto"/>
          <w:sz w:val="28"/>
          <w:szCs w:val="28"/>
          <w:highlight w:val="none"/>
        </w:rPr>
        <w:t>年</w:t>
      </w:r>
      <w:r>
        <w:rPr>
          <w:rFonts w:hint="eastAsia" w:ascii="Times New Roman"/>
          <w:b/>
          <w:bCs/>
          <w:color w:val="auto"/>
          <w:sz w:val="28"/>
          <w:szCs w:val="28"/>
          <w:highlight w:val="none"/>
          <w:lang w:val="en-US" w:eastAsia="zh-CN"/>
        </w:rPr>
        <w:t>1</w:t>
      </w:r>
      <w:r>
        <w:rPr>
          <w:rFonts w:hint="eastAsia"/>
          <w:b/>
          <w:bCs/>
          <w:color w:val="auto"/>
          <w:sz w:val="28"/>
          <w:szCs w:val="28"/>
          <w:highlight w:val="none"/>
          <w:lang w:val="en-US" w:eastAsia="zh-CN"/>
        </w:rPr>
        <w:t>2</w:t>
      </w:r>
      <w:r>
        <w:rPr>
          <w:b/>
          <w:bCs/>
          <w:color w:val="auto"/>
          <w:sz w:val="28"/>
          <w:szCs w:val="28"/>
          <w:highlight w:val="none"/>
        </w:rPr>
        <w:t>月</w:t>
      </w:r>
    </w:p>
    <w:p>
      <w:pPr>
        <w:spacing w:after="0" w:line="410" w:lineRule="auto"/>
        <w:jc w:val="center"/>
        <w:rPr>
          <w:color w:val="auto"/>
          <w:highlight w:val="none"/>
        </w:rPr>
        <w:sectPr>
          <w:headerReference r:id="rId5" w:type="default"/>
          <w:footerReference r:id="rId6" w:type="default"/>
          <w:type w:val="continuous"/>
          <w:pgSz w:w="11910" w:h="16840"/>
          <w:pgMar w:top="1360" w:right="1240" w:bottom="280" w:left="1260" w:header="902" w:footer="720" w:gutter="0"/>
          <w:pgBorders>
            <w:top w:val="none" w:sz="0" w:space="0"/>
            <w:left w:val="none" w:sz="0" w:space="0"/>
            <w:bottom w:val="none" w:sz="0" w:space="0"/>
            <w:right w:val="none" w:sz="0" w:space="0"/>
          </w:pgBorders>
          <w:cols w:space="720" w:num="1"/>
        </w:sectPr>
      </w:pPr>
    </w:p>
    <w:sdt>
      <w:sdtPr>
        <w:rPr>
          <w:rFonts w:ascii="宋体" w:hAnsi="宋体" w:eastAsia="宋体" w:cs="宋体"/>
          <w:color w:val="auto"/>
          <w:sz w:val="21"/>
          <w:szCs w:val="24"/>
          <w:highlight w:val="none"/>
          <w:lang w:val="en-US" w:eastAsia="en-US" w:bidi="ar-SA"/>
        </w:rPr>
        <w:id w:val="147471829"/>
        <w15:color w:val="DBDBDB"/>
        <w:docPartObj>
          <w:docPartGallery w:val="Table of Contents"/>
          <w:docPartUnique/>
        </w:docPartObj>
      </w:sdtPr>
      <w:sdtEndPr>
        <w:rPr>
          <w:rFonts w:ascii="宋体" w:hAnsi="宋体" w:eastAsia="宋体" w:cs="宋体"/>
          <w:b/>
          <w:bCs/>
          <w:color w:val="auto"/>
          <w:sz w:val="32"/>
          <w:szCs w:val="32"/>
          <w:highlight w:val="none"/>
          <w:lang w:val="en-US" w:eastAsia="en-US" w:bidi="ar-SA"/>
        </w:rPr>
      </w:sdtEndPr>
      <w:sdtContent>
        <w:p>
          <w:pPr>
            <w:spacing w:before="0" w:beforeLines="0" w:after="0" w:afterLines="0" w:line="240" w:lineRule="auto"/>
            <w:ind w:left="0" w:leftChars="0" w:right="0" w:rightChars="0" w:firstLine="0" w:firstLineChars="0"/>
            <w:jc w:val="center"/>
            <w:rPr>
              <w:color w:val="auto"/>
              <w:highlight w:val="none"/>
            </w:rPr>
          </w:pPr>
          <w:bookmarkStart w:id="1" w:name="_Toc11360"/>
          <w:r>
            <w:rPr>
              <w:rFonts w:ascii="宋体" w:hAnsi="宋体" w:eastAsia="宋体"/>
              <w:color w:val="auto"/>
              <w:sz w:val="21"/>
              <w:highlight w:val="none"/>
            </w:rPr>
            <w:t>目录</w:t>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_Toc21516 </w:instrText>
          </w:r>
          <w:r>
            <w:rPr>
              <w:color w:val="auto"/>
              <w:highlight w:val="none"/>
            </w:rPr>
            <w:fldChar w:fldCharType="separate"/>
          </w:r>
          <w:r>
            <w:rPr>
              <w:color w:val="auto"/>
              <w:highlight w:val="none"/>
            </w:rPr>
            <w:t>前言</w:t>
          </w:r>
          <w:r>
            <w:rPr>
              <w:color w:val="auto"/>
              <w:highlight w:val="none"/>
            </w:rPr>
            <w:tab/>
          </w:r>
          <w:r>
            <w:rPr>
              <w:color w:val="auto"/>
              <w:highlight w:val="none"/>
            </w:rPr>
            <w:fldChar w:fldCharType="begin"/>
          </w:r>
          <w:r>
            <w:rPr>
              <w:color w:val="auto"/>
              <w:highlight w:val="none"/>
            </w:rPr>
            <w:instrText xml:space="preserve"> PAGEREF _Toc21516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_Toc25003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1 </w:t>
          </w:r>
          <w:r>
            <w:rPr>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_Toc25003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_Toc24293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 </w:t>
          </w:r>
          <w:r>
            <w:rPr>
              <w:color w:val="auto"/>
              <w:highlight w:val="none"/>
            </w:rPr>
            <w:t>编制依据</w:t>
          </w:r>
          <w:r>
            <w:rPr>
              <w:color w:val="auto"/>
              <w:highlight w:val="none"/>
            </w:rPr>
            <w:tab/>
          </w:r>
          <w:r>
            <w:rPr>
              <w:color w:val="auto"/>
              <w:highlight w:val="none"/>
            </w:rPr>
            <w:fldChar w:fldCharType="begin"/>
          </w:r>
          <w:r>
            <w:rPr>
              <w:color w:val="auto"/>
              <w:highlight w:val="none"/>
            </w:rPr>
            <w:instrText xml:space="preserve"> PAGEREF _Toc24293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_Toc9698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1.1.1 </w:t>
          </w:r>
          <w:r>
            <w:rPr>
              <w:color w:val="auto"/>
              <w:highlight w:val="none"/>
            </w:rPr>
            <w:t>国家及地方相关法律、法规</w:t>
          </w:r>
          <w:r>
            <w:rPr>
              <w:color w:val="auto"/>
              <w:highlight w:val="none"/>
            </w:rPr>
            <w:tab/>
          </w:r>
          <w:r>
            <w:rPr>
              <w:color w:val="auto"/>
              <w:highlight w:val="none"/>
            </w:rPr>
            <w:fldChar w:fldCharType="begin"/>
          </w:r>
          <w:r>
            <w:rPr>
              <w:color w:val="auto"/>
              <w:highlight w:val="none"/>
            </w:rPr>
            <w:instrText xml:space="preserve"> PAGEREF _Toc9698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_Toc16927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1.1.2 </w:t>
          </w:r>
          <w:r>
            <w:rPr>
              <w:color w:val="auto"/>
              <w:highlight w:val="none"/>
            </w:rPr>
            <w:t>国家及地方相关政策、规划</w:t>
          </w:r>
          <w:r>
            <w:rPr>
              <w:color w:val="auto"/>
              <w:highlight w:val="none"/>
            </w:rPr>
            <w:tab/>
          </w:r>
          <w:r>
            <w:rPr>
              <w:color w:val="auto"/>
              <w:highlight w:val="none"/>
            </w:rPr>
            <w:fldChar w:fldCharType="begin"/>
          </w:r>
          <w:r>
            <w:rPr>
              <w:color w:val="auto"/>
              <w:highlight w:val="none"/>
            </w:rPr>
            <w:instrText xml:space="preserve"> PAGEREF _Toc16927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_Toc21053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1.1.3 </w:t>
          </w:r>
          <w:r>
            <w:rPr>
              <w:color w:val="auto"/>
              <w:highlight w:val="none"/>
            </w:rPr>
            <w:t>技术规范</w:t>
          </w:r>
          <w:r>
            <w:rPr>
              <w:color w:val="auto"/>
              <w:highlight w:val="none"/>
            </w:rPr>
            <w:tab/>
          </w:r>
          <w:r>
            <w:rPr>
              <w:color w:val="auto"/>
              <w:highlight w:val="none"/>
            </w:rPr>
            <w:fldChar w:fldCharType="begin"/>
          </w:r>
          <w:r>
            <w:rPr>
              <w:color w:val="auto"/>
              <w:highlight w:val="none"/>
            </w:rPr>
            <w:instrText xml:space="preserve"> PAGEREF _Toc21053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_Toc2579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1.2 </w:t>
          </w:r>
          <w:r>
            <w:rPr>
              <w:color w:val="auto"/>
              <w:highlight w:val="none"/>
            </w:rPr>
            <w:t>评价目的、原则</w:t>
          </w:r>
          <w:r>
            <w:rPr>
              <w:color w:val="auto"/>
              <w:highlight w:val="none"/>
            </w:rPr>
            <w:tab/>
          </w:r>
          <w:r>
            <w:rPr>
              <w:color w:val="auto"/>
              <w:highlight w:val="none"/>
            </w:rPr>
            <w:fldChar w:fldCharType="begin"/>
          </w:r>
          <w:r>
            <w:rPr>
              <w:color w:val="auto"/>
              <w:highlight w:val="none"/>
            </w:rPr>
            <w:instrText xml:space="preserve"> PAGEREF _Toc2579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_Toc9718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1.2.1 </w:t>
          </w:r>
          <w:r>
            <w:rPr>
              <w:color w:val="auto"/>
              <w:highlight w:val="none"/>
            </w:rPr>
            <w:t>评价目的</w:t>
          </w:r>
          <w:r>
            <w:rPr>
              <w:color w:val="auto"/>
              <w:highlight w:val="none"/>
            </w:rPr>
            <w:tab/>
          </w:r>
          <w:r>
            <w:rPr>
              <w:color w:val="auto"/>
              <w:highlight w:val="none"/>
            </w:rPr>
            <w:fldChar w:fldCharType="begin"/>
          </w:r>
          <w:r>
            <w:rPr>
              <w:color w:val="auto"/>
              <w:highlight w:val="none"/>
            </w:rPr>
            <w:instrText xml:space="preserve"> PAGEREF _Toc9718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_Toc21581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1.2.2 </w:t>
          </w:r>
          <w:r>
            <w:rPr>
              <w:color w:val="auto"/>
              <w:highlight w:val="none"/>
            </w:rPr>
            <w:t>评价原则</w:t>
          </w:r>
          <w:r>
            <w:rPr>
              <w:color w:val="auto"/>
              <w:highlight w:val="none"/>
            </w:rPr>
            <w:tab/>
          </w:r>
          <w:r>
            <w:rPr>
              <w:color w:val="auto"/>
              <w:highlight w:val="none"/>
            </w:rPr>
            <w:fldChar w:fldCharType="begin"/>
          </w:r>
          <w:r>
            <w:rPr>
              <w:color w:val="auto"/>
              <w:highlight w:val="none"/>
            </w:rPr>
            <w:instrText xml:space="preserve"> PAGEREF _Toc21581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_Toc7863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1.3 </w:t>
          </w:r>
          <w:r>
            <w:rPr>
              <w:color w:val="auto"/>
              <w:highlight w:val="none"/>
            </w:rPr>
            <w:t>评价内容、评价重点及评价方法</w:t>
          </w:r>
          <w:r>
            <w:rPr>
              <w:color w:val="auto"/>
              <w:highlight w:val="none"/>
            </w:rPr>
            <w:tab/>
          </w:r>
          <w:r>
            <w:rPr>
              <w:color w:val="auto"/>
              <w:highlight w:val="none"/>
            </w:rPr>
            <w:fldChar w:fldCharType="begin"/>
          </w:r>
          <w:r>
            <w:rPr>
              <w:color w:val="auto"/>
              <w:highlight w:val="none"/>
            </w:rPr>
            <w:instrText xml:space="preserve"> PAGEREF _Toc7863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_Toc27867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1.3.1 </w:t>
          </w:r>
          <w:r>
            <w:rPr>
              <w:color w:val="auto"/>
              <w:highlight w:val="none"/>
            </w:rPr>
            <w:t>评价内容</w:t>
          </w:r>
          <w:r>
            <w:rPr>
              <w:color w:val="auto"/>
              <w:highlight w:val="none"/>
            </w:rPr>
            <w:tab/>
          </w:r>
          <w:r>
            <w:rPr>
              <w:color w:val="auto"/>
              <w:highlight w:val="none"/>
            </w:rPr>
            <w:fldChar w:fldCharType="begin"/>
          </w:r>
          <w:r>
            <w:rPr>
              <w:color w:val="auto"/>
              <w:highlight w:val="none"/>
            </w:rPr>
            <w:instrText xml:space="preserve"> PAGEREF _Toc27867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_Toc12603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1.3.2 </w:t>
          </w:r>
          <w:r>
            <w:rPr>
              <w:color w:val="auto"/>
              <w:highlight w:val="none"/>
            </w:rPr>
            <w:t>评价重点</w:t>
          </w:r>
          <w:r>
            <w:rPr>
              <w:color w:val="auto"/>
              <w:highlight w:val="none"/>
            </w:rPr>
            <w:tab/>
          </w:r>
          <w:r>
            <w:rPr>
              <w:color w:val="auto"/>
              <w:highlight w:val="none"/>
            </w:rPr>
            <w:fldChar w:fldCharType="begin"/>
          </w:r>
          <w:r>
            <w:rPr>
              <w:color w:val="auto"/>
              <w:highlight w:val="none"/>
            </w:rPr>
            <w:instrText xml:space="preserve"> PAGEREF _Toc12603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_Toc29412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1.3.3 </w:t>
          </w:r>
          <w:r>
            <w:rPr>
              <w:color w:val="auto"/>
              <w:highlight w:val="none"/>
            </w:rPr>
            <w:t>评价方法</w:t>
          </w:r>
          <w:r>
            <w:rPr>
              <w:color w:val="auto"/>
              <w:highlight w:val="none"/>
            </w:rPr>
            <w:tab/>
          </w:r>
          <w:r>
            <w:rPr>
              <w:color w:val="auto"/>
              <w:highlight w:val="none"/>
            </w:rPr>
            <w:fldChar w:fldCharType="begin"/>
          </w:r>
          <w:r>
            <w:rPr>
              <w:color w:val="auto"/>
              <w:highlight w:val="none"/>
            </w:rPr>
            <w:instrText xml:space="preserve"> PAGEREF _Toc29412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_Toc28671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1.4 </w:t>
          </w:r>
          <w:r>
            <w:rPr>
              <w:color w:val="auto"/>
              <w:highlight w:val="none"/>
            </w:rPr>
            <w:t>环境功能区划、评价标准</w:t>
          </w:r>
          <w:r>
            <w:rPr>
              <w:color w:val="auto"/>
              <w:highlight w:val="none"/>
            </w:rPr>
            <w:tab/>
          </w:r>
          <w:r>
            <w:rPr>
              <w:color w:val="auto"/>
              <w:highlight w:val="none"/>
            </w:rPr>
            <w:fldChar w:fldCharType="begin"/>
          </w:r>
          <w:r>
            <w:rPr>
              <w:color w:val="auto"/>
              <w:highlight w:val="none"/>
            </w:rPr>
            <w:instrText xml:space="preserve"> PAGEREF _Toc28671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_Toc10013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1.4.1 </w:t>
          </w:r>
          <w:r>
            <w:rPr>
              <w:color w:val="auto"/>
              <w:highlight w:val="none"/>
            </w:rPr>
            <w:t>环境功能区划</w:t>
          </w:r>
          <w:r>
            <w:rPr>
              <w:color w:val="auto"/>
              <w:highlight w:val="none"/>
            </w:rPr>
            <w:tab/>
          </w:r>
          <w:r>
            <w:rPr>
              <w:color w:val="auto"/>
              <w:highlight w:val="none"/>
            </w:rPr>
            <w:fldChar w:fldCharType="begin"/>
          </w:r>
          <w:r>
            <w:rPr>
              <w:color w:val="auto"/>
              <w:highlight w:val="none"/>
            </w:rPr>
            <w:instrText xml:space="preserve"> PAGEREF _Toc10013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_Toc22626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1.4.2 </w:t>
          </w:r>
          <w:r>
            <w:rPr>
              <w:color w:val="auto"/>
              <w:highlight w:val="none"/>
            </w:rPr>
            <w:t>评价标准</w:t>
          </w:r>
          <w:r>
            <w:rPr>
              <w:color w:val="auto"/>
              <w:highlight w:val="none"/>
            </w:rPr>
            <w:tab/>
          </w:r>
          <w:r>
            <w:rPr>
              <w:color w:val="auto"/>
              <w:highlight w:val="none"/>
            </w:rPr>
            <w:fldChar w:fldCharType="begin"/>
          </w:r>
          <w:r>
            <w:rPr>
              <w:color w:val="auto"/>
              <w:highlight w:val="none"/>
            </w:rPr>
            <w:instrText xml:space="preserve"> PAGEREF _Toc22626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_Toc23266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1.5 </w:t>
          </w:r>
          <w:r>
            <w:rPr>
              <w:color w:val="auto"/>
              <w:highlight w:val="none"/>
            </w:rPr>
            <w:t>评价范围及评价时段</w:t>
          </w:r>
          <w:r>
            <w:rPr>
              <w:color w:val="auto"/>
              <w:highlight w:val="none"/>
            </w:rPr>
            <w:tab/>
          </w:r>
          <w:r>
            <w:rPr>
              <w:color w:val="auto"/>
              <w:highlight w:val="none"/>
            </w:rPr>
            <w:fldChar w:fldCharType="begin"/>
          </w:r>
          <w:r>
            <w:rPr>
              <w:color w:val="auto"/>
              <w:highlight w:val="none"/>
            </w:rPr>
            <w:instrText xml:space="preserve"> PAGEREF _Toc23266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_Toc490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1.5.1 </w:t>
          </w:r>
          <w:r>
            <w:rPr>
              <w:color w:val="auto"/>
              <w:highlight w:val="none"/>
            </w:rPr>
            <w:t>评价范围</w:t>
          </w:r>
          <w:r>
            <w:rPr>
              <w:color w:val="auto"/>
              <w:highlight w:val="none"/>
            </w:rPr>
            <w:tab/>
          </w:r>
          <w:r>
            <w:rPr>
              <w:color w:val="auto"/>
              <w:highlight w:val="none"/>
            </w:rPr>
            <w:fldChar w:fldCharType="begin"/>
          </w:r>
          <w:r>
            <w:rPr>
              <w:color w:val="auto"/>
              <w:highlight w:val="none"/>
            </w:rPr>
            <w:instrText xml:space="preserve"> PAGEREF _Toc490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_Toc27884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1.5.2 </w:t>
          </w:r>
          <w:r>
            <w:rPr>
              <w:color w:val="auto"/>
              <w:highlight w:val="none"/>
            </w:rPr>
            <w:t>评价时段</w:t>
          </w:r>
          <w:r>
            <w:rPr>
              <w:color w:val="auto"/>
              <w:highlight w:val="none"/>
            </w:rPr>
            <w:tab/>
          </w:r>
          <w:r>
            <w:rPr>
              <w:color w:val="auto"/>
              <w:highlight w:val="none"/>
            </w:rPr>
            <w:fldChar w:fldCharType="begin"/>
          </w:r>
          <w:r>
            <w:rPr>
              <w:color w:val="auto"/>
              <w:highlight w:val="none"/>
            </w:rPr>
            <w:instrText xml:space="preserve"> PAGEREF _Toc27884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_Toc2181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1.6 </w:t>
          </w:r>
          <w:r>
            <w:rPr>
              <w:color w:val="auto"/>
              <w:highlight w:val="none"/>
            </w:rPr>
            <w:t>环境保护目标和环境敏感点</w:t>
          </w:r>
          <w:r>
            <w:rPr>
              <w:color w:val="auto"/>
              <w:highlight w:val="none"/>
            </w:rPr>
            <w:tab/>
          </w:r>
          <w:r>
            <w:rPr>
              <w:color w:val="auto"/>
              <w:highlight w:val="none"/>
            </w:rPr>
            <w:fldChar w:fldCharType="begin"/>
          </w:r>
          <w:r>
            <w:rPr>
              <w:color w:val="auto"/>
              <w:highlight w:val="none"/>
            </w:rPr>
            <w:instrText xml:space="preserve"> PAGEREF _Toc2181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_Toc26890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1.6.1 </w:t>
          </w:r>
          <w:r>
            <w:rPr>
              <w:color w:val="auto"/>
              <w:highlight w:val="none"/>
            </w:rPr>
            <w:t>环境保护目标</w:t>
          </w:r>
          <w:r>
            <w:rPr>
              <w:color w:val="auto"/>
              <w:highlight w:val="none"/>
            </w:rPr>
            <w:tab/>
          </w:r>
          <w:r>
            <w:rPr>
              <w:color w:val="auto"/>
              <w:highlight w:val="none"/>
            </w:rPr>
            <w:fldChar w:fldCharType="begin"/>
          </w:r>
          <w:r>
            <w:rPr>
              <w:color w:val="auto"/>
              <w:highlight w:val="none"/>
            </w:rPr>
            <w:instrText xml:space="preserve"> PAGEREF _Toc26890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_Toc4608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1.6.2 </w:t>
          </w:r>
          <w:r>
            <w:rPr>
              <w:color w:val="auto"/>
              <w:highlight w:val="none"/>
            </w:rPr>
            <w:t>环境敏感点</w:t>
          </w:r>
          <w:r>
            <w:rPr>
              <w:color w:val="auto"/>
              <w:highlight w:val="none"/>
            </w:rPr>
            <w:tab/>
          </w:r>
          <w:r>
            <w:rPr>
              <w:color w:val="auto"/>
              <w:highlight w:val="none"/>
            </w:rPr>
            <w:fldChar w:fldCharType="begin"/>
          </w:r>
          <w:r>
            <w:rPr>
              <w:color w:val="auto"/>
              <w:highlight w:val="none"/>
            </w:rPr>
            <w:instrText xml:space="preserve"> PAGEREF _Toc4608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_Toc19008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1.6.3 </w:t>
          </w:r>
          <w:r>
            <w:rPr>
              <w:color w:val="auto"/>
              <w:highlight w:val="none"/>
            </w:rPr>
            <w:t>环境</w:t>
          </w:r>
          <w:r>
            <w:rPr>
              <w:rFonts w:hint="eastAsia"/>
              <w:color w:val="auto"/>
              <w:highlight w:val="none"/>
              <w:lang w:eastAsia="zh-CN"/>
            </w:rPr>
            <w:t>保护对象汇总</w:t>
          </w:r>
          <w:r>
            <w:rPr>
              <w:color w:val="auto"/>
              <w:highlight w:val="none"/>
            </w:rPr>
            <w:tab/>
          </w:r>
          <w:r>
            <w:rPr>
              <w:color w:val="auto"/>
              <w:highlight w:val="none"/>
            </w:rPr>
            <w:fldChar w:fldCharType="begin"/>
          </w:r>
          <w:r>
            <w:rPr>
              <w:color w:val="auto"/>
              <w:highlight w:val="none"/>
            </w:rPr>
            <w:instrText xml:space="preserve"> PAGEREF _Toc19008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_Toc4106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1.7 </w:t>
          </w:r>
          <w:r>
            <w:rPr>
              <w:color w:val="auto"/>
              <w:highlight w:val="none"/>
            </w:rPr>
            <w:t>评价技术路线</w:t>
          </w:r>
          <w:r>
            <w:rPr>
              <w:color w:val="auto"/>
              <w:highlight w:val="none"/>
            </w:rPr>
            <w:tab/>
          </w:r>
          <w:r>
            <w:rPr>
              <w:color w:val="auto"/>
              <w:highlight w:val="none"/>
            </w:rPr>
            <w:fldChar w:fldCharType="begin"/>
          </w:r>
          <w:r>
            <w:rPr>
              <w:color w:val="auto"/>
              <w:highlight w:val="none"/>
            </w:rPr>
            <w:instrText xml:space="preserve"> PAGEREF _Toc4106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_Toc6967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2 </w:t>
          </w:r>
          <w:r>
            <w:rPr>
              <w:color w:val="auto"/>
              <w:highlight w:val="none"/>
            </w:rPr>
            <w:t>规划分析</w:t>
          </w:r>
          <w:r>
            <w:rPr>
              <w:color w:val="auto"/>
              <w:highlight w:val="none"/>
            </w:rPr>
            <w:tab/>
          </w:r>
          <w:r>
            <w:rPr>
              <w:color w:val="auto"/>
              <w:highlight w:val="none"/>
            </w:rPr>
            <w:fldChar w:fldCharType="begin"/>
          </w:r>
          <w:r>
            <w:rPr>
              <w:color w:val="auto"/>
              <w:highlight w:val="none"/>
            </w:rPr>
            <w:instrText xml:space="preserve"> PAGEREF _Toc6967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_Toc11135 </w:instrText>
          </w:r>
          <w:r>
            <w:rPr>
              <w:color w:val="auto"/>
              <w:highlight w:val="none"/>
            </w:rPr>
            <w:fldChar w:fldCharType="separate"/>
          </w:r>
          <w:r>
            <w:rPr>
              <w:rFonts w:hint="default"/>
              <w:color w:val="auto"/>
              <w:highlight w:val="none"/>
              <w:lang w:val="en-US" w:eastAsia="zh-CN"/>
            </w:rPr>
            <w:t>2.1 规划方案概述</w:t>
          </w:r>
          <w:r>
            <w:rPr>
              <w:color w:val="auto"/>
              <w:highlight w:val="none"/>
            </w:rPr>
            <w:tab/>
          </w:r>
          <w:r>
            <w:rPr>
              <w:color w:val="auto"/>
              <w:highlight w:val="none"/>
            </w:rPr>
            <w:fldChar w:fldCharType="begin"/>
          </w:r>
          <w:r>
            <w:rPr>
              <w:color w:val="auto"/>
              <w:highlight w:val="none"/>
            </w:rPr>
            <w:instrText xml:space="preserve"> PAGEREF _Toc11135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_Toc20203 </w:instrText>
          </w:r>
          <w:r>
            <w:rPr>
              <w:color w:val="auto"/>
              <w:highlight w:val="none"/>
            </w:rPr>
            <w:fldChar w:fldCharType="separate"/>
          </w:r>
          <w:r>
            <w:rPr>
              <w:rFonts w:hint="default"/>
              <w:color w:val="auto"/>
              <w:highlight w:val="none"/>
              <w:lang w:val="en-US" w:eastAsia="zh-CN"/>
            </w:rPr>
            <w:t>2.1.1 矿区位置与范围</w:t>
          </w:r>
          <w:r>
            <w:rPr>
              <w:color w:val="auto"/>
              <w:highlight w:val="none"/>
            </w:rPr>
            <w:tab/>
          </w:r>
          <w:r>
            <w:rPr>
              <w:color w:val="auto"/>
              <w:highlight w:val="none"/>
            </w:rPr>
            <w:fldChar w:fldCharType="begin"/>
          </w:r>
          <w:r>
            <w:rPr>
              <w:color w:val="auto"/>
              <w:highlight w:val="none"/>
            </w:rPr>
            <w:instrText xml:space="preserve"> PAGEREF _Toc20203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_Toc27339 </w:instrText>
          </w:r>
          <w:r>
            <w:rPr>
              <w:color w:val="auto"/>
              <w:highlight w:val="none"/>
            </w:rPr>
            <w:fldChar w:fldCharType="separate"/>
          </w:r>
          <w:r>
            <w:rPr>
              <w:rFonts w:hint="default"/>
              <w:color w:val="auto"/>
              <w:highlight w:val="none"/>
              <w:lang w:val="en-US" w:eastAsia="zh-CN"/>
            </w:rPr>
            <w:t>2.1.2 矿区煤炭资源禀赋、开采条件</w:t>
          </w:r>
          <w:r>
            <w:rPr>
              <w:color w:val="auto"/>
              <w:highlight w:val="none"/>
            </w:rPr>
            <w:tab/>
          </w:r>
          <w:r>
            <w:rPr>
              <w:color w:val="auto"/>
              <w:highlight w:val="none"/>
            </w:rPr>
            <w:fldChar w:fldCharType="begin"/>
          </w:r>
          <w:r>
            <w:rPr>
              <w:color w:val="auto"/>
              <w:highlight w:val="none"/>
            </w:rPr>
            <w:instrText xml:space="preserve"> PAGEREF _Toc27339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_Toc15345 </w:instrText>
          </w:r>
          <w:r>
            <w:rPr>
              <w:color w:val="auto"/>
              <w:highlight w:val="none"/>
            </w:rPr>
            <w:fldChar w:fldCharType="separate"/>
          </w:r>
          <w:r>
            <w:rPr>
              <w:rFonts w:hint="default"/>
              <w:color w:val="auto"/>
              <w:highlight w:val="none"/>
              <w:lang w:val="en-US" w:eastAsia="zh-CN"/>
            </w:rPr>
            <w:t>2.1.3 矿区开发历史与现状</w:t>
          </w:r>
          <w:r>
            <w:rPr>
              <w:color w:val="auto"/>
              <w:highlight w:val="none"/>
            </w:rPr>
            <w:tab/>
          </w:r>
          <w:r>
            <w:rPr>
              <w:color w:val="auto"/>
              <w:highlight w:val="none"/>
            </w:rPr>
            <w:fldChar w:fldCharType="begin"/>
          </w:r>
          <w:r>
            <w:rPr>
              <w:color w:val="auto"/>
              <w:highlight w:val="none"/>
            </w:rPr>
            <w:instrText xml:space="preserve"> PAGEREF _Toc15345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_Toc29859 </w:instrText>
          </w:r>
          <w:r>
            <w:rPr>
              <w:color w:val="auto"/>
              <w:highlight w:val="none"/>
            </w:rPr>
            <w:fldChar w:fldCharType="separate"/>
          </w:r>
          <w:r>
            <w:rPr>
              <w:rFonts w:hint="default"/>
              <w:color w:val="auto"/>
              <w:highlight w:val="none"/>
              <w:lang w:val="en-US" w:eastAsia="zh-CN"/>
            </w:rPr>
            <w:t>2.1.4 矿区井田划分方案</w:t>
          </w:r>
          <w:r>
            <w:rPr>
              <w:color w:val="auto"/>
              <w:highlight w:val="none"/>
            </w:rPr>
            <w:tab/>
          </w:r>
          <w:r>
            <w:rPr>
              <w:color w:val="auto"/>
              <w:highlight w:val="none"/>
            </w:rPr>
            <w:fldChar w:fldCharType="begin"/>
          </w:r>
          <w:r>
            <w:rPr>
              <w:color w:val="auto"/>
              <w:highlight w:val="none"/>
            </w:rPr>
            <w:instrText xml:space="preserve"> PAGEREF _Toc29859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_Toc14031 </w:instrText>
          </w:r>
          <w:r>
            <w:rPr>
              <w:color w:val="auto"/>
              <w:highlight w:val="none"/>
            </w:rPr>
            <w:fldChar w:fldCharType="separate"/>
          </w:r>
          <w:r>
            <w:rPr>
              <w:rFonts w:hint="default"/>
              <w:color w:val="auto"/>
              <w:highlight w:val="none"/>
              <w:lang w:val="en-US" w:eastAsia="zh-CN"/>
            </w:rPr>
            <w:t>2.1.5 井田开拓方式及规划生产能力</w:t>
          </w:r>
          <w:r>
            <w:rPr>
              <w:color w:val="auto"/>
              <w:highlight w:val="none"/>
            </w:rPr>
            <w:tab/>
          </w:r>
          <w:r>
            <w:rPr>
              <w:color w:val="auto"/>
              <w:highlight w:val="none"/>
            </w:rPr>
            <w:fldChar w:fldCharType="begin"/>
          </w:r>
          <w:r>
            <w:rPr>
              <w:color w:val="auto"/>
              <w:highlight w:val="none"/>
            </w:rPr>
            <w:instrText xml:space="preserve"> PAGEREF _Toc14031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_Toc6515 </w:instrText>
          </w:r>
          <w:r>
            <w:rPr>
              <w:color w:val="auto"/>
              <w:highlight w:val="none"/>
            </w:rPr>
            <w:fldChar w:fldCharType="separate"/>
          </w:r>
          <w:r>
            <w:rPr>
              <w:rFonts w:hint="default"/>
              <w:color w:val="auto"/>
              <w:highlight w:val="none"/>
              <w:lang w:val="en-US" w:eastAsia="zh-CN"/>
            </w:rPr>
            <w:t>2.1.6 矿区勘查规划</w:t>
          </w:r>
          <w:r>
            <w:rPr>
              <w:color w:val="auto"/>
              <w:highlight w:val="none"/>
            </w:rPr>
            <w:tab/>
          </w:r>
          <w:r>
            <w:rPr>
              <w:color w:val="auto"/>
              <w:highlight w:val="none"/>
            </w:rPr>
            <w:fldChar w:fldCharType="begin"/>
          </w:r>
          <w:r>
            <w:rPr>
              <w:color w:val="auto"/>
              <w:highlight w:val="none"/>
            </w:rPr>
            <w:instrText xml:space="preserve"> PAGEREF _Toc6515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_Toc27710 </w:instrText>
          </w:r>
          <w:r>
            <w:rPr>
              <w:color w:val="auto"/>
              <w:highlight w:val="none"/>
            </w:rPr>
            <w:fldChar w:fldCharType="separate"/>
          </w:r>
          <w:r>
            <w:rPr>
              <w:rFonts w:hint="default"/>
              <w:color w:val="auto"/>
              <w:highlight w:val="none"/>
              <w:lang w:val="en-US" w:eastAsia="zh-CN"/>
            </w:rPr>
            <w:t>2.1.7 煤矿建设顺序、矿区规划规模和均衡生产年限</w:t>
          </w:r>
          <w:r>
            <w:rPr>
              <w:color w:val="auto"/>
              <w:highlight w:val="none"/>
            </w:rPr>
            <w:tab/>
          </w:r>
          <w:r>
            <w:rPr>
              <w:color w:val="auto"/>
              <w:highlight w:val="none"/>
            </w:rPr>
            <w:fldChar w:fldCharType="begin"/>
          </w:r>
          <w:r>
            <w:rPr>
              <w:color w:val="auto"/>
              <w:highlight w:val="none"/>
            </w:rPr>
            <w:instrText xml:space="preserve"> PAGEREF _Toc27710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_Toc24869 </w:instrText>
          </w:r>
          <w:r>
            <w:rPr>
              <w:color w:val="auto"/>
              <w:highlight w:val="none"/>
            </w:rPr>
            <w:fldChar w:fldCharType="separate"/>
          </w:r>
          <w:r>
            <w:rPr>
              <w:rFonts w:hint="default"/>
              <w:color w:val="auto"/>
              <w:highlight w:val="none"/>
              <w:lang w:val="en-US" w:eastAsia="zh-CN"/>
            </w:rPr>
            <w:t>2.1.8 矿区煤炭洗选加工规划</w:t>
          </w:r>
          <w:r>
            <w:rPr>
              <w:color w:val="auto"/>
              <w:highlight w:val="none"/>
            </w:rPr>
            <w:tab/>
          </w:r>
          <w:r>
            <w:rPr>
              <w:color w:val="auto"/>
              <w:highlight w:val="none"/>
            </w:rPr>
            <w:fldChar w:fldCharType="begin"/>
          </w:r>
          <w:r>
            <w:rPr>
              <w:color w:val="auto"/>
              <w:highlight w:val="none"/>
            </w:rPr>
            <w:instrText xml:space="preserve"> PAGEREF _Toc24869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_Toc25165 </w:instrText>
          </w:r>
          <w:r>
            <w:rPr>
              <w:color w:val="auto"/>
              <w:highlight w:val="none"/>
            </w:rPr>
            <w:fldChar w:fldCharType="separate"/>
          </w:r>
          <w:r>
            <w:rPr>
              <w:rFonts w:hint="default"/>
              <w:color w:val="auto"/>
              <w:highlight w:val="none"/>
              <w:lang w:val="en-US" w:eastAsia="zh-CN"/>
            </w:rPr>
            <w:t>2.1.9 资源综合利用及其他煤炭转化</w:t>
          </w:r>
          <w:r>
            <w:rPr>
              <w:color w:val="auto"/>
              <w:highlight w:val="none"/>
            </w:rPr>
            <w:tab/>
          </w:r>
          <w:r>
            <w:rPr>
              <w:color w:val="auto"/>
              <w:highlight w:val="none"/>
            </w:rPr>
            <w:fldChar w:fldCharType="begin"/>
          </w:r>
          <w:r>
            <w:rPr>
              <w:color w:val="auto"/>
              <w:highlight w:val="none"/>
            </w:rPr>
            <w:instrText xml:space="preserve"> PAGEREF _Toc25165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_Toc2091 </w:instrText>
          </w:r>
          <w:r>
            <w:rPr>
              <w:color w:val="auto"/>
              <w:highlight w:val="none"/>
            </w:rPr>
            <w:fldChar w:fldCharType="separate"/>
          </w:r>
          <w:r>
            <w:rPr>
              <w:rFonts w:hint="default"/>
              <w:color w:val="auto"/>
              <w:highlight w:val="none"/>
              <w:lang w:val="en-US" w:eastAsia="zh-CN"/>
            </w:rPr>
            <w:t>2.1.10 矿区地面总布置、地面运输规划及防洪排涝</w:t>
          </w:r>
          <w:r>
            <w:rPr>
              <w:color w:val="auto"/>
              <w:highlight w:val="none"/>
            </w:rPr>
            <w:tab/>
          </w:r>
          <w:r>
            <w:rPr>
              <w:color w:val="auto"/>
              <w:highlight w:val="none"/>
            </w:rPr>
            <w:fldChar w:fldCharType="begin"/>
          </w:r>
          <w:r>
            <w:rPr>
              <w:color w:val="auto"/>
              <w:highlight w:val="none"/>
            </w:rPr>
            <w:instrText xml:space="preserve"> PAGEREF _Toc2091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_Toc32698 </w:instrText>
          </w:r>
          <w:r>
            <w:rPr>
              <w:color w:val="auto"/>
              <w:highlight w:val="none"/>
            </w:rPr>
            <w:fldChar w:fldCharType="separate"/>
          </w:r>
          <w:r>
            <w:rPr>
              <w:rFonts w:hint="default"/>
              <w:color w:val="auto"/>
              <w:highlight w:val="none"/>
              <w:lang w:val="en-US" w:eastAsia="zh-CN"/>
            </w:rPr>
            <w:t>2.1.11 矿区给、排水和供热规划</w:t>
          </w:r>
          <w:r>
            <w:rPr>
              <w:color w:val="auto"/>
              <w:highlight w:val="none"/>
            </w:rPr>
            <w:tab/>
          </w:r>
          <w:r>
            <w:rPr>
              <w:color w:val="auto"/>
              <w:highlight w:val="none"/>
            </w:rPr>
            <w:fldChar w:fldCharType="begin"/>
          </w:r>
          <w:r>
            <w:rPr>
              <w:color w:val="auto"/>
              <w:highlight w:val="none"/>
            </w:rPr>
            <w:instrText xml:space="preserve"> PAGEREF _Toc32698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_Toc28161 </w:instrText>
          </w:r>
          <w:r>
            <w:rPr>
              <w:color w:val="auto"/>
              <w:highlight w:val="none"/>
            </w:rPr>
            <w:fldChar w:fldCharType="separate"/>
          </w:r>
          <w:r>
            <w:rPr>
              <w:rFonts w:hint="default"/>
              <w:color w:val="auto"/>
              <w:highlight w:val="none"/>
              <w:lang w:val="en-US" w:eastAsia="zh-CN"/>
            </w:rPr>
            <w:t>2.1.12 矿区供电与信息网规划</w:t>
          </w:r>
          <w:r>
            <w:rPr>
              <w:color w:val="auto"/>
              <w:highlight w:val="none"/>
            </w:rPr>
            <w:tab/>
          </w:r>
          <w:r>
            <w:rPr>
              <w:color w:val="auto"/>
              <w:highlight w:val="none"/>
            </w:rPr>
            <w:fldChar w:fldCharType="begin"/>
          </w:r>
          <w:r>
            <w:rPr>
              <w:color w:val="auto"/>
              <w:highlight w:val="none"/>
            </w:rPr>
            <w:instrText xml:space="preserve"> PAGEREF _Toc28161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_Toc13057 </w:instrText>
          </w:r>
          <w:r>
            <w:rPr>
              <w:color w:val="auto"/>
              <w:highlight w:val="none"/>
            </w:rPr>
            <w:fldChar w:fldCharType="separate"/>
          </w:r>
          <w:r>
            <w:rPr>
              <w:rFonts w:hint="default"/>
              <w:color w:val="auto"/>
              <w:highlight w:val="none"/>
              <w:lang w:val="en-US" w:eastAsia="zh-CN"/>
            </w:rPr>
            <w:t>2.1.13 供热规划</w:t>
          </w:r>
          <w:r>
            <w:rPr>
              <w:color w:val="auto"/>
              <w:highlight w:val="none"/>
            </w:rPr>
            <w:tab/>
          </w:r>
          <w:r>
            <w:rPr>
              <w:color w:val="auto"/>
              <w:highlight w:val="none"/>
            </w:rPr>
            <w:fldChar w:fldCharType="begin"/>
          </w:r>
          <w:r>
            <w:rPr>
              <w:color w:val="auto"/>
              <w:highlight w:val="none"/>
            </w:rPr>
            <w:instrText xml:space="preserve"> PAGEREF _Toc13057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_Toc18551 </w:instrText>
          </w:r>
          <w:r>
            <w:rPr>
              <w:color w:val="auto"/>
              <w:highlight w:val="none"/>
            </w:rPr>
            <w:fldChar w:fldCharType="separate"/>
          </w:r>
          <w:r>
            <w:rPr>
              <w:rFonts w:hint="default"/>
              <w:color w:val="auto"/>
              <w:highlight w:val="none"/>
              <w:lang w:val="en-US" w:eastAsia="zh-CN"/>
            </w:rPr>
            <w:t>2.1.14 矿区环境保护规划</w:t>
          </w:r>
          <w:r>
            <w:rPr>
              <w:color w:val="auto"/>
              <w:highlight w:val="none"/>
            </w:rPr>
            <w:tab/>
          </w:r>
          <w:r>
            <w:rPr>
              <w:color w:val="auto"/>
              <w:highlight w:val="none"/>
            </w:rPr>
            <w:fldChar w:fldCharType="begin"/>
          </w:r>
          <w:r>
            <w:rPr>
              <w:color w:val="auto"/>
              <w:highlight w:val="none"/>
            </w:rPr>
            <w:instrText xml:space="preserve"> PAGEREF _Toc18551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_Toc24298 </w:instrText>
          </w:r>
          <w:r>
            <w:rPr>
              <w:color w:val="auto"/>
              <w:highlight w:val="none"/>
            </w:rPr>
            <w:fldChar w:fldCharType="separate"/>
          </w:r>
          <w:r>
            <w:rPr>
              <w:rFonts w:hint="eastAsia"/>
              <w:color w:val="auto"/>
              <w:highlight w:val="none"/>
              <w:lang w:val="en-US" w:eastAsia="zh-CN"/>
            </w:rPr>
            <w:t>2.1.15 矿区水土保持规划</w:t>
          </w:r>
          <w:r>
            <w:rPr>
              <w:color w:val="auto"/>
              <w:highlight w:val="none"/>
            </w:rPr>
            <w:tab/>
          </w:r>
          <w:r>
            <w:rPr>
              <w:color w:val="auto"/>
              <w:highlight w:val="none"/>
            </w:rPr>
            <w:fldChar w:fldCharType="begin"/>
          </w:r>
          <w:r>
            <w:rPr>
              <w:color w:val="auto"/>
              <w:highlight w:val="none"/>
            </w:rPr>
            <w:instrText xml:space="preserve"> PAGEREF _Toc24298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_Toc19069 </w:instrText>
          </w:r>
          <w:r>
            <w:rPr>
              <w:color w:val="auto"/>
              <w:highlight w:val="none"/>
            </w:rPr>
            <w:fldChar w:fldCharType="separate"/>
          </w:r>
          <w:r>
            <w:rPr>
              <w:rFonts w:hint="eastAsia"/>
              <w:color w:val="auto"/>
              <w:highlight w:val="none"/>
              <w:lang w:val="en-US" w:eastAsia="zh-CN"/>
            </w:rPr>
            <w:t>2.1.16 矿区土地复垦规划方案</w:t>
          </w:r>
          <w:r>
            <w:rPr>
              <w:color w:val="auto"/>
              <w:highlight w:val="none"/>
            </w:rPr>
            <w:tab/>
          </w:r>
          <w:r>
            <w:rPr>
              <w:color w:val="auto"/>
              <w:highlight w:val="none"/>
            </w:rPr>
            <w:fldChar w:fldCharType="begin"/>
          </w:r>
          <w:r>
            <w:rPr>
              <w:color w:val="auto"/>
              <w:highlight w:val="none"/>
            </w:rPr>
            <w:instrText xml:space="preserve"> PAGEREF _Toc19069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_Toc8364 </w:instrText>
          </w:r>
          <w:r>
            <w:rPr>
              <w:color w:val="auto"/>
              <w:highlight w:val="none"/>
            </w:rPr>
            <w:fldChar w:fldCharType="separate"/>
          </w:r>
          <w:r>
            <w:rPr>
              <w:rFonts w:hint="eastAsia"/>
              <w:color w:val="auto"/>
              <w:highlight w:val="none"/>
              <w:lang w:val="en-US" w:eastAsia="zh-CN"/>
            </w:rPr>
            <w:t>2.1.17 矿区规划总投资、劳动定员及经济技术指标</w:t>
          </w:r>
          <w:r>
            <w:rPr>
              <w:color w:val="auto"/>
              <w:highlight w:val="none"/>
            </w:rPr>
            <w:tab/>
          </w:r>
          <w:r>
            <w:rPr>
              <w:color w:val="auto"/>
              <w:highlight w:val="none"/>
            </w:rPr>
            <w:fldChar w:fldCharType="begin"/>
          </w:r>
          <w:r>
            <w:rPr>
              <w:color w:val="auto"/>
              <w:highlight w:val="none"/>
            </w:rPr>
            <w:instrText xml:space="preserve"> PAGEREF _Toc8364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_Toc8794 </w:instrText>
          </w:r>
          <w:r>
            <w:rPr>
              <w:color w:val="auto"/>
              <w:highlight w:val="none"/>
            </w:rPr>
            <w:fldChar w:fldCharType="separate"/>
          </w:r>
          <w:r>
            <w:rPr>
              <w:rFonts w:hint="eastAsia"/>
              <w:color w:val="auto"/>
              <w:highlight w:val="none"/>
              <w:lang w:val="en-US" w:eastAsia="zh-CN"/>
            </w:rPr>
            <w:t>2.2 规划方案的内部协调性及存在的问题</w:t>
          </w:r>
          <w:r>
            <w:rPr>
              <w:color w:val="auto"/>
              <w:highlight w:val="none"/>
            </w:rPr>
            <w:tab/>
          </w:r>
          <w:r>
            <w:rPr>
              <w:color w:val="auto"/>
              <w:highlight w:val="none"/>
            </w:rPr>
            <w:fldChar w:fldCharType="begin"/>
          </w:r>
          <w:r>
            <w:rPr>
              <w:color w:val="auto"/>
              <w:highlight w:val="none"/>
            </w:rPr>
            <w:instrText xml:space="preserve"> PAGEREF _Toc8794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_Toc25550 </w:instrText>
          </w:r>
          <w:r>
            <w:rPr>
              <w:color w:val="auto"/>
              <w:highlight w:val="none"/>
            </w:rPr>
            <w:fldChar w:fldCharType="separate"/>
          </w:r>
          <w:r>
            <w:rPr>
              <w:rFonts w:hint="eastAsia"/>
              <w:color w:val="auto"/>
              <w:highlight w:val="none"/>
              <w:lang w:val="en-US" w:eastAsia="zh-CN"/>
            </w:rPr>
            <w:t>2.2.1 规划方案的内部协调性</w:t>
          </w:r>
          <w:r>
            <w:rPr>
              <w:color w:val="auto"/>
              <w:highlight w:val="none"/>
            </w:rPr>
            <w:tab/>
          </w:r>
          <w:r>
            <w:rPr>
              <w:color w:val="auto"/>
              <w:highlight w:val="none"/>
            </w:rPr>
            <w:fldChar w:fldCharType="begin"/>
          </w:r>
          <w:r>
            <w:rPr>
              <w:color w:val="auto"/>
              <w:highlight w:val="none"/>
            </w:rPr>
            <w:instrText xml:space="preserve"> PAGEREF _Toc25550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_Toc4711 </w:instrText>
          </w:r>
          <w:r>
            <w:rPr>
              <w:color w:val="auto"/>
              <w:highlight w:val="none"/>
            </w:rPr>
            <w:fldChar w:fldCharType="separate"/>
          </w:r>
          <w:r>
            <w:rPr>
              <w:rFonts w:hint="eastAsia"/>
              <w:color w:val="auto"/>
              <w:highlight w:val="none"/>
              <w:lang w:val="en-US" w:eastAsia="zh-CN"/>
            </w:rPr>
            <w:t>2.2.2 存在的主要问题</w:t>
          </w:r>
          <w:r>
            <w:rPr>
              <w:color w:val="auto"/>
              <w:highlight w:val="none"/>
            </w:rPr>
            <w:tab/>
          </w:r>
          <w:r>
            <w:rPr>
              <w:color w:val="auto"/>
              <w:highlight w:val="none"/>
            </w:rPr>
            <w:fldChar w:fldCharType="begin"/>
          </w:r>
          <w:r>
            <w:rPr>
              <w:color w:val="auto"/>
              <w:highlight w:val="none"/>
            </w:rPr>
            <w:instrText xml:space="preserve"> PAGEREF _Toc4711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_Toc6769 </w:instrText>
          </w:r>
          <w:r>
            <w:rPr>
              <w:color w:val="auto"/>
              <w:highlight w:val="none"/>
            </w:rPr>
            <w:fldChar w:fldCharType="separate"/>
          </w:r>
          <w:r>
            <w:rPr>
              <w:rFonts w:hint="eastAsia"/>
              <w:color w:val="auto"/>
              <w:highlight w:val="none"/>
              <w:lang w:val="en-US" w:eastAsia="zh-CN"/>
            </w:rPr>
            <w:t>2.3 规划方案外部协调性分析</w:t>
          </w:r>
          <w:r>
            <w:rPr>
              <w:color w:val="auto"/>
              <w:highlight w:val="none"/>
            </w:rPr>
            <w:tab/>
          </w:r>
          <w:r>
            <w:rPr>
              <w:color w:val="auto"/>
              <w:highlight w:val="none"/>
            </w:rPr>
            <w:fldChar w:fldCharType="begin"/>
          </w:r>
          <w:r>
            <w:rPr>
              <w:color w:val="auto"/>
              <w:highlight w:val="none"/>
            </w:rPr>
            <w:instrText xml:space="preserve"> PAGEREF _Toc6769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_Toc16577 </w:instrText>
          </w:r>
          <w:r>
            <w:rPr>
              <w:color w:val="auto"/>
              <w:highlight w:val="none"/>
            </w:rPr>
            <w:fldChar w:fldCharType="separate"/>
          </w:r>
          <w:r>
            <w:rPr>
              <w:rFonts w:hint="eastAsia"/>
              <w:color w:val="auto"/>
              <w:highlight w:val="none"/>
              <w:lang w:val="en-US" w:eastAsia="zh-CN"/>
            </w:rPr>
            <w:t>2.3.1 与主体功能区划的符合性</w:t>
          </w:r>
          <w:r>
            <w:rPr>
              <w:color w:val="auto"/>
              <w:highlight w:val="none"/>
            </w:rPr>
            <w:tab/>
          </w:r>
          <w:r>
            <w:rPr>
              <w:color w:val="auto"/>
              <w:highlight w:val="none"/>
            </w:rPr>
            <w:fldChar w:fldCharType="begin"/>
          </w:r>
          <w:r>
            <w:rPr>
              <w:color w:val="auto"/>
              <w:highlight w:val="none"/>
            </w:rPr>
            <w:instrText xml:space="preserve"> PAGEREF _Toc16577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_Toc25781 </w:instrText>
          </w:r>
          <w:r>
            <w:rPr>
              <w:color w:val="auto"/>
              <w:highlight w:val="none"/>
            </w:rPr>
            <w:fldChar w:fldCharType="separate"/>
          </w:r>
          <w:r>
            <w:rPr>
              <w:rFonts w:hint="eastAsia"/>
              <w:color w:val="auto"/>
              <w:highlight w:val="none"/>
              <w:lang w:val="en-US" w:eastAsia="zh-CN"/>
            </w:rPr>
            <w:t>2.3.2 与相关规划的符合性</w:t>
          </w:r>
          <w:r>
            <w:rPr>
              <w:color w:val="auto"/>
              <w:highlight w:val="none"/>
            </w:rPr>
            <w:tab/>
          </w:r>
          <w:r>
            <w:rPr>
              <w:color w:val="auto"/>
              <w:highlight w:val="none"/>
            </w:rPr>
            <w:fldChar w:fldCharType="begin"/>
          </w:r>
          <w:r>
            <w:rPr>
              <w:color w:val="auto"/>
              <w:highlight w:val="none"/>
            </w:rPr>
            <w:instrText xml:space="preserve"> PAGEREF _Toc25781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_Toc32158 </w:instrText>
          </w:r>
          <w:r>
            <w:rPr>
              <w:color w:val="auto"/>
              <w:highlight w:val="none"/>
            </w:rPr>
            <w:fldChar w:fldCharType="separate"/>
          </w:r>
          <w:r>
            <w:rPr>
              <w:rFonts w:hint="eastAsia"/>
              <w:color w:val="auto"/>
              <w:highlight w:val="none"/>
              <w:lang w:val="en-US" w:eastAsia="zh-CN"/>
            </w:rPr>
            <w:t>2.3.3 与相关政策的符合性分析</w:t>
          </w:r>
          <w:r>
            <w:rPr>
              <w:color w:val="auto"/>
              <w:highlight w:val="none"/>
            </w:rPr>
            <w:tab/>
          </w:r>
          <w:r>
            <w:rPr>
              <w:color w:val="auto"/>
              <w:highlight w:val="none"/>
            </w:rPr>
            <w:fldChar w:fldCharType="begin"/>
          </w:r>
          <w:r>
            <w:rPr>
              <w:color w:val="auto"/>
              <w:highlight w:val="none"/>
            </w:rPr>
            <w:instrText xml:space="preserve"> PAGEREF _Toc32158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_Toc2117 </w:instrText>
          </w:r>
          <w:r>
            <w:rPr>
              <w:color w:val="auto"/>
              <w:highlight w:val="none"/>
            </w:rPr>
            <w:fldChar w:fldCharType="separate"/>
          </w:r>
          <w:r>
            <w:rPr>
              <w:rFonts w:hint="eastAsia"/>
              <w:color w:val="auto"/>
              <w:highlight w:val="none"/>
              <w:lang w:val="en-US" w:eastAsia="zh-CN"/>
            </w:rPr>
            <w:t>2.3.4 与大气污染防治行动计划的符合性分析</w:t>
          </w:r>
          <w:r>
            <w:rPr>
              <w:color w:val="auto"/>
              <w:highlight w:val="none"/>
            </w:rPr>
            <w:tab/>
          </w:r>
          <w:r>
            <w:rPr>
              <w:color w:val="auto"/>
              <w:highlight w:val="none"/>
            </w:rPr>
            <w:fldChar w:fldCharType="begin"/>
          </w:r>
          <w:r>
            <w:rPr>
              <w:color w:val="auto"/>
              <w:highlight w:val="none"/>
            </w:rPr>
            <w:instrText xml:space="preserve"> PAGEREF _Toc2117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_Toc32031 </w:instrText>
          </w:r>
          <w:r>
            <w:rPr>
              <w:color w:val="auto"/>
              <w:highlight w:val="none"/>
            </w:rPr>
            <w:fldChar w:fldCharType="separate"/>
          </w:r>
          <w:r>
            <w:rPr>
              <w:rFonts w:hint="eastAsia"/>
              <w:color w:val="auto"/>
              <w:highlight w:val="none"/>
              <w:lang w:val="en-US" w:eastAsia="zh-CN"/>
            </w:rPr>
            <w:t>2.3.5 与水污染防治行动计划的符合性分析</w:t>
          </w:r>
          <w:r>
            <w:rPr>
              <w:color w:val="auto"/>
              <w:highlight w:val="none"/>
            </w:rPr>
            <w:tab/>
          </w:r>
          <w:r>
            <w:rPr>
              <w:color w:val="auto"/>
              <w:highlight w:val="none"/>
            </w:rPr>
            <w:fldChar w:fldCharType="begin"/>
          </w:r>
          <w:r>
            <w:rPr>
              <w:color w:val="auto"/>
              <w:highlight w:val="none"/>
            </w:rPr>
            <w:instrText xml:space="preserve"> PAGEREF _Toc32031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_Toc24917 </w:instrText>
          </w:r>
          <w:r>
            <w:rPr>
              <w:color w:val="auto"/>
              <w:highlight w:val="none"/>
            </w:rPr>
            <w:fldChar w:fldCharType="separate"/>
          </w:r>
          <w:r>
            <w:rPr>
              <w:rFonts w:hint="eastAsia"/>
              <w:color w:val="auto"/>
              <w:highlight w:val="none"/>
              <w:lang w:val="en-US" w:eastAsia="zh-CN"/>
            </w:rPr>
            <w:t>2.3.6 与土壤污染防治行动计划的符合性分析</w:t>
          </w:r>
          <w:r>
            <w:rPr>
              <w:color w:val="auto"/>
              <w:highlight w:val="none"/>
            </w:rPr>
            <w:tab/>
          </w:r>
          <w:r>
            <w:rPr>
              <w:color w:val="auto"/>
              <w:highlight w:val="none"/>
            </w:rPr>
            <w:fldChar w:fldCharType="begin"/>
          </w:r>
          <w:r>
            <w:rPr>
              <w:color w:val="auto"/>
              <w:highlight w:val="none"/>
            </w:rPr>
            <w:instrText xml:space="preserve"> PAGEREF _Toc24917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_Toc10452 </w:instrText>
          </w:r>
          <w:r>
            <w:rPr>
              <w:color w:val="auto"/>
              <w:highlight w:val="none"/>
            </w:rPr>
            <w:fldChar w:fldCharType="separate"/>
          </w:r>
          <w:r>
            <w:rPr>
              <w:rFonts w:hint="eastAsia"/>
              <w:color w:val="auto"/>
              <w:highlight w:val="none"/>
              <w:lang w:val="en-US" w:eastAsia="zh-CN"/>
            </w:rPr>
            <w:t>2.3.7 与大竹县矿产资源总体规划(2016—2020年)的符合性</w:t>
          </w:r>
          <w:r>
            <w:rPr>
              <w:color w:val="auto"/>
              <w:highlight w:val="none"/>
            </w:rPr>
            <w:tab/>
          </w:r>
          <w:r>
            <w:rPr>
              <w:color w:val="auto"/>
              <w:highlight w:val="none"/>
            </w:rPr>
            <w:fldChar w:fldCharType="begin"/>
          </w:r>
          <w:r>
            <w:rPr>
              <w:color w:val="auto"/>
              <w:highlight w:val="none"/>
            </w:rPr>
            <w:instrText xml:space="preserve"> PAGEREF _Toc10452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_Toc161 </w:instrText>
          </w:r>
          <w:r>
            <w:rPr>
              <w:color w:val="auto"/>
              <w:highlight w:val="none"/>
            </w:rPr>
            <w:fldChar w:fldCharType="separate"/>
          </w:r>
          <w:r>
            <w:rPr>
              <w:rFonts w:hint="eastAsia"/>
              <w:color w:val="auto"/>
              <w:highlight w:val="none"/>
              <w:lang w:val="en-US" w:eastAsia="zh-CN"/>
            </w:rPr>
            <w:t>2.3.8 与大竹县十三五环境保护规划的符合性分析</w:t>
          </w:r>
          <w:r>
            <w:rPr>
              <w:color w:val="auto"/>
              <w:highlight w:val="none"/>
            </w:rPr>
            <w:tab/>
          </w:r>
          <w:r>
            <w:rPr>
              <w:color w:val="auto"/>
              <w:highlight w:val="none"/>
            </w:rPr>
            <w:fldChar w:fldCharType="begin"/>
          </w:r>
          <w:r>
            <w:rPr>
              <w:color w:val="auto"/>
              <w:highlight w:val="none"/>
            </w:rPr>
            <w:instrText xml:space="preserve"> PAGEREF _Toc161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_Toc3668 </w:instrText>
          </w:r>
          <w:r>
            <w:rPr>
              <w:color w:val="auto"/>
              <w:highlight w:val="none"/>
            </w:rPr>
            <w:fldChar w:fldCharType="separate"/>
          </w:r>
          <w:r>
            <w:rPr>
              <w:rFonts w:hint="eastAsia"/>
              <w:color w:val="auto"/>
              <w:highlight w:val="none"/>
              <w:lang w:val="en-US" w:eastAsia="zh-CN"/>
            </w:rPr>
            <w:t>2.3.9 与区域“三线一单”管控要求的符合性分析</w:t>
          </w:r>
          <w:r>
            <w:rPr>
              <w:color w:val="auto"/>
              <w:highlight w:val="none"/>
            </w:rPr>
            <w:tab/>
          </w:r>
          <w:r>
            <w:rPr>
              <w:color w:val="auto"/>
              <w:highlight w:val="none"/>
            </w:rPr>
            <w:fldChar w:fldCharType="begin"/>
          </w:r>
          <w:r>
            <w:rPr>
              <w:color w:val="auto"/>
              <w:highlight w:val="none"/>
            </w:rPr>
            <w:instrText xml:space="preserve"> PAGEREF _Toc3668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_Toc1563 </w:instrText>
          </w:r>
          <w:r>
            <w:rPr>
              <w:color w:val="auto"/>
              <w:highlight w:val="none"/>
            </w:rPr>
            <w:fldChar w:fldCharType="separate"/>
          </w:r>
          <w:r>
            <w:rPr>
              <w:rFonts w:hint="eastAsia"/>
              <w:color w:val="auto"/>
              <w:highlight w:val="none"/>
              <w:lang w:val="en-US" w:eastAsia="zh-CN"/>
            </w:rPr>
            <w:t>2.4 规划方案的初步筛选</w:t>
          </w:r>
          <w:r>
            <w:rPr>
              <w:color w:val="auto"/>
              <w:highlight w:val="none"/>
            </w:rPr>
            <w:tab/>
          </w:r>
          <w:r>
            <w:rPr>
              <w:color w:val="auto"/>
              <w:highlight w:val="none"/>
            </w:rPr>
            <w:fldChar w:fldCharType="begin"/>
          </w:r>
          <w:r>
            <w:rPr>
              <w:color w:val="auto"/>
              <w:highlight w:val="none"/>
            </w:rPr>
            <w:instrText xml:space="preserve"> PAGEREF _Toc1563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_Toc23441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3 </w:t>
          </w:r>
          <w:r>
            <w:rPr>
              <w:color w:val="auto"/>
              <w:highlight w:val="none"/>
            </w:rPr>
            <w:t>环境现状调查、分析与评价</w:t>
          </w:r>
          <w:r>
            <w:rPr>
              <w:color w:val="auto"/>
              <w:highlight w:val="none"/>
            </w:rPr>
            <w:tab/>
          </w:r>
          <w:r>
            <w:rPr>
              <w:color w:val="auto"/>
              <w:highlight w:val="none"/>
            </w:rPr>
            <w:fldChar w:fldCharType="begin"/>
          </w:r>
          <w:r>
            <w:rPr>
              <w:color w:val="auto"/>
              <w:highlight w:val="none"/>
            </w:rPr>
            <w:instrText xml:space="preserve"> PAGEREF _Toc23441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_Toc1657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3.1 </w:t>
          </w:r>
          <w:r>
            <w:rPr>
              <w:color w:val="auto"/>
              <w:highlight w:val="none"/>
            </w:rPr>
            <w:t>环境现状调查</w:t>
          </w:r>
          <w:r>
            <w:rPr>
              <w:color w:val="auto"/>
              <w:highlight w:val="none"/>
            </w:rPr>
            <w:tab/>
          </w:r>
          <w:r>
            <w:rPr>
              <w:color w:val="auto"/>
              <w:highlight w:val="none"/>
            </w:rPr>
            <w:fldChar w:fldCharType="begin"/>
          </w:r>
          <w:r>
            <w:rPr>
              <w:color w:val="auto"/>
              <w:highlight w:val="none"/>
            </w:rPr>
            <w:instrText xml:space="preserve"> PAGEREF _Toc1657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_Toc7891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3.1.1 </w:t>
          </w:r>
          <w:r>
            <w:rPr>
              <w:color w:val="auto"/>
              <w:highlight w:val="none"/>
            </w:rPr>
            <w:t>自然环境概况</w:t>
          </w:r>
          <w:r>
            <w:rPr>
              <w:color w:val="auto"/>
              <w:highlight w:val="none"/>
            </w:rPr>
            <w:tab/>
          </w:r>
          <w:r>
            <w:rPr>
              <w:color w:val="auto"/>
              <w:highlight w:val="none"/>
            </w:rPr>
            <w:fldChar w:fldCharType="begin"/>
          </w:r>
          <w:r>
            <w:rPr>
              <w:color w:val="auto"/>
              <w:highlight w:val="none"/>
            </w:rPr>
            <w:instrText xml:space="preserve"> PAGEREF _Toc7891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_Toc31168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3.1.2 </w:t>
          </w:r>
          <w:r>
            <w:rPr>
              <w:color w:val="auto"/>
              <w:highlight w:val="none"/>
            </w:rPr>
            <w:t>社会经济概况</w:t>
          </w:r>
          <w:r>
            <w:rPr>
              <w:color w:val="auto"/>
              <w:highlight w:val="none"/>
            </w:rPr>
            <w:tab/>
          </w:r>
          <w:r>
            <w:rPr>
              <w:color w:val="auto"/>
              <w:highlight w:val="none"/>
            </w:rPr>
            <w:fldChar w:fldCharType="begin"/>
          </w:r>
          <w:r>
            <w:rPr>
              <w:color w:val="auto"/>
              <w:highlight w:val="none"/>
            </w:rPr>
            <w:instrText xml:space="preserve"> PAGEREF _Toc31168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_Toc28539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3.2 </w:t>
          </w:r>
          <w:r>
            <w:rPr>
              <w:color w:val="auto"/>
              <w:highlight w:val="none"/>
            </w:rPr>
            <w:t>矿区环境质量现状分析</w:t>
          </w:r>
          <w:r>
            <w:rPr>
              <w:color w:val="auto"/>
              <w:highlight w:val="none"/>
            </w:rPr>
            <w:tab/>
          </w:r>
          <w:r>
            <w:rPr>
              <w:color w:val="auto"/>
              <w:highlight w:val="none"/>
            </w:rPr>
            <w:fldChar w:fldCharType="begin"/>
          </w:r>
          <w:r>
            <w:rPr>
              <w:color w:val="auto"/>
              <w:highlight w:val="none"/>
            </w:rPr>
            <w:instrText xml:space="preserve"> PAGEREF _Toc28539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_Toc25458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3.2.1 </w:t>
          </w:r>
          <w:r>
            <w:rPr>
              <w:color w:val="auto"/>
              <w:highlight w:val="none"/>
            </w:rPr>
            <w:t>环境空气质量现状</w:t>
          </w:r>
          <w:r>
            <w:rPr>
              <w:color w:val="auto"/>
              <w:highlight w:val="none"/>
            </w:rPr>
            <w:tab/>
          </w:r>
          <w:r>
            <w:rPr>
              <w:color w:val="auto"/>
              <w:highlight w:val="none"/>
            </w:rPr>
            <w:fldChar w:fldCharType="begin"/>
          </w:r>
          <w:r>
            <w:rPr>
              <w:color w:val="auto"/>
              <w:highlight w:val="none"/>
            </w:rPr>
            <w:instrText xml:space="preserve"> PAGEREF _Toc25458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_Toc3588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3.2.2 </w:t>
          </w:r>
          <w:r>
            <w:rPr>
              <w:color w:val="auto"/>
              <w:highlight w:val="none"/>
            </w:rPr>
            <w:t>地</w:t>
          </w:r>
          <w:r>
            <w:rPr>
              <w:rFonts w:hint="eastAsia"/>
              <w:color w:val="auto"/>
              <w:highlight w:val="none"/>
              <w:lang w:eastAsia="zh-CN"/>
            </w:rPr>
            <w:t>表</w:t>
          </w:r>
          <w:r>
            <w:rPr>
              <w:color w:val="auto"/>
              <w:highlight w:val="none"/>
            </w:rPr>
            <w:t>水环境质量现状</w:t>
          </w:r>
          <w:r>
            <w:rPr>
              <w:color w:val="auto"/>
              <w:highlight w:val="none"/>
            </w:rPr>
            <w:tab/>
          </w:r>
          <w:r>
            <w:rPr>
              <w:color w:val="auto"/>
              <w:highlight w:val="none"/>
            </w:rPr>
            <w:fldChar w:fldCharType="begin"/>
          </w:r>
          <w:r>
            <w:rPr>
              <w:color w:val="auto"/>
              <w:highlight w:val="none"/>
            </w:rPr>
            <w:instrText xml:space="preserve"> PAGEREF _Toc3588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_Toc10525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3.2.3 </w:t>
          </w:r>
          <w:r>
            <w:rPr>
              <w:color w:val="auto"/>
              <w:highlight w:val="none"/>
            </w:rPr>
            <w:t>地下水环境质量现状</w:t>
          </w:r>
          <w:r>
            <w:rPr>
              <w:color w:val="auto"/>
              <w:highlight w:val="none"/>
            </w:rPr>
            <w:tab/>
          </w:r>
          <w:r>
            <w:rPr>
              <w:color w:val="auto"/>
              <w:highlight w:val="none"/>
            </w:rPr>
            <w:fldChar w:fldCharType="begin"/>
          </w:r>
          <w:r>
            <w:rPr>
              <w:color w:val="auto"/>
              <w:highlight w:val="none"/>
            </w:rPr>
            <w:instrText xml:space="preserve"> PAGEREF _Toc10525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_Toc15574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3.2.4 </w:t>
          </w:r>
          <w:r>
            <w:rPr>
              <w:color w:val="auto"/>
              <w:highlight w:val="none"/>
            </w:rPr>
            <w:t>土壤环境质量现状</w:t>
          </w:r>
          <w:r>
            <w:rPr>
              <w:color w:val="auto"/>
              <w:highlight w:val="none"/>
            </w:rPr>
            <w:tab/>
          </w:r>
          <w:r>
            <w:rPr>
              <w:color w:val="auto"/>
              <w:highlight w:val="none"/>
            </w:rPr>
            <w:fldChar w:fldCharType="begin"/>
          </w:r>
          <w:r>
            <w:rPr>
              <w:color w:val="auto"/>
              <w:highlight w:val="none"/>
            </w:rPr>
            <w:instrText xml:space="preserve"> PAGEREF _Toc15574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_Toc29264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3.2.5 </w:t>
          </w:r>
          <w:r>
            <w:rPr>
              <w:color w:val="auto"/>
              <w:highlight w:val="none"/>
            </w:rPr>
            <w:t>声环境质量现状</w:t>
          </w:r>
          <w:r>
            <w:rPr>
              <w:color w:val="auto"/>
              <w:highlight w:val="none"/>
            </w:rPr>
            <w:tab/>
          </w:r>
          <w:r>
            <w:rPr>
              <w:color w:val="auto"/>
              <w:highlight w:val="none"/>
            </w:rPr>
            <w:fldChar w:fldCharType="begin"/>
          </w:r>
          <w:r>
            <w:rPr>
              <w:color w:val="auto"/>
              <w:highlight w:val="none"/>
            </w:rPr>
            <w:instrText xml:space="preserve"> PAGEREF _Toc29264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_Toc24807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3.2.6 </w:t>
          </w:r>
          <w:r>
            <w:rPr>
              <w:color w:val="auto"/>
              <w:highlight w:val="none"/>
            </w:rPr>
            <w:t>生态环境现状</w:t>
          </w:r>
          <w:r>
            <w:rPr>
              <w:color w:val="auto"/>
              <w:highlight w:val="none"/>
            </w:rPr>
            <w:tab/>
          </w:r>
          <w:r>
            <w:rPr>
              <w:color w:val="auto"/>
              <w:highlight w:val="none"/>
            </w:rPr>
            <w:fldChar w:fldCharType="begin"/>
          </w:r>
          <w:r>
            <w:rPr>
              <w:color w:val="auto"/>
              <w:highlight w:val="none"/>
            </w:rPr>
            <w:instrText xml:space="preserve"> PAGEREF _Toc24807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_Toc1344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3.3 </w:t>
          </w:r>
          <w:r>
            <w:rPr>
              <w:color w:val="auto"/>
              <w:highlight w:val="none"/>
            </w:rPr>
            <w:t>区域环境发展趋势分析</w:t>
          </w:r>
          <w:r>
            <w:rPr>
              <w:color w:val="auto"/>
              <w:highlight w:val="none"/>
            </w:rPr>
            <w:tab/>
          </w:r>
          <w:r>
            <w:rPr>
              <w:color w:val="auto"/>
              <w:highlight w:val="none"/>
            </w:rPr>
            <w:fldChar w:fldCharType="begin"/>
          </w:r>
          <w:r>
            <w:rPr>
              <w:color w:val="auto"/>
              <w:highlight w:val="none"/>
            </w:rPr>
            <w:instrText xml:space="preserve"> PAGEREF _Toc1344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_Toc12359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3.3.1 </w:t>
          </w:r>
          <w:r>
            <w:rPr>
              <w:color w:val="auto"/>
              <w:highlight w:val="none"/>
            </w:rPr>
            <w:t>大气环境质量发展趋势</w:t>
          </w:r>
          <w:r>
            <w:rPr>
              <w:color w:val="auto"/>
              <w:highlight w:val="none"/>
            </w:rPr>
            <w:tab/>
          </w:r>
          <w:r>
            <w:rPr>
              <w:color w:val="auto"/>
              <w:highlight w:val="none"/>
            </w:rPr>
            <w:fldChar w:fldCharType="begin"/>
          </w:r>
          <w:r>
            <w:rPr>
              <w:color w:val="auto"/>
              <w:highlight w:val="none"/>
            </w:rPr>
            <w:instrText xml:space="preserve"> PAGEREF _Toc12359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_Toc28077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3.3.2 </w:t>
          </w:r>
          <w:r>
            <w:rPr>
              <w:color w:val="auto"/>
              <w:highlight w:val="none"/>
            </w:rPr>
            <w:t>地表水环境质量发展趋势</w:t>
          </w:r>
          <w:r>
            <w:rPr>
              <w:color w:val="auto"/>
              <w:highlight w:val="none"/>
            </w:rPr>
            <w:tab/>
          </w:r>
          <w:r>
            <w:rPr>
              <w:color w:val="auto"/>
              <w:highlight w:val="none"/>
            </w:rPr>
            <w:fldChar w:fldCharType="begin"/>
          </w:r>
          <w:r>
            <w:rPr>
              <w:color w:val="auto"/>
              <w:highlight w:val="none"/>
            </w:rPr>
            <w:instrText xml:space="preserve"> PAGEREF _Toc28077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_Toc9723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3.4 </w:t>
          </w:r>
          <w:r>
            <w:rPr>
              <w:color w:val="auto"/>
              <w:highlight w:val="none"/>
            </w:rPr>
            <w:t>重要环境保护目标和环境敏感区分析</w:t>
          </w:r>
          <w:r>
            <w:rPr>
              <w:color w:val="auto"/>
              <w:highlight w:val="none"/>
            </w:rPr>
            <w:tab/>
          </w:r>
          <w:r>
            <w:rPr>
              <w:color w:val="auto"/>
              <w:highlight w:val="none"/>
            </w:rPr>
            <w:fldChar w:fldCharType="begin"/>
          </w:r>
          <w:r>
            <w:rPr>
              <w:color w:val="auto"/>
              <w:highlight w:val="none"/>
            </w:rPr>
            <w:instrText xml:space="preserve"> PAGEREF _Toc9723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_Toc26559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3.5 </w:t>
          </w:r>
          <w:r>
            <w:rPr>
              <w:color w:val="auto"/>
              <w:highlight w:val="none"/>
            </w:rPr>
            <w:t>规划实施的主要资源、环境限制因素分析与评价</w:t>
          </w:r>
          <w:r>
            <w:rPr>
              <w:color w:val="auto"/>
              <w:highlight w:val="none"/>
            </w:rPr>
            <w:tab/>
          </w:r>
          <w:r>
            <w:rPr>
              <w:color w:val="auto"/>
              <w:highlight w:val="none"/>
            </w:rPr>
            <w:fldChar w:fldCharType="begin"/>
          </w:r>
          <w:r>
            <w:rPr>
              <w:color w:val="auto"/>
              <w:highlight w:val="none"/>
            </w:rPr>
            <w:instrText xml:space="preserve"> PAGEREF _Toc26559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_Toc28125 </w:instrText>
          </w:r>
          <w:r>
            <w:rPr>
              <w:color w:val="auto"/>
              <w:highlight w:val="none"/>
            </w:rPr>
            <w:fldChar w:fldCharType="separate"/>
          </w: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水资源</w:t>
          </w:r>
          <w:r>
            <w:rPr>
              <w:color w:val="auto"/>
              <w:highlight w:val="none"/>
            </w:rPr>
            <w:tab/>
          </w:r>
          <w:r>
            <w:rPr>
              <w:color w:val="auto"/>
              <w:highlight w:val="none"/>
            </w:rPr>
            <w:fldChar w:fldCharType="begin"/>
          </w:r>
          <w:r>
            <w:rPr>
              <w:color w:val="auto"/>
              <w:highlight w:val="none"/>
            </w:rPr>
            <w:instrText xml:space="preserve"> PAGEREF _Toc28125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_Toc5873 </w:instrText>
          </w:r>
          <w:r>
            <w:rPr>
              <w:color w:val="auto"/>
              <w:highlight w:val="none"/>
            </w:rPr>
            <w:fldChar w:fldCharType="separate"/>
          </w: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土地资源</w:t>
          </w:r>
          <w:r>
            <w:rPr>
              <w:color w:val="auto"/>
              <w:highlight w:val="none"/>
            </w:rPr>
            <w:tab/>
          </w:r>
          <w:r>
            <w:rPr>
              <w:color w:val="auto"/>
              <w:highlight w:val="none"/>
            </w:rPr>
            <w:fldChar w:fldCharType="begin"/>
          </w:r>
          <w:r>
            <w:rPr>
              <w:color w:val="auto"/>
              <w:highlight w:val="none"/>
            </w:rPr>
            <w:instrText xml:space="preserve"> PAGEREF _Toc5873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_Toc20574 </w:instrText>
          </w:r>
          <w:r>
            <w:rPr>
              <w:color w:val="auto"/>
              <w:highlight w:val="none"/>
            </w:rPr>
            <w:fldChar w:fldCharType="separate"/>
          </w: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固体废物综合处置</w:t>
          </w:r>
          <w:r>
            <w:rPr>
              <w:color w:val="auto"/>
              <w:highlight w:val="none"/>
            </w:rPr>
            <w:tab/>
          </w:r>
          <w:r>
            <w:rPr>
              <w:color w:val="auto"/>
              <w:highlight w:val="none"/>
            </w:rPr>
            <w:fldChar w:fldCharType="begin"/>
          </w:r>
          <w:r>
            <w:rPr>
              <w:color w:val="auto"/>
              <w:highlight w:val="none"/>
            </w:rPr>
            <w:instrText xml:space="preserve"> PAGEREF _Toc20574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_Toc4428 </w:instrText>
          </w:r>
          <w:r>
            <w:rPr>
              <w:color w:val="auto"/>
              <w:highlight w:val="none"/>
            </w:rPr>
            <w:fldChar w:fldCharType="separate"/>
          </w: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生态环境</w:t>
          </w:r>
          <w:r>
            <w:rPr>
              <w:color w:val="auto"/>
              <w:highlight w:val="none"/>
            </w:rPr>
            <w:tab/>
          </w:r>
          <w:r>
            <w:rPr>
              <w:color w:val="auto"/>
              <w:highlight w:val="none"/>
            </w:rPr>
            <w:fldChar w:fldCharType="begin"/>
          </w:r>
          <w:r>
            <w:rPr>
              <w:color w:val="auto"/>
              <w:highlight w:val="none"/>
            </w:rPr>
            <w:instrText xml:space="preserve"> PAGEREF _Toc4428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_Toc9553 </w:instrText>
          </w:r>
          <w:r>
            <w:rPr>
              <w:color w:val="auto"/>
              <w:highlight w:val="none"/>
            </w:rPr>
            <w:fldChar w:fldCharType="separate"/>
          </w: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）环境空气</w:t>
          </w:r>
          <w:r>
            <w:rPr>
              <w:color w:val="auto"/>
              <w:highlight w:val="none"/>
            </w:rPr>
            <w:tab/>
          </w:r>
          <w:r>
            <w:rPr>
              <w:color w:val="auto"/>
              <w:highlight w:val="none"/>
            </w:rPr>
            <w:fldChar w:fldCharType="begin"/>
          </w:r>
          <w:r>
            <w:rPr>
              <w:color w:val="auto"/>
              <w:highlight w:val="none"/>
            </w:rPr>
            <w:instrText xml:space="preserve"> PAGEREF _Toc9553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_Toc18814 </w:instrText>
          </w:r>
          <w:r>
            <w:rPr>
              <w:color w:val="auto"/>
              <w:highlight w:val="none"/>
            </w:rPr>
            <w:fldChar w:fldCharType="separate"/>
          </w: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）地表水环境、水环境容量</w:t>
          </w:r>
          <w:r>
            <w:rPr>
              <w:color w:val="auto"/>
              <w:highlight w:val="none"/>
            </w:rPr>
            <w:tab/>
          </w:r>
          <w:r>
            <w:rPr>
              <w:color w:val="auto"/>
              <w:highlight w:val="none"/>
            </w:rPr>
            <w:fldChar w:fldCharType="begin"/>
          </w:r>
          <w:r>
            <w:rPr>
              <w:color w:val="auto"/>
              <w:highlight w:val="none"/>
            </w:rPr>
            <w:instrText xml:space="preserve"> PAGEREF _Toc18814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_Toc20021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3.6 </w:t>
          </w:r>
          <w:r>
            <w:rPr>
              <w:color w:val="auto"/>
              <w:highlight w:val="none"/>
            </w:rPr>
            <w:t>矿区环境影响回顾分析与评价</w:t>
          </w:r>
          <w:r>
            <w:rPr>
              <w:color w:val="auto"/>
              <w:highlight w:val="none"/>
            </w:rPr>
            <w:tab/>
          </w:r>
          <w:r>
            <w:rPr>
              <w:color w:val="auto"/>
              <w:highlight w:val="none"/>
            </w:rPr>
            <w:fldChar w:fldCharType="begin"/>
          </w:r>
          <w:r>
            <w:rPr>
              <w:color w:val="auto"/>
              <w:highlight w:val="none"/>
            </w:rPr>
            <w:instrText xml:space="preserve"> PAGEREF _Toc20021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_Toc30346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3.6.1 </w:t>
          </w:r>
          <w:r>
            <w:rPr>
              <w:rFonts w:hint="eastAsia"/>
              <w:color w:val="auto"/>
              <w:highlight w:val="none"/>
              <w:lang w:eastAsia="zh-CN"/>
            </w:rPr>
            <w:t>矿区开发历史与现状</w:t>
          </w:r>
          <w:r>
            <w:rPr>
              <w:color w:val="auto"/>
              <w:highlight w:val="none"/>
            </w:rPr>
            <w:tab/>
          </w:r>
          <w:r>
            <w:rPr>
              <w:color w:val="auto"/>
              <w:highlight w:val="none"/>
            </w:rPr>
            <w:fldChar w:fldCharType="begin"/>
          </w:r>
          <w:r>
            <w:rPr>
              <w:color w:val="auto"/>
              <w:highlight w:val="none"/>
            </w:rPr>
            <w:instrText xml:space="preserve"> PAGEREF _Toc30346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_Toc31629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3.6.2 </w:t>
          </w:r>
          <w:r>
            <w:rPr>
              <w:rFonts w:hint="eastAsia"/>
              <w:color w:val="auto"/>
              <w:highlight w:val="none"/>
              <w:lang w:eastAsia="zh-CN"/>
            </w:rPr>
            <w:t>矿区污染物产生和排放情况</w:t>
          </w:r>
          <w:r>
            <w:rPr>
              <w:color w:val="auto"/>
              <w:highlight w:val="none"/>
            </w:rPr>
            <w:tab/>
          </w:r>
          <w:r>
            <w:rPr>
              <w:color w:val="auto"/>
              <w:highlight w:val="none"/>
            </w:rPr>
            <w:fldChar w:fldCharType="begin"/>
          </w:r>
          <w:r>
            <w:rPr>
              <w:color w:val="auto"/>
              <w:highlight w:val="none"/>
            </w:rPr>
            <w:instrText xml:space="preserve"> PAGEREF _Toc31629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_Toc20011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3.6.3 </w:t>
          </w:r>
          <w:r>
            <w:rPr>
              <w:rFonts w:hint="eastAsia"/>
              <w:color w:val="auto"/>
              <w:highlight w:val="none"/>
              <w:lang w:eastAsia="zh-CN"/>
            </w:rPr>
            <w:t>地表沉陷影响回顾性评价</w:t>
          </w:r>
          <w:r>
            <w:rPr>
              <w:color w:val="auto"/>
              <w:highlight w:val="none"/>
            </w:rPr>
            <w:tab/>
          </w:r>
          <w:r>
            <w:rPr>
              <w:color w:val="auto"/>
              <w:highlight w:val="none"/>
            </w:rPr>
            <w:fldChar w:fldCharType="begin"/>
          </w:r>
          <w:r>
            <w:rPr>
              <w:color w:val="auto"/>
              <w:highlight w:val="none"/>
            </w:rPr>
            <w:instrText xml:space="preserve"> PAGEREF _Toc20011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_Toc24142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3.6.4 </w:t>
          </w:r>
          <w:r>
            <w:rPr>
              <w:rFonts w:hint="eastAsia"/>
              <w:color w:val="auto"/>
              <w:highlight w:val="none"/>
              <w:lang w:eastAsia="zh-CN"/>
            </w:rPr>
            <w:t>生态环境影响回顾性评价</w:t>
          </w:r>
          <w:r>
            <w:rPr>
              <w:color w:val="auto"/>
              <w:highlight w:val="none"/>
            </w:rPr>
            <w:tab/>
          </w:r>
          <w:r>
            <w:rPr>
              <w:color w:val="auto"/>
              <w:highlight w:val="none"/>
            </w:rPr>
            <w:fldChar w:fldCharType="begin"/>
          </w:r>
          <w:r>
            <w:rPr>
              <w:color w:val="auto"/>
              <w:highlight w:val="none"/>
            </w:rPr>
            <w:instrText xml:space="preserve"> PAGEREF _Toc24142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_Toc20256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3.6.5 </w:t>
          </w:r>
          <w:r>
            <w:rPr>
              <w:rFonts w:hint="eastAsia"/>
              <w:color w:val="auto"/>
              <w:highlight w:val="none"/>
              <w:lang w:eastAsia="zh-CN"/>
            </w:rPr>
            <w:t>规划</w:t>
          </w:r>
          <w:bookmarkStart w:id="903" w:name="_GoBack"/>
          <w:bookmarkEnd w:id="903"/>
          <w:r>
            <w:rPr>
              <w:rFonts w:hint="eastAsia"/>
              <w:color w:val="auto"/>
              <w:highlight w:val="none"/>
              <w:lang w:eastAsia="zh-CN"/>
            </w:rPr>
            <w:t>煤炭矿区内各级环保督察交办事项、环保投诉等情况调查</w:t>
          </w:r>
          <w:r>
            <w:rPr>
              <w:color w:val="auto"/>
              <w:highlight w:val="none"/>
            </w:rPr>
            <w:tab/>
          </w:r>
          <w:r>
            <w:rPr>
              <w:color w:val="auto"/>
              <w:highlight w:val="none"/>
            </w:rPr>
            <w:fldChar w:fldCharType="begin"/>
          </w:r>
          <w:r>
            <w:rPr>
              <w:color w:val="auto"/>
              <w:highlight w:val="none"/>
            </w:rPr>
            <w:instrText xml:space="preserve"> PAGEREF _Toc20256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_Toc11628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3.6.6 </w:t>
          </w:r>
          <w:r>
            <w:rPr>
              <w:rFonts w:hint="eastAsia"/>
              <w:color w:val="auto"/>
              <w:highlight w:val="none"/>
              <w:lang w:eastAsia="zh-CN"/>
            </w:rPr>
            <w:t>矿区开发存在主要环境问题及整改措施</w:t>
          </w:r>
          <w:r>
            <w:rPr>
              <w:color w:val="auto"/>
              <w:highlight w:val="none"/>
            </w:rPr>
            <w:tab/>
          </w:r>
          <w:r>
            <w:rPr>
              <w:color w:val="auto"/>
              <w:highlight w:val="none"/>
            </w:rPr>
            <w:fldChar w:fldCharType="begin"/>
          </w:r>
          <w:r>
            <w:rPr>
              <w:color w:val="auto"/>
              <w:highlight w:val="none"/>
            </w:rPr>
            <w:instrText xml:space="preserve"> PAGEREF _Toc11628 \h </w:instrText>
          </w:r>
          <w:r>
            <w:rPr>
              <w:color w:val="auto"/>
              <w:highlight w:val="none"/>
            </w:rPr>
            <w:fldChar w:fldCharType="separate"/>
          </w:r>
          <w:r>
            <w:rPr>
              <w:color w:val="auto"/>
              <w:highlight w:val="none"/>
            </w:rPr>
            <w:t>233</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_Toc756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4 </w:t>
          </w:r>
          <w:r>
            <w:rPr>
              <w:color w:val="auto"/>
              <w:highlight w:val="none"/>
            </w:rPr>
            <w:t>环境影响识别与评价指标体系</w:t>
          </w:r>
          <w:r>
            <w:rPr>
              <w:color w:val="auto"/>
              <w:highlight w:val="none"/>
            </w:rPr>
            <w:tab/>
          </w:r>
          <w:r>
            <w:rPr>
              <w:color w:val="auto"/>
              <w:highlight w:val="none"/>
            </w:rPr>
            <w:fldChar w:fldCharType="begin"/>
          </w:r>
          <w:r>
            <w:rPr>
              <w:color w:val="auto"/>
              <w:highlight w:val="none"/>
            </w:rPr>
            <w:instrText xml:space="preserve"> PAGEREF _Toc756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_Toc26884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4.1 </w:t>
          </w:r>
          <w:r>
            <w:rPr>
              <w:color w:val="auto"/>
              <w:highlight w:val="none"/>
            </w:rPr>
            <w:t>环境影响识别</w:t>
          </w:r>
          <w:r>
            <w:rPr>
              <w:color w:val="auto"/>
              <w:highlight w:val="none"/>
            </w:rPr>
            <w:tab/>
          </w:r>
          <w:r>
            <w:rPr>
              <w:color w:val="auto"/>
              <w:highlight w:val="none"/>
            </w:rPr>
            <w:fldChar w:fldCharType="begin"/>
          </w:r>
          <w:r>
            <w:rPr>
              <w:color w:val="auto"/>
              <w:highlight w:val="none"/>
            </w:rPr>
            <w:instrText xml:space="preserve"> PAGEREF _Toc26884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_Toc6923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4.1.1 </w:t>
          </w:r>
          <w:r>
            <w:rPr>
              <w:color w:val="auto"/>
              <w:highlight w:val="none"/>
            </w:rPr>
            <w:t>矿区环境影响因子识别</w:t>
          </w:r>
          <w:r>
            <w:rPr>
              <w:color w:val="auto"/>
              <w:highlight w:val="none"/>
            </w:rPr>
            <w:tab/>
          </w:r>
          <w:r>
            <w:rPr>
              <w:color w:val="auto"/>
              <w:highlight w:val="none"/>
            </w:rPr>
            <w:fldChar w:fldCharType="begin"/>
          </w:r>
          <w:r>
            <w:rPr>
              <w:color w:val="auto"/>
              <w:highlight w:val="none"/>
            </w:rPr>
            <w:instrText xml:space="preserve"> PAGEREF _Toc6923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_Toc20417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4.1.2 </w:t>
          </w:r>
          <w:r>
            <w:rPr>
              <w:color w:val="auto"/>
              <w:highlight w:val="none"/>
            </w:rPr>
            <w:t>矿区开发对敏感目标的影响</w:t>
          </w:r>
          <w:r>
            <w:rPr>
              <w:color w:val="auto"/>
              <w:highlight w:val="none"/>
            </w:rPr>
            <w:tab/>
          </w:r>
          <w:r>
            <w:rPr>
              <w:color w:val="auto"/>
              <w:highlight w:val="none"/>
            </w:rPr>
            <w:fldChar w:fldCharType="begin"/>
          </w:r>
          <w:r>
            <w:rPr>
              <w:color w:val="auto"/>
              <w:highlight w:val="none"/>
            </w:rPr>
            <w:instrText xml:space="preserve"> PAGEREF _Toc20417 \h </w:instrText>
          </w:r>
          <w:r>
            <w:rPr>
              <w:color w:val="auto"/>
              <w:highlight w:val="none"/>
            </w:rPr>
            <w:fldChar w:fldCharType="separate"/>
          </w:r>
          <w:r>
            <w:rPr>
              <w:color w:val="auto"/>
              <w:highlight w:val="none"/>
            </w:rPr>
            <w:t>236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_Toc10992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4.1.3 </w:t>
          </w:r>
          <w:r>
            <w:rPr>
              <w:color w:val="auto"/>
              <w:highlight w:val="none"/>
            </w:rPr>
            <w:t>环境影响识别矩阵分析</w:t>
          </w:r>
          <w:r>
            <w:rPr>
              <w:color w:val="auto"/>
              <w:highlight w:val="none"/>
            </w:rPr>
            <w:tab/>
          </w:r>
          <w:r>
            <w:rPr>
              <w:color w:val="auto"/>
              <w:highlight w:val="none"/>
            </w:rPr>
            <w:fldChar w:fldCharType="begin"/>
          </w:r>
          <w:r>
            <w:rPr>
              <w:color w:val="auto"/>
              <w:highlight w:val="none"/>
            </w:rPr>
            <w:instrText xml:space="preserve"> PAGEREF _Toc10992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_Toc24675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4.1.4 </w:t>
          </w:r>
          <w:r>
            <w:rPr>
              <w:color w:val="auto"/>
              <w:highlight w:val="none"/>
            </w:rPr>
            <w:t>评价因子的确定</w:t>
          </w:r>
          <w:r>
            <w:rPr>
              <w:color w:val="auto"/>
              <w:highlight w:val="none"/>
            </w:rPr>
            <w:tab/>
          </w:r>
          <w:r>
            <w:rPr>
              <w:color w:val="auto"/>
              <w:highlight w:val="none"/>
            </w:rPr>
            <w:fldChar w:fldCharType="begin"/>
          </w:r>
          <w:r>
            <w:rPr>
              <w:color w:val="auto"/>
              <w:highlight w:val="none"/>
            </w:rPr>
            <w:instrText xml:space="preserve"> PAGEREF _Toc24675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_Toc4664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4.2 </w:t>
          </w:r>
          <w:r>
            <w:rPr>
              <w:color w:val="auto"/>
              <w:highlight w:val="none"/>
            </w:rPr>
            <w:t>环境目标</w:t>
          </w:r>
          <w:r>
            <w:rPr>
              <w:color w:val="auto"/>
              <w:highlight w:val="none"/>
            </w:rPr>
            <w:tab/>
          </w:r>
          <w:r>
            <w:rPr>
              <w:color w:val="auto"/>
              <w:highlight w:val="none"/>
            </w:rPr>
            <w:fldChar w:fldCharType="begin"/>
          </w:r>
          <w:r>
            <w:rPr>
              <w:color w:val="auto"/>
              <w:highlight w:val="none"/>
            </w:rPr>
            <w:instrText xml:space="preserve"> PAGEREF _Toc4664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_Toc20634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4.3 </w:t>
          </w:r>
          <w:r>
            <w:rPr>
              <w:color w:val="auto"/>
              <w:highlight w:val="none"/>
            </w:rPr>
            <w:t>评价指标体系</w:t>
          </w:r>
          <w:r>
            <w:rPr>
              <w:color w:val="auto"/>
              <w:highlight w:val="none"/>
            </w:rPr>
            <w:tab/>
          </w:r>
          <w:r>
            <w:rPr>
              <w:color w:val="auto"/>
              <w:highlight w:val="none"/>
            </w:rPr>
            <w:fldChar w:fldCharType="begin"/>
          </w:r>
          <w:r>
            <w:rPr>
              <w:color w:val="auto"/>
              <w:highlight w:val="none"/>
            </w:rPr>
            <w:instrText xml:space="preserve"> PAGEREF _Toc20634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_Toc31363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4.3.1 </w:t>
          </w:r>
          <w:r>
            <w:rPr>
              <w:color w:val="auto"/>
              <w:highlight w:val="none"/>
            </w:rPr>
            <w:t>评价指标的选取原则</w:t>
          </w:r>
          <w:r>
            <w:rPr>
              <w:color w:val="auto"/>
              <w:highlight w:val="none"/>
            </w:rPr>
            <w:tab/>
          </w:r>
          <w:r>
            <w:rPr>
              <w:color w:val="auto"/>
              <w:highlight w:val="none"/>
            </w:rPr>
            <w:fldChar w:fldCharType="begin"/>
          </w:r>
          <w:r>
            <w:rPr>
              <w:color w:val="auto"/>
              <w:highlight w:val="none"/>
            </w:rPr>
            <w:instrText xml:space="preserve"> PAGEREF _Toc31363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_Toc27533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4.3.2 </w:t>
          </w:r>
          <w:r>
            <w:rPr>
              <w:color w:val="auto"/>
              <w:highlight w:val="none"/>
            </w:rPr>
            <w:t>评价指标体系</w:t>
          </w:r>
          <w:r>
            <w:rPr>
              <w:color w:val="auto"/>
              <w:highlight w:val="none"/>
            </w:rPr>
            <w:tab/>
          </w:r>
          <w:r>
            <w:rPr>
              <w:color w:val="auto"/>
              <w:highlight w:val="none"/>
            </w:rPr>
            <w:fldChar w:fldCharType="begin"/>
          </w:r>
          <w:r>
            <w:rPr>
              <w:color w:val="auto"/>
              <w:highlight w:val="none"/>
            </w:rPr>
            <w:instrText xml:space="preserve"> PAGEREF _Toc27533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_Toc12882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5 </w:t>
          </w:r>
          <w:r>
            <w:rPr>
              <w:color w:val="auto"/>
              <w:highlight w:val="none"/>
            </w:rPr>
            <w:t>矿区总体规划实施环境影响预测、分析与评价</w:t>
          </w:r>
          <w:r>
            <w:rPr>
              <w:color w:val="auto"/>
              <w:highlight w:val="none"/>
            </w:rPr>
            <w:tab/>
          </w:r>
          <w:r>
            <w:rPr>
              <w:color w:val="auto"/>
              <w:highlight w:val="none"/>
            </w:rPr>
            <w:fldChar w:fldCharType="begin"/>
          </w:r>
          <w:r>
            <w:rPr>
              <w:color w:val="auto"/>
              <w:highlight w:val="none"/>
            </w:rPr>
            <w:instrText xml:space="preserve"> PAGEREF _Toc12882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_Toc7622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5.1 </w:t>
          </w:r>
          <w:r>
            <w:rPr>
              <w:color w:val="auto"/>
              <w:highlight w:val="none"/>
            </w:rPr>
            <w:t>生态环境影响预测与评价</w:t>
          </w:r>
          <w:r>
            <w:rPr>
              <w:color w:val="auto"/>
              <w:highlight w:val="none"/>
            </w:rPr>
            <w:tab/>
          </w:r>
          <w:r>
            <w:rPr>
              <w:color w:val="auto"/>
              <w:highlight w:val="none"/>
            </w:rPr>
            <w:fldChar w:fldCharType="begin"/>
          </w:r>
          <w:r>
            <w:rPr>
              <w:color w:val="auto"/>
              <w:highlight w:val="none"/>
            </w:rPr>
            <w:instrText xml:space="preserve"> PAGEREF _Toc7622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_Toc13268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5.1.1 </w:t>
          </w:r>
          <w:r>
            <w:rPr>
              <w:color w:val="auto"/>
              <w:highlight w:val="none"/>
            </w:rPr>
            <w:t>地表沉陷</w:t>
          </w:r>
          <w:r>
            <w:rPr>
              <w:rFonts w:hint="eastAsia"/>
              <w:color w:val="auto"/>
              <w:highlight w:val="none"/>
              <w:lang w:eastAsia="zh-CN"/>
            </w:rPr>
            <w:t>分析和</w:t>
          </w:r>
          <w:r>
            <w:rPr>
              <w:color w:val="auto"/>
              <w:highlight w:val="none"/>
            </w:rPr>
            <w:t>预测</w:t>
          </w:r>
          <w:r>
            <w:rPr>
              <w:color w:val="auto"/>
              <w:highlight w:val="none"/>
            </w:rPr>
            <w:tab/>
          </w:r>
          <w:r>
            <w:rPr>
              <w:color w:val="auto"/>
              <w:highlight w:val="none"/>
            </w:rPr>
            <w:fldChar w:fldCharType="begin"/>
          </w:r>
          <w:r>
            <w:rPr>
              <w:color w:val="auto"/>
              <w:highlight w:val="none"/>
            </w:rPr>
            <w:instrText xml:space="preserve"> PAGEREF _Toc13268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_Toc24924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5.1.2 </w:t>
          </w:r>
          <w:r>
            <w:rPr>
              <w:color w:val="auto"/>
              <w:highlight w:val="none"/>
            </w:rPr>
            <w:t>生态环境影响</w:t>
          </w:r>
          <w:r>
            <w:rPr>
              <w:rFonts w:hint="eastAsia"/>
              <w:color w:val="auto"/>
              <w:highlight w:val="none"/>
              <w:lang w:eastAsia="zh-CN"/>
            </w:rPr>
            <w:t>预测与评价</w:t>
          </w:r>
          <w:r>
            <w:rPr>
              <w:color w:val="auto"/>
              <w:highlight w:val="none"/>
            </w:rPr>
            <w:tab/>
          </w:r>
          <w:r>
            <w:rPr>
              <w:color w:val="auto"/>
              <w:highlight w:val="none"/>
            </w:rPr>
            <w:fldChar w:fldCharType="begin"/>
          </w:r>
          <w:r>
            <w:rPr>
              <w:color w:val="auto"/>
              <w:highlight w:val="none"/>
            </w:rPr>
            <w:instrText xml:space="preserve"> PAGEREF _Toc24924 \h </w:instrText>
          </w:r>
          <w:r>
            <w:rPr>
              <w:color w:val="auto"/>
              <w:highlight w:val="none"/>
            </w:rPr>
            <w:fldChar w:fldCharType="separate"/>
          </w:r>
          <w:r>
            <w:rPr>
              <w:color w:val="auto"/>
              <w:highlight w:val="none"/>
            </w:rPr>
            <w:t>247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_Toc24281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5.2 </w:t>
          </w:r>
          <w:r>
            <w:rPr>
              <w:color w:val="auto"/>
              <w:highlight w:val="none"/>
            </w:rPr>
            <w:t>地下水环境影响预测与评价</w:t>
          </w:r>
          <w:r>
            <w:rPr>
              <w:color w:val="auto"/>
              <w:highlight w:val="none"/>
            </w:rPr>
            <w:tab/>
          </w:r>
          <w:r>
            <w:rPr>
              <w:color w:val="auto"/>
              <w:highlight w:val="none"/>
            </w:rPr>
            <w:fldChar w:fldCharType="begin"/>
          </w:r>
          <w:r>
            <w:rPr>
              <w:color w:val="auto"/>
              <w:highlight w:val="none"/>
            </w:rPr>
            <w:instrText xml:space="preserve"> PAGEREF _Toc24281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_Toc5268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5.2.1 </w:t>
          </w:r>
          <w:r>
            <w:rPr>
              <w:color w:val="auto"/>
              <w:highlight w:val="none"/>
            </w:rPr>
            <w:t>地质条件</w:t>
          </w:r>
          <w:r>
            <w:rPr>
              <w:color w:val="auto"/>
              <w:highlight w:val="none"/>
            </w:rPr>
            <w:tab/>
          </w:r>
          <w:r>
            <w:rPr>
              <w:color w:val="auto"/>
              <w:highlight w:val="none"/>
            </w:rPr>
            <w:fldChar w:fldCharType="begin"/>
          </w:r>
          <w:r>
            <w:rPr>
              <w:color w:val="auto"/>
              <w:highlight w:val="none"/>
            </w:rPr>
            <w:instrText xml:space="preserve"> PAGEREF _Toc5268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_Toc26497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5.2.2 </w:t>
          </w:r>
          <w:r>
            <w:rPr>
              <w:color w:val="auto"/>
              <w:highlight w:val="none"/>
            </w:rPr>
            <w:t>水文地质条件</w:t>
          </w:r>
          <w:r>
            <w:rPr>
              <w:color w:val="auto"/>
              <w:highlight w:val="none"/>
            </w:rPr>
            <w:tab/>
          </w:r>
          <w:r>
            <w:rPr>
              <w:color w:val="auto"/>
              <w:highlight w:val="none"/>
            </w:rPr>
            <w:fldChar w:fldCharType="begin"/>
          </w:r>
          <w:r>
            <w:rPr>
              <w:color w:val="auto"/>
              <w:highlight w:val="none"/>
            </w:rPr>
            <w:instrText xml:space="preserve"> PAGEREF _Toc26497 \h </w:instrText>
          </w:r>
          <w:r>
            <w:rPr>
              <w:color w:val="auto"/>
              <w:highlight w:val="none"/>
            </w:rPr>
            <w:fldChar w:fldCharType="separate"/>
          </w:r>
          <w:r>
            <w:rPr>
              <w:color w:val="auto"/>
              <w:highlight w:val="none"/>
            </w:rPr>
            <w:t>278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_Toc22089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5.2.3 </w:t>
          </w:r>
          <w:r>
            <w:rPr>
              <w:color w:val="auto"/>
              <w:highlight w:val="none"/>
            </w:rPr>
            <w:t>矿区煤炭开采对地下水资源的影响</w:t>
          </w:r>
          <w:r>
            <w:rPr>
              <w:color w:val="auto"/>
              <w:highlight w:val="none"/>
            </w:rPr>
            <w:tab/>
          </w:r>
          <w:r>
            <w:rPr>
              <w:color w:val="auto"/>
              <w:highlight w:val="none"/>
            </w:rPr>
            <w:fldChar w:fldCharType="begin"/>
          </w:r>
          <w:r>
            <w:rPr>
              <w:color w:val="auto"/>
              <w:highlight w:val="none"/>
            </w:rPr>
            <w:instrText xml:space="preserve"> PAGEREF _Toc22089 \h </w:instrText>
          </w:r>
          <w:r>
            <w:rPr>
              <w:color w:val="auto"/>
              <w:highlight w:val="none"/>
            </w:rPr>
            <w:fldChar w:fldCharType="separate"/>
          </w:r>
          <w:r>
            <w:rPr>
              <w:color w:val="auto"/>
              <w:highlight w:val="none"/>
            </w:rPr>
            <w:t>279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_Toc18292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5.2.4 </w:t>
          </w:r>
          <w:r>
            <w:rPr>
              <w:color w:val="auto"/>
              <w:highlight w:val="none"/>
            </w:rPr>
            <w:t>地下水环境变化对生态环境的影响</w:t>
          </w:r>
          <w:r>
            <w:rPr>
              <w:color w:val="auto"/>
              <w:highlight w:val="none"/>
            </w:rPr>
            <w:tab/>
          </w:r>
          <w:r>
            <w:rPr>
              <w:color w:val="auto"/>
              <w:highlight w:val="none"/>
            </w:rPr>
            <w:fldChar w:fldCharType="begin"/>
          </w:r>
          <w:r>
            <w:rPr>
              <w:color w:val="auto"/>
              <w:highlight w:val="none"/>
            </w:rPr>
            <w:instrText xml:space="preserve"> PAGEREF _Toc18292 \h </w:instrText>
          </w:r>
          <w:r>
            <w:rPr>
              <w:color w:val="auto"/>
              <w:highlight w:val="none"/>
            </w:rPr>
            <w:fldChar w:fldCharType="separate"/>
          </w:r>
          <w:r>
            <w:rPr>
              <w:color w:val="auto"/>
              <w:highlight w:val="none"/>
            </w:rPr>
            <w:t>280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_Toc7902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5.2.5 </w:t>
          </w:r>
          <w:r>
            <w:rPr>
              <w:color w:val="auto"/>
              <w:highlight w:val="none"/>
            </w:rPr>
            <w:t>矿区对地下水水质的影响</w:t>
          </w:r>
          <w:r>
            <w:rPr>
              <w:color w:val="auto"/>
              <w:highlight w:val="none"/>
            </w:rPr>
            <w:tab/>
          </w:r>
          <w:r>
            <w:rPr>
              <w:color w:val="auto"/>
              <w:highlight w:val="none"/>
            </w:rPr>
            <w:fldChar w:fldCharType="begin"/>
          </w:r>
          <w:r>
            <w:rPr>
              <w:color w:val="auto"/>
              <w:highlight w:val="none"/>
            </w:rPr>
            <w:instrText xml:space="preserve"> PAGEREF _Toc7902 \h </w:instrText>
          </w:r>
          <w:r>
            <w:rPr>
              <w:color w:val="auto"/>
              <w:highlight w:val="none"/>
            </w:rPr>
            <w:fldChar w:fldCharType="separate"/>
          </w:r>
          <w:r>
            <w:rPr>
              <w:color w:val="auto"/>
              <w:highlight w:val="none"/>
            </w:rPr>
            <w:t>280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_Toc11666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5.3 </w:t>
          </w:r>
          <w:r>
            <w:rPr>
              <w:color w:val="auto"/>
              <w:highlight w:val="none"/>
            </w:rPr>
            <w:t>大气环境影响预测与评价</w:t>
          </w:r>
          <w:r>
            <w:rPr>
              <w:color w:val="auto"/>
              <w:highlight w:val="none"/>
            </w:rPr>
            <w:tab/>
          </w:r>
          <w:r>
            <w:rPr>
              <w:color w:val="auto"/>
              <w:highlight w:val="none"/>
            </w:rPr>
            <w:fldChar w:fldCharType="begin"/>
          </w:r>
          <w:r>
            <w:rPr>
              <w:color w:val="auto"/>
              <w:highlight w:val="none"/>
            </w:rPr>
            <w:instrText xml:space="preserve"> PAGEREF _Toc11666 \h </w:instrText>
          </w:r>
          <w:r>
            <w:rPr>
              <w:color w:val="auto"/>
              <w:highlight w:val="none"/>
            </w:rPr>
            <w:fldChar w:fldCharType="separate"/>
          </w:r>
          <w:r>
            <w:rPr>
              <w:color w:val="auto"/>
              <w:highlight w:val="none"/>
            </w:rPr>
            <w:t>284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_Toc16781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5.3.1 </w:t>
          </w:r>
          <w:r>
            <w:rPr>
              <w:color w:val="auto"/>
              <w:highlight w:val="none"/>
            </w:rPr>
            <w:t>气象资料统计</w:t>
          </w:r>
          <w:r>
            <w:rPr>
              <w:color w:val="auto"/>
              <w:highlight w:val="none"/>
            </w:rPr>
            <w:tab/>
          </w:r>
          <w:r>
            <w:rPr>
              <w:color w:val="auto"/>
              <w:highlight w:val="none"/>
            </w:rPr>
            <w:fldChar w:fldCharType="begin"/>
          </w:r>
          <w:r>
            <w:rPr>
              <w:color w:val="auto"/>
              <w:highlight w:val="none"/>
            </w:rPr>
            <w:instrText xml:space="preserve"> PAGEREF _Toc16781 \h </w:instrText>
          </w:r>
          <w:r>
            <w:rPr>
              <w:color w:val="auto"/>
              <w:highlight w:val="none"/>
            </w:rPr>
            <w:fldChar w:fldCharType="separate"/>
          </w:r>
          <w:r>
            <w:rPr>
              <w:color w:val="auto"/>
              <w:highlight w:val="none"/>
            </w:rPr>
            <w:t>284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_Toc2184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5.3.2 </w:t>
          </w:r>
          <w:r>
            <w:rPr>
              <w:color w:val="auto"/>
              <w:highlight w:val="none"/>
            </w:rPr>
            <w:t>大气污染影响分析</w:t>
          </w:r>
          <w:r>
            <w:rPr>
              <w:color w:val="auto"/>
              <w:highlight w:val="none"/>
            </w:rPr>
            <w:tab/>
          </w:r>
          <w:r>
            <w:rPr>
              <w:color w:val="auto"/>
              <w:highlight w:val="none"/>
            </w:rPr>
            <w:fldChar w:fldCharType="begin"/>
          </w:r>
          <w:r>
            <w:rPr>
              <w:color w:val="auto"/>
              <w:highlight w:val="none"/>
            </w:rPr>
            <w:instrText xml:space="preserve"> PAGEREF _Toc2184 \h </w:instrText>
          </w:r>
          <w:r>
            <w:rPr>
              <w:color w:val="auto"/>
              <w:highlight w:val="none"/>
            </w:rPr>
            <w:fldChar w:fldCharType="separate"/>
          </w:r>
          <w:r>
            <w:rPr>
              <w:color w:val="auto"/>
              <w:highlight w:val="none"/>
            </w:rPr>
            <w:t>286</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_Toc8518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5.4 </w:t>
          </w:r>
          <w:r>
            <w:rPr>
              <w:color w:val="auto"/>
              <w:highlight w:val="none"/>
            </w:rPr>
            <w:t>地表水环境影响预测与评价</w:t>
          </w:r>
          <w:r>
            <w:rPr>
              <w:color w:val="auto"/>
              <w:highlight w:val="none"/>
            </w:rPr>
            <w:tab/>
          </w:r>
          <w:r>
            <w:rPr>
              <w:color w:val="auto"/>
              <w:highlight w:val="none"/>
            </w:rPr>
            <w:fldChar w:fldCharType="begin"/>
          </w:r>
          <w:r>
            <w:rPr>
              <w:color w:val="auto"/>
              <w:highlight w:val="none"/>
            </w:rPr>
            <w:instrText xml:space="preserve"> PAGEREF _Toc8518 \h </w:instrText>
          </w:r>
          <w:r>
            <w:rPr>
              <w:color w:val="auto"/>
              <w:highlight w:val="none"/>
            </w:rPr>
            <w:fldChar w:fldCharType="separate"/>
          </w:r>
          <w:r>
            <w:rPr>
              <w:color w:val="auto"/>
              <w:highlight w:val="none"/>
            </w:rPr>
            <w:t>287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_Toc27308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5.4.1 </w:t>
          </w:r>
          <w:r>
            <w:rPr>
              <w:color w:val="auto"/>
              <w:highlight w:val="none"/>
            </w:rPr>
            <w:t>地表水系</w:t>
          </w:r>
          <w:r>
            <w:rPr>
              <w:color w:val="auto"/>
              <w:highlight w:val="none"/>
            </w:rPr>
            <w:tab/>
          </w:r>
          <w:r>
            <w:rPr>
              <w:color w:val="auto"/>
              <w:highlight w:val="none"/>
            </w:rPr>
            <w:fldChar w:fldCharType="begin"/>
          </w:r>
          <w:r>
            <w:rPr>
              <w:color w:val="auto"/>
              <w:highlight w:val="none"/>
            </w:rPr>
            <w:instrText xml:space="preserve"> PAGEREF _Toc27308 \h </w:instrText>
          </w:r>
          <w:r>
            <w:rPr>
              <w:color w:val="auto"/>
              <w:highlight w:val="none"/>
            </w:rPr>
            <w:fldChar w:fldCharType="separate"/>
          </w:r>
          <w:r>
            <w:rPr>
              <w:color w:val="auto"/>
              <w:highlight w:val="none"/>
            </w:rPr>
            <w:t>287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_Toc32134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5.4.2 </w:t>
          </w:r>
          <w:r>
            <w:rPr>
              <w:color w:val="auto"/>
              <w:highlight w:val="none"/>
            </w:rPr>
            <w:t>水环境影响分析</w:t>
          </w:r>
          <w:r>
            <w:rPr>
              <w:color w:val="auto"/>
              <w:highlight w:val="none"/>
            </w:rPr>
            <w:tab/>
          </w:r>
          <w:r>
            <w:rPr>
              <w:color w:val="auto"/>
              <w:highlight w:val="none"/>
            </w:rPr>
            <w:fldChar w:fldCharType="begin"/>
          </w:r>
          <w:r>
            <w:rPr>
              <w:color w:val="auto"/>
              <w:highlight w:val="none"/>
            </w:rPr>
            <w:instrText xml:space="preserve"> PAGEREF _Toc32134 \h </w:instrText>
          </w:r>
          <w:r>
            <w:rPr>
              <w:color w:val="auto"/>
              <w:highlight w:val="none"/>
            </w:rPr>
            <w:fldChar w:fldCharType="separate"/>
          </w:r>
          <w:r>
            <w:rPr>
              <w:color w:val="auto"/>
              <w:highlight w:val="none"/>
            </w:rPr>
            <w:t>287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_Toc14857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5.5 </w:t>
          </w:r>
          <w:r>
            <w:rPr>
              <w:color w:val="auto"/>
              <w:highlight w:val="none"/>
            </w:rPr>
            <w:t>声环境影响预测与评价</w:t>
          </w:r>
          <w:r>
            <w:rPr>
              <w:color w:val="auto"/>
              <w:highlight w:val="none"/>
            </w:rPr>
            <w:tab/>
          </w:r>
          <w:r>
            <w:rPr>
              <w:color w:val="auto"/>
              <w:highlight w:val="none"/>
            </w:rPr>
            <w:fldChar w:fldCharType="begin"/>
          </w:r>
          <w:r>
            <w:rPr>
              <w:color w:val="auto"/>
              <w:highlight w:val="none"/>
            </w:rPr>
            <w:instrText xml:space="preserve"> PAGEREF _Toc14857 \h </w:instrText>
          </w:r>
          <w:r>
            <w:rPr>
              <w:color w:val="auto"/>
              <w:highlight w:val="none"/>
            </w:rPr>
            <w:fldChar w:fldCharType="separate"/>
          </w:r>
          <w:r>
            <w:rPr>
              <w:color w:val="auto"/>
              <w:highlight w:val="none"/>
            </w:rPr>
            <w:t>288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_Toc7872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5.5.1 </w:t>
          </w:r>
          <w:r>
            <w:rPr>
              <w:color w:val="auto"/>
              <w:highlight w:val="none"/>
            </w:rPr>
            <w:t>工业企业噪声影响分析</w:t>
          </w:r>
          <w:r>
            <w:rPr>
              <w:color w:val="auto"/>
              <w:highlight w:val="none"/>
            </w:rPr>
            <w:tab/>
          </w:r>
          <w:r>
            <w:rPr>
              <w:color w:val="auto"/>
              <w:highlight w:val="none"/>
            </w:rPr>
            <w:fldChar w:fldCharType="begin"/>
          </w:r>
          <w:r>
            <w:rPr>
              <w:color w:val="auto"/>
              <w:highlight w:val="none"/>
            </w:rPr>
            <w:instrText xml:space="preserve"> PAGEREF _Toc7872 \h </w:instrText>
          </w:r>
          <w:r>
            <w:rPr>
              <w:color w:val="auto"/>
              <w:highlight w:val="none"/>
            </w:rPr>
            <w:fldChar w:fldCharType="separate"/>
          </w:r>
          <w:r>
            <w:rPr>
              <w:color w:val="auto"/>
              <w:highlight w:val="none"/>
            </w:rPr>
            <w:t>288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_Toc30087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5.5.2 </w:t>
          </w:r>
          <w:r>
            <w:rPr>
              <w:color w:val="auto"/>
              <w:highlight w:val="none"/>
            </w:rPr>
            <w:t>运输道路交通噪声</w:t>
          </w:r>
          <w:r>
            <w:rPr>
              <w:color w:val="auto"/>
              <w:highlight w:val="none"/>
            </w:rPr>
            <w:tab/>
          </w:r>
          <w:r>
            <w:rPr>
              <w:color w:val="auto"/>
              <w:highlight w:val="none"/>
            </w:rPr>
            <w:fldChar w:fldCharType="begin"/>
          </w:r>
          <w:r>
            <w:rPr>
              <w:color w:val="auto"/>
              <w:highlight w:val="none"/>
            </w:rPr>
            <w:instrText xml:space="preserve"> PAGEREF _Toc30087 \h </w:instrText>
          </w:r>
          <w:r>
            <w:rPr>
              <w:color w:val="auto"/>
              <w:highlight w:val="none"/>
            </w:rPr>
            <w:fldChar w:fldCharType="separate"/>
          </w:r>
          <w:r>
            <w:rPr>
              <w:color w:val="auto"/>
              <w:highlight w:val="none"/>
            </w:rPr>
            <w:t>289</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_Toc10075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5.6 </w:t>
          </w:r>
          <w:r>
            <w:rPr>
              <w:color w:val="auto"/>
              <w:highlight w:val="none"/>
            </w:rPr>
            <w:t>固体废物处置环境影响分析</w:t>
          </w:r>
          <w:r>
            <w:rPr>
              <w:color w:val="auto"/>
              <w:highlight w:val="none"/>
            </w:rPr>
            <w:tab/>
          </w:r>
          <w:r>
            <w:rPr>
              <w:color w:val="auto"/>
              <w:highlight w:val="none"/>
            </w:rPr>
            <w:fldChar w:fldCharType="begin"/>
          </w:r>
          <w:r>
            <w:rPr>
              <w:color w:val="auto"/>
              <w:highlight w:val="none"/>
            </w:rPr>
            <w:instrText xml:space="preserve"> PAGEREF _Toc10075 \h </w:instrText>
          </w:r>
          <w:r>
            <w:rPr>
              <w:color w:val="auto"/>
              <w:highlight w:val="none"/>
            </w:rPr>
            <w:fldChar w:fldCharType="separate"/>
          </w:r>
          <w:r>
            <w:rPr>
              <w:color w:val="auto"/>
              <w:highlight w:val="none"/>
            </w:rPr>
            <w:t>289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_Toc24720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5.6.1 </w:t>
          </w:r>
          <w:r>
            <w:rPr>
              <w:color w:val="auto"/>
              <w:highlight w:val="none"/>
            </w:rPr>
            <w:t>固体废物的种类及产生量</w:t>
          </w:r>
          <w:r>
            <w:rPr>
              <w:color w:val="auto"/>
              <w:highlight w:val="none"/>
            </w:rPr>
            <w:tab/>
          </w:r>
          <w:r>
            <w:rPr>
              <w:color w:val="auto"/>
              <w:highlight w:val="none"/>
            </w:rPr>
            <w:fldChar w:fldCharType="begin"/>
          </w:r>
          <w:r>
            <w:rPr>
              <w:color w:val="auto"/>
              <w:highlight w:val="none"/>
            </w:rPr>
            <w:instrText xml:space="preserve"> PAGEREF _Toc24720 \h </w:instrText>
          </w:r>
          <w:r>
            <w:rPr>
              <w:color w:val="auto"/>
              <w:highlight w:val="none"/>
            </w:rPr>
            <w:fldChar w:fldCharType="separate"/>
          </w:r>
          <w:r>
            <w:rPr>
              <w:color w:val="auto"/>
              <w:highlight w:val="none"/>
            </w:rPr>
            <w:t>289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_Toc13649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5.6.2 </w:t>
          </w:r>
          <w:r>
            <w:rPr>
              <w:color w:val="auto"/>
              <w:highlight w:val="none"/>
            </w:rPr>
            <w:t>固体废物处置环境影响分析</w:t>
          </w:r>
          <w:r>
            <w:rPr>
              <w:color w:val="auto"/>
              <w:highlight w:val="none"/>
            </w:rPr>
            <w:tab/>
          </w:r>
          <w:r>
            <w:rPr>
              <w:color w:val="auto"/>
              <w:highlight w:val="none"/>
            </w:rPr>
            <w:fldChar w:fldCharType="begin"/>
          </w:r>
          <w:r>
            <w:rPr>
              <w:color w:val="auto"/>
              <w:highlight w:val="none"/>
            </w:rPr>
            <w:instrText xml:space="preserve"> PAGEREF _Toc13649 \h </w:instrText>
          </w:r>
          <w:r>
            <w:rPr>
              <w:color w:val="auto"/>
              <w:highlight w:val="none"/>
            </w:rPr>
            <w:fldChar w:fldCharType="separate"/>
          </w:r>
          <w:r>
            <w:rPr>
              <w:color w:val="auto"/>
              <w:highlight w:val="none"/>
            </w:rPr>
            <w:t>290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_Toc12450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5.7 </w:t>
          </w:r>
          <w:r>
            <w:rPr>
              <w:color w:val="auto"/>
              <w:highlight w:val="none"/>
            </w:rPr>
            <w:t>土壤环境影响分析</w:t>
          </w:r>
          <w:r>
            <w:rPr>
              <w:color w:val="auto"/>
              <w:highlight w:val="none"/>
            </w:rPr>
            <w:tab/>
          </w:r>
          <w:r>
            <w:rPr>
              <w:color w:val="auto"/>
              <w:highlight w:val="none"/>
            </w:rPr>
            <w:fldChar w:fldCharType="begin"/>
          </w:r>
          <w:r>
            <w:rPr>
              <w:color w:val="auto"/>
              <w:highlight w:val="none"/>
            </w:rPr>
            <w:instrText xml:space="preserve"> PAGEREF _Toc12450 \h </w:instrText>
          </w:r>
          <w:r>
            <w:rPr>
              <w:color w:val="auto"/>
              <w:highlight w:val="none"/>
            </w:rPr>
            <w:fldChar w:fldCharType="separate"/>
          </w:r>
          <w:r>
            <w:rPr>
              <w:color w:val="auto"/>
              <w:highlight w:val="none"/>
            </w:rPr>
            <w:t>292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_Toc8675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5.7.1 </w:t>
          </w:r>
          <w:r>
            <w:rPr>
              <w:color w:val="auto"/>
              <w:highlight w:val="none"/>
            </w:rPr>
            <w:t>土壤环境盐化综合评分法</w:t>
          </w:r>
          <w:r>
            <w:rPr>
              <w:color w:val="auto"/>
              <w:highlight w:val="none"/>
            </w:rPr>
            <w:tab/>
          </w:r>
          <w:r>
            <w:rPr>
              <w:color w:val="auto"/>
              <w:highlight w:val="none"/>
            </w:rPr>
            <w:fldChar w:fldCharType="begin"/>
          </w:r>
          <w:r>
            <w:rPr>
              <w:color w:val="auto"/>
              <w:highlight w:val="none"/>
            </w:rPr>
            <w:instrText xml:space="preserve"> PAGEREF _Toc8675 \h </w:instrText>
          </w:r>
          <w:r>
            <w:rPr>
              <w:color w:val="auto"/>
              <w:highlight w:val="none"/>
            </w:rPr>
            <w:fldChar w:fldCharType="separate"/>
          </w:r>
          <w:r>
            <w:rPr>
              <w:color w:val="auto"/>
              <w:highlight w:val="none"/>
            </w:rPr>
            <w:t>292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_Toc29870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5.7.2 </w:t>
          </w:r>
          <w:r>
            <w:rPr>
              <w:color w:val="auto"/>
              <w:highlight w:val="none"/>
            </w:rPr>
            <w:t>土壤盐化预测结果分析</w:t>
          </w:r>
          <w:r>
            <w:rPr>
              <w:color w:val="auto"/>
              <w:highlight w:val="none"/>
            </w:rPr>
            <w:tab/>
          </w:r>
          <w:r>
            <w:rPr>
              <w:color w:val="auto"/>
              <w:highlight w:val="none"/>
            </w:rPr>
            <w:fldChar w:fldCharType="begin"/>
          </w:r>
          <w:r>
            <w:rPr>
              <w:color w:val="auto"/>
              <w:highlight w:val="none"/>
            </w:rPr>
            <w:instrText xml:space="preserve"> PAGEREF _Toc29870 \h </w:instrText>
          </w:r>
          <w:r>
            <w:rPr>
              <w:color w:val="auto"/>
              <w:highlight w:val="none"/>
            </w:rPr>
            <w:fldChar w:fldCharType="separate"/>
          </w:r>
          <w:r>
            <w:rPr>
              <w:color w:val="auto"/>
              <w:highlight w:val="none"/>
            </w:rPr>
            <w:t>293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_Toc22550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5.8 </w:t>
          </w:r>
          <w:r>
            <w:rPr>
              <w:color w:val="auto"/>
              <w:highlight w:val="none"/>
            </w:rPr>
            <w:t>社会经济环境影响分析</w:t>
          </w:r>
          <w:r>
            <w:rPr>
              <w:color w:val="auto"/>
              <w:highlight w:val="none"/>
            </w:rPr>
            <w:tab/>
          </w:r>
          <w:r>
            <w:rPr>
              <w:color w:val="auto"/>
              <w:highlight w:val="none"/>
            </w:rPr>
            <w:fldChar w:fldCharType="begin"/>
          </w:r>
          <w:r>
            <w:rPr>
              <w:color w:val="auto"/>
              <w:highlight w:val="none"/>
            </w:rPr>
            <w:instrText xml:space="preserve"> PAGEREF _Toc22550 \h </w:instrText>
          </w:r>
          <w:r>
            <w:rPr>
              <w:color w:val="auto"/>
              <w:highlight w:val="none"/>
            </w:rPr>
            <w:fldChar w:fldCharType="separate"/>
          </w:r>
          <w:r>
            <w:rPr>
              <w:color w:val="auto"/>
              <w:highlight w:val="none"/>
            </w:rPr>
            <w:t>293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_Toc27702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5.9 </w:t>
          </w:r>
          <w:r>
            <w:rPr>
              <w:color w:val="auto"/>
              <w:highlight w:val="none"/>
            </w:rPr>
            <w:t>人群健康影响分析</w:t>
          </w:r>
          <w:r>
            <w:rPr>
              <w:color w:val="auto"/>
              <w:highlight w:val="none"/>
            </w:rPr>
            <w:tab/>
          </w:r>
          <w:r>
            <w:rPr>
              <w:color w:val="auto"/>
              <w:highlight w:val="none"/>
            </w:rPr>
            <w:fldChar w:fldCharType="begin"/>
          </w:r>
          <w:r>
            <w:rPr>
              <w:color w:val="auto"/>
              <w:highlight w:val="none"/>
            </w:rPr>
            <w:instrText xml:space="preserve"> PAGEREF _Toc27702 \h </w:instrText>
          </w:r>
          <w:r>
            <w:rPr>
              <w:color w:val="auto"/>
              <w:highlight w:val="none"/>
            </w:rPr>
            <w:fldChar w:fldCharType="separate"/>
          </w:r>
          <w:r>
            <w:rPr>
              <w:color w:val="auto"/>
              <w:highlight w:val="none"/>
            </w:rPr>
            <w:t>293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_Toc16323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5.10 </w:t>
          </w:r>
          <w:r>
            <w:rPr>
              <w:color w:val="auto"/>
              <w:highlight w:val="none"/>
            </w:rPr>
            <w:t>环境风险分析</w:t>
          </w:r>
          <w:r>
            <w:rPr>
              <w:color w:val="auto"/>
              <w:highlight w:val="none"/>
            </w:rPr>
            <w:tab/>
          </w:r>
          <w:r>
            <w:rPr>
              <w:color w:val="auto"/>
              <w:highlight w:val="none"/>
            </w:rPr>
            <w:fldChar w:fldCharType="begin"/>
          </w:r>
          <w:r>
            <w:rPr>
              <w:color w:val="auto"/>
              <w:highlight w:val="none"/>
            </w:rPr>
            <w:instrText xml:space="preserve"> PAGEREF _Toc16323 \h </w:instrText>
          </w:r>
          <w:r>
            <w:rPr>
              <w:color w:val="auto"/>
              <w:highlight w:val="none"/>
            </w:rPr>
            <w:fldChar w:fldCharType="separate"/>
          </w:r>
          <w:r>
            <w:rPr>
              <w:color w:val="auto"/>
              <w:highlight w:val="none"/>
            </w:rPr>
            <w:t>293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_Toc29825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5.10.1 </w:t>
          </w:r>
          <w:r>
            <w:rPr>
              <w:color w:val="auto"/>
              <w:highlight w:val="none"/>
            </w:rPr>
            <w:t>风险潜势</w:t>
          </w:r>
          <w:r>
            <w:rPr>
              <w:color w:val="auto"/>
              <w:highlight w:val="none"/>
            </w:rPr>
            <w:tab/>
          </w:r>
          <w:r>
            <w:rPr>
              <w:color w:val="auto"/>
              <w:highlight w:val="none"/>
            </w:rPr>
            <w:fldChar w:fldCharType="begin"/>
          </w:r>
          <w:r>
            <w:rPr>
              <w:color w:val="auto"/>
              <w:highlight w:val="none"/>
            </w:rPr>
            <w:instrText xml:space="preserve"> PAGEREF _Toc29825 \h </w:instrText>
          </w:r>
          <w:r>
            <w:rPr>
              <w:color w:val="auto"/>
              <w:highlight w:val="none"/>
            </w:rPr>
            <w:fldChar w:fldCharType="separate"/>
          </w:r>
          <w:r>
            <w:rPr>
              <w:color w:val="auto"/>
              <w:highlight w:val="none"/>
            </w:rPr>
            <w:t>293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_Toc27271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5.10.2 </w:t>
          </w:r>
          <w:r>
            <w:rPr>
              <w:color w:val="auto"/>
              <w:highlight w:val="none"/>
            </w:rPr>
            <w:t>环境风险识别</w:t>
          </w:r>
          <w:r>
            <w:rPr>
              <w:color w:val="auto"/>
              <w:highlight w:val="none"/>
            </w:rPr>
            <w:tab/>
          </w:r>
          <w:r>
            <w:rPr>
              <w:color w:val="auto"/>
              <w:highlight w:val="none"/>
            </w:rPr>
            <w:fldChar w:fldCharType="begin"/>
          </w:r>
          <w:r>
            <w:rPr>
              <w:color w:val="auto"/>
              <w:highlight w:val="none"/>
            </w:rPr>
            <w:instrText xml:space="preserve"> PAGEREF _Toc27271 \h </w:instrText>
          </w:r>
          <w:r>
            <w:rPr>
              <w:color w:val="auto"/>
              <w:highlight w:val="none"/>
            </w:rPr>
            <w:fldChar w:fldCharType="separate"/>
          </w:r>
          <w:r>
            <w:rPr>
              <w:color w:val="auto"/>
              <w:highlight w:val="none"/>
            </w:rPr>
            <w:t>294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_Toc9320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5.10.2.2 </w:t>
          </w:r>
          <w:r>
            <w:rPr>
              <w:color w:val="auto"/>
              <w:highlight w:val="none"/>
            </w:rPr>
            <w:t>生产系统危险性识别</w:t>
          </w:r>
          <w:r>
            <w:rPr>
              <w:color w:val="auto"/>
              <w:highlight w:val="none"/>
            </w:rPr>
            <w:tab/>
          </w:r>
          <w:r>
            <w:rPr>
              <w:color w:val="auto"/>
              <w:highlight w:val="none"/>
            </w:rPr>
            <w:fldChar w:fldCharType="begin"/>
          </w:r>
          <w:r>
            <w:rPr>
              <w:color w:val="auto"/>
              <w:highlight w:val="none"/>
            </w:rPr>
            <w:instrText xml:space="preserve"> PAGEREF _Toc9320 \h </w:instrText>
          </w:r>
          <w:r>
            <w:rPr>
              <w:color w:val="auto"/>
              <w:highlight w:val="none"/>
            </w:rPr>
            <w:fldChar w:fldCharType="separate"/>
          </w:r>
          <w:r>
            <w:rPr>
              <w:color w:val="auto"/>
              <w:highlight w:val="none"/>
            </w:rPr>
            <w:t>295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_Toc22743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5.10.3 </w:t>
          </w:r>
          <w:r>
            <w:rPr>
              <w:color w:val="auto"/>
              <w:highlight w:val="none"/>
            </w:rPr>
            <w:t>风险事故情形分析</w:t>
          </w:r>
          <w:r>
            <w:rPr>
              <w:color w:val="auto"/>
              <w:highlight w:val="none"/>
            </w:rPr>
            <w:tab/>
          </w:r>
          <w:r>
            <w:rPr>
              <w:color w:val="auto"/>
              <w:highlight w:val="none"/>
            </w:rPr>
            <w:fldChar w:fldCharType="begin"/>
          </w:r>
          <w:r>
            <w:rPr>
              <w:color w:val="auto"/>
              <w:highlight w:val="none"/>
            </w:rPr>
            <w:instrText xml:space="preserve"> PAGEREF _Toc22743 \h </w:instrText>
          </w:r>
          <w:r>
            <w:rPr>
              <w:color w:val="auto"/>
              <w:highlight w:val="none"/>
            </w:rPr>
            <w:fldChar w:fldCharType="separate"/>
          </w:r>
          <w:r>
            <w:rPr>
              <w:color w:val="auto"/>
              <w:highlight w:val="none"/>
            </w:rPr>
            <w:t>296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_Toc13188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5.10.4 </w:t>
          </w:r>
          <w:r>
            <w:rPr>
              <w:color w:val="auto"/>
              <w:highlight w:val="none"/>
            </w:rPr>
            <w:t>矸石坝垮塌风险事故影响分析及措施</w:t>
          </w:r>
          <w:r>
            <w:rPr>
              <w:color w:val="auto"/>
              <w:highlight w:val="none"/>
            </w:rPr>
            <w:tab/>
          </w:r>
          <w:r>
            <w:rPr>
              <w:color w:val="auto"/>
              <w:highlight w:val="none"/>
            </w:rPr>
            <w:fldChar w:fldCharType="begin"/>
          </w:r>
          <w:r>
            <w:rPr>
              <w:color w:val="auto"/>
              <w:highlight w:val="none"/>
            </w:rPr>
            <w:instrText xml:space="preserve"> PAGEREF _Toc13188 \h </w:instrText>
          </w:r>
          <w:r>
            <w:rPr>
              <w:color w:val="auto"/>
              <w:highlight w:val="none"/>
            </w:rPr>
            <w:fldChar w:fldCharType="separate"/>
          </w:r>
          <w:r>
            <w:rPr>
              <w:color w:val="auto"/>
              <w:highlight w:val="none"/>
            </w:rPr>
            <w:t>297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_Toc8445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5.11 </w:t>
          </w:r>
          <w:r>
            <w:rPr>
              <w:color w:val="auto"/>
              <w:highlight w:val="none"/>
            </w:rPr>
            <w:t>清洁生产</w:t>
          </w:r>
          <w:r>
            <w:rPr>
              <w:color w:val="auto"/>
              <w:highlight w:val="none"/>
            </w:rPr>
            <w:tab/>
          </w:r>
          <w:r>
            <w:rPr>
              <w:color w:val="auto"/>
              <w:highlight w:val="none"/>
            </w:rPr>
            <w:fldChar w:fldCharType="begin"/>
          </w:r>
          <w:r>
            <w:rPr>
              <w:color w:val="auto"/>
              <w:highlight w:val="none"/>
            </w:rPr>
            <w:instrText xml:space="preserve"> PAGEREF _Toc8445 \h </w:instrText>
          </w:r>
          <w:r>
            <w:rPr>
              <w:color w:val="auto"/>
              <w:highlight w:val="none"/>
            </w:rPr>
            <w:fldChar w:fldCharType="separate"/>
          </w:r>
          <w:r>
            <w:rPr>
              <w:color w:val="auto"/>
              <w:highlight w:val="none"/>
            </w:rPr>
            <w:t>297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_Toc28610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5.11.1 </w:t>
          </w:r>
          <w:r>
            <w:rPr>
              <w:color w:val="auto"/>
              <w:highlight w:val="none"/>
            </w:rPr>
            <w:t>清洁生产分析</w:t>
          </w:r>
          <w:r>
            <w:rPr>
              <w:color w:val="auto"/>
              <w:highlight w:val="none"/>
            </w:rPr>
            <w:tab/>
          </w:r>
          <w:r>
            <w:rPr>
              <w:color w:val="auto"/>
              <w:highlight w:val="none"/>
            </w:rPr>
            <w:fldChar w:fldCharType="begin"/>
          </w:r>
          <w:r>
            <w:rPr>
              <w:color w:val="auto"/>
              <w:highlight w:val="none"/>
            </w:rPr>
            <w:instrText xml:space="preserve"> PAGEREF _Toc28610 \h </w:instrText>
          </w:r>
          <w:r>
            <w:rPr>
              <w:color w:val="auto"/>
              <w:highlight w:val="none"/>
            </w:rPr>
            <w:fldChar w:fldCharType="separate"/>
          </w:r>
          <w:r>
            <w:rPr>
              <w:color w:val="auto"/>
              <w:highlight w:val="none"/>
            </w:rPr>
            <w:t>297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_Toc20180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5.11.2 </w:t>
          </w:r>
          <w:r>
            <w:rPr>
              <w:color w:val="auto"/>
              <w:highlight w:val="none"/>
            </w:rPr>
            <w:t>清洁生产指标</w:t>
          </w:r>
          <w:r>
            <w:rPr>
              <w:color w:val="auto"/>
              <w:highlight w:val="none"/>
            </w:rPr>
            <w:tab/>
          </w:r>
          <w:r>
            <w:rPr>
              <w:color w:val="auto"/>
              <w:highlight w:val="none"/>
            </w:rPr>
            <w:fldChar w:fldCharType="begin"/>
          </w:r>
          <w:r>
            <w:rPr>
              <w:color w:val="auto"/>
              <w:highlight w:val="none"/>
            </w:rPr>
            <w:instrText xml:space="preserve"> PAGEREF _Toc20180 \h </w:instrText>
          </w:r>
          <w:r>
            <w:rPr>
              <w:color w:val="auto"/>
              <w:highlight w:val="none"/>
            </w:rPr>
            <w:fldChar w:fldCharType="separate"/>
          </w:r>
          <w:r>
            <w:rPr>
              <w:color w:val="auto"/>
              <w:highlight w:val="none"/>
            </w:rPr>
            <w:t>298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_Toc23723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5.11.3 </w:t>
          </w:r>
          <w:r>
            <w:rPr>
              <w:color w:val="auto"/>
              <w:highlight w:val="none"/>
            </w:rPr>
            <w:t>清洁生产组织与实施</w:t>
          </w:r>
          <w:r>
            <w:rPr>
              <w:color w:val="auto"/>
              <w:highlight w:val="none"/>
            </w:rPr>
            <w:tab/>
          </w:r>
          <w:r>
            <w:rPr>
              <w:color w:val="auto"/>
              <w:highlight w:val="none"/>
            </w:rPr>
            <w:fldChar w:fldCharType="begin"/>
          </w:r>
          <w:r>
            <w:rPr>
              <w:color w:val="auto"/>
              <w:highlight w:val="none"/>
            </w:rPr>
            <w:instrText xml:space="preserve"> PAGEREF _Toc23723 \h </w:instrText>
          </w:r>
          <w:r>
            <w:rPr>
              <w:color w:val="auto"/>
              <w:highlight w:val="none"/>
            </w:rPr>
            <w:fldChar w:fldCharType="separate"/>
          </w:r>
          <w:r>
            <w:rPr>
              <w:color w:val="auto"/>
              <w:highlight w:val="none"/>
            </w:rPr>
            <w:t>300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_Toc19058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5.12 </w:t>
          </w:r>
          <w:r>
            <w:rPr>
              <w:color w:val="auto"/>
              <w:highlight w:val="none"/>
            </w:rPr>
            <w:t>累积环境影响分析</w:t>
          </w:r>
          <w:r>
            <w:rPr>
              <w:color w:val="auto"/>
              <w:highlight w:val="none"/>
            </w:rPr>
            <w:tab/>
          </w:r>
          <w:r>
            <w:rPr>
              <w:color w:val="auto"/>
              <w:highlight w:val="none"/>
            </w:rPr>
            <w:fldChar w:fldCharType="begin"/>
          </w:r>
          <w:r>
            <w:rPr>
              <w:color w:val="auto"/>
              <w:highlight w:val="none"/>
            </w:rPr>
            <w:instrText xml:space="preserve"> PAGEREF _Toc19058 \h </w:instrText>
          </w:r>
          <w:r>
            <w:rPr>
              <w:color w:val="auto"/>
              <w:highlight w:val="none"/>
            </w:rPr>
            <w:fldChar w:fldCharType="separate"/>
          </w:r>
          <w:r>
            <w:rPr>
              <w:color w:val="auto"/>
              <w:highlight w:val="none"/>
            </w:rPr>
            <w:t>302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_Toc12772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5.12.1 </w:t>
          </w:r>
          <w:r>
            <w:rPr>
              <w:color w:val="auto"/>
              <w:highlight w:val="none"/>
            </w:rPr>
            <w:t>生态环境累积环境影响</w:t>
          </w:r>
          <w:r>
            <w:rPr>
              <w:color w:val="auto"/>
              <w:highlight w:val="none"/>
            </w:rPr>
            <w:tab/>
          </w:r>
          <w:r>
            <w:rPr>
              <w:color w:val="auto"/>
              <w:highlight w:val="none"/>
            </w:rPr>
            <w:fldChar w:fldCharType="begin"/>
          </w:r>
          <w:r>
            <w:rPr>
              <w:color w:val="auto"/>
              <w:highlight w:val="none"/>
            </w:rPr>
            <w:instrText xml:space="preserve"> PAGEREF _Toc12772 \h </w:instrText>
          </w:r>
          <w:r>
            <w:rPr>
              <w:color w:val="auto"/>
              <w:highlight w:val="none"/>
            </w:rPr>
            <w:fldChar w:fldCharType="separate"/>
          </w:r>
          <w:r>
            <w:rPr>
              <w:color w:val="auto"/>
              <w:highlight w:val="none"/>
            </w:rPr>
            <w:t>302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_Toc17707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5.12.2 </w:t>
          </w:r>
          <w:r>
            <w:rPr>
              <w:color w:val="auto"/>
              <w:highlight w:val="none"/>
            </w:rPr>
            <w:t>大气环境累积环境影响</w:t>
          </w:r>
          <w:r>
            <w:rPr>
              <w:color w:val="auto"/>
              <w:highlight w:val="none"/>
            </w:rPr>
            <w:tab/>
          </w:r>
          <w:r>
            <w:rPr>
              <w:color w:val="auto"/>
              <w:highlight w:val="none"/>
            </w:rPr>
            <w:fldChar w:fldCharType="begin"/>
          </w:r>
          <w:r>
            <w:rPr>
              <w:color w:val="auto"/>
              <w:highlight w:val="none"/>
            </w:rPr>
            <w:instrText xml:space="preserve"> PAGEREF _Toc17707 \h </w:instrText>
          </w:r>
          <w:r>
            <w:rPr>
              <w:color w:val="auto"/>
              <w:highlight w:val="none"/>
            </w:rPr>
            <w:fldChar w:fldCharType="separate"/>
          </w:r>
          <w:r>
            <w:rPr>
              <w:color w:val="auto"/>
              <w:highlight w:val="none"/>
            </w:rPr>
            <w:t>302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_Toc23216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5.12.3 </w:t>
          </w:r>
          <w:r>
            <w:rPr>
              <w:color w:val="auto"/>
              <w:highlight w:val="none"/>
            </w:rPr>
            <w:t>水环境累积环境影响</w:t>
          </w:r>
          <w:r>
            <w:rPr>
              <w:color w:val="auto"/>
              <w:highlight w:val="none"/>
            </w:rPr>
            <w:tab/>
          </w:r>
          <w:r>
            <w:rPr>
              <w:color w:val="auto"/>
              <w:highlight w:val="none"/>
            </w:rPr>
            <w:fldChar w:fldCharType="begin"/>
          </w:r>
          <w:r>
            <w:rPr>
              <w:color w:val="auto"/>
              <w:highlight w:val="none"/>
            </w:rPr>
            <w:instrText xml:space="preserve"> PAGEREF _Toc23216 \h </w:instrText>
          </w:r>
          <w:r>
            <w:rPr>
              <w:color w:val="auto"/>
              <w:highlight w:val="none"/>
            </w:rPr>
            <w:fldChar w:fldCharType="separate"/>
          </w:r>
          <w:r>
            <w:rPr>
              <w:color w:val="auto"/>
              <w:highlight w:val="none"/>
            </w:rPr>
            <w:t>303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_Toc26504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5.12.4 </w:t>
          </w:r>
          <w:r>
            <w:rPr>
              <w:color w:val="auto"/>
              <w:highlight w:val="none"/>
            </w:rPr>
            <w:t>地下水环境累积环境影响</w:t>
          </w:r>
          <w:r>
            <w:rPr>
              <w:color w:val="auto"/>
              <w:highlight w:val="none"/>
            </w:rPr>
            <w:tab/>
          </w:r>
          <w:r>
            <w:rPr>
              <w:color w:val="auto"/>
              <w:highlight w:val="none"/>
            </w:rPr>
            <w:fldChar w:fldCharType="begin"/>
          </w:r>
          <w:r>
            <w:rPr>
              <w:color w:val="auto"/>
              <w:highlight w:val="none"/>
            </w:rPr>
            <w:instrText xml:space="preserve"> PAGEREF _Toc26504 \h </w:instrText>
          </w:r>
          <w:r>
            <w:rPr>
              <w:color w:val="auto"/>
              <w:highlight w:val="none"/>
            </w:rPr>
            <w:fldChar w:fldCharType="separate"/>
          </w:r>
          <w:r>
            <w:rPr>
              <w:color w:val="auto"/>
              <w:highlight w:val="none"/>
            </w:rPr>
            <w:t>303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_Toc26231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5.12.5 </w:t>
          </w:r>
          <w:r>
            <w:rPr>
              <w:color w:val="auto"/>
              <w:highlight w:val="none"/>
            </w:rPr>
            <w:t>土壤累积环境影响</w:t>
          </w:r>
          <w:r>
            <w:rPr>
              <w:color w:val="auto"/>
              <w:highlight w:val="none"/>
            </w:rPr>
            <w:tab/>
          </w:r>
          <w:r>
            <w:rPr>
              <w:color w:val="auto"/>
              <w:highlight w:val="none"/>
            </w:rPr>
            <w:fldChar w:fldCharType="begin"/>
          </w:r>
          <w:r>
            <w:rPr>
              <w:color w:val="auto"/>
              <w:highlight w:val="none"/>
            </w:rPr>
            <w:instrText xml:space="preserve"> PAGEREF _Toc26231 \h </w:instrText>
          </w:r>
          <w:r>
            <w:rPr>
              <w:color w:val="auto"/>
              <w:highlight w:val="none"/>
            </w:rPr>
            <w:fldChar w:fldCharType="separate"/>
          </w:r>
          <w:r>
            <w:rPr>
              <w:color w:val="auto"/>
              <w:highlight w:val="none"/>
            </w:rPr>
            <w:t>303</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_Toc4144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6 </w:t>
          </w:r>
          <w:r>
            <w:rPr>
              <w:color w:val="auto"/>
              <w:highlight w:val="none"/>
            </w:rPr>
            <w:t>矿区资源、环境承载力分析</w:t>
          </w:r>
          <w:r>
            <w:rPr>
              <w:color w:val="auto"/>
              <w:highlight w:val="none"/>
            </w:rPr>
            <w:tab/>
          </w:r>
          <w:r>
            <w:rPr>
              <w:color w:val="auto"/>
              <w:highlight w:val="none"/>
            </w:rPr>
            <w:fldChar w:fldCharType="begin"/>
          </w:r>
          <w:r>
            <w:rPr>
              <w:color w:val="auto"/>
              <w:highlight w:val="none"/>
            </w:rPr>
            <w:instrText xml:space="preserve"> PAGEREF _Toc4144 \h </w:instrText>
          </w:r>
          <w:r>
            <w:rPr>
              <w:color w:val="auto"/>
              <w:highlight w:val="none"/>
            </w:rPr>
            <w:fldChar w:fldCharType="separate"/>
          </w:r>
          <w:r>
            <w:rPr>
              <w:color w:val="auto"/>
              <w:highlight w:val="none"/>
            </w:rPr>
            <w:t>304</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_Toc6823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6.1 </w:t>
          </w:r>
          <w:r>
            <w:rPr>
              <w:color w:val="auto"/>
              <w:highlight w:val="none"/>
            </w:rPr>
            <w:t>资源承载力分析</w:t>
          </w:r>
          <w:r>
            <w:rPr>
              <w:color w:val="auto"/>
              <w:highlight w:val="none"/>
            </w:rPr>
            <w:tab/>
          </w:r>
          <w:r>
            <w:rPr>
              <w:color w:val="auto"/>
              <w:highlight w:val="none"/>
            </w:rPr>
            <w:fldChar w:fldCharType="begin"/>
          </w:r>
          <w:r>
            <w:rPr>
              <w:color w:val="auto"/>
              <w:highlight w:val="none"/>
            </w:rPr>
            <w:instrText xml:space="preserve"> PAGEREF _Toc6823 \h </w:instrText>
          </w:r>
          <w:r>
            <w:rPr>
              <w:color w:val="auto"/>
              <w:highlight w:val="none"/>
            </w:rPr>
            <w:fldChar w:fldCharType="separate"/>
          </w:r>
          <w:r>
            <w:rPr>
              <w:color w:val="auto"/>
              <w:highlight w:val="none"/>
            </w:rPr>
            <w:t>304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_Toc13005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6.1.1 </w:t>
          </w:r>
          <w:r>
            <w:rPr>
              <w:color w:val="auto"/>
              <w:highlight w:val="none"/>
            </w:rPr>
            <w:t>承载力分析的意义和方法</w:t>
          </w:r>
          <w:r>
            <w:rPr>
              <w:color w:val="auto"/>
              <w:highlight w:val="none"/>
            </w:rPr>
            <w:tab/>
          </w:r>
          <w:r>
            <w:rPr>
              <w:color w:val="auto"/>
              <w:highlight w:val="none"/>
            </w:rPr>
            <w:fldChar w:fldCharType="begin"/>
          </w:r>
          <w:r>
            <w:rPr>
              <w:color w:val="auto"/>
              <w:highlight w:val="none"/>
            </w:rPr>
            <w:instrText xml:space="preserve"> PAGEREF _Toc13005 \h </w:instrText>
          </w:r>
          <w:r>
            <w:rPr>
              <w:color w:val="auto"/>
              <w:highlight w:val="none"/>
            </w:rPr>
            <w:fldChar w:fldCharType="separate"/>
          </w:r>
          <w:r>
            <w:rPr>
              <w:color w:val="auto"/>
              <w:highlight w:val="none"/>
            </w:rPr>
            <w:t>304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_Toc6243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6.1.2 </w:t>
          </w:r>
          <w:r>
            <w:rPr>
              <w:color w:val="auto"/>
              <w:highlight w:val="none"/>
            </w:rPr>
            <w:t>水资源承载力分析</w:t>
          </w:r>
          <w:r>
            <w:rPr>
              <w:color w:val="auto"/>
              <w:highlight w:val="none"/>
            </w:rPr>
            <w:tab/>
          </w:r>
          <w:r>
            <w:rPr>
              <w:color w:val="auto"/>
              <w:highlight w:val="none"/>
            </w:rPr>
            <w:fldChar w:fldCharType="begin"/>
          </w:r>
          <w:r>
            <w:rPr>
              <w:color w:val="auto"/>
              <w:highlight w:val="none"/>
            </w:rPr>
            <w:instrText xml:space="preserve"> PAGEREF _Toc6243 \h </w:instrText>
          </w:r>
          <w:r>
            <w:rPr>
              <w:color w:val="auto"/>
              <w:highlight w:val="none"/>
            </w:rPr>
            <w:fldChar w:fldCharType="separate"/>
          </w:r>
          <w:r>
            <w:rPr>
              <w:color w:val="auto"/>
              <w:highlight w:val="none"/>
            </w:rPr>
            <w:t>304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_Toc8059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6.1.3 </w:t>
          </w:r>
          <w:r>
            <w:rPr>
              <w:color w:val="auto"/>
              <w:highlight w:val="none"/>
            </w:rPr>
            <w:t>土地资源承载力分析</w:t>
          </w:r>
          <w:r>
            <w:rPr>
              <w:color w:val="auto"/>
              <w:highlight w:val="none"/>
            </w:rPr>
            <w:tab/>
          </w:r>
          <w:r>
            <w:rPr>
              <w:color w:val="auto"/>
              <w:highlight w:val="none"/>
            </w:rPr>
            <w:fldChar w:fldCharType="begin"/>
          </w:r>
          <w:r>
            <w:rPr>
              <w:color w:val="auto"/>
              <w:highlight w:val="none"/>
            </w:rPr>
            <w:instrText xml:space="preserve"> PAGEREF _Toc8059 \h </w:instrText>
          </w:r>
          <w:r>
            <w:rPr>
              <w:color w:val="auto"/>
              <w:highlight w:val="none"/>
            </w:rPr>
            <w:fldChar w:fldCharType="separate"/>
          </w:r>
          <w:r>
            <w:rPr>
              <w:color w:val="auto"/>
              <w:highlight w:val="none"/>
            </w:rPr>
            <w:t>306</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_Toc23769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6.2 </w:t>
          </w:r>
          <w:r>
            <w:rPr>
              <w:color w:val="auto"/>
              <w:highlight w:val="none"/>
            </w:rPr>
            <w:t>环境承载力分析</w:t>
          </w:r>
          <w:r>
            <w:rPr>
              <w:color w:val="auto"/>
              <w:highlight w:val="none"/>
            </w:rPr>
            <w:tab/>
          </w:r>
          <w:r>
            <w:rPr>
              <w:color w:val="auto"/>
              <w:highlight w:val="none"/>
            </w:rPr>
            <w:fldChar w:fldCharType="begin"/>
          </w:r>
          <w:r>
            <w:rPr>
              <w:color w:val="auto"/>
              <w:highlight w:val="none"/>
            </w:rPr>
            <w:instrText xml:space="preserve"> PAGEREF _Toc23769 \h </w:instrText>
          </w:r>
          <w:r>
            <w:rPr>
              <w:color w:val="auto"/>
              <w:highlight w:val="none"/>
            </w:rPr>
            <w:fldChar w:fldCharType="separate"/>
          </w:r>
          <w:r>
            <w:rPr>
              <w:color w:val="auto"/>
              <w:highlight w:val="none"/>
            </w:rPr>
            <w:t>308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_Toc32318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6.2.1 </w:t>
          </w:r>
          <w:r>
            <w:rPr>
              <w:color w:val="auto"/>
              <w:highlight w:val="none"/>
            </w:rPr>
            <w:t>大气环境承载力分析</w:t>
          </w:r>
          <w:r>
            <w:rPr>
              <w:color w:val="auto"/>
              <w:highlight w:val="none"/>
            </w:rPr>
            <w:tab/>
          </w:r>
          <w:r>
            <w:rPr>
              <w:color w:val="auto"/>
              <w:highlight w:val="none"/>
            </w:rPr>
            <w:fldChar w:fldCharType="begin"/>
          </w:r>
          <w:r>
            <w:rPr>
              <w:color w:val="auto"/>
              <w:highlight w:val="none"/>
            </w:rPr>
            <w:instrText xml:space="preserve"> PAGEREF _Toc32318 \h </w:instrText>
          </w:r>
          <w:r>
            <w:rPr>
              <w:color w:val="auto"/>
              <w:highlight w:val="none"/>
            </w:rPr>
            <w:fldChar w:fldCharType="separate"/>
          </w:r>
          <w:r>
            <w:rPr>
              <w:color w:val="auto"/>
              <w:highlight w:val="none"/>
            </w:rPr>
            <w:t>309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_Toc22850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6.2.2 </w:t>
          </w:r>
          <w:r>
            <w:rPr>
              <w:color w:val="auto"/>
              <w:highlight w:val="none"/>
            </w:rPr>
            <w:t>水环境承载力分析</w:t>
          </w:r>
          <w:r>
            <w:rPr>
              <w:color w:val="auto"/>
              <w:highlight w:val="none"/>
            </w:rPr>
            <w:tab/>
          </w:r>
          <w:r>
            <w:rPr>
              <w:color w:val="auto"/>
              <w:highlight w:val="none"/>
            </w:rPr>
            <w:fldChar w:fldCharType="begin"/>
          </w:r>
          <w:r>
            <w:rPr>
              <w:color w:val="auto"/>
              <w:highlight w:val="none"/>
            </w:rPr>
            <w:instrText xml:space="preserve"> PAGEREF _Toc22850 \h </w:instrText>
          </w:r>
          <w:r>
            <w:rPr>
              <w:color w:val="auto"/>
              <w:highlight w:val="none"/>
            </w:rPr>
            <w:fldChar w:fldCharType="separate"/>
          </w:r>
          <w:r>
            <w:rPr>
              <w:color w:val="auto"/>
              <w:highlight w:val="none"/>
            </w:rPr>
            <w:t>311</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_Toc26510 </w:instrText>
          </w:r>
          <w:r>
            <w:rPr>
              <w:color w:val="auto"/>
              <w:highlight w:val="none"/>
            </w:rPr>
            <w:fldChar w:fldCharType="separate"/>
          </w:r>
          <w:r>
            <w:rPr>
              <w:rFonts w:ascii="Times New Roman" w:eastAsia="Times New Roman"/>
              <w:color w:val="auto"/>
              <w:highlight w:val="none"/>
            </w:rPr>
            <w:t xml:space="preserve">6.3 </w:t>
          </w:r>
          <w:r>
            <w:rPr>
              <w:color w:val="auto"/>
              <w:highlight w:val="none"/>
            </w:rPr>
            <w:t>生态承载力分析</w:t>
          </w:r>
          <w:r>
            <w:rPr>
              <w:color w:val="auto"/>
              <w:highlight w:val="none"/>
            </w:rPr>
            <w:tab/>
          </w:r>
          <w:r>
            <w:rPr>
              <w:color w:val="auto"/>
              <w:highlight w:val="none"/>
            </w:rPr>
            <w:fldChar w:fldCharType="begin"/>
          </w:r>
          <w:r>
            <w:rPr>
              <w:color w:val="auto"/>
              <w:highlight w:val="none"/>
            </w:rPr>
            <w:instrText xml:space="preserve"> PAGEREF _Toc26510 \h </w:instrText>
          </w:r>
          <w:r>
            <w:rPr>
              <w:color w:val="auto"/>
              <w:highlight w:val="none"/>
            </w:rPr>
            <w:fldChar w:fldCharType="separate"/>
          </w:r>
          <w:r>
            <w:rPr>
              <w:color w:val="auto"/>
              <w:highlight w:val="none"/>
            </w:rPr>
            <w:t>311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_Toc1999 </w:instrText>
          </w:r>
          <w:r>
            <w:rPr>
              <w:color w:val="auto"/>
              <w:highlight w:val="none"/>
            </w:rPr>
            <w:fldChar w:fldCharType="separate"/>
          </w:r>
          <w:r>
            <w:rPr>
              <w:rFonts w:hint="eastAsia"/>
              <w:color w:val="auto"/>
              <w:highlight w:val="none"/>
              <w:lang w:val="en-US" w:eastAsia="zh-CN"/>
            </w:rPr>
            <w:t xml:space="preserve">6.3.1 </w:t>
          </w:r>
          <w:r>
            <w:rPr>
              <w:rFonts w:hint="eastAsia"/>
              <w:color w:val="auto"/>
              <w:highlight w:val="none"/>
              <w:lang w:eastAsia="zh-CN"/>
            </w:rPr>
            <w:t>生态弹性度评价</w:t>
          </w:r>
          <w:r>
            <w:rPr>
              <w:color w:val="auto"/>
              <w:highlight w:val="none"/>
            </w:rPr>
            <w:tab/>
          </w:r>
          <w:r>
            <w:rPr>
              <w:color w:val="auto"/>
              <w:highlight w:val="none"/>
            </w:rPr>
            <w:fldChar w:fldCharType="begin"/>
          </w:r>
          <w:r>
            <w:rPr>
              <w:color w:val="auto"/>
              <w:highlight w:val="none"/>
            </w:rPr>
            <w:instrText xml:space="preserve"> PAGEREF _Toc1999 \h </w:instrText>
          </w:r>
          <w:r>
            <w:rPr>
              <w:color w:val="auto"/>
              <w:highlight w:val="none"/>
            </w:rPr>
            <w:fldChar w:fldCharType="separate"/>
          </w:r>
          <w:r>
            <w:rPr>
              <w:color w:val="auto"/>
              <w:highlight w:val="none"/>
            </w:rPr>
            <w:t>311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_Toc2570 </w:instrText>
          </w:r>
          <w:r>
            <w:rPr>
              <w:color w:val="auto"/>
              <w:highlight w:val="none"/>
            </w:rPr>
            <w:fldChar w:fldCharType="separate"/>
          </w:r>
          <w:r>
            <w:rPr>
              <w:rFonts w:hint="eastAsia"/>
              <w:color w:val="auto"/>
              <w:highlight w:val="none"/>
              <w:lang w:val="en-US" w:eastAsia="zh-CN"/>
            </w:rPr>
            <w:t>6.3.2</w:t>
          </w:r>
          <w:r>
            <w:rPr>
              <w:rFonts w:hint="eastAsia"/>
              <w:color w:val="auto"/>
              <w:highlight w:val="none"/>
              <w:lang w:eastAsia="zh-CN"/>
            </w:rPr>
            <w:t>资源承载能力评价</w:t>
          </w:r>
          <w:r>
            <w:rPr>
              <w:color w:val="auto"/>
              <w:highlight w:val="none"/>
            </w:rPr>
            <w:tab/>
          </w:r>
          <w:r>
            <w:rPr>
              <w:color w:val="auto"/>
              <w:highlight w:val="none"/>
            </w:rPr>
            <w:fldChar w:fldCharType="begin"/>
          </w:r>
          <w:r>
            <w:rPr>
              <w:color w:val="auto"/>
              <w:highlight w:val="none"/>
            </w:rPr>
            <w:instrText xml:space="preserve"> PAGEREF _Toc2570 \h </w:instrText>
          </w:r>
          <w:r>
            <w:rPr>
              <w:color w:val="auto"/>
              <w:highlight w:val="none"/>
            </w:rPr>
            <w:fldChar w:fldCharType="separate"/>
          </w:r>
          <w:r>
            <w:rPr>
              <w:color w:val="auto"/>
              <w:highlight w:val="none"/>
            </w:rPr>
            <w:t>312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_Toc19732 </w:instrText>
          </w:r>
          <w:r>
            <w:rPr>
              <w:color w:val="auto"/>
              <w:highlight w:val="none"/>
            </w:rPr>
            <w:fldChar w:fldCharType="separate"/>
          </w:r>
          <w:r>
            <w:rPr>
              <w:rFonts w:hint="eastAsia"/>
              <w:color w:val="auto"/>
              <w:highlight w:val="none"/>
              <w:lang w:val="en-US" w:eastAsia="zh-CN"/>
            </w:rPr>
            <w:t>6.3.3</w:t>
          </w:r>
          <w:r>
            <w:rPr>
              <w:color w:val="auto"/>
              <w:highlight w:val="none"/>
            </w:rPr>
            <w:t>承载压力度评价</w:t>
          </w:r>
          <w:r>
            <w:rPr>
              <w:color w:val="auto"/>
              <w:highlight w:val="none"/>
            </w:rPr>
            <w:tab/>
          </w:r>
          <w:r>
            <w:rPr>
              <w:color w:val="auto"/>
              <w:highlight w:val="none"/>
            </w:rPr>
            <w:fldChar w:fldCharType="begin"/>
          </w:r>
          <w:r>
            <w:rPr>
              <w:color w:val="auto"/>
              <w:highlight w:val="none"/>
            </w:rPr>
            <w:instrText xml:space="preserve"> PAGEREF _Toc19732 \h </w:instrText>
          </w:r>
          <w:r>
            <w:rPr>
              <w:color w:val="auto"/>
              <w:highlight w:val="none"/>
            </w:rPr>
            <w:fldChar w:fldCharType="separate"/>
          </w:r>
          <w:r>
            <w:rPr>
              <w:color w:val="auto"/>
              <w:highlight w:val="none"/>
            </w:rPr>
            <w:t>316</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_Toc3769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7 </w:t>
          </w:r>
          <w:r>
            <w:rPr>
              <w:color w:val="auto"/>
              <w:highlight w:val="none"/>
            </w:rPr>
            <w:t>预防和减轻不良环境影响的对策措施</w:t>
          </w:r>
          <w:r>
            <w:rPr>
              <w:color w:val="auto"/>
              <w:highlight w:val="none"/>
            </w:rPr>
            <w:tab/>
          </w:r>
          <w:r>
            <w:rPr>
              <w:color w:val="auto"/>
              <w:highlight w:val="none"/>
            </w:rPr>
            <w:fldChar w:fldCharType="begin"/>
          </w:r>
          <w:r>
            <w:rPr>
              <w:color w:val="auto"/>
              <w:highlight w:val="none"/>
            </w:rPr>
            <w:instrText xml:space="preserve"> PAGEREF _Toc3769 \h </w:instrText>
          </w:r>
          <w:r>
            <w:rPr>
              <w:color w:val="auto"/>
              <w:highlight w:val="none"/>
            </w:rPr>
            <w:fldChar w:fldCharType="separate"/>
          </w:r>
          <w:r>
            <w:rPr>
              <w:color w:val="auto"/>
              <w:highlight w:val="none"/>
            </w:rPr>
            <w:t>317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_Toc12717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7.1 </w:t>
          </w:r>
          <w:r>
            <w:rPr>
              <w:color w:val="auto"/>
              <w:highlight w:val="none"/>
            </w:rPr>
            <w:t>矿区生态</w:t>
          </w:r>
          <w:r>
            <w:rPr>
              <w:rFonts w:hint="eastAsia"/>
              <w:color w:val="auto"/>
              <w:highlight w:val="none"/>
              <w:lang w:eastAsia="zh-CN"/>
            </w:rPr>
            <w:t>环境影响消减措施及建议</w:t>
          </w:r>
          <w:r>
            <w:rPr>
              <w:color w:val="auto"/>
              <w:highlight w:val="none"/>
            </w:rPr>
            <w:tab/>
          </w:r>
          <w:r>
            <w:rPr>
              <w:color w:val="auto"/>
              <w:highlight w:val="none"/>
            </w:rPr>
            <w:fldChar w:fldCharType="begin"/>
          </w:r>
          <w:r>
            <w:rPr>
              <w:color w:val="auto"/>
              <w:highlight w:val="none"/>
            </w:rPr>
            <w:instrText xml:space="preserve"> PAGEREF _Toc12717 \h </w:instrText>
          </w:r>
          <w:r>
            <w:rPr>
              <w:color w:val="auto"/>
              <w:highlight w:val="none"/>
            </w:rPr>
            <w:fldChar w:fldCharType="separate"/>
          </w:r>
          <w:r>
            <w:rPr>
              <w:color w:val="auto"/>
              <w:highlight w:val="none"/>
            </w:rPr>
            <w:t>317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_Toc14488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7.1.1 </w:t>
          </w:r>
          <w:r>
            <w:rPr>
              <w:rFonts w:hint="eastAsia"/>
              <w:color w:val="auto"/>
              <w:highlight w:val="none"/>
            </w:rPr>
            <w:t>项目矿区勘探期间生态影响消减措施</w:t>
          </w:r>
          <w:r>
            <w:rPr>
              <w:color w:val="auto"/>
              <w:highlight w:val="none"/>
            </w:rPr>
            <w:tab/>
          </w:r>
          <w:r>
            <w:rPr>
              <w:color w:val="auto"/>
              <w:highlight w:val="none"/>
            </w:rPr>
            <w:fldChar w:fldCharType="begin"/>
          </w:r>
          <w:r>
            <w:rPr>
              <w:color w:val="auto"/>
              <w:highlight w:val="none"/>
            </w:rPr>
            <w:instrText xml:space="preserve"> PAGEREF _Toc14488 \h </w:instrText>
          </w:r>
          <w:r>
            <w:rPr>
              <w:color w:val="auto"/>
              <w:highlight w:val="none"/>
            </w:rPr>
            <w:fldChar w:fldCharType="separate"/>
          </w:r>
          <w:r>
            <w:rPr>
              <w:color w:val="auto"/>
              <w:highlight w:val="none"/>
            </w:rPr>
            <w:t>317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_Toc7732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7.1.2 </w:t>
          </w:r>
          <w:r>
            <w:rPr>
              <w:rFonts w:hint="eastAsia"/>
              <w:color w:val="auto"/>
              <w:highlight w:val="none"/>
            </w:rPr>
            <w:t>项目规划建设期生态环境保护措施及建议</w:t>
          </w:r>
          <w:r>
            <w:rPr>
              <w:color w:val="auto"/>
              <w:highlight w:val="none"/>
            </w:rPr>
            <w:tab/>
          </w:r>
          <w:r>
            <w:rPr>
              <w:color w:val="auto"/>
              <w:highlight w:val="none"/>
            </w:rPr>
            <w:fldChar w:fldCharType="begin"/>
          </w:r>
          <w:r>
            <w:rPr>
              <w:color w:val="auto"/>
              <w:highlight w:val="none"/>
            </w:rPr>
            <w:instrText xml:space="preserve"> PAGEREF _Toc7732 \h </w:instrText>
          </w:r>
          <w:r>
            <w:rPr>
              <w:color w:val="auto"/>
              <w:highlight w:val="none"/>
            </w:rPr>
            <w:fldChar w:fldCharType="separate"/>
          </w:r>
          <w:r>
            <w:rPr>
              <w:color w:val="auto"/>
              <w:highlight w:val="none"/>
            </w:rPr>
            <w:t>317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_Toc24891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7.1.3 </w:t>
          </w:r>
          <w:r>
            <w:rPr>
              <w:rFonts w:hint="eastAsia"/>
              <w:color w:val="auto"/>
              <w:highlight w:val="none"/>
            </w:rPr>
            <w:t>项目运营期间生态保护措施及建议</w:t>
          </w:r>
          <w:r>
            <w:rPr>
              <w:color w:val="auto"/>
              <w:highlight w:val="none"/>
            </w:rPr>
            <w:tab/>
          </w:r>
          <w:r>
            <w:rPr>
              <w:color w:val="auto"/>
              <w:highlight w:val="none"/>
            </w:rPr>
            <w:fldChar w:fldCharType="begin"/>
          </w:r>
          <w:r>
            <w:rPr>
              <w:color w:val="auto"/>
              <w:highlight w:val="none"/>
            </w:rPr>
            <w:instrText xml:space="preserve"> PAGEREF _Toc24891 \h </w:instrText>
          </w:r>
          <w:r>
            <w:rPr>
              <w:color w:val="auto"/>
              <w:highlight w:val="none"/>
            </w:rPr>
            <w:fldChar w:fldCharType="separate"/>
          </w:r>
          <w:r>
            <w:rPr>
              <w:color w:val="auto"/>
              <w:highlight w:val="none"/>
            </w:rPr>
            <w:t>321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_Toc21442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7.1.4 </w:t>
          </w:r>
          <w:r>
            <w:rPr>
              <w:color w:val="auto"/>
              <w:highlight w:val="none"/>
            </w:rPr>
            <w:t>服务期满后生态保护措施</w:t>
          </w:r>
          <w:r>
            <w:rPr>
              <w:color w:val="auto"/>
              <w:highlight w:val="none"/>
            </w:rPr>
            <w:tab/>
          </w:r>
          <w:r>
            <w:rPr>
              <w:color w:val="auto"/>
              <w:highlight w:val="none"/>
            </w:rPr>
            <w:fldChar w:fldCharType="begin"/>
          </w:r>
          <w:r>
            <w:rPr>
              <w:color w:val="auto"/>
              <w:highlight w:val="none"/>
            </w:rPr>
            <w:instrText xml:space="preserve"> PAGEREF _Toc21442 \h </w:instrText>
          </w:r>
          <w:r>
            <w:rPr>
              <w:color w:val="auto"/>
              <w:highlight w:val="none"/>
            </w:rPr>
            <w:fldChar w:fldCharType="separate"/>
          </w:r>
          <w:r>
            <w:rPr>
              <w:color w:val="auto"/>
              <w:highlight w:val="none"/>
            </w:rPr>
            <w:t>323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_Toc17354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7.1.5 </w:t>
          </w:r>
          <w:r>
            <w:rPr>
              <w:rFonts w:hint="eastAsia"/>
              <w:color w:val="auto"/>
              <w:highlight w:val="none"/>
            </w:rPr>
            <w:t>生态管理与监测措施</w:t>
          </w:r>
          <w:r>
            <w:rPr>
              <w:color w:val="auto"/>
              <w:highlight w:val="none"/>
            </w:rPr>
            <w:tab/>
          </w:r>
          <w:r>
            <w:rPr>
              <w:color w:val="auto"/>
              <w:highlight w:val="none"/>
            </w:rPr>
            <w:fldChar w:fldCharType="begin"/>
          </w:r>
          <w:r>
            <w:rPr>
              <w:color w:val="auto"/>
              <w:highlight w:val="none"/>
            </w:rPr>
            <w:instrText xml:space="preserve"> PAGEREF _Toc17354 \h </w:instrText>
          </w:r>
          <w:r>
            <w:rPr>
              <w:color w:val="auto"/>
              <w:highlight w:val="none"/>
            </w:rPr>
            <w:fldChar w:fldCharType="separate"/>
          </w:r>
          <w:r>
            <w:rPr>
              <w:color w:val="auto"/>
              <w:highlight w:val="none"/>
            </w:rPr>
            <w:t>324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_Toc28043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7.1.6 </w:t>
          </w:r>
          <w:r>
            <w:rPr>
              <w:rFonts w:hint="eastAsia"/>
              <w:color w:val="auto"/>
              <w:highlight w:val="none"/>
            </w:rPr>
            <w:t>生态恢复与补偿措施</w:t>
          </w:r>
          <w:r>
            <w:rPr>
              <w:color w:val="auto"/>
              <w:highlight w:val="none"/>
            </w:rPr>
            <w:tab/>
          </w:r>
          <w:r>
            <w:rPr>
              <w:color w:val="auto"/>
              <w:highlight w:val="none"/>
            </w:rPr>
            <w:fldChar w:fldCharType="begin"/>
          </w:r>
          <w:r>
            <w:rPr>
              <w:color w:val="auto"/>
              <w:highlight w:val="none"/>
            </w:rPr>
            <w:instrText xml:space="preserve"> PAGEREF _Toc28043 \h </w:instrText>
          </w:r>
          <w:r>
            <w:rPr>
              <w:color w:val="auto"/>
              <w:highlight w:val="none"/>
            </w:rPr>
            <w:fldChar w:fldCharType="separate"/>
          </w:r>
          <w:r>
            <w:rPr>
              <w:color w:val="auto"/>
              <w:highlight w:val="none"/>
            </w:rPr>
            <w:t>325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_Toc20650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7.1.7 </w:t>
          </w:r>
          <w:r>
            <w:rPr>
              <w:rFonts w:hint="eastAsia"/>
              <w:color w:val="auto"/>
              <w:highlight w:val="none"/>
            </w:rPr>
            <w:t>生态保护与恢复措施投资估算</w:t>
          </w:r>
          <w:r>
            <w:rPr>
              <w:color w:val="auto"/>
              <w:highlight w:val="none"/>
            </w:rPr>
            <w:tab/>
          </w:r>
          <w:r>
            <w:rPr>
              <w:color w:val="auto"/>
              <w:highlight w:val="none"/>
            </w:rPr>
            <w:fldChar w:fldCharType="begin"/>
          </w:r>
          <w:r>
            <w:rPr>
              <w:color w:val="auto"/>
              <w:highlight w:val="none"/>
            </w:rPr>
            <w:instrText xml:space="preserve"> PAGEREF _Toc20650 \h </w:instrText>
          </w:r>
          <w:r>
            <w:rPr>
              <w:color w:val="auto"/>
              <w:highlight w:val="none"/>
            </w:rPr>
            <w:fldChar w:fldCharType="separate"/>
          </w:r>
          <w:r>
            <w:rPr>
              <w:color w:val="auto"/>
              <w:highlight w:val="none"/>
            </w:rPr>
            <w:t>326</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_Toc23644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7.2 </w:t>
          </w:r>
          <w:r>
            <w:rPr>
              <w:color w:val="auto"/>
              <w:highlight w:val="none"/>
            </w:rPr>
            <w:t>水污染防治</w:t>
          </w:r>
          <w:r>
            <w:rPr>
              <w:color w:val="auto"/>
              <w:highlight w:val="none"/>
            </w:rPr>
            <w:tab/>
          </w:r>
          <w:r>
            <w:rPr>
              <w:color w:val="auto"/>
              <w:highlight w:val="none"/>
            </w:rPr>
            <w:fldChar w:fldCharType="begin"/>
          </w:r>
          <w:r>
            <w:rPr>
              <w:color w:val="auto"/>
              <w:highlight w:val="none"/>
            </w:rPr>
            <w:instrText xml:space="preserve"> PAGEREF _Toc23644 \h </w:instrText>
          </w:r>
          <w:r>
            <w:rPr>
              <w:color w:val="auto"/>
              <w:highlight w:val="none"/>
            </w:rPr>
            <w:fldChar w:fldCharType="separate"/>
          </w:r>
          <w:r>
            <w:rPr>
              <w:color w:val="auto"/>
              <w:highlight w:val="none"/>
            </w:rPr>
            <w:t>327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_Toc22404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7.2.1 </w:t>
          </w:r>
          <w:r>
            <w:rPr>
              <w:color w:val="auto"/>
              <w:highlight w:val="none"/>
            </w:rPr>
            <w:t>地表水</w:t>
          </w:r>
          <w:r>
            <w:rPr>
              <w:color w:val="auto"/>
              <w:highlight w:val="none"/>
            </w:rPr>
            <w:tab/>
          </w:r>
          <w:r>
            <w:rPr>
              <w:color w:val="auto"/>
              <w:highlight w:val="none"/>
            </w:rPr>
            <w:fldChar w:fldCharType="begin"/>
          </w:r>
          <w:r>
            <w:rPr>
              <w:color w:val="auto"/>
              <w:highlight w:val="none"/>
            </w:rPr>
            <w:instrText xml:space="preserve"> PAGEREF _Toc22404 \h </w:instrText>
          </w:r>
          <w:r>
            <w:rPr>
              <w:color w:val="auto"/>
              <w:highlight w:val="none"/>
            </w:rPr>
            <w:fldChar w:fldCharType="separate"/>
          </w:r>
          <w:r>
            <w:rPr>
              <w:color w:val="auto"/>
              <w:highlight w:val="none"/>
            </w:rPr>
            <w:t>327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_Toc4867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7.2.2 </w:t>
          </w:r>
          <w:r>
            <w:rPr>
              <w:color w:val="auto"/>
              <w:highlight w:val="none"/>
            </w:rPr>
            <w:t>地下水</w:t>
          </w:r>
          <w:r>
            <w:rPr>
              <w:color w:val="auto"/>
              <w:highlight w:val="none"/>
            </w:rPr>
            <w:tab/>
          </w:r>
          <w:r>
            <w:rPr>
              <w:color w:val="auto"/>
              <w:highlight w:val="none"/>
            </w:rPr>
            <w:fldChar w:fldCharType="begin"/>
          </w:r>
          <w:r>
            <w:rPr>
              <w:color w:val="auto"/>
              <w:highlight w:val="none"/>
            </w:rPr>
            <w:instrText xml:space="preserve"> PAGEREF _Toc4867 \h </w:instrText>
          </w:r>
          <w:r>
            <w:rPr>
              <w:color w:val="auto"/>
              <w:highlight w:val="none"/>
            </w:rPr>
            <w:fldChar w:fldCharType="separate"/>
          </w:r>
          <w:r>
            <w:rPr>
              <w:color w:val="auto"/>
              <w:highlight w:val="none"/>
            </w:rPr>
            <w:t>329</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_Toc661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7.3 </w:t>
          </w:r>
          <w:r>
            <w:rPr>
              <w:color w:val="auto"/>
              <w:highlight w:val="none"/>
            </w:rPr>
            <w:t>大气污染防治</w:t>
          </w:r>
          <w:r>
            <w:rPr>
              <w:color w:val="auto"/>
              <w:highlight w:val="none"/>
            </w:rPr>
            <w:tab/>
          </w:r>
          <w:r>
            <w:rPr>
              <w:color w:val="auto"/>
              <w:highlight w:val="none"/>
            </w:rPr>
            <w:fldChar w:fldCharType="begin"/>
          </w:r>
          <w:r>
            <w:rPr>
              <w:color w:val="auto"/>
              <w:highlight w:val="none"/>
            </w:rPr>
            <w:instrText xml:space="preserve"> PAGEREF _Toc661 \h </w:instrText>
          </w:r>
          <w:r>
            <w:rPr>
              <w:color w:val="auto"/>
              <w:highlight w:val="none"/>
            </w:rPr>
            <w:fldChar w:fldCharType="separate"/>
          </w:r>
          <w:r>
            <w:rPr>
              <w:color w:val="auto"/>
              <w:highlight w:val="none"/>
            </w:rPr>
            <w:t>330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_Toc4833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7.3.1 </w:t>
          </w:r>
          <w:r>
            <w:rPr>
              <w:color w:val="auto"/>
              <w:highlight w:val="none"/>
            </w:rPr>
            <w:t>建设期的大气污染防治对策</w:t>
          </w:r>
          <w:r>
            <w:rPr>
              <w:color w:val="auto"/>
              <w:highlight w:val="none"/>
            </w:rPr>
            <w:tab/>
          </w:r>
          <w:r>
            <w:rPr>
              <w:color w:val="auto"/>
              <w:highlight w:val="none"/>
            </w:rPr>
            <w:fldChar w:fldCharType="begin"/>
          </w:r>
          <w:r>
            <w:rPr>
              <w:color w:val="auto"/>
              <w:highlight w:val="none"/>
            </w:rPr>
            <w:instrText xml:space="preserve"> PAGEREF _Toc4833 \h </w:instrText>
          </w:r>
          <w:r>
            <w:rPr>
              <w:color w:val="auto"/>
              <w:highlight w:val="none"/>
            </w:rPr>
            <w:fldChar w:fldCharType="separate"/>
          </w:r>
          <w:r>
            <w:rPr>
              <w:color w:val="auto"/>
              <w:highlight w:val="none"/>
            </w:rPr>
            <w:t>330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_Toc13672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7.3.2 </w:t>
          </w:r>
          <w:r>
            <w:rPr>
              <w:color w:val="auto"/>
              <w:highlight w:val="none"/>
            </w:rPr>
            <w:t>运营期的大气污染防治对策</w:t>
          </w:r>
          <w:r>
            <w:rPr>
              <w:color w:val="auto"/>
              <w:highlight w:val="none"/>
            </w:rPr>
            <w:tab/>
          </w:r>
          <w:r>
            <w:rPr>
              <w:color w:val="auto"/>
              <w:highlight w:val="none"/>
            </w:rPr>
            <w:fldChar w:fldCharType="begin"/>
          </w:r>
          <w:r>
            <w:rPr>
              <w:color w:val="auto"/>
              <w:highlight w:val="none"/>
            </w:rPr>
            <w:instrText xml:space="preserve"> PAGEREF _Toc13672 \h </w:instrText>
          </w:r>
          <w:r>
            <w:rPr>
              <w:color w:val="auto"/>
              <w:highlight w:val="none"/>
            </w:rPr>
            <w:fldChar w:fldCharType="separate"/>
          </w:r>
          <w:r>
            <w:rPr>
              <w:color w:val="auto"/>
              <w:highlight w:val="none"/>
            </w:rPr>
            <w:t>330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_Toc16958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7.4 </w:t>
          </w:r>
          <w:r>
            <w:rPr>
              <w:color w:val="auto"/>
              <w:highlight w:val="none"/>
            </w:rPr>
            <w:t>固体废物处置</w:t>
          </w:r>
          <w:r>
            <w:rPr>
              <w:color w:val="auto"/>
              <w:highlight w:val="none"/>
            </w:rPr>
            <w:tab/>
          </w:r>
          <w:r>
            <w:rPr>
              <w:color w:val="auto"/>
              <w:highlight w:val="none"/>
            </w:rPr>
            <w:fldChar w:fldCharType="begin"/>
          </w:r>
          <w:r>
            <w:rPr>
              <w:color w:val="auto"/>
              <w:highlight w:val="none"/>
            </w:rPr>
            <w:instrText xml:space="preserve"> PAGEREF _Toc16958 \h </w:instrText>
          </w:r>
          <w:r>
            <w:rPr>
              <w:color w:val="auto"/>
              <w:highlight w:val="none"/>
            </w:rPr>
            <w:fldChar w:fldCharType="separate"/>
          </w:r>
          <w:r>
            <w:rPr>
              <w:color w:val="auto"/>
              <w:highlight w:val="none"/>
            </w:rPr>
            <w:t>330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_Toc12903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7.4.1 </w:t>
          </w:r>
          <w:r>
            <w:rPr>
              <w:color w:val="auto"/>
              <w:highlight w:val="none"/>
            </w:rPr>
            <w:t>煤矸石处置措施</w:t>
          </w:r>
          <w:r>
            <w:rPr>
              <w:color w:val="auto"/>
              <w:highlight w:val="none"/>
            </w:rPr>
            <w:tab/>
          </w:r>
          <w:r>
            <w:rPr>
              <w:color w:val="auto"/>
              <w:highlight w:val="none"/>
            </w:rPr>
            <w:fldChar w:fldCharType="begin"/>
          </w:r>
          <w:r>
            <w:rPr>
              <w:color w:val="auto"/>
              <w:highlight w:val="none"/>
            </w:rPr>
            <w:instrText xml:space="preserve"> PAGEREF _Toc12903 \h </w:instrText>
          </w:r>
          <w:r>
            <w:rPr>
              <w:color w:val="auto"/>
              <w:highlight w:val="none"/>
            </w:rPr>
            <w:fldChar w:fldCharType="separate"/>
          </w:r>
          <w:r>
            <w:rPr>
              <w:color w:val="auto"/>
              <w:highlight w:val="none"/>
            </w:rPr>
            <w:t>331</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_Toc539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7.4.2 </w:t>
          </w:r>
          <w:r>
            <w:rPr>
              <w:color w:val="auto"/>
              <w:highlight w:val="none"/>
            </w:rPr>
            <w:t>其他固体废物处置措施</w:t>
          </w:r>
          <w:r>
            <w:rPr>
              <w:color w:val="auto"/>
              <w:highlight w:val="none"/>
            </w:rPr>
            <w:tab/>
          </w:r>
          <w:r>
            <w:rPr>
              <w:color w:val="auto"/>
              <w:highlight w:val="none"/>
            </w:rPr>
            <w:fldChar w:fldCharType="begin"/>
          </w:r>
          <w:r>
            <w:rPr>
              <w:color w:val="auto"/>
              <w:highlight w:val="none"/>
            </w:rPr>
            <w:instrText xml:space="preserve"> PAGEREF _Toc539 \h </w:instrText>
          </w:r>
          <w:r>
            <w:rPr>
              <w:color w:val="auto"/>
              <w:highlight w:val="none"/>
            </w:rPr>
            <w:fldChar w:fldCharType="separate"/>
          </w:r>
          <w:r>
            <w:rPr>
              <w:color w:val="auto"/>
              <w:highlight w:val="none"/>
            </w:rPr>
            <w:t>332</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_Toc17892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7.5 </w:t>
          </w:r>
          <w:r>
            <w:rPr>
              <w:color w:val="auto"/>
              <w:highlight w:val="none"/>
            </w:rPr>
            <w:t>矿区噪声控制</w:t>
          </w:r>
          <w:r>
            <w:rPr>
              <w:color w:val="auto"/>
              <w:highlight w:val="none"/>
            </w:rPr>
            <w:tab/>
          </w:r>
          <w:r>
            <w:rPr>
              <w:color w:val="auto"/>
              <w:highlight w:val="none"/>
            </w:rPr>
            <w:fldChar w:fldCharType="begin"/>
          </w:r>
          <w:r>
            <w:rPr>
              <w:color w:val="auto"/>
              <w:highlight w:val="none"/>
            </w:rPr>
            <w:instrText xml:space="preserve"> PAGEREF _Toc17892 \h </w:instrText>
          </w:r>
          <w:r>
            <w:rPr>
              <w:color w:val="auto"/>
              <w:highlight w:val="none"/>
            </w:rPr>
            <w:fldChar w:fldCharType="separate"/>
          </w:r>
          <w:r>
            <w:rPr>
              <w:color w:val="auto"/>
              <w:highlight w:val="none"/>
            </w:rPr>
            <w:t>332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_Toc26505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7.5.1 </w:t>
          </w:r>
          <w:r>
            <w:rPr>
              <w:color w:val="auto"/>
              <w:highlight w:val="none"/>
            </w:rPr>
            <w:t>合理规划布局</w:t>
          </w:r>
          <w:r>
            <w:rPr>
              <w:color w:val="auto"/>
              <w:highlight w:val="none"/>
            </w:rPr>
            <w:tab/>
          </w:r>
          <w:r>
            <w:rPr>
              <w:color w:val="auto"/>
              <w:highlight w:val="none"/>
            </w:rPr>
            <w:fldChar w:fldCharType="begin"/>
          </w:r>
          <w:r>
            <w:rPr>
              <w:color w:val="auto"/>
              <w:highlight w:val="none"/>
            </w:rPr>
            <w:instrText xml:space="preserve"> PAGEREF _Toc26505 \h </w:instrText>
          </w:r>
          <w:r>
            <w:rPr>
              <w:color w:val="auto"/>
              <w:highlight w:val="none"/>
            </w:rPr>
            <w:fldChar w:fldCharType="separate"/>
          </w:r>
          <w:r>
            <w:rPr>
              <w:color w:val="auto"/>
              <w:highlight w:val="none"/>
            </w:rPr>
            <w:t>332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_Toc27278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7.5.2 </w:t>
          </w:r>
          <w:r>
            <w:rPr>
              <w:color w:val="auto"/>
              <w:highlight w:val="none"/>
            </w:rPr>
            <w:t>矿区噪声防治对策</w:t>
          </w:r>
          <w:r>
            <w:rPr>
              <w:color w:val="auto"/>
              <w:highlight w:val="none"/>
            </w:rPr>
            <w:tab/>
          </w:r>
          <w:r>
            <w:rPr>
              <w:color w:val="auto"/>
              <w:highlight w:val="none"/>
            </w:rPr>
            <w:fldChar w:fldCharType="begin"/>
          </w:r>
          <w:r>
            <w:rPr>
              <w:color w:val="auto"/>
              <w:highlight w:val="none"/>
            </w:rPr>
            <w:instrText xml:space="preserve"> PAGEREF _Toc27278 \h </w:instrText>
          </w:r>
          <w:r>
            <w:rPr>
              <w:color w:val="auto"/>
              <w:highlight w:val="none"/>
            </w:rPr>
            <w:fldChar w:fldCharType="separate"/>
          </w:r>
          <w:r>
            <w:rPr>
              <w:color w:val="auto"/>
              <w:highlight w:val="none"/>
            </w:rPr>
            <w:t>332</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_Toc23764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7.6 </w:t>
          </w:r>
          <w:r>
            <w:rPr>
              <w:color w:val="auto"/>
              <w:highlight w:val="none"/>
            </w:rPr>
            <w:t>矿区受影响居民搬迁安置原则及建议方案</w:t>
          </w:r>
          <w:r>
            <w:rPr>
              <w:color w:val="auto"/>
              <w:highlight w:val="none"/>
            </w:rPr>
            <w:tab/>
          </w:r>
          <w:r>
            <w:rPr>
              <w:color w:val="auto"/>
              <w:highlight w:val="none"/>
            </w:rPr>
            <w:fldChar w:fldCharType="begin"/>
          </w:r>
          <w:r>
            <w:rPr>
              <w:color w:val="auto"/>
              <w:highlight w:val="none"/>
            </w:rPr>
            <w:instrText xml:space="preserve"> PAGEREF _Toc23764 \h </w:instrText>
          </w:r>
          <w:r>
            <w:rPr>
              <w:color w:val="auto"/>
              <w:highlight w:val="none"/>
            </w:rPr>
            <w:fldChar w:fldCharType="separate"/>
          </w:r>
          <w:r>
            <w:rPr>
              <w:color w:val="auto"/>
              <w:highlight w:val="none"/>
            </w:rPr>
            <w:t>333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_Toc14959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7.7 </w:t>
          </w:r>
          <w:r>
            <w:rPr>
              <w:color w:val="auto"/>
              <w:highlight w:val="none"/>
            </w:rPr>
            <w:t>矿区资源综合利用</w:t>
          </w:r>
          <w:r>
            <w:rPr>
              <w:color w:val="auto"/>
              <w:highlight w:val="none"/>
            </w:rPr>
            <w:tab/>
          </w:r>
          <w:r>
            <w:rPr>
              <w:color w:val="auto"/>
              <w:highlight w:val="none"/>
            </w:rPr>
            <w:fldChar w:fldCharType="begin"/>
          </w:r>
          <w:r>
            <w:rPr>
              <w:color w:val="auto"/>
              <w:highlight w:val="none"/>
            </w:rPr>
            <w:instrText xml:space="preserve"> PAGEREF _Toc14959 \h </w:instrText>
          </w:r>
          <w:r>
            <w:rPr>
              <w:color w:val="auto"/>
              <w:highlight w:val="none"/>
            </w:rPr>
            <w:fldChar w:fldCharType="separate"/>
          </w:r>
          <w:r>
            <w:rPr>
              <w:color w:val="auto"/>
              <w:highlight w:val="none"/>
            </w:rPr>
            <w:t>333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_Toc20747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7.7.1 </w:t>
          </w:r>
          <w:r>
            <w:rPr>
              <w:color w:val="auto"/>
              <w:highlight w:val="none"/>
            </w:rPr>
            <w:t>水资源综合利用</w:t>
          </w:r>
          <w:r>
            <w:rPr>
              <w:color w:val="auto"/>
              <w:highlight w:val="none"/>
            </w:rPr>
            <w:tab/>
          </w:r>
          <w:r>
            <w:rPr>
              <w:color w:val="auto"/>
              <w:highlight w:val="none"/>
            </w:rPr>
            <w:fldChar w:fldCharType="begin"/>
          </w:r>
          <w:r>
            <w:rPr>
              <w:color w:val="auto"/>
              <w:highlight w:val="none"/>
            </w:rPr>
            <w:instrText xml:space="preserve"> PAGEREF _Toc20747 \h </w:instrText>
          </w:r>
          <w:r>
            <w:rPr>
              <w:color w:val="auto"/>
              <w:highlight w:val="none"/>
            </w:rPr>
            <w:fldChar w:fldCharType="separate"/>
          </w:r>
          <w:r>
            <w:rPr>
              <w:color w:val="auto"/>
              <w:highlight w:val="none"/>
            </w:rPr>
            <w:t>333</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_Toc22749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7.7.2 </w:t>
          </w:r>
          <w:r>
            <w:rPr>
              <w:color w:val="auto"/>
              <w:highlight w:val="none"/>
            </w:rPr>
            <w:t>节水措施</w:t>
          </w:r>
          <w:r>
            <w:rPr>
              <w:color w:val="auto"/>
              <w:highlight w:val="none"/>
            </w:rPr>
            <w:tab/>
          </w:r>
          <w:r>
            <w:rPr>
              <w:color w:val="auto"/>
              <w:highlight w:val="none"/>
            </w:rPr>
            <w:fldChar w:fldCharType="begin"/>
          </w:r>
          <w:r>
            <w:rPr>
              <w:color w:val="auto"/>
              <w:highlight w:val="none"/>
            </w:rPr>
            <w:instrText xml:space="preserve"> PAGEREF _Toc22749 \h </w:instrText>
          </w:r>
          <w:r>
            <w:rPr>
              <w:color w:val="auto"/>
              <w:highlight w:val="none"/>
            </w:rPr>
            <w:fldChar w:fldCharType="separate"/>
          </w:r>
          <w:r>
            <w:rPr>
              <w:color w:val="auto"/>
              <w:highlight w:val="none"/>
            </w:rPr>
            <w:t>333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_Toc4259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7.8 </w:t>
          </w:r>
          <w:r>
            <w:rPr>
              <w:color w:val="auto"/>
              <w:highlight w:val="none"/>
            </w:rPr>
            <w:t>矿区重大环境风险防范对策</w:t>
          </w:r>
          <w:r>
            <w:rPr>
              <w:color w:val="auto"/>
              <w:highlight w:val="none"/>
            </w:rPr>
            <w:tab/>
          </w:r>
          <w:r>
            <w:rPr>
              <w:color w:val="auto"/>
              <w:highlight w:val="none"/>
            </w:rPr>
            <w:fldChar w:fldCharType="begin"/>
          </w:r>
          <w:r>
            <w:rPr>
              <w:color w:val="auto"/>
              <w:highlight w:val="none"/>
            </w:rPr>
            <w:instrText xml:space="preserve"> PAGEREF _Toc4259 \h </w:instrText>
          </w:r>
          <w:r>
            <w:rPr>
              <w:color w:val="auto"/>
              <w:highlight w:val="none"/>
            </w:rPr>
            <w:fldChar w:fldCharType="separate"/>
          </w:r>
          <w:r>
            <w:rPr>
              <w:color w:val="auto"/>
              <w:highlight w:val="none"/>
            </w:rPr>
            <w:t>334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_Toc9487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7.8.1 </w:t>
          </w:r>
          <w:r>
            <w:rPr>
              <w:color w:val="auto"/>
              <w:highlight w:val="none"/>
            </w:rPr>
            <w:t>风险防范措施</w:t>
          </w:r>
          <w:r>
            <w:rPr>
              <w:color w:val="auto"/>
              <w:highlight w:val="none"/>
            </w:rPr>
            <w:tab/>
          </w:r>
          <w:r>
            <w:rPr>
              <w:color w:val="auto"/>
              <w:highlight w:val="none"/>
            </w:rPr>
            <w:fldChar w:fldCharType="begin"/>
          </w:r>
          <w:r>
            <w:rPr>
              <w:color w:val="auto"/>
              <w:highlight w:val="none"/>
            </w:rPr>
            <w:instrText xml:space="preserve"> PAGEREF _Toc9487 \h </w:instrText>
          </w:r>
          <w:r>
            <w:rPr>
              <w:color w:val="auto"/>
              <w:highlight w:val="none"/>
            </w:rPr>
            <w:fldChar w:fldCharType="separate"/>
          </w:r>
          <w:r>
            <w:rPr>
              <w:color w:val="auto"/>
              <w:highlight w:val="none"/>
            </w:rPr>
            <w:t>334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_Toc30786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7.8.2 </w:t>
          </w:r>
          <w:r>
            <w:rPr>
              <w:color w:val="auto"/>
              <w:highlight w:val="none"/>
            </w:rPr>
            <w:t>应急预案</w:t>
          </w:r>
          <w:r>
            <w:rPr>
              <w:color w:val="auto"/>
              <w:highlight w:val="none"/>
            </w:rPr>
            <w:tab/>
          </w:r>
          <w:r>
            <w:rPr>
              <w:color w:val="auto"/>
              <w:highlight w:val="none"/>
            </w:rPr>
            <w:fldChar w:fldCharType="begin"/>
          </w:r>
          <w:r>
            <w:rPr>
              <w:color w:val="auto"/>
              <w:highlight w:val="none"/>
            </w:rPr>
            <w:instrText xml:space="preserve"> PAGEREF _Toc30786 \h </w:instrText>
          </w:r>
          <w:r>
            <w:rPr>
              <w:color w:val="auto"/>
              <w:highlight w:val="none"/>
            </w:rPr>
            <w:fldChar w:fldCharType="separate"/>
          </w:r>
          <w:r>
            <w:rPr>
              <w:color w:val="auto"/>
              <w:highlight w:val="none"/>
            </w:rPr>
            <w:t>335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_Toc16943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7.8.3 </w:t>
          </w:r>
          <w:r>
            <w:rPr>
              <w:color w:val="auto"/>
              <w:highlight w:val="none"/>
            </w:rPr>
            <w:t>应急组织培训</w:t>
          </w:r>
          <w:r>
            <w:rPr>
              <w:color w:val="auto"/>
              <w:highlight w:val="none"/>
            </w:rPr>
            <w:tab/>
          </w:r>
          <w:r>
            <w:rPr>
              <w:color w:val="auto"/>
              <w:highlight w:val="none"/>
            </w:rPr>
            <w:fldChar w:fldCharType="begin"/>
          </w:r>
          <w:r>
            <w:rPr>
              <w:color w:val="auto"/>
              <w:highlight w:val="none"/>
            </w:rPr>
            <w:instrText xml:space="preserve"> PAGEREF _Toc16943 \h </w:instrText>
          </w:r>
          <w:r>
            <w:rPr>
              <w:color w:val="auto"/>
              <w:highlight w:val="none"/>
            </w:rPr>
            <w:fldChar w:fldCharType="separate"/>
          </w:r>
          <w:r>
            <w:rPr>
              <w:color w:val="auto"/>
              <w:highlight w:val="none"/>
            </w:rPr>
            <w:t>337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_Toc31493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7.8.4 </w:t>
          </w:r>
          <w:r>
            <w:rPr>
              <w:color w:val="auto"/>
              <w:highlight w:val="none"/>
            </w:rPr>
            <w:t>监督管理</w:t>
          </w:r>
          <w:r>
            <w:rPr>
              <w:color w:val="auto"/>
              <w:highlight w:val="none"/>
            </w:rPr>
            <w:tab/>
          </w:r>
          <w:r>
            <w:rPr>
              <w:color w:val="auto"/>
              <w:highlight w:val="none"/>
            </w:rPr>
            <w:fldChar w:fldCharType="begin"/>
          </w:r>
          <w:r>
            <w:rPr>
              <w:color w:val="auto"/>
              <w:highlight w:val="none"/>
            </w:rPr>
            <w:instrText xml:space="preserve"> PAGEREF _Toc31493 \h </w:instrText>
          </w:r>
          <w:r>
            <w:rPr>
              <w:color w:val="auto"/>
              <w:highlight w:val="none"/>
            </w:rPr>
            <w:fldChar w:fldCharType="separate"/>
          </w:r>
          <w:r>
            <w:rPr>
              <w:color w:val="auto"/>
              <w:highlight w:val="none"/>
            </w:rPr>
            <w:t>337</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_Toc10527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8 </w:t>
          </w:r>
          <w:r>
            <w:rPr>
              <w:color w:val="auto"/>
              <w:highlight w:val="none"/>
            </w:rPr>
            <w:t>矿区总体规划环境合理性综合论证</w:t>
          </w:r>
          <w:r>
            <w:rPr>
              <w:color w:val="auto"/>
              <w:highlight w:val="none"/>
            </w:rPr>
            <w:tab/>
          </w:r>
          <w:r>
            <w:rPr>
              <w:color w:val="auto"/>
              <w:highlight w:val="none"/>
            </w:rPr>
            <w:fldChar w:fldCharType="begin"/>
          </w:r>
          <w:r>
            <w:rPr>
              <w:color w:val="auto"/>
              <w:highlight w:val="none"/>
            </w:rPr>
            <w:instrText xml:space="preserve"> PAGEREF _Toc10527 \h </w:instrText>
          </w:r>
          <w:r>
            <w:rPr>
              <w:color w:val="auto"/>
              <w:highlight w:val="none"/>
            </w:rPr>
            <w:fldChar w:fldCharType="separate"/>
          </w:r>
          <w:r>
            <w:rPr>
              <w:color w:val="auto"/>
              <w:highlight w:val="none"/>
            </w:rPr>
            <w:t>339</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_Toc32689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8.1 </w:t>
          </w:r>
          <w:r>
            <w:rPr>
              <w:color w:val="auto"/>
              <w:highlight w:val="none"/>
            </w:rPr>
            <w:t>规划方案的环境合理性</w:t>
          </w:r>
          <w:r>
            <w:rPr>
              <w:color w:val="auto"/>
              <w:highlight w:val="none"/>
            </w:rPr>
            <w:tab/>
          </w:r>
          <w:r>
            <w:rPr>
              <w:color w:val="auto"/>
              <w:highlight w:val="none"/>
            </w:rPr>
            <w:fldChar w:fldCharType="begin"/>
          </w:r>
          <w:r>
            <w:rPr>
              <w:color w:val="auto"/>
              <w:highlight w:val="none"/>
            </w:rPr>
            <w:instrText xml:space="preserve"> PAGEREF _Toc32689 \h </w:instrText>
          </w:r>
          <w:r>
            <w:rPr>
              <w:color w:val="auto"/>
              <w:highlight w:val="none"/>
            </w:rPr>
            <w:fldChar w:fldCharType="separate"/>
          </w:r>
          <w:r>
            <w:rPr>
              <w:color w:val="auto"/>
              <w:highlight w:val="none"/>
            </w:rPr>
            <w:t>339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_Toc22862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8.1.1 </w:t>
          </w:r>
          <w:r>
            <w:rPr>
              <w:color w:val="auto"/>
              <w:highlight w:val="none"/>
            </w:rPr>
            <w:t>规划目标的环境合理性</w:t>
          </w:r>
          <w:r>
            <w:rPr>
              <w:color w:val="auto"/>
              <w:highlight w:val="none"/>
            </w:rPr>
            <w:tab/>
          </w:r>
          <w:r>
            <w:rPr>
              <w:color w:val="auto"/>
              <w:highlight w:val="none"/>
            </w:rPr>
            <w:fldChar w:fldCharType="begin"/>
          </w:r>
          <w:r>
            <w:rPr>
              <w:color w:val="auto"/>
              <w:highlight w:val="none"/>
            </w:rPr>
            <w:instrText xml:space="preserve"> PAGEREF _Toc22862 \h </w:instrText>
          </w:r>
          <w:r>
            <w:rPr>
              <w:color w:val="auto"/>
              <w:highlight w:val="none"/>
            </w:rPr>
            <w:fldChar w:fldCharType="separate"/>
          </w:r>
          <w:r>
            <w:rPr>
              <w:color w:val="auto"/>
              <w:highlight w:val="none"/>
            </w:rPr>
            <w:t>339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_Toc29871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8.1.2 </w:t>
          </w:r>
          <w:r>
            <w:rPr>
              <w:color w:val="auto"/>
              <w:highlight w:val="none"/>
            </w:rPr>
            <w:t>产业定位的合理性</w:t>
          </w:r>
          <w:r>
            <w:rPr>
              <w:color w:val="auto"/>
              <w:highlight w:val="none"/>
            </w:rPr>
            <w:tab/>
          </w:r>
          <w:r>
            <w:rPr>
              <w:color w:val="auto"/>
              <w:highlight w:val="none"/>
            </w:rPr>
            <w:fldChar w:fldCharType="begin"/>
          </w:r>
          <w:r>
            <w:rPr>
              <w:color w:val="auto"/>
              <w:highlight w:val="none"/>
            </w:rPr>
            <w:instrText xml:space="preserve"> PAGEREF _Toc29871 \h </w:instrText>
          </w:r>
          <w:r>
            <w:rPr>
              <w:color w:val="auto"/>
              <w:highlight w:val="none"/>
            </w:rPr>
            <w:fldChar w:fldCharType="separate"/>
          </w:r>
          <w:r>
            <w:rPr>
              <w:color w:val="auto"/>
              <w:highlight w:val="none"/>
            </w:rPr>
            <w:t>340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_Toc10575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8.1.3 </w:t>
          </w:r>
          <w:r>
            <w:rPr>
              <w:color w:val="auto"/>
              <w:highlight w:val="none"/>
            </w:rPr>
            <w:t>功能分区的环境合理性</w:t>
          </w:r>
          <w:r>
            <w:rPr>
              <w:color w:val="auto"/>
              <w:highlight w:val="none"/>
            </w:rPr>
            <w:tab/>
          </w:r>
          <w:r>
            <w:rPr>
              <w:color w:val="auto"/>
              <w:highlight w:val="none"/>
            </w:rPr>
            <w:fldChar w:fldCharType="begin"/>
          </w:r>
          <w:r>
            <w:rPr>
              <w:color w:val="auto"/>
              <w:highlight w:val="none"/>
            </w:rPr>
            <w:instrText xml:space="preserve"> PAGEREF _Toc10575 \h </w:instrText>
          </w:r>
          <w:r>
            <w:rPr>
              <w:color w:val="auto"/>
              <w:highlight w:val="none"/>
            </w:rPr>
            <w:fldChar w:fldCharType="separate"/>
          </w:r>
          <w:r>
            <w:rPr>
              <w:color w:val="auto"/>
              <w:highlight w:val="none"/>
            </w:rPr>
            <w:t>340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_Toc14546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8.2 </w:t>
          </w:r>
          <w:r>
            <w:rPr>
              <w:color w:val="auto"/>
              <w:highlight w:val="none"/>
            </w:rPr>
            <w:t>规划环境目标的可达性</w:t>
          </w:r>
          <w:r>
            <w:rPr>
              <w:color w:val="auto"/>
              <w:highlight w:val="none"/>
            </w:rPr>
            <w:tab/>
          </w:r>
          <w:r>
            <w:rPr>
              <w:color w:val="auto"/>
              <w:highlight w:val="none"/>
            </w:rPr>
            <w:fldChar w:fldCharType="begin"/>
          </w:r>
          <w:r>
            <w:rPr>
              <w:color w:val="auto"/>
              <w:highlight w:val="none"/>
            </w:rPr>
            <w:instrText xml:space="preserve"> PAGEREF _Toc14546 \h </w:instrText>
          </w:r>
          <w:r>
            <w:rPr>
              <w:color w:val="auto"/>
              <w:highlight w:val="none"/>
            </w:rPr>
            <w:fldChar w:fldCharType="separate"/>
          </w:r>
          <w:r>
            <w:rPr>
              <w:color w:val="auto"/>
              <w:highlight w:val="none"/>
            </w:rPr>
            <w:t>340</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_Toc32019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8.3 </w:t>
          </w:r>
          <w:r>
            <w:rPr>
              <w:color w:val="auto"/>
              <w:highlight w:val="none"/>
            </w:rPr>
            <w:t>规划方案的优化调整建议</w:t>
          </w:r>
          <w:r>
            <w:rPr>
              <w:color w:val="auto"/>
              <w:highlight w:val="none"/>
            </w:rPr>
            <w:tab/>
          </w:r>
          <w:r>
            <w:rPr>
              <w:color w:val="auto"/>
              <w:highlight w:val="none"/>
            </w:rPr>
            <w:fldChar w:fldCharType="begin"/>
          </w:r>
          <w:r>
            <w:rPr>
              <w:color w:val="auto"/>
              <w:highlight w:val="none"/>
            </w:rPr>
            <w:instrText xml:space="preserve"> PAGEREF _Toc32019 \h </w:instrText>
          </w:r>
          <w:r>
            <w:rPr>
              <w:color w:val="auto"/>
              <w:highlight w:val="none"/>
            </w:rPr>
            <w:fldChar w:fldCharType="separate"/>
          </w:r>
          <w:r>
            <w:rPr>
              <w:color w:val="auto"/>
              <w:highlight w:val="none"/>
            </w:rPr>
            <w:t>345</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_Toc10019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9 </w:t>
          </w:r>
          <w:r>
            <w:rPr>
              <w:color w:val="auto"/>
              <w:highlight w:val="none"/>
            </w:rPr>
            <w:t>环境影响跟踪评价及</w:t>
          </w:r>
          <w:r>
            <w:rPr>
              <w:rFonts w:ascii="Times New Roman" w:hAnsi="Times New Roman" w:eastAsia="Times New Roman"/>
              <w:color w:val="auto"/>
              <w:highlight w:val="none"/>
            </w:rPr>
            <w:t>“</w:t>
          </w:r>
          <w:r>
            <w:rPr>
              <w:color w:val="auto"/>
              <w:highlight w:val="none"/>
            </w:rPr>
            <w:t>三线一单</w:t>
          </w:r>
          <w:r>
            <w:rPr>
              <w:rFonts w:ascii="Times New Roman" w:hAnsi="Times New Roman" w:eastAsia="Times New Roman"/>
              <w:color w:val="auto"/>
              <w:highlight w:val="none"/>
            </w:rPr>
            <w:t>”</w:t>
          </w:r>
          <w:r>
            <w:rPr>
              <w:color w:val="auto"/>
              <w:highlight w:val="none"/>
            </w:rPr>
            <w:t>管控要求</w:t>
          </w:r>
          <w:r>
            <w:rPr>
              <w:color w:val="auto"/>
              <w:highlight w:val="none"/>
            </w:rPr>
            <w:tab/>
          </w:r>
          <w:r>
            <w:rPr>
              <w:color w:val="auto"/>
              <w:highlight w:val="none"/>
            </w:rPr>
            <w:fldChar w:fldCharType="begin"/>
          </w:r>
          <w:r>
            <w:rPr>
              <w:color w:val="auto"/>
              <w:highlight w:val="none"/>
            </w:rPr>
            <w:instrText xml:space="preserve"> PAGEREF _Toc10019 \h </w:instrText>
          </w:r>
          <w:r>
            <w:rPr>
              <w:color w:val="auto"/>
              <w:highlight w:val="none"/>
            </w:rPr>
            <w:fldChar w:fldCharType="separate"/>
          </w:r>
          <w:r>
            <w:rPr>
              <w:color w:val="auto"/>
              <w:highlight w:val="none"/>
            </w:rPr>
            <w:t>346</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_Toc5868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9.1 </w:t>
          </w:r>
          <w:r>
            <w:rPr>
              <w:color w:val="auto"/>
              <w:highlight w:val="none"/>
            </w:rPr>
            <w:t>跟踪评价</w:t>
          </w:r>
          <w:r>
            <w:rPr>
              <w:color w:val="auto"/>
              <w:highlight w:val="none"/>
            </w:rPr>
            <w:tab/>
          </w:r>
          <w:r>
            <w:rPr>
              <w:color w:val="auto"/>
              <w:highlight w:val="none"/>
            </w:rPr>
            <w:fldChar w:fldCharType="begin"/>
          </w:r>
          <w:r>
            <w:rPr>
              <w:color w:val="auto"/>
              <w:highlight w:val="none"/>
            </w:rPr>
            <w:instrText xml:space="preserve"> PAGEREF _Toc5868 \h </w:instrText>
          </w:r>
          <w:r>
            <w:rPr>
              <w:color w:val="auto"/>
              <w:highlight w:val="none"/>
            </w:rPr>
            <w:fldChar w:fldCharType="separate"/>
          </w:r>
          <w:r>
            <w:rPr>
              <w:color w:val="auto"/>
              <w:highlight w:val="none"/>
            </w:rPr>
            <w:t>346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_Toc18002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9.1.1 </w:t>
          </w:r>
          <w:r>
            <w:rPr>
              <w:color w:val="auto"/>
              <w:highlight w:val="none"/>
            </w:rPr>
            <w:t>跟踪评价的意义</w:t>
          </w:r>
          <w:r>
            <w:rPr>
              <w:color w:val="auto"/>
              <w:highlight w:val="none"/>
            </w:rPr>
            <w:tab/>
          </w:r>
          <w:r>
            <w:rPr>
              <w:color w:val="auto"/>
              <w:highlight w:val="none"/>
            </w:rPr>
            <w:fldChar w:fldCharType="begin"/>
          </w:r>
          <w:r>
            <w:rPr>
              <w:color w:val="auto"/>
              <w:highlight w:val="none"/>
            </w:rPr>
            <w:instrText xml:space="preserve"> PAGEREF _Toc18002 \h </w:instrText>
          </w:r>
          <w:r>
            <w:rPr>
              <w:color w:val="auto"/>
              <w:highlight w:val="none"/>
            </w:rPr>
            <w:fldChar w:fldCharType="separate"/>
          </w:r>
          <w:r>
            <w:rPr>
              <w:color w:val="auto"/>
              <w:highlight w:val="none"/>
            </w:rPr>
            <w:t>346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_Toc8654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9.1.2 </w:t>
          </w:r>
          <w:r>
            <w:rPr>
              <w:color w:val="auto"/>
              <w:highlight w:val="none"/>
            </w:rPr>
            <w:t>跟踪评价时段</w:t>
          </w:r>
          <w:r>
            <w:rPr>
              <w:color w:val="auto"/>
              <w:highlight w:val="none"/>
            </w:rPr>
            <w:tab/>
          </w:r>
          <w:r>
            <w:rPr>
              <w:color w:val="auto"/>
              <w:highlight w:val="none"/>
            </w:rPr>
            <w:fldChar w:fldCharType="begin"/>
          </w:r>
          <w:r>
            <w:rPr>
              <w:color w:val="auto"/>
              <w:highlight w:val="none"/>
            </w:rPr>
            <w:instrText xml:space="preserve"> PAGEREF _Toc8654 \h </w:instrText>
          </w:r>
          <w:r>
            <w:rPr>
              <w:color w:val="auto"/>
              <w:highlight w:val="none"/>
            </w:rPr>
            <w:fldChar w:fldCharType="separate"/>
          </w:r>
          <w:r>
            <w:rPr>
              <w:color w:val="auto"/>
              <w:highlight w:val="none"/>
            </w:rPr>
            <w:t>346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_Toc24706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9.1.3 </w:t>
          </w:r>
          <w:r>
            <w:rPr>
              <w:color w:val="auto"/>
              <w:highlight w:val="none"/>
            </w:rPr>
            <w:t>跟踪评价目标</w:t>
          </w:r>
          <w:r>
            <w:rPr>
              <w:color w:val="auto"/>
              <w:highlight w:val="none"/>
            </w:rPr>
            <w:tab/>
          </w:r>
          <w:r>
            <w:rPr>
              <w:color w:val="auto"/>
              <w:highlight w:val="none"/>
            </w:rPr>
            <w:fldChar w:fldCharType="begin"/>
          </w:r>
          <w:r>
            <w:rPr>
              <w:color w:val="auto"/>
              <w:highlight w:val="none"/>
            </w:rPr>
            <w:instrText xml:space="preserve"> PAGEREF _Toc24706 \h </w:instrText>
          </w:r>
          <w:r>
            <w:rPr>
              <w:color w:val="auto"/>
              <w:highlight w:val="none"/>
            </w:rPr>
            <w:fldChar w:fldCharType="separate"/>
          </w:r>
          <w:r>
            <w:rPr>
              <w:color w:val="auto"/>
              <w:highlight w:val="none"/>
            </w:rPr>
            <w:t>346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_Toc18018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9.1.4 </w:t>
          </w:r>
          <w:r>
            <w:rPr>
              <w:color w:val="auto"/>
              <w:highlight w:val="none"/>
            </w:rPr>
            <w:t>跟踪评价重点</w:t>
          </w:r>
          <w:r>
            <w:rPr>
              <w:color w:val="auto"/>
              <w:highlight w:val="none"/>
            </w:rPr>
            <w:tab/>
          </w:r>
          <w:r>
            <w:rPr>
              <w:color w:val="auto"/>
              <w:highlight w:val="none"/>
            </w:rPr>
            <w:fldChar w:fldCharType="begin"/>
          </w:r>
          <w:r>
            <w:rPr>
              <w:color w:val="auto"/>
              <w:highlight w:val="none"/>
            </w:rPr>
            <w:instrText xml:space="preserve"> PAGEREF _Toc18018 \h </w:instrText>
          </w:r>
          <w:r>
            <w:rPr>
              <w:color w:val="auto"/>
              <w:highlight w:val="none"/>
            </w:rPr>
            <w:fldChar w:fldCharType="separate"/>
          </w:r>
          <w:r>
            <w:rPr>
              <w:color w:val="auto"/>
              <w:highlight w:val="none"/>
            </w:rPr>
            <w:t>347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_Toc11901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9.1.5 </w:t>
          </w:r>
          <w:r>
            <w:rPr>
              <w:color w:val="auto"/>
              <w:highlight w:val="none"/>
            </w:rPr>
            <w:t>跟踪评价管理要求</w:t>
          </w:r>
          <w:r>
            <w:rPr>
              <w:color w:val="auto"/>
              <w:highlight w:val="none"/>
            </w:rPr>
            <w:tab/>
          </w:r>
          <w:r>
            <w:rPr>
              <w:color w:val="auto"/>
              <w:highlight w:val="none"/>
            </w:rPr>
            <w:fldChar w:fldCharType="begin"/>
          </w:r>
          <w:r>
            <w:rPr>
              <w:color w:val="auto"/>
              <w:highlight w:val="none"/>
            </w:rPr>
            <w:instrText xml:space="preserve"> PAGEREF _Toc11901 \h </w:instrText>
          </w:r>
          <w:r>
            <w:rPr>
              <w:color w:val="auto"/>
              <w:highlight w:val="none"/>
            </w:rPr>
            <w:fldChar w:fldCharType="separate"/>
          </w:r>
          <w:r>
            <w:rPr>
              <w:color w:val="auto"/>
              <w:highlight w:val="none"/>
            </w:rPr>
            <w:t>347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_Toc27111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9.1.6 </w:t>
          </w:r>
          <w:r>
            <w:rPr>
              <w:color w:val="auto"/>
              <w:highlight w:val="none"/>
            </w:rPr>
            <w:t>跟踪评价内容</w:t>
          </w:r>
          <w:r>
            <w:rPr>
              <w:color w:val="auto"/>
              <w:highlight w:val="none"/>
            </w:rPr>
            <w:tab/>
          </w:r>
          <w:r>
            <w:rPr>
              <w:color w:val="auto"/>
              <w:highlight w:val="none"/>
            </w:rPr>
            <w:fldChar w:fldCharType="begin"/>
          </w:r>
          <w:r>
            <w:rPr>
              <w:color w:val="auto"/>
              <w:highlight w:val="none"/>
            </w:rPr>
            <w:instrText xml:space="preserve"> PAGEREF _Toc27111 \h </w:instrText>
          </w:r>
          <w:r>
            <w:rPr>
              <w:color w:val="auto"/>
              <w:highlight w:val="none"/>
            </w:rPr>
            <w:fldChar w:fldCharType="separate"/>
          </w:r>
          <w:r>
            <w:rPr>
              <w:color w:val="auto"/>
              <w:highlight w:val="none"/>
            </w:rPr>
            <w:t>348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_Toc22945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9.1.7 </w:t>
          </w:r>
          <w:r>
            <w:rPr>
              <w:color w:val="auto"/>
              <w:highlight w:val="none"/>
            </w:rPr>
            <w:t>跟踪评价实施计划</w:t>
          </w:r>
          <w:r>
            <w:rPr>
              <w:color w:val="auto"/>
              <w:highlight w:val="none"/>
            </w:rPr>
            <w:tab/>
          </w:r>
          <w:r>
            <w:rPr>
              <w:color w:val="auto"/>
              <w:highlight w:val="none"/>
            </w:rPr>
            <w:fldChar w:fldCharType="begin"/>
          </w:r>
          <w:r>
            <w:rPr>
              <w:color w:val="auto"/>
              <w:highlight w:val="none"/>
            </w:rPr>
            <w:instrText xml:space="preserve"> PAGEREF _Toc22945 \h </w:instrText>
          </w:r>
          <w:r>
            <w:rPr>
              <w:color w:val="auto"/>
              <w:highlight w:val="none"/>
            </w:rPr>
            <w:fldChar w:fldCharType="separate"/>
          </w:r>
          <w:r>
            <w:rPr>
              <w:color w:val="auto"/>
              <w:highlight w:val="none"/>
            </w:rPr>
            <w:t>349</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_Toc27903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9.2 </w:t>
          </w:r>
          <w:r>
            <w:rPr>
              <w:rFonts w:ascii="Times New Roman" w:hAnsi="Times New Roman" w:eastAsia="Times New Roman"/>
              <w:color w:val="auto"/>
              <w:highlight w:val="none"/>
            </w:rPr>
            <w:t>“</w:t>
          </w:r>
          <w:r>
            <w:rPr>
              <w:color w:val="auto"/>
              <w:highlight w:val="none"/>
            </w:rPr>
            <w:t>三线一单</w:t>
          </w:r>
          <w:r>
            <w:rPr>
              <w:rFonts w:ascii="Times New Roman" w:hAnsi="Times New Roman" w:eastAsia="Times New Roman"/>
              <w:color w:val="auto"/>
              <w:highlight w:val="none"/>
            </w:rPr>
            <w:t>”</w:t>
          </w:r>
          <w:r>
            <w:rPr>
              <w:color w:val="auto"/>
              <w:highlight w:val="none"/>
            </w:rPr>
            <w:t>管控要求</w:t>
          </w:r>
          <w:r>
            <w:rPr>
              <w:color w:val="auto"/>
              <w:highlight w:val="none"/>
            </w:rPr>
            <w:tab/>
          </w:r>
          <w:r>
            <w:rPr>
              <w:color w:val="auto"/>
              <w:highlight w:val="none"/>
            </w:rPr>
            <w:fldChar w:fldCharType="begin"/>
          </w:r>
          <w:r>
            <w:rPr>
              <w:color w:val="auto"/>
              <w:highlight w:val="none"/>
            </w:rPr>
            <w:instrText xml:space="preserve"> PAGEREF _Toc27903 \h </w:instrText>
          </w:r>
          <w:r>
            <w:rPr>
              <w:color w:val="auto"/>
              <w:highlight w:val="none"/>
            </w:rPr>
            <w:fldChar w:fldCharType="separate"/>
          </w:r>
          <w:r>
            <w:rPr>
              <w:color w:val="auto"/>
              <w:highlight w:val="none"/>
            </w:rPr>
            <w:t>350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_Toc29176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9.2.1 </w:t>
          </w:r>
          <w:r>
            <w:rPr>
              <w:color w:val="auto"/>
              <w:highlight w:val="none"/>
            </w:rPr>
            <w:t>环境质量底线</w:t>
          </w:r>
          <w:r>
            <w:rPr>
              <w:color w:val="auto"/>
              <w:highlight w:val="none"/>
            </w:rPr>
            <w:tab/>
          </w:r>
          <w:r>
            <w:rPr>
              <w:color w:val="auto"/>
              <w:highlight w:val="none"/>
            </w:rPr>
            <w:fldChar w:fldCharType="begin"/>
          </w:r>
          <w:r>
            <w:rPr>
              <w:color w:val="auto"/>
              <w:highlight w:val="none"/>
            </w:rPr>
            <w:instrText xml:space="preserve"> PAGEREF _Toc29176 \h </w:instrText>
          </w:r>
          <w:r>
            <w:rPr>
              <w:color w:val="auto"/>
              <w:highlight w:val="none"/>
            </w:rPr>
            <w:fldChar w:fldCharType="separate"/>
          </w:r>
          <w:r>
            <w:rPr>
              <w:color w:val="auto"/>
              <w:highlight w:val="none"/>
            </w:rPr>
            <w:t>350</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_Toc12742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9.2.2 </w:t>
          </w:r>
          <w:r>
            <w:rPr>
              <w:color w:val="auto"/>
              <w:highlight w:val="none"/>
            </w:rPr>
            <w:t>资源利用上线</w:t>
          </w:r>
          <w:r>
            <w:rPr>
              <w:color w:val="auto"/>
              <w:highlight w:val="none"/>
            </w:rPr>
            <w:tab/>
          </w:r>
          <w:r>
            <w:rPr>
              <w:color w:val="auto"/>
              <w:highlight w:val="none"/>
            </w:rPr>
            <w:fldChar w:fldCharType="begin"/>
          </w:r>
          <w:r>
            <w:rPr>
              <w:color w:val="auto"/>
              <w:highlight w:val="none"/>
            </w:rPr>
            <w:instrText xml:space="preserve"> PAGEREF _Toc12742 \h </w:instrText>
          </w:r>
          <w:r>
            <w:rPr>
              <w:color w:val="auto"/>
              <w:highlight w:val="none"/>
            </w:rPr>
            <w:fldChar w:fldCharType="separate"/>
          </w:r>
          <w:r>
            <w:rPr>
              <w:color w:val="auto"/>
              <w:highlight w:val="none"/>
            </w:rPr>
            <w:t>352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_Toc8798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9.2.3 </w:t>
          </w:r>
          <w:r>
            <w:rPr>
              <w:color w:val="auto"/>
              <w:highlight w:val="none"/>
            </w:rPr>
            <w:t>生态红线管控</w:t>
          </w:r>
          <w:r>
            <w:rPr>
              <w:color w:val="auto"/>
              <w:highlight w:val="none"/>
            </w:rPr>
            <w:tab/>
          </w:r>
          <w:r>
            <w:rPr>
              <w:color w:val="auto"/>
              <w:highlight w:val="none"/>
            </w:rPr>
            <w:fldChar w:fldCharType="begin"/>
          </w:r>
          <w:r>
            <w:rPr>
              <w:color w:val="auto"/>
              <w:highlight w:val="none"/>
            </w:rPr>
            <w:instrText xml:space="preserve"> PAGEREF _Toc8798 \h </w:instrText>
          </w:r>
          <w:r>
            <w:rPr>
              <w:color w:val="auto"/>
              <w:highlight w:val="none"/>
            </w:rPr>
            <w:fldChar w:fldCharType="separate"/>
          </w:r>
          <w:r>
            <w:rPr>
              <w:color w:val="auto"/>
              <w:highlight w:val="none"/>
            </w:rPr>
            <w:t>352</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_Toc11257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9.2.4 </w:t>
          </w:r>
          <w:r>
            <w:rPr>
              <w:rFonts w:hint="eastAsia"/>
              <w:color w:val="auto"/>
              <w:highlight w:val="none"/>
              <w:lang w:eastAsia="zh-CN"/>
            </w:rPr>
            <w:t>生态</w:t>
          </w:r>
          <w:r>
            <w:rPr>
              <w:color w:val="auto"/>
              <w:highlight w:val="none"/>
            </w:rPr>
            <w:t>环境准入清单</w:t>
          </w:r>
          <w:r>
            <w:rPr>
              <w:color w:val="auto"/>
              <w:highlight w:val="none"/>
            </w:rPr>
            <w:tab/>
          </w:r>
          <w:r>
            <w:rPr>
              <w:color w:val="auto"/>
              <w:highlight w:val="none"/>
            </w:rPr>
            <w:fldChar w:fldCharType="begin"/>
          </w:r>
          <w:r>
            <w:rPr>
              <w:color w:val="auto"/>
              <w:highlight w:val="none"/>
            </w:rPr>
            <w:instrText xml:space="preserve"> PAGEREF _Toc11257 \h </w:instrText>
          </w:r>
          <w:r>
            <w:rPr>
              <w:color w:val="auto"/>
              <w:highlight w:val="none"/>
            </w:rPr>
            <w:fldChar w:fldCharType="separate"/>
          </w:r>
          <w:r>
            <w:rPr>
              <w:color w:val="auto"/>
              <w:highlight w:val="none"/>
            </w:rPr>
            <w:t>353</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_Toc31406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9.3 </w:t>
          </w:r>
          <w:r>
            <w:rPr>
              <w:color w:val="auto"/>
              <w:highlight w:val="none"/>
            </w:rPr>
            <w:t>监控计划</w:t>
          </w:r>
          <w:r>
            <w:rPr>
              <w:color w:val="auto"/>
              <w:highlight w:val="none"/>
            </w:rPr>
            <w:tab/>
          </w:r>
          <w:r>
            <w:rPr>
              <w:color w:val="auto"/>
              <w:highlight w:val="none"/>
            </w:rPr>
            <w:fldChar w:fldCharType="begin"/>
          </w:r>
          <w:r>
            <w:rPr>
              <w:color w:val="auto"/>
              <w:highlight w:val="none"/>
            </w:rPr>
            <w:instrText xml:space="preserve"> PAGEREF _Toc31406 \h </w:instrText>
          </w:r>
          <w:r>
            <w:rPr>
              <w:color w:val="auto"/>
              <w:highlight w:val="none"/>
            </w:rPr>
            <w:fldChar w:fldCharType="separate"/>
          </w:r>
          <w:r>
            <w:rPr>
              <w:color w:val="auto"/>
              <w:highlight w:val="none"/>
            </w:rPr>
            <w:t>354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_Toc4849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9.3.1 </w:t>
          </w:r>
          <w:r>
            <w:rPr>
              <w:color w:val="auto"/>
              <w:highlight w:val="none"/>
            </w:rPr>
            <w:t>监测机构</w:t>
          </w:r>
          <w:r>
            <w:rPr>
              <w:color w:val="auto"/>
              <w:highlight w:val="none"/>
            </w:rPr>
            <w:tab/>
          </w:r>
          <w:r>
            <w:rPr>
              <w:color w:val="auto"/>
              <w:highlight w:val="none"/>
            </w:rPr>
            <w:fldChar w:fldCharType="begin"/>
          </w:r>
          <w:r>
            <w:rPr>
              <w:color w:val="auto"/>
              <w:highlight w:val="none"/>
            </w:rPr>
            <w:instrText xml:space="preserve"> PAGEREF _Toc4849 \h </w:instrText>
          </w:r>
          <w:r>
            <w:rPr>
              <w:color w:val="auto"/>
              <w:highlight w:val="none"/>
            </w:rPr>
            <w:fldChar w:fldCharType="separate"/>
          </w:r>
          <w:r>
            <w:rPr>
              <w:color w:val="auto"/>
              <w:highlight w:val="none"/>
            </w:rPr>
            <w:t>354</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_Toc10293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9.3.2 </w:t>
          </w:r>
          <w:r>
            <w:rPr>
              <w:color w:val="auto"/>
              <w:highlight w:val="none"/>
            </w:rPr>
            <w:t>监测内容</w:t>
          </w:r>
          <w:r>
            <w:rPr>
              <w:color w:val="auto"/>
              <w:highlight w:val="none"/>
            </w:rPr>
            <w:tab/>
          </w:r>
          <w:r>
            <w:rPr>
              <w:color w:val="auto"/>
              <w:highlight w:val="none"/>
            </w:rPr>
            <w:fldChar w:fldCharType="begin"/>
          </w:r>
          <w:r>
            <w:rPr>
              <w:color w:val="auto"/>
              <w:highlight w:val="none"/>
            </w:rPr>
            <w:instrText xml:space="preserve"> PAGEREF _Toc10293 \h </w:instrText>
          </w:r>
          <w:r>
            <w:rPr>
              <w:color w:val="auto"/>
              <w:highlight w:val="none"/>
            </w:rPr>
            <w:fldChar w:fldCharType="separate"/>
          </w:r>
          <w:r>
            <w:rPr>
              <w:color w:val="auto"/>
              <w:highlight w:val="none"/>
            </w:rPr>
            <w:t>354</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_Toc19635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10 </w:t>
          </w:r>
          <w:r>
            <w:rPr>
              <w:color w:val="auto"/>
              <w:highlight w:val="none"/>
            </w:rPr>
            <w:t>公众参与</w:t>
          </w:r>
          <w:r>
            <w:rPr>
              <w:color w:val="auto"/>
              <w:highlight w:val="none"/>
            </w:rPr>
            <w:tab/>
          </w:r>
          <w:r>
            <w:rPr>
              <w:color w:val="auto"/>
              <w:highlight w:val="none"/>
            </w:rPr>
            <w:fldChar w:fldCharType="begin"/>
          </w:r>
          <w:r>
            <w:rPr>
              <w:color w:val="auto"/>
              <w:highlight w:val="none"/>
            </w:rPr>
            <w:instrText xml:space="preserve"> PAGEREF _Toc19635 \h </w:instrText>
          </w:r>
          <w:r>
            <w:rPr>
              <w:color w:val="auto"/>
              <w:highlight w:val="none"/>
            </w:rPr>
            <w:fldChar w:fldCharType="separate"/>
          </w:r>
          <w:r>
            <w:rPr>
              <w:color w:val="auto"/>
              <w:highlight w:val="none"/>
            </w:rPr>
            <w:t>358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_Toc30476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10.1 </w:t>
          </w:r>
          <w:r>
            <w:rPr>
              <w:color w:val="auto"/>
              <w:highlight w:val="none"/>
            </w:rPr>
            <w:t>概述</w:t>
          </w:r>
          <w:r>
            <w:rPr>
              <w:color w:val="auto"/>
              <w:highlight w:val="none"/>
            </w:rPr>
            <w:tab/>
          </w:r>
          <w:r>
            <w:rPr>
              <w:color w:val="auto"/>
              <w:highlight w:val="none"/>
            </w:rPr>
            <w:fldChar w:fldCharType="begin"/>
          </w:r>
          <w:r>
            <w:rPr>
              <w:color w:val="auto"/>
              <w:highlight w:val="none"/>
            </w:rPr>
            <w:instrText xml:space="preserve"> PAGEREF _Toc30476 \h </w:instrText>
          </w:r>
          <w:r>
            <w:rPr>
              <w:color w:val="auto"/>
              <w:highlight w:val="none"/>
            </w:rPr>
            <w:fldChar w:fldCharType="separate"/>
          </w:r>
          <w:r>
            <w:rPr>
              <w:color w:val="auto"/>
              <w:highlight w:val="none"/>
            </w:rPr>
            <w:t>358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_Toc8820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10.2 </w:t>
          </w:r>
          <w:r>
            <w:rPr>
              <w:color w:val="auto"/>
              <w:highlight w:val="none"/>
            </w:rPr>
            <w:t>首次环境影响评价信息公开情况</w:t>
          </w:r>
          <w:r>
            <w:rPr>
              <w:color w:val="auto"/>
              <w:highlight w:val="none"/>
            </w:rPr>
            <w:tab/>
          </w:r>
          <w:r>
            <w:rPr>
              <w:color w:val="auto"/>
              <w:highlight w:val="none"/>
            </w:rPr>
            <w:fldChar w:fldCharType="begin"/>
          </w:r>
          <w:r>
            <w:rPr>
              <w:color w:val="auto"/>
              <w:highlight w:val="none"/>
            </w:rPr>
            <w:instrText xml:space="preserve"> PAGEREF _Toc8820 \h </w:instrText>
          </w:r>
          <w:r>
            <w:rPr>
              <w:color w:val="auto"/>
              <w:highlight w:val="none"/>
            </w:rPr>
            <w:fldChar w:fldCharType="separate"/>
          </w:r>
          <w:r>
            <w:rPr>
              <w:color w:val="auto"/>
              <w:highlight w:val="none"/>
            </w:rPr>
            <w:t>358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_Toc2830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10.2.1 </w:t>
          </w:r>
          <w:r>
            <w:rPr>
              <w:color w:val="auto"/>
              <w:highlight w:val="none"/>
            </w:rPr>
            <w:t>公开内容及日期</w:t>
          </w:r>
          <w:r>
            <w:rPr>
              <w:color w:val="auto"/>
              <w:highlight w:val="none"/>
            </w:rPr>
            <w:tab/>
          </w:r>
          <w:r>
            <w:rPr>
              <w:color w:val="auto"/>
              <w:highlight w:val="none"/>
            </w:rPr>
            <w:fldChar w:fldCharType="begin"/>
          </w:r>
          <w:r>
            <w:rPr>
              <w:color w:val="auto"/>
              <w:highlight w:val="none"/>
            </w:rPr>
            <w:instrText xml:space="preserve"> PAGEREF _Toc2830 \h </w:instrText>
          </w:r>
          <w:r>
            <w:rPr>
              <w:color w:val="auto"/>
              <w:highlight w:val="none"/>
            </w:rPr>
            <w:fldChar w:fldCharType="separate"/>
          </w:r>
          <w:r>
            <w:rPr>
              <w:color w:val="auto"/>
              <w:highlight w:val="none"/>
            </w:rPr>
            <w:t>358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_Toc4668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10.3 </w:t>
          </w:r>
          <w:r>
            <w:rPr>
              <w:rFonts w:hint="eastAsia"/>
              <w:color w:val="auto"/>
              <w:highlight w:val="none"/>
              <w:lang w:eastAsia="zh-CN"/>
            </w:rPr>
            <w:t>征求意见稿的</w:t>
          </w:r>
          <w:r>
            <w:rPr>
              <w:color w:val="auto"/>
              <w:highlight w:val="none"/>
            </w:rPr>
            <w:t>环境影响评价信息公开情况</w:t>
          </w:r>
          <w:r>
            <w:rPr>
              <w:color w:val="auto"/>
              <w:highlight w:val="none"/>
            </w:rPr>
            <w:tab/>
          </w:r>
          <w:r>
            <w:rPr>
              <w:color w:val="auto"/>
              <w:highlight w:val="none"/>
            </w:rPr>
            <w:fldChar w:fldCharType="begin"/>
          </w:r>
          <w:r>
            <w:rPr>
              <w:color w:val="auto"/>
              <w:highlight w:val="none"/>
            </w:rPr>
            <w:instrText xml:space="preserve"> PAGEREF _Toc4668 \h </w:instrText>
          </w:r>
          <w:r>
            <w:rPr>
              <w:color w:val="auto"/>
              <w:highlight w:val="none"/>
            </w:rPr>
            <w:fldChar w:fldCharType="separate"/>
          </w:r>
          <w:r>
            <w:rPr>
              <w:color w:val="auto"/>
              <w:highlight w:val="none"/>
            </w:rPr>
            <w:t>359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_Toc30065 </w:instrText>
          </w:r>
          <w:r>
            <w:rPr>
              <w:color w:val="auto"/>
              <w:highlight w:val="none"/>
            </w:rPr>
            <w:fldChar w:fldCharType="separate"/>
          </w:r>
          <w:r>
            <w:rPr>
              <w:color w:val="auto"/>
              <w:highlight w:val="none"/>
              <w:lang w:val="en-US"/>
            </w:rPr>
            <w:t>1</w:t>
          </w:r>
          <w:r>
            <w:rPr>
              <w:rFonts w:hint="eastAsia"/>
              <w:color w:val="auto"/>
              <w:highlight w:val="none"/>
              <w:lang w:val="en-US" w:eastAsia="zh-CN"/>
            </w:rPr>
            <w:t>0</w:t>
          </w:r>
          <w:r>
            <w:rPr>
              <w:color w:val="auto"/>
              <w:highlight w:val="none"/>
              <w:lang w:val="en-US"/>
            </w:rPr>
            <w:t>.3.1</w:t>
          </w:r>
          <w:r>
            <w:rPr>
              <w:rFonts w:hint="eastAsia"/>
              <w:color w:val="auto"/>
              <w:highlight w:val="none"/>
              <w:lang w:val="en-US"/>
            </w:rPr>
            <w:t xml:space="preserve">  </w:t>
          </w:r>
          <w:r>
            <w:rPr>
              <w:color w:val="auto"/>
              <w:highlight w:val="none"/>
              <w:lang w:val="en-US"/>
            </w:rPr>
            <w:t>公示内容及时间</w:t>
          </w:r>
          <w:r>
            <w:rPr>
              <w:color w:val="auto"/>
              <w:highlight w:val="none"/>
            </w:rPr>
            <w:tab/>
          </w:r>
          <w:r>
            <w:rPr>
              <w:color w:val="auto"/>
              <w:highlight w:val="none"/>
            </w:rPr>
            <w:fldChar w:fldCharType="begin"/>
          </w:r>
          <w:r>
            <w:rPr>
              <w:color w:val="auto"/>
              <w:highlight w:val="none"/>
            </w:rPr>
            <w:instrText xml:space="preserve"> PAGEREF _Toc30065 \h </w:instrText>
          </w:r>
          <w:r>
            <w:rPr>
              <w:color w:val="auto"/>
              <w:highlight w:val="none"/>
            </w:rPr>
            <w:fldChar w:fldCharType="separate"/>
          </w:r>
          <w:r>
            <w:rPr>
              <w:color w:val="auto"/>
              <w:highlight w:val="none"/>
            </w:rPr>
            <w:t>359</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_Toc28294 </w:instrText>
          </w:r>
          <w:r>
            <w:rPr>
              <w:color w:val="auto"/>
              <w:highlight w:val="none"/>
            </w:rPr>
            <w:fldChar w:fldCharType="separate"/>
          </w:r>
          <w:r>
            <w:rPr>
              <w:color w:val="auto"/>
              <w:highlight w:val="none"/>
              <w:lang w:val="en-US"/>
            </w:rPr>
            <w:t>1</w:t>
          </w:r>
          <w:r>
            <w:rPr>
              <w:rFonts w:hint="eastAsia"/>
              <w:color w:val="auto"/>
              <w:highlight w:val="none"/>
              <w:lang w:val="en-US" w:eastAsia="zh-CN"/>
            </w:rPr>
            <w:t>0</w:t>
          </w:r>
          <w:r>
            <w:rPr>
              <w:color w:val="auto"/>
              <w:highlight w:val="none"/>
              <w:lang w:val="en-US"/>
            </w:rPr>
            <w:t>.3.2</w:t>
          </w:r>
          <w:r>
            <w:rPr>
              <w:rFonts w:hint="eastAsia"/>
              <w:color w:val="auto"/>
              <w:highlight w:val="none"/>
              <w:lang w:val="en-US"/>
            </w:rPr>
            <w:t xml:space="preserve">  </w:t>
          </w:r>
          <w:r>
            <w:rPr>
              <w:color w:val="auto"/>
              <w:highlight w:val="none"/>
              <w:lang w:val="en-US"/>
            </w:rPr>
            <w:t>公示方式</w:t>
          </w:r>
          <w:r>
            <w:rPr>
              <w:color w:val="auto"/>
              <w:highlight w:val="none"/>
            </w:rPr>
            <w:tab/>
          </w:r>
          <w:r>
            <w:rPr>
              <w:color w:val="auto"/>
              <w:highlight w:val="none"/>
            </w:rPr>
            <w:fldChar w:fldCharType="begin"/>
          </w:r>
          <w:r>
            <w:rPr>
              <w:color w:val="auto"/>
              <w:highlight w:val="none"/>
            </w:rPr>
            <w:instrText xml:space="preserve"> PAGEREF _Toc28294 \h </w:instrText>
          </w:r>
          <w:r>
            <w:rPr>
              <w:color w:val="auto"/>
              <w:highlight w:val="none"/>
            </w:rPr>
            <w:fldChar w:fldCharType="separate"/>
          </w:r>
          <w:r>
            <w:rPr>
              <w:color w:val="auto"/>
              <w:highlight w:val="none"/>
            </w:rPr>
            <w:t>360</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_Toc13401 </w:instrText>
          </w:r>
          <w:r>
            <w:rPr>
              <w:color w:val="auto"/>
              <w:highlight w:val="none"/>
            </w:rPr>
            <w:fldChar w:fldCharType="separate"/>
          </w:r>
          <w:r>
            <w:rPr>
              <w:rFonts w:hint="default" w:ascii="Times New Roman" w:hAnsi="Times New Roman" w:eastAsia="Times New Roman" w:cs="Times New Roman"/>
              <w:bCs/>
              <w:color w:val="auto"/>
              <w:w w:val="99"/>
              <w:szCs w:val="32"/>
              <w:highlight w:val="none"/>
            </w:rPr>
            <w:t xml:space="preserve">11 </w:t>
          </w:r>
          <w:r>
            <w:rPr>
              <w:color w:val="auto"/>
              <w:highlight w:val="none"/>
            </w:rPr>
            <w:t>综合结论</w:t>
          </w:r>
          <w:r>
            <w:rPr>
              <w:color w:val="auto"/>
              <w:highlight w:val="none"/>
            </w:rPr>
            <w:tab/>
          </w:r>
          <w:r>
            <w:rPr>
              <w:color w:val="auto"/>
              <w:highlight w:val="none"/>
            </w:rPr>
            <w:fldChar w:fldCharType="begin"/>
          </w:r>
          <w:r>
            <w:rPr>
              <w:color w:val="auto"/>
              <w:highlight w:val="none"/>
            </w:rPr>
            <w:instrText xml:space="preserve"> PAGEREF _Toc13401 \h </w:instrText>
          </w:r>
          <w:r>
            <w:rPr>
              <w:color w:val="auto"/>
              <w:highlight w:val="none"/>
            </w:rPr>
            <w:fldChar w:fldCharType="separate"/>
          </w:r>
          <w:r>
            <w:rPr>
              <w:color w:val="auto"/>
              <w:highlight w:val="none"/>
            </w:rPr>
            <w:t>364</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_Toc17432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11.1 </w:t>
          </w:r>
          <w:r>
            <w:rPr>
              <w:color w:val="auto"/>
              <w:highlight w:val="none"/>
            </w:rPr>
            <w:t>矿区总体规划概况</w:t>
          </w:r>
          <w:r>
            <w:rPr>
              <w:color w:val="auto"/>
              <w:highlight w:val="none"/>
            </w:rPr>
            <w:tab/>
          </w:r>
          <w:r>
            <w:rPr>
              <w:color w:val="auto"/>
              <w:highlight w:val="none"/>
            </w:rPr>
            <w:fldChar w:fldCharType="begin"/>
          </w:r>
          <w:r>
            <w:rPr>
              <w:color w:val="auto"/>
              <w:highlight w:val="none"/>
            </w:rPr>
            <w:instrText xml:space="preserve"> PAGEREF _Toc17432 \h </w:instrText>
          </w:r>
          <w:r>
            <w:rPr>
              <w:color w:val="auto"/>
              <w:highlight w:val="none"/>
            </w:rPr>
            <w:fldChar w:fldCharType="separate"/>
          </w:r>
          <w:r>
            <w:rPr>
              <w:color w:val="auto"/>
              <w:highlight w:val="none"/>
            </w:rPr>
            <w:t>364</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_Toc21472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11.2 </w:t>
          </w:r>
          <w:r>
            <w:rPr>
              <w:color w:val="auto"/>
              <w:highlight w:val="none"/>
            </w:rPr>
            <w:t>矿区总体规划协调性结论</w:t>
          </w:r>
          <w:r>
            <w:rPr>
              <w:color w:val="auto"/>
              <w:highlight w:val="none"/>
            </w:rPr>
            <w:tab/>
          </w:r>
          <w:r>
            <w:rPr>
              <w:color w:val="auto"/>
              <w:highlight w:val="none"/>
            </w:rPr>
            <w:fldChar w:fldCharType="begin"/>
          </w:r>
          <w:r>
            <w:rPr>
              <w:color w:val="auto"/>
              <w:highlight w:val="none"/>
            </w:rPr>
            <w:instrText xml:space="preserve"> PAGEREF _Toc21472 \h </w:instrText>
          </w:r>
          <w:r>
            <w:rPr>
              <w:color w:val="auto"/>
              <w:highlight w:val="none"/>
            </w:rPr>
            <w:fldChar w:fldCharType="separate"/>
          </w:r>
          <w:r>
            <w:rPr>
              <w:color w:val="auto"/>
              <w:highlight w:val="none"/>
            </w:rPr>
            <w:t>364</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_Toc32617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11.3 </w:t>
          </w:r>
          <w:r>
            <w:rPr>
              <w:color w:val="auto"/>
              <w:highlight w:val="none"/>
            </w:rPr>
            <w:t>环境质量现状及回顾性评价</w:t>
          </w:r>
          <w:r>
            <w:rPr>
              <w:color w:val="auto"/>
              <w:highlight w:val="none"/>
            </w:rPr>
            <w:tab/>
          </w:r>
          <w:r>
            <w:rPr>
              <w:color w:val="auto"/>
              <w:highlight w:val="none"/>
            </w:rPr>
            <w:fldChar w:fldCharType="begin"/>
          </w:r>
          <w:r>
            <w:rPr>
              <w:color w:val="auto"/>
              <w:highlight w:val="none"/>
            </w:rPr>
            <w:instrText xml:space="preserve"> PAGEREF _Toc32617 \h </w:instrText>
          </w:r>
          <w:r>
            <w:rPr>
              <w:color w:val="auto"/>
              <w:highlight w:val="none"/>
            </w:rPr>
            <w:fldChar w:fldCharType="separate"/>
          </w:r>
          <w:r>
            <w:rPr>
              <w:color w:val="auto"/>
              <w:highlight w:val="none"/>
            </w:rPr>
            <w:t>365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_Toc25693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11.3.1 </w:t>
          </w:r>
          <w:r>
            <w:rPr>
              <w:color w:val="auto"/>
              <w:highlight w:val="none"/>
            </w:rPr>
            <w:t>环境质量现状</w:t>
          </w:r>
          <w:r>
            <w:rPr>
              <w:color w:val="auto"/>
              <w:highlight w:val="none"/>
            </w:rPr>
            <w:tab/>
          </w:r>
          <w:r>
            <w:rPr>
              <w:color w:val="auto"/>
              <w:highlight w:val="none"/>
            </w:rPr>
            <w:fldChar w:fldCharType="begin"/>
          </w:r>
          <w:r>
            <w:rPr>
              <w:color w:val="auto"/>
              <w:highlight w:val="none"/>
            </w:rPr>
            <w:instrText xml:space="preserve"> PAGEREF _Toc25693 \h </w:instrText>
          </w:r>
          <w:r>
            <w:rPr>
              <w:color w:val="auto"/>
              <w:highlight w:val="none"/>
            </w:rPr>
            <w:fldChar w:fldCharType="separate"/>
          </w:r>
          <w:r>
            <w:rPr>
              <w:color w:val="auto"/>
              <w:highlight w:val="none"/>
            </w:rPr>
            <w:t>365</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_Toc22084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11.3.2 </w:t>
          </w:r>
          <w:r>
            <w:rPr>
              <w:color w:val="auto"/>
              <w:highlight w:val="none"/>
            </w:rPr>
            <w:t>回顾性评价</w:t>
          </w:r>
          <w:r>
            <w:rPr>
              <w:color w:val="auto"/>
              <w:highlight w:val="none"/>
            </w:rPr>
            <w:tab/>
          </w:r>
          <w:r>
            <w:rPr>
              <w:color w:val="auto"/>
              <w:highlight w:val="none"/>
            </w:rPr>
            <w:fldChar w:fldCharType="begin"/>
          </w:r>
          <w:r>
            <w:rPr>
              <w:color w:val="auto"/>
              <w:highlight w:val="none"/>
            </w:rPr>
            <w:instrText xml:space="preserve"> PAGEREF _Toc22084 \h </w:instrText>
          </w:r>
          <w:r>
            <w:rPr>
              <w:color w:val="auto"/>
              <w:highlight w:val="none"/>
            </w:rPr>
            <w:fldChar w:fldCharType="separate"/>
          </w:r>
          <w:r>
            <w:rPr>
              <w:color w:val="auto"/>
              <w:highlight w:val="none"/>
            </w:rPr>
            <w:t>365</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_Toc22521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11.4 </w:t>
          </w:r>
          <w:r>
            <w:rPr>
              <w:color w:val="auto"/>
              <w:highlight w:val="none"/>
            </w:rPr>
            <w:t>矿区规划实施环境影响及措施结论</w:t>
          </w:r>
          <w:r>
            <w:rPr>
              <w:color w:val="auto"/>
              <w:highlight w:val="none"/>
            </w:rPr>
            <w:tab/>
          </w:r>
          <w:r>
            <w:rPr>
              <w:color w:val="auto"/>
              <w:highlight w:val="none"/>
            </w:rPr>
            <w:fldChar w:fldCharType="begin"/>
          </w:r>
          <w:r>
            <w:rPr>
              <w:color w:val="auto"/>
              <w:highlight w:val="none"/>
            </w:rPr>
            <w:instrText xml:space="preserve"> PAGEREF _Toc22521 \h </w:instrText>
          </w:r>
          <w:r>
            <w:rPr>
              <w:color w:val="auto"/>
              <w:highlight w:val="none"/>
            </w:rPr>
            <w:fldChar w:fldCharType="separate"/>
          </w:r>
          <w:r>
            <w:rPr>
              <w:color w:val="auto"/>
              <w:highlight w:val="none"/>
            </w:rPr>
            <w:t>366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_Toc24466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11.4.1 </w:t>
          </w:r>
          <w:r>
            <w:rPr>
              <w:color w:val="auto"/>
              <w:highlight w:val="none"/>
            </w:rPr>
            <w:t>生态环境影响评价结论</w:t>
          </w:r>
          <w:r>
            <w:rPr>
              <w:color w:val="auto"/>
              <w:highlight w:val="none"/>
            </w:rPr>
            <w:tab/>
          </w:r>
          <w:r>
            <w:rPr>
              <w:color w:val="auto"/>
              <w:highlight w:val="none"/>
            </w:rPr>
            <w:fldChar w:fldCharType="begin"/>
          </w:r>
          <w:r>
            <w:rPr>
              <w:color w:val="auto"/>
              <w:highlight w:val="none"/>
            </w:rPr>
            <w:instrText xml:space="preserve"> PAGEREF _Toc24466 \h </w:instrText>
          </w:r>
          <w:r>
            <w:rPr>
              <w:color w:val="auto"/>
              <w:highlight w:val="none"/>
            </w:rPr>
            <w:fldChar w:fldCharType="separate"/>
          </w:r>
          <w:r>
            <w:rPr>
              <w:color w:val="auto"/>
              <w:highlight w:val="none"/>
            </w:rPr>
            <w:t>366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_Toc10701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11.4.2 </w:t>
          </w:r>
          <w:r>
            <w:rPr>
              <w:color w:val="auto"/>
              <w:highlight w:val="none"/>
            </w:rPr>
            <w:t>地下水环境影响评价结论</w:t>
          </w:r>
          <w:r>
            <w:rPr>
              <w:color w:val="auto"/>
              <w:highlight w:val="none"/>
            </w:rPr>
            <w:tab/>
          </w:r>
          <w:r>
            <w:rPr>
              <w:color w:val="auto"/>
              <w:highlight w:val="none"/>
            </w:rPr>
            <w:fldChar w:fldCharType="begin"/>
          </w:r>
          <w:r>
            <w:rPr>
              <w:color w:val="auto"/>
              <w:highlight w:val="none"/>
            </w:rPr>
            <w:instrText xml:space="preserve"> PAGEREF _Toc10701 \h </w:instrText>
          </w:r>
          <w:r>
            <w:rPr>
              <w:color w:val="auto"/>
              <w:highlight w:val="none"/>
            </w:rPr>
            <w:fldChar w:fldCharType="separate"/>
          </w:r>
          <w:r>
            <w:rPr>
              <w:color w:val="auto"/>
              <w:highlight w:val="none"/>
            </w:rPr>
            <w:t>366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_Toc21108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11.4.3 </w:t>
          </w:r>
          <w:r>
            <w:rPr>
              <w:color w:val="auto"/>
              <w:highlight w:val="none"/>
            </w:rPr>
            <w:t>地表水环境影响评价结论</w:t>
          </w:r>
          <w:r>
            <w:rPr>
              <w:color w:val="auto"/>
              <w:highlight w:val="none"/>
            </w:rPr>
            <w:tab/>
          </w:r>
          <w:r>
            <w:rPr>
              <w:color w:val="auto"/>
              <w:highlight w:val="none"/>
            </w:rPr>
            <w:fldChar w:fldCharType="begin"/>
          </w:r>
          <w:r>
            <w:rPr>
              <w:color w:val="auto"/>
              <w:highlight w:val="none"/>
            </w:rPr>
            <w:instrText xml:space="preserve"> PAGEREF _Toc21108 \h </w:instrText>
          </w:r>
          <w:r>
            <w:rPr>
              <w:color w:val="auto"/>
              <w:highlight w:val="none"/>
            </w:rPr>
            <w:fldChar w:fldCharType="separate"/>
          </w:r>
          <w:r>
            <w:rPr>
              <w:color w:val="auto"/>
              <w:highlight w:val="none"/>
            </w:rPr>
            <w:t>366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_Toc807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11.4.4 </w:t>
          </w:r>
          <w:r>
            <w:rPr>
              <w:color w:val="auto"/>
              <w:highlight w:val="none"/>
            </w:rPr>
            <w:t>大气环境影响评价结论</w:t>
          </w:r>
          <w:r>
            <w:rPr>
              <w:color w:val="auto"/>
              <w:highlight w:val="none"/>
            </w:rPr>
            <w:tab/>
          </w:r>
          <w:r>
            <w:rPr>
              <w:color w:val="auto"/>
              <w:highlight w:val="none"/>
            </w:rPr>
            <w:fldChar w:fldCharType="begin"/>
          </w:r>
          <w:r>
            <w:rPr>
              <w:color w:val="auto"/>
              <w:highlight w:val="none"/>
            </w:rPr>
            <w:instrText xml:space="preserve"> PAGEREF _Toc807 \h </w:instrText>
          </w:r>
          <w:r>
            <w:rPr>
              <w:color w:val="auto"/>
              <w:highlight w:val="none"/>
            </w:rPr>
            <w:fldChar w:fldCharType="separate"/>
          </w:r>
          <w:r>
            <w:rPr>
              <w:color w:val="auto"/>
              <w:highlight w:val="none"/>
            </w:rPr>
            <w:t>366</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_Toc28426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11.4.5 </w:t>
          </w:r>
          <w:r>
            <w:rPr>
              <w:color w:val="auto"/>
              <w:highlight w:val="none"/>
            </w:rPr>
            <w:t>声环境影响评价结论</w:t>
          </w:r>
          <w:r>
            <w:rPr>
              <w:color w:val="auto"/>
              <w:highlight w:val="none"/>
            </w:rPr>
            <w:tab/>
          </w:r>
          <w:r>
            <w:rPr>
              <w:color w:val="auto"/>
              <w:highlight w:val="none"/>
            </w:rPr>
            <w:fldChar w:fldCharType="begin"/>
          </w:r>
          <w:r>
            <w:rPr>
              <w:color w:val="auto"/>
              <w:highlight w:val="none"/>
            </w:rPr>
            <w:instrText xml:space="preserve"> PAGEREF _Toc28426 \h </w:instrText>
          </w:r>
          <w:r>
            <w:rPr>
              <w:color w:val="auto"/>
              <w:highlight w:val="none"/>
            </w:rPr>
            <w:fldChar w:fldCharType="separate"/>
          </w:r>
          <w:r>
            <w:rPr>
              <w:color w:val="auto"/>
              <w:highlight w:val="none"/>
            </w:rPr>
            <w:t>367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_Toc30621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11.4.6 </w:t>
          </w:r>
          <w:r>
            <w:rPr>
              <w:color w:val="auto"/>
              <w:highlight w:val="none"/>
            </w:rPr>
            <w:t>固体废物处置环境影响评价结论</w:t>
          </w:r>
          <w:r>
            <w:rPr>
              <w:color w:val="auto"/>
              <w:highlight w:val="none"/>
            </w:rPr>
            <w:tab/>
          </w:r>
          <w:r>
            <w:rPr>
              <w:color w:val="auto"/>
              <w:highlight w:val="none"/>
            </w:rPr>
            <w:fldChar w:fldCharType="begin"/>
          </w:r>
          <w:r>
            <w:rPr>
              <w:color w:val="auto"/>
              <w:highlight w:val="none"/>
            </w:rPr>
            <w:instrText xml:space="preserve"> PAGEREF _Toc30621 \h </w:instrText>
          </w:r>
          <w:r>
            <w:rPr>
              <w:color w:val="auto"/>
              <w:highlight w:val="none"/>
            </w:rPr>
            <w:fldChar w:fldCharType="separate"/>
          </w:r>
          <w:r>
            <w:rPr>
              <w:color w:val="auto"/>
              <w:highlight w:val="none"/>
            </w:rPr>
            <w:t>367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_Toc26271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11.4.7 </w:t>
          </w:r>
          <w:r>
            <w:rPr>
              <w:color w:val="auto"/>
              <w:highlight w:val="none"/>
            </w:rPr>
            <w:t>土壤环境影响评价结论</w:t>
          </w:r>
          <w:r>
            <w:rPr>
              <w:color w:val="auto"/>
              <w:highlight w:val="none"/>
            </w:rPr>
            <w:tab/>
          </w:r>
          <w:r>
            <w:rPr>
              <w:color w:val="auto"/>
              <w:highlight w:val="none"/>
            </w:rPr>
            <w:fldChar w:fldCharType="begin"/>
          </w:r>
          <w:r>
            <w:rPr>
              <w:color w:val="auto"/>
              <w:highlight w:val="none"/>
            </w:rPr>
            <w:instrText xml:space="preserve"> PAGEREF _Toc26271 \h </w:instrText>
          </w:r>
          <w:r>
            <w:rPr>
              <w:color w:val="auto"/>
              <w:highlight w:val="none"/>
            </w:rPr>
            <w:fldChar w:fldCharType="separate"/>
          </w:r>
          <w:r>
            <w:rPr>
              <w:color w:val="auto"/>
              <w:highlight w:val="none"/>
            </w:rPr>
            <w:t>367</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_Toc30490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11.5 </w:t>
          </w:r>
          <w:r>
            <w:rPr>
              <w:color w:val="auto"/>
              <w:highlight w:val="none"/>
            </w:rPr>
            <w:t>资源、环境承载力分析结论</w:t>
          </w:r>
          <w:r>
            <w:rPr>
              <w:color w:val="auto"/>
              <w:highlight w:val="none"/>
            </w:rPr>
            <w:tab/>
          </w:r>
          <w:r>
            <w:rPr>
              <w:color w:val="auto"/>
              <w:highlight w:val="none"/>
            </w:rPr>
            <w:fldChar w:fldCharType="begin"/>
          </w:r>
          <w:r>
            <w:rPr>
              <w:color w:val="auto"/>
              <w:highlight w:val="none"/>
            </w:rPr>
            <w:instrText xml:space="preserve"> PAGEREF _Toc30490 \h </w:instrText>
          </w:r>
          <w:r>
            <w:rPr>
              <w:color w:val="auto"/>
              <w:highlight w:val="none"/>
            </w:rPr>
            <w:fldChar w:fldCharType="separate"/>
          </w:r>
          <w:r>
            <w:rPr>
              <w:color w:val="auto"/>
              <w:highlight w:val="none"/>
            </w:rPr>
            <w:t>367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_Toc1556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11.5.1 </w:t>
          </w:r>
          <w:r>
            <w:rPr>
              <w:color w:val="auto"/>
              <w:highlight w:val="none"/>
            </w:rPr>
            <w:t>水资源承载力</w:t>
          </w:r>
          <w:r>
            <w:rPr>
              <w:color w:val="auto"/>
              <w:highlight w:val="none"/>
            </w:rPr>
            <w:tab/>
          </w:r>
          <w:r>
            <w:rPr>
              <w:color w:val="auto"/>
              <w:highlight w:val="none"/>
            </w:rPr>
            <w:fldChar w:fldCharType="begin"/>
          </w:r>
          <w:r>
            <w:rPr>
              <w:color w:val="auto"/>
              <w:highlight w:val="none"/>
            </w:rPr>
            <w:instrText xml:space="preserve"> PAGEREF _Toc1556 \h </w:instrText>
          </w:r>
          <w:r>
            <w:rPr>
              <w:color w:val="auto"/>
              <w:highlight w:val="none"/>
            </w:rPr>
            <w:fldChar w:fldCharType="separate"/>
          </w:r>
          <w:r>
            <w:rPr>
              <w:color w:val="auto"/>
              <w:highlight w:val="none"/>
            </w:rPr>
            <w:t>367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_Toc19731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11.5.2 </w:t>
          </w:r>
          <w:r>
            <w:rPr>
              <w:color w:val="auto"/>
              <w:highlight w:val="none"/>
            </w:rPr>
            <w:t>土地资源承载力结论</w:t>
          </w:r>
          <w:r>
            <w:rPr>
              <w:color w:val="auto"/>
              <w:highlight w:val="none"/>
            </w:rPr>
            <w:tab/>
          </w:r>
          <w:r>
            <w:rPr>
              <w:color w:val="auto"/>
              <w:highlight w:val="none"/>
            </w:rPr>
            <w:fldChar w:fldCharType="begin"/>
          </w:r>
          <w:r>
            <w:rPr>
              <w:color w:val="auto"/>
              <w:highlight w:val="none"/>
            </w:rPr>
            <w:instrText xml:space="preserve"> PAGEREF _Toc19731 \h </w:instrText>
          </w:r>
          <w:r>
            <w:rPr>
              <w:color w:val="auto"/>
              <w:highlight w:val="none"/>
            </w:rPr>
            <w:fldChar w:fldCharType="separate"/>
          </w:r>
          <w:r>
            <w:rPr>
              <w:color w:val="auto"/>
              <w:highlight w:val="none"/>
            </w:rPr>
            <w:t>367</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_Toc15549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11.5.3 </w:t>
          </w:r>
          <w:r>
            <w:rPr>
              <w:color w:val="auto"/>
              <w:highlight w:val="none"/>
            </w:rPr>
            <w:t>大气环境承载力结论</w:t>
          </w:r>
          <w:r>
            <w:rPr>
              <w:color w:val="auto"/>
              <w:highlight w:val="none"/>
            </w:rPr>
            <w:tab/>
          </w:r>
          <w:r>
            <w:rPr>
              <w:color w:val="auto"/>
              <w:highlight w:val="none"/>
            </w:rPr>
            <w:fldChar w:fldCharType="begin"/>
          </w:r>
          <w:r>
            <w:rPr>
              <w:color w:val="auto"/>
              <w:highlight w:val="none"/>
            </w:rPr>
            <w:instrText xml:space="preserve"> PAGEREF _Toc15549 \h </w:instrText>
          </w:r>
          <w:r>
            <w:rPr>
              <w:color w:val="auto"/>
              <w:highlight w:val="none"/>
            </w:rPr>
            <w:fldChar w:fldCharType="separate"/>
          </w:r>
          <w:r>
            <w:rPr>
              <w:color w:val="auto"/>
              <w:highlight w:val="none"/>
            </w:rPr>
            <w:t>368</w:t>
          </w:r>
          <w:r>
            <w:rPr>
              <w:color w:val="auto"/>
              <w:highlight w:val="none"/>
            </w:rPr>
            <w:fldChar w:fldCharType="end"/>
          </w:r>
          <w:r>
            <w:rPr>
              <w:color w:val="auto"/>
              <w:highlight w:val="none"/>
            </w:rPr>
            <w:fldChar w:fldCharType="end"/>
          </w:r>
        </w:p>
        <w:p>
          <w:pPr>
            <w:pStyle w:val="26"/>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_Toc32376 </w:instrText>
          </w:r>
          <w:r>
            <w:rPr>
              <w:color w:val="auto"/>
              <w:highlight w:val="none"/>
            </w:rPr>
            <w:fldChar w:fldCharType="separate"/>
          </w:r>
          <w:r>
            <w:rPr>
              <w:rFonts w:hint="default" w:ascii="Times New Roman" w:hAnsi="Times New Roman" w:eastAsia="Times New Roman" w:cs="Times New Roman"/>
              <w:bCs/>
              <w:color w:val="auto"/>
              <w:w w:val="99"/>
              <w:szCs w:val="24"/>
              <w:highlight w:val="none"/>
            </w:rPr>
            <w:t xml:space="preserve">11.5.4 </w:t>
          </w:r>
          <w:r>
            <w:rPr>
              <w:color w:val="auto"/>
              <w:highlight w:val="none"/>
            </w:rPr>
            <w:t>生态承载力结论</w:t>
          </w:r>
          <w:r>
            <w:rPr>
              <w:color w:val="auto"/>
              <w:highlight w:val="none"/>
            </w:rPr>
            <w:tab/>
          </w:r>
          <w:r>
            <w:rPr>
              <w:color w:val="auto"/>
              <w:highlight w:val="none"/>
            </w:rPr>
            <w:fldChar w:fldCharType="begin"/>
          </w:r>
          <w:r>
            <w:rPr>
              <w:color w:val="auto"/>
              <w:highlight w:val="none"/>
            </w:rPr>
            <w:instrText xml:space="preserve"> PAGEREF _Toc32376 \h </w:instrText>
          </w:r>
          <w:r>
            <w:rPr>
              <w:color w:val="auto"/>
              <w:highlight w:val="none"/>
            </w:rPr>
            <w:fldChar w:fldCharType="separate"/>
          </w:r>
          <w:r>
            <w:rPr>
              <w:color w:val="auto"/>
              <w:highlight w:val="none"/>
            </w:rPr>
            <w:t>368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_Toc11024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11.6 </w:t>
          </w:r>
          <w:r>
            <w:rPr>
              <w:color w:val="auto"/>
              <w:highlight w:val="none"/>
            </w:rPr>
            <w:t>规划方案综合论证及调整建议</w:t>
          </w:r>
          <w:r>
            <w:rPr>
              <w:color w:val="auto"/>
              <w:highlight w:val="none"/>
            </w:rPr>
            <w:tab/>
          </w:r>
          <w:r>
            <w:rPr>
              <w:color w:val="auto"/>
              <w:highlight w:val="none"/>
            </w:rPr>
            <w:fldChar w:fldCharType="begin"/>
          </w:r>
          <w:r>
            <w:rPr>
              <w:color w:val="auto"/>
              <w:highlight w:val="none"/>
            </w:rPr>
            <w:instrText xml:space="preserve"> PAGEREF _Toc11024 \h </w:instrText>
          </w:r>
          <w:r>
            <w:rPr>
              <w:color w:val="auto"/>
              <w:highlight w:val="none"/>
            </w:rPr>
            <w:fldChar w:fldCharType="separate"/>
          </w:r>
          <w:r>
            <w:rPr>
              <w:color w:val="auto"/>
              <w:highlight w:val="none"/>
            </w:rPr>
            <w:t>368</w:t>
          </w:r>
          <w:r>
            <w:rPr>
              <w:color w:val="auto"/>
              <w:highlight w:val="none"/>
            </w:rPr>
            <w:fldChar w:fldCharType="end"/>
          </w:r>
          <w:r>
            <w:rPr>
              <w:color w:val="auto"/>
              <w:highlight w:val="none"/>
            </w:rPr>
            <w:fldChar w:fldCharType="end"/>
          </w:r>
        </w:p>
        <w:p>
          <w:pPr>
            <w:pStyle w:val="27"/>
            <w:tabs>
              <w:tab w:val="right" w:leader="underscore" w:pos="9410"/>
            </w:tabs>
            <w:rPr>
              <w:color w:val="auto"/>
              <w:highlight w:val="none"/>
            </w:rPr>
          </w:pPr>
          <w:r>
            <w:rPr>
              <w:color w:val="auto"/>
              <w:highlight w:val="none"/>
            </w:rPr>
            <w:fldChar w:fldCharType="begin"/>
          </w:r>
          <w:r>
            <w:rPr>
              <w:color w:val="auto"/>
              <w:highlight w:val="none"/>
            </w:rPr>
            <w:instrText xml:space="preserve"> HYPERLINK \l _Toc9249 </w:instrText>
          </w:r>
          <w:r>
            <w:rPr>
              <w:color w:val="auto"/>
              <w:highlight w:val="none"/>
            </w:rPr>
            <w:fldChar w:fldCharType="separate"/>
          </w:r>
          <w:r>
            <w:rPr>
              <w:rFonts w:hint="default" w:ascii="Times New Roman" w:hAnsi="Times New Roman" w:eastAsia="Times New Roman" w:cs="Times New Roman"/>
              <w:bCs/>
              <w:color w:val="auto"/>
              <w:spacing w:val="-1"/>
              <w:w w:val="100"/>
              <w:szCs w:val="28"/>
              <w:highlight w:val="none"/>
            </w:rPr>
            <w:t xml:space="preserve">11.7 </w:t>
          </w:r>
          <w:r>
            <w:rPr>
              <w:color w:val="auto"/>
              <w:highlight w:val="none"/>
            </w:rPr>
            <w:t>综合结论</w:t>
          </w:r>
          <w:r>
            <w:rPr>
              <w:color w:val="auto"/>
              <w:highlight w:val="none"/>
            </w:rPr>
            <w:tab/>
          </w:r>
          <w:r>
            <w:rPr>
              <w:color w:val="auto"/>
              <w:highlight w:val="none"/>
            </w:rPr>
            <w:fldChar w:fldCharType="begin"/>
          </w:r>
          <w:r>
            <w:rPr>
              <w:color w:val="auto"/>
              <w:highlight w:val="none"/>
            </w:rPr>
            <w:instrText xml:space="preserve"> PAGEREF _Toc9249 \h </w:instrText>
          </w:r>
          <w:r>
            <w:rPr>
              <w:color w:val="auto"/>
              <w:highlight w:val="none"/>
            </w:rPr>
            <w:fldChar w:fldCharType="separate"/>
          </w:r>
          <w:r>
            <w:rPr>
              <w:color w:val="auto"/>
              <w:highlight w:val="none"/>
            </w:rPr>
            <w:t>369</w:t>
          </w:r>
          <w:r>
            <w:rPr>
              <w:color w:val="auto"/>
              <w:highlight w:val="none"/>
            </w:rPr>
            <w:fldChar w:fldCharType="end"/>
          </w:r>
          <w:r>
            <w:rPr>
              <w:color w:val="auto"/>
              <w:highlight w:val="none"/>
            </w:rPr>
            <w:fldChar w:fldCharType="end"/>
          </w:r>
        </w:p>
        <w:p>
          <w:pPr>
            <w:pStyle w:val="28"/>
            <w:tabs>
              <w:tab w:val="right" w:leader="underscore" w:pos="9410"/>
            </w:tabs>
            <w:rPr>
              <w:color w:val="auto"/>
              <w:highlight w:val="none"/>
            </w:rPr>
          </w:pPr>
          <w:r>
            <w:rPr>
              <w:color w:val="auto"/>
              <w:highlight w:val="none"/>
            </w:rPr>
            <w:fldChar w:fldCharType="begin"/>
          </w:r>
          <w:r>
            <w:rPr>
              <w:color w:val="auto"/>
              <w:highlight w:val="none"/>
            </w:rPr>
            <w:instrText xml:space="preserve"> HYPERLINK \l _Toc32720 </w:instrText>
          </w:r>
          <w:r>
            <w:rPr>
              <w:color w:val="auto"/>
              <w:highlight w:val="none"/>
            </w:rPr>
            <w:fldChar w:fldCharType="separate"/>
          </w:r>
          <w:r>
            <w:rPr>
              <w:rFonts w:hint="eastAsia"/>
              <w:bCs/>
              <w:color w:val="auto"/>
              <w:highlight w:val="none"/>
            </w:rPr>
            <w:t>建议</w:t>
          </w:r>
          <w:r>
            <w:rPr>
              <w:rFonts w:hint="eastAsia"/>
              <w:bCs/>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_Toc32720 \h </w:instrText>
          </w:r>
          <w:r>
            <w:rPr>
              <w:color w:val="auto"/>
              <w:highlight w:val="none"/>
            </w:rPr>
            <w:fldChar w:fldCharType="separate"/>
          </w:r>
          <w:r>
            <w:rPr>
              <w:color w:val="auto"/>
              <w:highlight w:val="none"/>
            </w:rPr>
            <w:t>369</w:t>
          </w:r>
          <w:r>
            <w:rPr>
              <w:color w:val="auto"/>
              <w:highlight w:val="none"/>
            </w:rPr>
            <w:fldChar w:fldCharType="end"/>
          </w:r>
          <w:r>
            <w:rPr>
              <w:color w:val="auto"/>
              <w:highlight w:val="none"/>
            </w:rPr>
            <w:fldChar w:fldCharType="end"/>
          </w:r>
        </w:p>
        <w:p>
          <w:pPr>
            <w:pStyle w:val="4"/>
            <w:ind w:left="0" w:leftChars="0" w:firstLine="0" w:firstLineChars="0"/>
            <w:outlineLvl w:val="9"/>
            <w:rPr>
              <w:color w:val="auto"/>
              <w:highlight w:val="none"/>
            </w:rPr>
            <w:sectPr>
              <w:headerReference r:id="rId7" w:type="default"/>
              <w:footerReference r:id="rId8" w:type="default"/>
              <w:pgSz w:w="11910" w:h="16840"/>
              <w:pgMar w:top="1360" w:right="1240" w:bottom="1000" w:left="1260" w:header="902" w:footer="804" w:gutter="0"/>
              <w:pgBorders>
                <w:top w:val="none" w:sz="0" w:space="0"/>
                <w:left w:val="none" w:sz="0" w:space="0"/>
                <w:bottom w:val="none" w:sz="0" w:space="0"/>
                <w:right w:val="none" w:sz="0" w:space="0"/>
              </w:pgBorders>
              <w:pgNumType w:fmt="decimal" w:start="1"/>
              <w:cols w:space="720" w:num="1"/>
            </w:sectPr>
          </w:pPr>
          <w:r>
            <w:rPr>
              <w:color w:val="auto"/>
              <w:highlight w:val="none"/>
            </w:rPr>
            <w:fldChar w:fldCharType="end"/>
          </w:r>
        </w:p>
      </w:sdtContent>
    </w:sdt>
    <w:p>
      <w:pPr>
        <w:pStyle w:val="4"/>
        <w:ind w:left="0" w:leftChars="0" w:firstLine="0" w:firstLineChars="0"/>
        <w:rPr>
          <w:color w:val="auto"/>
          <w:highlight w:val="none"/>
        </w:rPr>
      </w:pPr>
      <w:bookmarkStart w:id="2" w:name="_Toc21516"/>
      <w:r>
        <w:rPr>
          <w:color w:val="auto"/>
          <w:highlight w:val="none"/>
        </w:rPr>
        <w:t>前言</w:t>
      </w:r>
      <w:bookmarkEnd w:id="1"/>
      <w:bookmarkEnd w:id="2"/>
    </w:p>
    <w:p>
      <w:pPr>
        <w:bidi w:val="0"/>
        <w:rPr>
          <w:rFonts w:hint="eastAsia"/>
          <w:color w:val="auto"/>
          <w:highlight w:val="none"/>
        </w:rPr>
      </w:pPr>
      <w:r>
        <w:rPr>
          <w:color w:val="auto"/>
          <w:highlight w:val="none"/>
        </w:rPr>
        <w:t>大竹县位于四川盆地东部，东邻重庆市梁平县、垫江县，南接邻水县，西连广安市，北靠达川区。</w:t>
      </w:r>
      <w:r>
        <w:rPr>
          <w:rFonts w:hint="eastAsia"/>
          <w:color w:val="auto"/>
          <w:highlight w:val="none"/>
        </w:rPr>
        <w:t>大竹县由西山(华蓥山背斜山脉)、中山(铜锣峡背斜山脉)、东山(明月峡背斜山脉)构成“三山两槽”的平行岭谷地形，由北东、南西向平行排列。</w:t>
      </w:r>
    </w:p>
    <w:p>
      <w:pPr>
        <w:bidi w:val="0"/>
        <w:rPr>
          <w:color w:val="auto"/>
          <w:highlight w:val="none"/>
        </w:rPr>
      </w:pPr>
      <w:r>
        <w:rPr>
          <w:rFonts w:hint="eastAsia"/>
          <w:color w:val="auto"/>
          <w:highlight w:val="none"/>
        </w:rPr>
        <w:t>大竹县共规划布置有14个采矿权、3个探矿权，境内各矿井范围内保有资源量为5106.4万吨。大竹县各矿井主要分布在华蓥山背斜、铜锣峡背斜和明月峡背斜，结合现有煤矿及关闭煤矿的分布情况，大竹县共划分为2个矿区，分别为华蓥山北段矿区、中山明月峡矿区</w:t>
      </w:r>
      <w:r>
        <w:rPr>
          <w:rFonts w:hint="eastAsia"/>
          <w:color w:val="auto"/>
          <w:highlight w:val="none"/>
          <w:lang w:eastAsia="zh-CN"/>
        </w:rPr>
        <w:t>。其中华蓥山北段矿区位于大竹县西部，地处华蓥山背斜，规划面积为57.8866km</w:t>
      </w:r>
      <w:r>
        <w:rPr>
          <w:rFonts w:hint="eastAsia"/>
          <w:color w:val="auto"/>
          <w:highlight w:val="none"/>
          <w:vertAlign w:val="superscript"/>
          <w:lang w:eastAsia="zh-CN"/>
        </w:rPr>
        <w:t>2</w:t>
      </w:r>
      <w:r>
        <w:rPr>
          <w:rFonts w:hint="eastAsia"/>
          <w:color w:val="auto"/>
          <w:highlight w:val="none"/>
          <w:lang w:eastAsia="zh-CN"/>
        </w:rPr>
        <w:t>，规划布置6个采矿权和1个探矿权，生产能力为165万吨/年；中山明月峡矿区位于铜锣峡背斜和明月峡背斜，规划面积为90.2762km</w:t>
      </w:r>
      <w:r>
        <w:rPr>
          <w:rFonts w:hint="eastAsia"/>
          <w:color w:val="auto"/>
          <w:highlight w:val="none"/>
          <w:vertAlign w:val="superscript"/>
          <w:lang w:eastAsia="zh-CN"/>
        </w:rPr>
        <w:t>2</w:t>
      </w:r>
      <w:r>
        <w:rPr>
          <w:rFonts w:hint="eastAsia"/>
          <w:color w:val="auto"/>
          <w:highlight w:val="none"/>
          <w:lang w:eastAsia="zh-CN"/>
        </w:rPr>
        <w:t>，规划布置8个采矿权和2个探矿权，生产能力为225万吨/年。则大竹县共规划布置有14个采矿权、3个探矿权，总规划面积</w:t>
      </w:r>
      <w:r>
        <w:rPr>
          <w:rFonts w:hint="eastAsia"/>
          <w:color w:val="auto"/>
          <w:highlight w:val="none"/>
          <w:lang w:val="en-US" w:eastAsia="zh-CN"/>
        </w:rPr>
        <w:t>148.1628</w:t>
      </w:r>
      <w:r>
        <w:rPr>
          <w:rFonts w:hint="eastAsia"/>
          <w:color w:val="auto"/>
          <w:highlight w:val="none"/>
          <w:lang w:eastAsia="zh-CN"/>
        </w:rPr>
        <w:t>km</w:t>
      </w:r>
      <w:r>
        <w:rPr>
          <w:rFonts w:hint="eastAsia"/>
          <w:color w:val="auto"/>
          <w:highlight w:val="none"/>
          <w:vertAlign w:val="superscript"/>
          <w:lang w:eastAsia="zh-CN"/>
        </w:rPr>
        <w:t>2</w:t>
      </w:r>
      <w:r>
        <w:rPr>
          <w:rFonts w:hint="eastAsia"/>
          <w:color w:val="auto"/>
          <w:highlight w:val="none"/>
          <w:lang w:eastAsia="zh-CN"/>
        </w:rPr>
        <w:t>，总生产能力为390万吨/年。</w:t>
      </w:r>
    </w:p>
    <w:p>
      <w:pPr>
        <w:bidi w:val="0"/>
        <w:rPr>
          <w:color w:val="auto"/>
          <w:highlight w:val="none"/>
        </w:rPr>
      </w:pPr>
      <w:r>
        <w:rPr>
          <w:color w:val="auto"/>
          <w:spacing w:val="-3"/>
          <w:highlight w:val="none"/>
        </w:rPr>
        <w:t>根据区内各矿地质勘查、储量核实等相关资料，四川省</w:t>
      </w:r>
      <w:r>
        <w:rPr>
          <w:rFonts w:hint="eastAsia"/>
          <w:color w:val="auto"/>
          <w:spacing w:val="-3"/>
          <w:highlight w:val="none"/>
          <w:lang w:eastAsia="zh-CN"/>
        </w:rPr>
        <w:t>煤炭设计研究院</w:t>
      </w:r>
      <w:r>
        <w:rPr>
          <w:color w:val="auto"/>
          <w:spacing w:val="-38"/>
          <w:highlight w:val="none"/>
        </w:rPr>
        <w:t xml:space="preserve">于 </w:t>
      </w:r>
      <w:r>
        <w:rPr>
          <w:rFonts w:ascii="Times New Roman" w:eastAsia="Times New Roman"/>
          <w:color w:val="auto"/>
          <w:spacing w:val="-4"/>
          <w:highlight w:val="none"/>
        </w:rPr>
        <w:t>2021</w:t>
      </w:r>
      <w:r>
        <w:rPr>
          <w:color w:val="auto"/>
          <w:spacing w:val="-36"/>
          <w:highlight w:val="none"/>
        </w:rPr>
        <w:t>年</w:t>
      </w:r>
      <w:r>
        <w:rPr>
          <w:rFonts w:hint="eastAsia"/>
          <w:color w:val="auto"/>
          <w:spacing w:val="-36"/>
          <w:highlight w:val="none"/>
          <w:lang w:val="en-US" w:eastAsia="zh-CN"/>
        </w:rPr>
        <w:t>10</w:t>
      </w:r>
      <w:r>
        <w:rPr>
          <w:color w:val="auto"/>
          <w:spacing w:val="-8"/>
          <w:highlight w:val="none"/>
        </w:rPr>
        <w:t>月编制了《</w:t>
      </w:r>
      <w:r>
        <w:rPr>
          <w:rFonts w:hint="eastAsia"/>
          <w:color w:val="auto"/>
          <w:spacing w:val="-8"/>
          <w:highlight w:val="none"/>
          <w:lang w:eastAsia="zh-CN"/>
        </w:rPr>
        <w:t>四川省达州市大竹县煤炭矿区总体规划</w:t>
      </w:r>
      <w:r>
        <w:rPr>
          <w:color w:val="auto"/>
          <w:spacing w:val="-4"/>
          <w:highlight w:val="none"/>
        </w:rPr>
        <w:t>》。</w:t>
      </w:r>
    </w:p>
    <w:p>
      <w:pPr>
        <w:bidi w:val="0"/>
        <w:rPr>
          <w:rFonts w:ascii="Times New Roman" w:eastAsia="Times New Roman"/>
          <w:color w:val="auto"/>
          <w:highlight w:val="none"/>
        </w:rPr>
      </w:pPr>
      <w:r>
        <w:rPr>
          <w:color w:val="auto"/>
          <w:spacing w:val="3"/>
          <w:highlight w:val="none"/>
        </w:rPr>
        <w:t>根据《中华人民共和国环境影响评价法》和其他相关法律法规及政策的要</w:t>
      </w:r>
      <w:r>
        <w:rPr>
          <w:color w:val="auto"/>
          <w:highlight w:val="none"/>
        </w:rPr>
        <w:t>求，矿区开发必须开展环境影响评价，作为生态环境主管部门、规划区合理开发、加强环境管理的科学依据。为此，项目实施单位</w:t>
      </w:r>
      <w:r>
        <w:rPr>
          <w:rFonts w:hint="eastAsia"/>
          <w:color w:val="auto"/>
          <w:highlight w:val="none"/>
          <w:lang w:eastAsia="zh-CN"/>
        </w:rPr>
        <w:t>达州市大竹县应急管理局</w:t>
      </w:r>
      <w:r>
        <w:rPr>
          <w:color w:val="auto"/>
          <w:spacing w:val="-17"/>
          <w:highlight w:val="none"/>
        </w:rPr>
        <w:t>于</w:t>
      </w:r>
      <w:r>
        <w:rPr>
          <w:rFonts w:ascii="Times New Roman" w:eastAsia="Times New Roman"/>
          <w:color w:val="auto"/>
          <w:highlight w:val="none"/>
        </w:rPr>
        <w:t>202</w:t>
      </w:r>
      <w:r>
        <w:rPr>
          <w:rFonts w:hint="eastAsia"/>
          <w:color w:val="auto"/>
          <w:highlight w:val="none"/>
          <w:lang w:val="en-US" w:eastAsia="zh-CN"/>
        </w:rPr>
        <w:t>1</w:t>
      </w:r>
      <w:r>
        <w:rPr>
          <w:color w:val="auto"/>
          <w:spacing w:val="4"/>
          <w:highlight w:val="none"/>
        </w:rPr>
        <w:t>年</w:t>
      </w:r>
      <w:r>
        <w:rPr>
          <w:rFonts w:hint="eastAsia"/>
          <w:color w:val="auto"/>
          <w:spacing w:val="4"/>
          <w:highlight w:val="none"/>
          <w:lang w:val="en-US" w:eastAsia="zh-CN"/>
        </w:rPr>
        <w:t>10月</w:t>
      </w:r>
      <w:r>
        <w:rPr>
          <w:color w:val="auto"/>
          <w:spacing w:val="1"/>
          <w:highlight w:val="none"/>
        </w:rPr>
        <w:t>委托</w:t>
      </w:r>
      <w:r>
        <w:rPr>
          <w:rFonts w:hint="eastAsia"/>
          <w:color w:val="auto"/>
          <w:spacing w:val="1"/>
          <w:highlight w:val="none"/>
          <w:lang w:eastAsia="zh-CN"/>
        </w:rPr>
        <w:t>北京万澈环境科学与工程技术有限责任公司</w:t>
      </w:r>
      <w:r>
        <w:rPr>
          <w:color w:val="auto"/>
          <w:spacing w:val="1"/>
          <w:highlight w:val="none"/>
        </w:rPr>
        <w:t>承担该矿区总体规划的环境影</w:t>
      </w:r>
      <w:r>
        <w:rPr>
          <w:color w:val="auto"/>
          <w:highlight w:val="none"/>
        </w:rPr>
        <w:t>响评价工作。接受委托后，我公司即成立了项目组，进行了现场调查和勘查，</w:t>
      </w:r>
      <w:r>
        <w:rPr>
          <w:color w:val="auto"/>
          <w:spacing w:val="3"/>
          <w:highlight w:val="none"/>
        </w:rPr>
        <w:t>收集了区域相关规划和当地社会、自然环境现状等环评所需的基础资料</w:t>
      </w:r>
      <w:r>
        <w:rPr>
          <w:color w:val="auto"/>
          <w:highlight w:val="none"/>
        </w:rPr>
        <w:t>。根据本次规划的特点，按照国家及地方环境保护的有关规定及环境影响评价技术导则</w:t>
      </w:r>
      <w:r>
        <w:rPr>
          <w:color w:val="auto"/>
          <w:spacing w:val="-8"/>
          <w:highlight w:val="none"/>
        </w:rPr>
        <w:t>，我单位于</w:t>
      </w:r>
      <w:r>
        <w:rPr>
          <w:rFonts w:ascii="Times New Roman" w:eastAsia="Times New Roman"/>
          <w:color w:val="auto"/>
          <w:highlight w:val="none"/>
        </w:rPr>
        <w:t>2021</w:t>
      </w:r>
      <w:r>
        <w:rPr>
          <w:color w:val="auto"/>
          <w:spacing w:val="-19"/>
          <w:highlight w:val="none"/>
        </w:rPr>
        <w:t>年</w:t>
      </w:r>
      <w:r>
        <w:rPr>
          <w:rFonts w:hint="eastAsia"/>
          <w:color w:val="auto"/>
          <w:spacing w:val="-19"/>
          <w:highlight w:val="none"/>
          <w:lang w:val="en-US" w:eastAsia="zh-CN"/>
        </w:rPr>
        <w:t>12</w:t>
      </w:r>
      <w:r>
        <w:rPr>
          <w:color w:val="auto"/>
          <w:highlight w:val="none"/>
        </w:rPr>
        <w:t>月编制完成了《</w:t>
      </w:r>
      <w:r>
        <w:rPr>
          <w:rFonts w:hint="eastAsia"/>
          <w:color w:val="auto"/>
          <w:highlight w:val="none"/>
          <w:lang w:eastAsia="zh-CN"/>
        </w:rPr>
        <w:t>四川省达州市大竹县煤炭矿区总体规划</w:t>
      </w:r>
      <w:r>
        <w:rPr>
          <w:color w:val="auto"/>
          <w:highlight w:val="none"/>
        </w:rPr>
        <w:t>环境影响报告书》（以下简称《报告书》）</w:t>
      </w:r>
      <w:r>
        <w:rPr>
          <w:color w:val="auto"/>
          <w:spacing w:val="-3"/>
          <w:highlight w:val="none"/>
        </w:rPr>
        <w:t>。在报告编制过程中得到达州</w:t>
      </w:r>
      <w:r>
        <w:rPr>
          <w:color w:val="auto"/>
          <w:highlight w:val="none"/>
        </w:rPr>
        <w:t>市发展和改革委员会、达州市</w:t>
      </w:r>
      <w:r>
        <w:rPr>
          <w:rFonts w:hint="eastAsia"/>
          <w:color w:val="auto"/>
          <w:highlight w:val="none"/>
          <w:lang w:eastAsia="zh-CN"/>
        </w:rPr>
        <w:t>大竹县</w:t>
      </w:r>
      <w:r>
        <w:rPr>
          <w:color w:val="auto"/>
          <w:highlight w:val="none"/>
        </w:rPr>
        <w:t>发展和改革局</w:t>
      </w:r>
      <w:r>
        <w:rPr>
          <w:rFonts w:hint="eastAsia"/>
          <w:color w:val="auto"/>
          <w:highlight w:val="none"/>
          <w:lang w:eastAsia="zh-CN"/>
        </w:rPr>
        <w:t>、</w:t>
      </w:r>
      <w:r>
        <w:rPr>
          <w:color w:val="auto"/>
          <w:highlight w:val="none"/>
        </w:rPr>
        <w:t>达州市</w:t>
      </w:r>
      <w:r>
        <w:rPr>
          <w:rFonts w:hint="eastAsia"/>
          <w:color w:val="auto"/>
          <w:highlight w:val="none"/>
          <w:lang w:eastAsia="zh-CN"/>
        </w:rPr>
        <w:t>大竹县应急管理</w:t>
      </w:r>
      <w:r>
        <w:rPr>
          <w:color w:val="auto"/>
          <w:highlight w:val="none"/>
        </w:rPr>
        <w:t>局、达州市生态环境局、达州市</w:t>
      </w:r>
      <w:r>
        <w:rPr>
          <w:rFonts w:hint="eastAsia"/>
          <w:color w:val="auto"/>
          <w:highlight w:val="none"/>
          <w:lang w:eastAsia="zh-CN"/>
        </w:rPr>
        <w:t>大竹</w:t>
      </w:r>
      <w:r>
        <w:rPr>
          <w:color w:val="auto"/>
          <w:highlight w:val="none"/>
        </w:rPr>
        <w:t>生态环境局、</w:t>
      </w:r>
      <w:r>
        <w:rPr>
          <w:rFonts w:hint="eastAsia"/>
          <w:color w:val="auto"/>
          <w:highlight w:val="none"/>
          <w:lang w:eastAsia="zh-CN"/>
        </w:rPr>
        <w:t>大竹县</w:t>
      </w:r>
      <w:r>
        <w:rPr>
          <w:color w:val="auto"/>
          <w:highlight w:val="none"/>
        </w:rPr>
        <w:t>自然资源局、</w:t>
      </w:r>
      <w:r>
        <w:rPr>
          <w:rFonts w:hint="eastAsia"/>
          <w:color w:val="auto"/>
          <w:highlight w:val="none"/>
          <w:lang w:eastAsia="zh-CN"/>
        </w:rPr>
        <w:t>大竹县</w:t>
      </w:r>
      <w:r>
        <w:rPr>
          <w:color w:val="auto"/>
          <w:highlight w:val="none"/>
        </w:rPr>
        <w:t>区林业局、</w:t>
      </w:r>
      <w:r>
        <w:rPr>
          <w:rFonts w:hint="eastAsia"/>
          <w:color w:val="auto"/>
          <w:highlight w:val="none"/>
          <w:lang w:eastAsia="zh-CN"/>
        </w:rPr>
        <w:t>大竹县</w:t>
      </w:r>
      <w:r>
        <w:rPr>
          <w:color w:val="auto"/>
          <w:highlight w:val="none"/>
        </w:rPr>
        <w:t>文化体育和旅游局等单位的大力支持和帮助，在此一并表示衷心的感谢</w:t>
      </w:r>
      <w:r>
        <w:rPr>
          <w:rFonts w:ascii="Times New Roman" w:eastAsia="Times New Roman"/>
          <w:color w:val="auto"/>
          <w:highlight w:val="none"/>
        </w:rPr>
        <w:t>!</w:t>
      </w:r>
    </w:p>
    <w:p>
      <w:pPr>
        <w:spacing w:after="0" w:line="364" w:lineRule="auto"/>
        <w:jc w:val="both"/>
        <w:rPr>
          <w:rFonts w:ascii="Times New Roman" w:eastAsia="Times New Roman"/>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start="1"/>
          <w:cols w:space="720" w:num="1"/>
        </w:sectPr>
      </w:pPr>
    </w:p>
    <w:p>
      <w:pPr>
        <w:pStyle w:val="4"/>
        <w:numPr>
          <w:ilvl w:val="0"/>
          <w:numId w:val="1"/>
        </w:numPr>
        <w:bidi w:val="0"/>
        <w:ind w:left="0" w:leftChars="0" w:firstLine="0" w:firstLineChars="0"/>
        <w:rPr>
          <w:color w:val="auto"/>
          <w:highlight w:val="none"/>
        </w:rPr>
      </w:pPr>
      <w:bookmarkStart w:id="3" w:name="1 总则"/>
      <w:bookmarkEnd w:id="3"/>
      <w:bookmarkStart w:id="4" w:name="_bookmark1"/>
      <w:bookmarkEnd w:id="4"/>
      <w:bookmarkStart w:id="5" w:name="_Toc25003"/>
      <w:bookmarkStart w:id="6" w:name="_Toc3280"/>
      <w:r>
        <w:rPr>
          <w:color w:val="auto"/>
          <w:highlight w:val="none"/>
        </w:rPr>
        <w:t>总则</w:t>
      </w:r>
      <w:bookmarkEnd w:id="5"/>
      <w:bookmarkEnd w:id="6"/>
    </w:p>
    <w:p>
      <w:pPr>
        <w:pStyle w:val="5"/>
        <w:numPr>
          <w:ilvl w:val="1"/>
          <w:numId w:val="1"/>
        </w:numPr>
        <w:bidi w:val="0"/>
        <w:ind w:left="0" w:leftChars="0" w:firstLine="0" w:firstLineChars="0"/>
        <w:rPr>
          <w:color w:val="auto"/>
          <w:highlight w:val="none"/>
        </w:rPr>
      </w:pPr>
      <w:bookmarkStart w:id="7" w:name="_bookmark2"/>
      <w:bookmarkEnd w:id="7"/>
      <w:bookmarkStart w:id="8" w:name="1.1  编制依据"/>
      <w:bookmarkEnd w:id="8"/>
      <w:bookmarkStart w:id="9" w:name="_Toc16005"/>
      <w:bookmarkStart w:id="10" w:name="_Toc24293"/>
      <w:r>
        <w:rPr>
          <w:color w:val="auto"/>
          <w:highlight w:val="none"/>
        </w:rPr>
        <w:t>编制依据</w:t>
      </w:r>
      <w:bookmarkEnd w:id="9"/>
      <w:bookmarkEnd w:id="10"/>
    </w:p>
    <w:p>
      <w:pPr>
        <w:pStyle w:val="6"/>
        <w:numPr>
          <w:ilvl w:val="2"/>
          <w:numId w:val="1"/>
        </w:numPr>
        <w:bidi w:val="0"/>
        <w:ind w:left="0" w:leftChars="0" w:firstLine="0" w:firstLineChars="0"/>
        <w:rPr>
          <w:color w:val="auto"/>
          <w:highlight w:val="none"/>
        </w:rPr>
      </w:pPr>
      <w:bookmarkStart w:id="11" w:name="1.1.1 国家及地方相关法律、法规"/>
      <w:bookmarkEnd w:id="11"/>
      <w:bookmarkStart w:id="12" w:name="1.1.1 国家及地方相关法律、法规"/>
      <w:bookmarkEnd w:id="12"/>
      <w:bookmarkStart w:id="13" w:name="_Toc11143"/>
      <w:bookmarkStart w:id="14" w:name="_Toc9698"/>
      <w:r>
        <w:rPr>
          <w:color w:val="auto"/>
          <w:highlight w:val="none"/>
        </w:rPr>
        <w:t>国家及地方相关法律、法规</w:t>
      </w:r>
      <w:bookmarkEnd w:id="13"/>
      <w:bookmarkEnd w:id="14"/>
    </w:p>
    <w:p>
      <w:pPr>
        <w:numPr>
          <w:ilvl w:val="3"/>
          <w:numId w:val="1"/>
        </w:numPr>
        <w:bidi w:val="0"/>
        <w:ind w:left="1134" w:leftChars="0" w:hanging="1134" w:firstLineChars="0"/>
        <w:rPr>
          <w:color w:val="auto"/>
          <w:highlight w:val="none"/>
        </w:rPr>
      </w:pPr>
      <w:r>
        <w:rPr>
          <w:color w:val="auto"/>
          <w:highlight w:val="none"/>
        </w:rPr>
        <w:t>《中华人民共和国环境保护法》（2015.1.1）；</w:t>
      </w:r>
    </w:p>
    <w:p>
      <w:pPr>
        <w:numPr>
          <w:ilvl w:val="3"/>
          <w:numId w:val="1"/>
        </w:numPr>
        <w:bidi w:val="0"/>
        <w:ind w:left="1134" w:leftChars="0" w:hanging="1134" w:firstLineChars="0"/>
        <w:rPr>
          <w:color w:val="auto"/>
          <w:highlight w:val="none"/>
        </w:rPr>
      </w:pPr>
      <w:r>
        <w:rPr>
          <w:color w:val="auto"/>
          <w:highlight w:val="none"/>
        </w:rPr>
        <w:t>《中华人民共和国环境影响评价法》（2018.12.29）；</w:t>
      </w:r>
    </w:p>
    <w:p>
      <w:pPr>
        <w:numPr>
          <w:ilvl w:val="3"/>
          <w:numId w:val="1"/>
        </w:numPr>
        <w:bidi w:val="0"/>
        <w:ind w:left="1134" w:leftChars="0" w:hanging="1134" w:firstLineChars="0"/>
        <w:rPr>
          <w:color w:val="auto"/>
          <w:highlight w:val="none"/>
        </w:rPr>
      </w:pPr>
      <w:r>
        <w:rPr>
          <w:color w:val="auto"/>
          <w:highlight w:val="none"/>
        </w:rPr>
        <w:t>《中华人民共和国大气污染防治法》（2018.10.26）；</w:t>
      </w:r>
    </w:p>
    <w:p>
      <w:pPr>
        <w:numPr>
          <w:ilvl w:val="3"/>
          <w:numId w:val="1"/>
        </w:numPr>
        <w:bidi w:val="0"/>
        <w:ind w:left="1134" w:leftChars="0" w:hanging="1134" w:firstLineChars="0"/>
        <w:rPr>
          <w:color w:val="auto"/>
          <w:highlight w:val="none"/>
        </w:rPr>
      </w:pPr>
      <w:r>
        <w:rPr>
          <w:color w:val="auto"/>
          <w:highlight w:val="none"/>
        </w:rPr>
        <w:t>《中华人民共和国水污染防治法》（2018.1.1）；</w:t>
      </w:r>
    </w:p>
    <w:p>
      <w:pPr>
        <w:numPr>
          <w:ilvl w:val="3"/>
          <w:numId w:val="1"/>
        </w:numPr>
        <w:bidi w:val="0"/>
        <w:ind w:left="1134" w:leftChars="0" w:hanging="1134" w:firstLineChars="0"/>
        <w:rPr>
          <w:color w:val="auto"/>
          <w:highlight w:val="none"/>
        </w:rPr>
      </w:pPr>
      <w:r>
        <w:rPr>
          <w:color w:val="auto"/>
          <w:highlight w:val="none"/>
        </w:rPr>
        <w:t>《中华人民共和国固体废物污染环境防治法》（2020.9.1）；</w:t>
      </w:r>
    </w:p>
    <w:p>
      <w:pPr>
        <w:numPr>
          <w:ilvl w:val="3"/>
          <w:numId w:val="1"/>
        </w:numPr>
        <w:bidi w:val="0"/>
        <w:ind w:left="1134" w:leftChars="0" w:hanging="1134" w:firstLineChars="0"/>
        <w:rPr>
          <w:color w:val="auto"/>
          <w:highlight w:val="none"/>
        </w:rPr>
      </w:pPr>
      <w:r>
        <w:rPr>
          <w:color w:val="auto"/>
          <w:highlight w:val="none"/>
        </w:rPr>
        <w:t>《中华人民共和国环境噪声污染防治法》（2018.12.29）</w:t>
      </w:r>
    </w:p>
    <w:p>
      <w:pPr>
        <w:numPr>
          <w:ilvl w:val="3"/>
          <w:numId w:val="1"/>
        </w:numPr>
        <w:bidi w:val="0"/>
        <w:ind w:left="1134" w:leftChars="0" w:hanging="1134" w:firstLineChars="0"/>
        <w:rPr>
          <w:color w:val="auto"/>
          <w:highlight w:val="none"/>
        </w:rPr>
      </w:pPr>
      <w:r>
        <w:rPr>
          <w:color w:val="auto"/>
          <w:highlight w:val="none"/>
        </w:rPr>
        <w:t>《中华人民共和国清洁生产促进法》（2012.7.1）；</w:t>
      </w:r>
    </w:p>
    <w:p>
      <w:pPr>
        <w:numPr>
          <w:ilvl w:val="3"/>
          <w:numId w:val="1"/>
        </w:numPr>
        <w:bidi w:val="0"/>
        <w:ind w:left="1134" w:leftChars="0" w:hanging="1134" w:firstLineChars="0"/>
        <w:rPr>
          <w:color w:val="auto"/>
          <w:highlight w:val="none"/>
        </w:rPr>
      </w:pPr>
      <w:r>
        <w:rPr>
          <w:color w:val="auto"/>
          <w:highlight w:val="none"/>
        </w:rPr>
        <w:t>《中华人民共和国循环经济促进法》（2018.10.26）；</w:t>
      </w:r>
    </w:p>
    <w:p>
      <w:pPr>
        <w:numPr>
          <w:ilvl w:val="3"/>
          <w:numId w:val="1"/>
        </w:numPr>
        <w:bidi w:val="0"/>
        <w:ind w:left="1134" w:leftChars="0" w:hanging="1134" w:firstLineChars="0"/>
        <w:rPr>
          <w:color w:val="auto"/>
          <w:highlight w:val="none"/>
        </w:rPr>
      </w:pPr>
      <w:r>
        <w:rPr>
          <w:color w:val="auto"/>
          <w:highlight w:val="none"/>
        </w:rPr>
        <w:t>《中华人民共和国水法》（2016.9.1）；</w:t>
      </w:r>
    </w:p>
    <w:p>
      <w:pPr>
        <w:numPr>
          <w:ilvl w:val="3"/>
          <w:numId w:val="1"/>
        </w:numPr>
        <w:bidi w:val="0"/>
        <w:ind w:left="1134" w:leftChars="0" w:hanging="1134" w:firstLineChars="0"/>
        <w:rPr>
          <w:color w:val="auto"/>
          <w:highlight w:val="none"/>
        </w:rPr>
      </w:pPr>
      <w:r>
        <w:rPr>
          <w:color w:val="auto"/>
          <w:highlight w:val="none"/>
        </w:rPr>
        <w:t>《中华人民共和国防洪法》（2016.7.2）；</w:t>
      </w:r>
    </w:p>
    <w:p>
      <w:pPr>
        <w:numPr>
          <w:ilvl w:val="3"/>
          <w:numId w:val="1"/>
        </w:numPr>
        <w:bidi w:val="0"/>
        <w:ind w:left="1134" w:leftChars="0" w:hanging="1134" w:firstLineChars="0"/>
        <w:rPr>
          <w:color w:val="auto"/>
          <w:highlight w:val="none"/>
        </w:rPr>
      </w:pPr>
      <w:r>
        <w:rPr>
          <w:color w:val="auto"/>
          <w:highlight w:val="none"/>
        </w:rPr>
        <w:t>《中华人民共和国节约能源法（2018 年修正版）》（2018.10.26）；</w:t>
      </w:r>
    </w:p>
    <w:p>
      <w:pPr>
        <w:numPr>
          <w:ilvl w:val="3"/>
          <w:numId w:val="1"/>
        </w:numPr>
        <w:bidi w:val="0"/>
        <w:ind w:left="1134" w:leftChars="0" w:hanging="1134" w:firstLineChars="0"/>
        <w:rPr>
          <w:color w:val="auto"/>
          <w:highlight w:val="none"/>
        </w:rPr>
      </w:pPr>
      <w:r>
        <w:rPr>
          <w:color w:val="auto"/>
          <w:highlight w:val="none"/>
        </w:rPr>
        <w:t>《中华人民共和国可再生能源法》（2010.4.1）；</w:t>
      </w:r>
    </w:p>
    <w:p>
      <w:pPr>
        <w:numPr>
          <w:ilvl w:val="3"/>
          <w:numId w:val="1"/>
        </w:numPr>
        <w:bidi w:val="0"/>
        <w:ind w:left="1134" w:leftChars="0" w:hanging="1134" w:firstLineChars="0"/>
        <w:rPr>
          <w:color w:val="auto"/>
          <w:highlight w:val="none"/>
        </w:rPr>
      </w:pPr>
      <w:r>
        <w:rPr>
          <w:color w:val="auto"/>
          <w:highlight w:val="none"/>
        </w:rPr>
        <w:t>《中华人民共和国土地管理法实施条例》（国务院令第743号，2021.9.1）；</w:t>
      </w:r>
    </w:p>
    <w:p>
      <w:pPr>
        <w:numPr>
          <w:ilvl w:val="3"/>
          <w:numId w:val="1"/>
        </w:numPr>
        <w:bidi w:val="0"/>
        <w:ind w:left="1134" w:leftChars="0" w:hanging="1134" w:firstLineChars="0"/>
        <w:rPr>
          <w:color w:val="auto"/>
          <w:highlight w:val="none"/>
        </w:rPr>
      </w:pPr>
      <w:r>
        <w:rPr>
          <w:color w:val="auto"/>
          <w:highlight w:val="none"/>
        </w:rPr>
        <w:t>《中华人民共和国矿产资源法》（2009.8.27）；</w:t>
      </w:r>
    </w:p>
    <w:p>
      <w:pPr>
        <w:numPr>
          <w:ilvl w:val="3"/>
          <w:numId w:val="1"/>
        </w:numPr>
        <w:bidi w:val="0"/>
        <w:ind w:left="1134" w:leftChars="0" w:hanging="1134" w:firstLineChars="0"/>
        <w:rPr>
          <w:color w:val="auto"/>
          <w:highlight w:val="none"/>
        </w:rPr>
      </w:pPr>
      <w:r>
        <w:rPr>
          <w:color w:val="auto"/>
          <w:highlight w:val="none"/>
        </w:rPr>
        <w:t>《中华人民共和国矿山安全法》（1993.5.1）；</w:t>
      </w:r>
    </w:p>
    <w:p>
      <w:pPr>
        <w:numPr>
          <w:ilvl w:val="3"/>
          <w:numId w:val="1"/>
        </w:numPr>
        <w:bidi w:val="0"/>
        <w:ind w:left="1134" w:leftChars="0" w:hanging="1134" w:firstLineChars="0"/>
        <w:rPr>
          <w:color w:val="auto"/>
          <w:highlight w:val="none"/>
        </w:rPr>
      </w:pPr>
      <w:r>
        <w:rPr>
          <w:color w:val="auto"/>
          <w:highlight w:val="none"/>
        </w:rPr>
        <w:t>《中华人民共和国城乡规划法（2019年修正）》（2019.4.23）；</w:t>
      </w:r>
    </w:p>
    <w:p>
      <w:pPr>
        <w:numPr>
          <w:ilvl w:val="3"/>
          <w:numId w:val="1"/>
        </w:numPr>
        <w:bidi w:val="0"/>
        <w:ind w:left="1134" w:leftChars="0" w:hanging="1134" w:firstLineChars="0"/>
        <w:rPr>
          <w:color w:val="auto"/>
          <w:highlight w:val="none"/>
        </w:rPr>
      </w:pPr>
      <w:r>
        <w:rPr>
          <w:color w:val="auto"/>
          <w:highlight w:val="none"/>
        </w:rPr>
        <w:t>《中华人民共和国野生动物保护法》（2018.10.26）；</w:t>
      </w:r>
    </w:p>
    <w:p>
      <w:pPr>
        <w:numPr>
          <w:ilvl w:val="3"/>
          <w:numId w:val="1"/>
        </w:numPr>
        <w:bidi w:val="0"/>
        <w:ind w:left="1134" w:leftChars="0" w:hanging="1134" w:firstLineChars="0"/>
        <w:rPr>
          <w:color w:val="auto"/>
          <w:highlight w:val="none"/>
        </w:rPr>
      </w:pPr>
      <w:r>
        <w:rPr>
          <w:color w:val="auto"/>
          <w:highlight w:val="none"/>
        </w:rPr>
        <w:t>《中华人民共和国土壤污染防治法》（2019.1.1）；</w:t>
      </w:r>
    </w:p>
    <w:p>
      <w:pPr>
        <w:numPr>
          <w:ilvl w:val="3"/>
          <w:numId w:val="1"/>
        </w:numPr>
        <w:bidi w:val="0"/>
        <w:ind w:left="1134" w:leftChars="0" w:hanging="1134" w:firstLineChars="0"/>
        <w:rPr>
          <w:color w:val="auto"/>
          <w:highlight w:val="none"/>
        </w:rPr>
      </w:pPr>
      <w:r>
        <w:rPr>
          <w:color w:val="auto"/>
          <w:highlight w:val="none"/>
        </w:rPr>
        <w:t>《中华人民共和国煤炭法》（修正）（2016.11.7）；</w:t>
      </w:r>
    </w:p>
    <w:p>
      <w:pPr>
        <w:numPr>
          <w:ilvl w:val="3"/>
          <w:numId w:val="1"/>
        </w:numPr>
        <w:bidi w:val="0"/>
        <w:ind w:left="1134" w:leftChars="0" w:hanging="1134" w:firstLineChars="0"/>
        <w:rPr>
          <w:color w:val="auto"/>
          <w:highlight w:val="none"/>
        </w:rPr>
      </w:pPr>
      <w:r>
        <w:rPr>
          <w:color w:val="auto"/>
          <w:highlight w:val="none"/>
        </w:rPr>
        <w:t>《中华人民共和国长江保护法》；</w:t>
      </w:r>
    </w:p>
    <w:p>
      <w:pPr>
        <w:numPr>
          <w:ilvl w:val="3"/>
          <w:numId w:val="1"/>
        </w:numPr>
        <w:bidi w:val="0"/>
        <w:ind w:left="1134" w:leftChars="0" w:hanging="1134" w:firstLineChars="0"/>
        <w:rPr>
          <w:color w:val="auto"/>
          <w:highlight w:val="none"/>
        </w:rPr>
      </w:pPr>
      <w:r>
        <w:rPr>
          <w:color w:val="auto"/>
          <w:highlight w:val="none"/>
        </w:rPr>
        <w:t>《建设项目环境保护管理条例》（国务院令682号，2017.10.1）；</w:t>
      </w:r>
    </w:p>
    <w:p>
      <w:pPr>
        <w:numPr>
          <w:ilvl w:val="3"/>
          <w:numId w:val="1"/>
        </w:numPr>
        <w:bidi w:val="0"/>
        <w:ind w:left="1134" w:leftChars="0" w:hanging="1134" w:firstLineChars="0"/>
        <w:rPr>
          <w:color w:val="auto"/>
          <w:highlight w:val="none"/>
        </w:rPr>
      </w:pPr>
      <w:r>
        <w:rPr>
          <w:color w:val="auto"/>
          <w:highlight w:val="none"/>
        </w:rPr>
        <w:t>《土地复垦条例》（国务院令第592号，2011.2.22）；</w:t>
      </w:r>
    </w:p>
    <w:p>
      <w:pPr>
        <w:numPr>
          <w:ilvl w:val="3"/>
          <w:numId w:val="1"/>
        </w:numPr>
        <w:bidi w:val="0"/>
        <w:ind w:left="1134" w:leftChars="0" w:hanging="1134" w:firstLineChars="0"/>
        <w:rPr>
          <w:color w:val="auto"/>
          <w:highlight w:val="none"/>
        </w:rPr>
      </w:pPr>
      <w:r>
        <w:rPr>
          <w:color w:val="auto"/>
          <w:highlight w:val="none"/>
        </w:rPr>
        <w:t>《地质灾害防治条例》，2004.3.1起实施；</w:t>
      </w:r>
    </w:p>
    <w:p>
      <w:pPr>
        <w:numPr>
          <w:ilvl w:val="3"/>
          <w:numId w:val="1"/>
        </w:numPr>
        <w:bidi w:val="0"/>
        <w:ind w:left="1134" w:leftChars="0" w:hanging="1134" w:firstLineChars="0"/>
        <w:rPr>
          <w:color w:val="auto"/>
          <w:highlight w:val="none"/>
        </w:rPr>
      </w:pPr>
      <w:r>
        <w:rPr>
          <w:color w:val="auto"/>
          <w:highlight w:val="none"/>
        </w:rPr>
        <w:t>《规划环境影响评价条例》（2009.10.1）；</w:t>
      </w:r>
    </w:p>
    <w:p>
      <w:pPr>
        <w:numPr>
          <w:ilvl w:val="3"/>
          <w:numId w:val="1"/>
        </w:numPr>
        <w:bidi w:val="0"/>
        <w:ind w:left="1134" w:leftChars="0" w:hanging="1134" w:firstLineChars="0"/>
        <w:rPr>
          <w:color w:val="auto"/>
          <w:highlight w:val="none"/>
        </w:rPr>
      </w:pPr>
      <w:r>
        <w:rPr>
          <w:color w:val="auto"/>
          <w:highlight w:val="none"/>
        </w:rPr>
        <w:t>《基本农田保护条例》（2011修订）；</w:t>
      </w:r>
    </w:p>
    <w:p>
      <w:pPr>
        <w:numPr>
          <w:ilvl w:val="3"/>
          <w:numId w:val="1"/>
        </w:numPr>
        <w:bidi w:val="0"/>
        <w:ind w:left="1134" w:leftChars="0" w:hanging="1134" w:firstLineChars="0"/>
        <w:rPr>
          <w:color w:val="auto"/>
          <w:highlight w:val="none"/>
        </w:rPr>
      </w:pPr>
      <w:r>
        <w:rPr>
          <w:color w:val="auto"/>
          <w:highlight w:val="none"/>
        </w:rPr>
        <w:t>《四川省矿产资源管理条例》（1998.1.1）；</w:t>
      </w:r>
    </w:p>
    <w:p>
      <w:pPr>
        <w:numPr>
          <w:ilvl w:val="0"/>
          <w:numId w:val="0"/>
        </w:numPr>
        <w:bidi w:val="0"/>
        <w:ind w:leftChars="0" w:right="0" w:rightChars="0"/>
        <w:rPr>
          <w:color w:val="auto"/>
          <w:highlight w:val="none"/>
        </w:rPr>
      </w:pPr>
      <w:r>
        <w:rPr>
          <w:color w:val="auto"/>
          <w:highlight w:val="none"/>
        </w:rPr>
        <w:t>（27）《四川省环境保护条例（2017年修订）》（2018.1.1）；</w:t>
      </w:r>
    </w:p>
    <w:p>
      <w:pPr>
        <w:numPr>
          <w:ilvl w:val="3"/>
          <w:numId w:val="1"/>
        </w:numPr>
        <w:bidi w:val="0"/>
        <w:ind w:left="1134" w:leftChars="0" w:hanging="1134" w:firstLineChars="0"/>
        <w:rPr>
          <w:color w:val="auto"/>
          <w:highlight w:val="none"/>
        </w:rPr>
      </w:pPr>
      <w:r>
        <w:rPr>
          <w:color w:val="auto"/>
          <w:highlight w:val="none"/>
        </w:rPr>
        <w:t>《四川省《中华人民共和国水土保持法》实施办法》（2012.12.1）；</w:t>
      </w:r>
    </w:p>
    <w:p>
      <w:pPr>
        <w:numPr>
          <w:ilvl w:val="3"/>
          <w:numId w:val="1"/>
        </w:numPr>
        <w:bidi w:val="0"/>
        <w:ind w:left="1134" w:leftChars="0" w:hanging="1134" w:firstLineChars="0"/>
        <w:rPr>
          <w:color w:val="auto"/>
          <w:highlight w:val="none"/>
        </w:rPr>
      </w:pPr>
      <w:r>
        <w:rPr>
          <w:color w:val="auto"/>
          <w:highlight w:val="none"/>
        </w:rPr>
        <w:t>《四川省〈中华人民共和国大气污染防治法〉实施办法》（2019.1.1）。</w:t>
      </w:r>
    </w:p>
    <w:p>
      <w:pPr>
        <w:pStyle w:val="6"/>
        <w:numPr>
          <w:ilvl w:val="2"/>
          <w:numId w:val="1"/>
        </w:numPr>
        <w:bidi w:val="0"/>
        <w:ind w:left="0" w:leftChars="0" w:firstLine="0" w:firstLineChars="0"/>
        <w:rPr>
          <w:color w:val="auto"/>
          <w:highlight w:val="none"/>
        </w:rPr>
      </w:pPr>
      <w:bookmarkStart w:id="15" w:name="1.1.2 国家及地方相关政策、规划"/>
      <w:bookmarkEnd w:id="15"/>
      <w:bookmarkStart w:id="16" w:name="1.1.2 国家及地方相关政策、规划"/>
      <w:bookmarkEnd w:id="16"/>
      <w:bookmarkStart w:id="17" w:name="_Toc11407"/>
      <w:bookmarkStart w:id="18" w:name="_Toc16927"/>
      <w:r>
        <w:rPr>
          <w:color w:val="auto"/>
          <w:highlight w:val="none"/>
        </w:rPr>
        <w:t>国家及地方相关政策、规划</w:t>
      </w:r>
      <w:bookmarkEnd w:id="17"/>
      <w:bookmarkEnd w:id="18"/>
    </w:p>
    <w:p>
      <w:pPr>
        <w:numPr>
          <w:ilvl w:val="0"/>
          <w:numId w:val="2"/>
        </w:numPr>
        <w:bidi w:val="0"/>
        <w:ind w:left="0" w:leftChars="0" w:firstLine="0" w:firstLineChars="0"/>
        <w:rPr>
          <w:color w:val="auto"/>
          <w:highlight w:val="none"/>
        </w:rPr>
      </w:pPr>
      <w:r>
        <w:rPr>
          <w:color w:val="auto"/>
          <w:highlight w:val="none"/>
        </w:rPr>
        <w:t>《产业结构调整指导目录（2019年本）》（国家发改委令2019年第29号令）；</w:t>
      </w:r>
    </w:p>
    <w:p>
      <w:pPr>
        <w:numPr>
          <w:ilvl w:val="0"/>
          <w:numId w:val="2"/>
        </w:numPr>
        <w:bidi w:val="0"/>
        <w:ind w:left="0" w:leftChars="0" w:firstLine="0" w:firstLineChars="0"/>
        <w:rPr>
          <w:color w:val="auto"/>
          <w:highlight w:val="none"/>
        </w:rPr>
      </w:pPr>
      <w:r>
        <w:rPr>
          <w:color w:val="auto"/>
          <w:highlight w:val="none"/>
        </w:rPr>
        <w:t>《国务院办公厅关于促进煤炭行业平稳运行的意见》（国办发[2013]104号）；</w:t>
      </w:r>
    </w:p>
    <w:p>
      <w:pPr>
        <w:numPr>
          <w:ilvl w:val="0"/>
          <w:numId w:val="2"/>
        </w:numPr>
        <w:bidi w:val="0"/>
        <w:ind w:left="0" w:leftChars="0" w:firstLine="0" w:firstLineChars="0"/>
        <w:rPr>
          <w:color w:val="auto"/>
          <w:highlight w:val="none"/>
        </w:rPr>
      </w:pPr>
      <w:r>
        <w:rPr>
          <w:color w:val="auto"/>
          <w:highlight w:val="none"/>
        </w:rPr>
        <w:t>《关于印发水污染防治行动计划的通知》（国发[2015]17号）；</w:t>
      </w:r>
    </w:p>
    <w:p>
      <w:pPr>
        <w:numPr>
          <w:ilvl w:val="0"/>
          <w:numId w:val="2"/>
        </w:numPr>
        <w:bidi w:val="0"/>
        <w:ind w:left="0" w:leftChars="0" w:firstLine="0" w:firstLineChars="0"/>
        <w:rPr>
          <w:color w:val="auto"/>
          <w:highlight w:val="none"/>
        </w:rPr>
      </w:pPr>
      <w:r>
        <w:rPr>
          <w:color w:val="auto"/>
          <w:highlight w:val="none"/>
        </w:rPr>
        <w:t>《关于印发土壤污染防治行动计划的通知》（国发[2016]31号）；</w:t>
      </w:r>
    </w:p>
    <w:p>
      <w:pPr>
        <w:numPr>
          <w:ilvl w:val="0"/>
          <w:numId w:val="2"/>
        </w:numPr>
        <w:bidi w:val="0"/>
        <w:ind w:left="0" w:leftChars="0" w:firstLine="0" w:firstLineChars="0"/>
        <w:rPr>
          <w:color w:val="auto"/>
          <w:highlight w:val="none"/>
        </w:rPr>
      </w:pPr>
      <w:r>
        <w:rPr>
          <w:color w:val="auto"/>
          <w:highlight w:val="none"/>
        </w:rPr>
        <w:t>《关于进一步加强环境影响评价管理防范环境风险的通知》（环发[2012]77号，2012.7.3）；</w:t>
      </w:r>
    </w:p>
    <w:p>
      <w:pPr>
        <w:numPr>
          <w:ilvl w:val="0"/>
          <w:numId w:val="2"/>
        </w:numPr>
        <w:bidi w:val="0"/>
        <w:ind w:left="0" w:leftChars="0" w:firstLine="0" w:firstLineChars="0"/>
        <w:rPr>
          <w:color w:val="auto"/>
          <w:highlight w:val="none"/>
        </w:rPr>
      </w:pPr>
      <w:r>
        <w:rPr>
          <w:color w:val="auto"/>
          <w:highlight w:val="none"/>
        </w:rPr>
        <w:t>《关于切实加强风险防范严格环境影响评价管理的通知》（环发[2012]98号，2012.8.7）；</w:t>
      </w:r>
    </w:p>
    <w:p>
      <w:pPr>
        <w:numPr>
          <w:ilvl w:val="0"/>
          <w:numId w:val="2"/>
        </w:numPr>
        <w:bidi w:val="0"/>
        <w:ind w:left="0" w:leftChars="0" w:firstLine="0" w:firstLineChars="0"/>
        <w:rPr>
          <w:color w:val="auto"/>
          <w:highlight w:val="none"/>
        </w:rPr>
      </w:pPr>
      <w:r>
        <w:rPr>
          <w:color w:val="auto"/>
          <w:highlight w:val="none"/>
        </w:rPr>
        <w:t>《关于进一步加强环境保护信息公开工作的通知》）（环发[2012]134号，2012.10.30）；</w:t>
      </w:r>
    </w:p>
    <w:p>
      <w:pPr>
        <w:numPr>
          <w:ilvl w:val="0"/>
          <w:numId w:val="2"/>
        </w:numPr>
        <w:bidi w:val="0"/>
        <w:ind w:left="0" w:leftChars="0" w:firstLine="0" w:firstLineChars="0"/>
        <w:rPr>
          <w:color w:val="auto"/>
          <w:highlight w:val="none"/>
        </w:rPr>
      </w:pPr>
      <w:r>
        <w:rPr>
          <w:color w:val="auto"/>
          <w:highlight w:val="none"/>
        </w:rPr>
        <w:t>《关于印发建设项目环境影响评价政府信息公开指南（试行）的通知》（环发[2013]103号）；</w:t>
      </w:r>
    </w:p>
    <w:p>
      <w:pPr>
        <w:numPr>
          <w:ilvl w:val="0"/>
          <w:numId w:val="2"/>
        </w:numPr>
        <w:bidi w:val="0"/>
        <w:ind w:left="0" w:leftChars="0" w:firstLine="0" w:firstLineChars="0"/>
        <w:rPr>
          <w:color w:val="auto"/>
          <w:highlight w:val="none"/>
        </w:rPr>
      </w:pPr>
      <w:r>
        <w:rPr>
          <w:color w:val="auto"/>
          <w:highlight w:val="none"/>
        </w:rPr>
        <w:t>《关于落实大气污染防治行动计划严格环境影响评价准入的通知》（环发[2014]30号）；</w:t>
      </w:r>
    </w:p>
    <w:p>
      <w:pPr>
        <w:numPr>
          <w:ilvl w:val="0"/>
          <w:numId w:val="2"/>
        </w:numPr>
        <w:bidi w:val="0"/>
        <w:ind w:left="0" w:leftChars="0" w:firstLine="0" w:firstLineChars="0"/>
        <w:rPr>
          <w:color w:val="auto"/>
          <w:highlight w:val="none"/>
        </w:rPr>
      </w:pPr>
      <w:r>
        <w:rPr>
          <w:color w:val="auto"/>
          <w:highlight w:val="none"/>
        </w:rPr>
        <w:t>《重点生态功能区产业准入负面清单编制实施办法》（发改规划[2016]2205号）；</w:t>
      </w:r>
    </w:p>
    <w:p>
      <w:pPr>
        <w:numPr>
          <w:ilvl w:val="0"/>
          <w:numId w:val="2"/>
        </w:numPr>
        <w:bidi w:val="0"/>
        <w:ind w:left="0" w:leftChars="0" w:firstLine="0" w:firstLineChars="0"/>
        <w:rPr>
          <w:color w:val="auto"/>
          <w:highlight w:val="none"/>
        </w:rPr>
      </w:pPr>
      <w:r>
        <w:rPr>
          <w:color w:val="auto"/>
          <w:highlight w:val="none"/>
        </w:rPr>
        <w:t>《环境影响评价公众参与办法》（ 生态环境部部令第4号，2018.7.16）；</w:t>
      </w:r>
    </w:p>
    <w:p>
      <w:pPr>
        <w:numPr>
          <w:ilvl w:val="0"/>
          <w:numId w:val="2"/>
        </w:numPr>
        <w:bidi w:val="0"/>
        <w:ind w:left="0" w:leftChars="0" w:firstLine="0" w:firstLineChars="0"/>
        <w:rPr>
          <w:color w:val="auto"/>
          <w:highlight w:val="none"/>
        </w:rPr>
      </w:pPr>
      <w:r>
        <w:rPr>
          <w:color w:val="auto"/>
          <w:highlight w:val="none"/>
        </w:rPr>
        <w:t>《国家发展改革委关于印发国家核准煤炭规划矿区目录（2007年本）的通知》（国家发改委，2007.11.28）；</w:t>
      </w:r>
    </w:p>
    <w:p>
      <w:pPr>
        <w:numPr>
          <w:ilvl w:val="0"/>
          <w:numId w:val="2"/>
        </w:numPr>
        <w:bidi w:val="0"/>
        <w:ind w:left="0" w:leftChars="0" w:firstLine="0" w:firstLineChars="0"/>
        <w:rPr>
          <w:color w:val="auto"/>
          <w:highlight w:val="none"/>
        </w:rPr>
      </w:pPr>
      <w:r>
        <w:rPr>
          <w:color w:val="auto"/>
          <w:highlight w:val="none"/>
        </w:rPr>
        <w:t>《关于加强资源开发生态环境保护监管工作的意见》（环发[2004]24号），2004.2.20；</w:t>
      </w:r>
    </w:p>
    <w:p>
      <w:pPr>
        <w:numPr>
          <w:ilvl w:val="0"/>
          <w:numId w:val="2"/>
        </w:numPr>
        <w:bidi w:val="0"/>
        <w:ind w:left="0" w:leftChars="0" w:firstLine="0" w:firstLineChars="0"/>
        <w:rPr>
          <w:color w:val="auto"/>
          <w:highlight w:val="none"/>
        </w:rPr>
      </w:pPr>
      <w:r>
        <w:rPr>
          <w:color w:val="auto"/>
          <w:highlight w:val="none"/>
        </w:rPr>
        <w:t>《矿山生态环境保护与污染防治技术政策》（环发[2005]109号）；</w:t>
      </w:r>
    </w:p>
    <w:p>
      <w:pPr>
        <w:numPr>
          <w:ilvl w:val="0"/>
          <w:numId w:val="2"/>
        </w:numPr>
        <w:bidi w:val="0"/>
        <w:ind w:left="0" w:leftChars="0" w:firstLine="0" w:firstLineChars="0"/>
        <w:rPr>
          <w:color w:val="auto"/>
          <w:highlight w:val="none"/>
        </w:rPr>
      </w:pPr>
      <w:r>
        <w:rPr>
          <w:color w:val="auto"/>
          <w:highlight w:val="none"/>
        </w:rPr>
        <w:t>《关于印发加快煤炭行业结构调整、应对产能过剩的指导意见的通知》（发改运行[2006]593号），2006.4.10；</w:t>
      </w:r>
    </w:p>
    <w:p>
      <w:pPr>
        <w:numPr>
          <w:ilvl w:val="0"/>
          <w:numId w:val="2"/>
        </w:numPr>
        <w:bidi w:val="0"/>
        <w:ind w:left="0" w:leftChars="0" w:firstLine="0" w:firstLineChars="0"/>
        <w:rPr>
          <w:color w:val="auto"/>
          <w:highlight w:val="none"/>
        </w:rPr>
      </w:pPr>
      <w:r>
        <w:rPr>
          <w:color w:val="auto"/>
          <w:highlight w:val="none"/>
        </w:rPr>
        <w:t>《煤炭产业政策》（国家发改委公告[2007]80 号）；</w:t>
      </w:r>
    </w:p>
    <w:p>
      <w:pPr>
        <w:numPr>
          <w:ilvl w:val="0"/>
          <w:numId w:val="2"/>
        </w:numPr>
        <w:bidi w:val="0"/>
        <w:ind w:left="0" w:leftChars="0" w:firstLine="0" w:firstLineChars="0"/>
        <w:rPr>
          <w:color w:val="auto"/>
          <w:highlight w:val="none"/>
        </w:rPr>
      </w:pPr>
      <w:r>
        <w:rPr>
          <w:color w:val="auto"/>
          <w:highlight w:val="none"/>
        </w:rPr>
        <w:t>《关于加强煤炭建设项目管理的通知》（发改能源[2006]1039号）2006.6.20；</w:t>
      </w:r>
    </w:p>
    <w:p>
      <w:pPr>
        <w:numPr>
          <w:ilvl w:val="0"/>
          <w:numId w:val="2"/>
        </w:numPr>
        <w:bidi w:val="0"/>
        <w:ind w:left="0" w:leftChars="0" w:firstLine="0" w:firstLineChars="0"/>
        <w:rPr>
          <w:color w:val="auto"/>
          <w:highlight w:val="none"/>
        </w:rPr>
      </w:pPr>
      <w:r>
        <w:rPr>
          <w:color w:val="auto"/>
          <w:highlight w:val="none"/>
        </w:rPr>
        <w:t>《关于印发煤炭工业节能减排工作意见的通知》（发改能源[2007]1456号），2007.7.3；</w:t>
      </w:r>
    </w:p>
    <w:p>
      <w:pPr>
        <w:numPr>
          <w:ilvl w:val="0"/>
          <w:numId w:val="2"/>
        </w:numPr>
        <w:bidi w:val="0"/>
        <w:ind w:left="0" w:leftChars="0" w:firstLine="0" w:firstLineChars="0"/>
        <w:rPr>
          <w:color w:val="auto"/>
          <w:highlight w:val="none"/>
        </w:rPr>
      </w:pPr>
      <w:r>
        <w:rPr>
          <w:color w:val="auto"/>
          <w:highlight w:val="none"/>
        </w:rPr>
        <w:t>《关于印发能源行业加强大气污染防治工作方案的通知》（国家发改委，发改能源[2014]506号）；</w:t>
      </w:r>
    </w:p>
    <w:p>
      <w:pPr>
        <w:numPr>
          <w:ilvl w:val="0"/>
          <w:numId w:val="2"/>
        </w:numPr>
        <w:bidi w:val="0"/>
        <w:ind w:left="0" w:leftChars="0" w:firstLine="0" w:firstLineChars="0"/>
        <w:rPr>
          <w:color w:val="auto"/>
          <w:highlight w:val="none"/>
        </w:rPr>
      </w:pPr>
      <w:r>
        <w:rPr>
          <w:color w:val="auto"/>
          <w:highlight w:val="none"/>
        </w:rPr>
        <w:t>《国家沙化土地封禁保护区管理办法》（林沙发〔2015〕66 号）；</w:t>
      </w:r>
    </w:p>
    <w:p>
      <w:pPr>
        <w:numPr>
          <w:ilvl w:val="0"/>
          <w:numId w:val="2"/>
        </w:numPr>
        <w:bidi w:val="0"/>
        <w:ind w:left="0" w:leftChars="0" w:firstLine="0" w:firstLineChars="0"/>
        <w:rPr>
          <w:color w:val="auto"/>
          <w:highlight w:val="none"/>
        </w:rPr>
      </w:pPr>
      <w:r>
        <w:rPr>
          <w:color w:val="auto"/>
          <w:highlight w:val="none"/>
        </w:rPr>
        <w:t>《国家发展改革委关于从严控制新建煤矿项目有关问题的通知》（发改能源〔2015〕2003号）；</w:t>
      </w:r>
    </w:p>
    <w:p>
      <w:pPr>
        <w:numPr>
          <w:ilvl w:val="0"/>
          <w:numId w:val="2"/>
        </w:numPr>
        <w:bidi w:val="0"/>
        <w:ind w:left="0" w:leftChars="0" w:firstLine="0" w:firstLineChars="0"/>
        <w:rPr>
          <w:color w:val="auto"/>
          <w:highlight w:val="none"/>
        </w:rPr>
      </w:pPr>
      <w:r>
        <w:rPr>
          <w:color w:val="auto"/>
          <w:highlight w:val="none"/>
        </w:rPr>
        <w:t>《煤炭清洁高效利用行动计划（2015-2020年）》（国能煤炭〔2015〕141号）；</w:t>
      </w:r>
    </w:p>
    <w:p>
      <w:pPr>
        <w:numPr>
          <w:ilvl w:val="0"/>
          <w:numId w:val="2"/>
        </w:numPr>
        <w:bidi w:val="0"/>
        <w:ind w:left="0" w:leftChars="0" w:firstLine="0" w:firstLineChars="0"/>
        <w:rPr>
          <w:color w:val="auto"/>
          <w:highlight w:val="none"/>
        </w:rPr>
      </w:pPr>
      <w:r>
        <w:rPr>
          <w:color w:val="auto"/>
          <w:highlight w:val="none"/>
        </w:rPr>
        <w:t>《国务院关于煤炭行业化解过剩产能实现脱困发展的意见》（国发〔2016〕7号）；</w:t>
      </w:r>
    </w:p>
    <w:p>
      <w:pPr>
        <w:numPr>
          <w:ilvl w:val="0"/>
          <w:numId w:val="2"/>
        </w:numPr>
        <w:bidi w:val="0"/>
        <w:ind w:left="0" w:leftChars="0" w:firstLine="0" w:firstLineChars="0"/>
        <w:rPr>
          <w:color w:val="auto"/>
          <w:highlight w:val="none"/>
        </w:rPr>
      </w:pPr>
      <w:r>
        <w:rPr>
          <w:color w:val="auto"/>
          <w:highlight w:val="none"/>
        </w:rPr>
        <w:t>《关于规划环境影响评价加强空间管制、总量管控和环境准入的指导意见（试行）》（环办环评〔2016〕14号）；</w:t>
      </w:r>
    </w:p>
    <w:p>
      <w:pPr>
        <w:numPr>
          <w:ilvl w:val="0"/>
          <w:numId w:val="2"/>
        </w:numPr>
        <w:bidi w:val="0"/>
        <w:ind w:left="0" w:leftChars="0" w:firstLine="0" w:firstLineChars="0"/>
        <w:rPr>
          <w:color w:val="auto"/>
          <w:highlight w:val="none"/>
        </w:rPr>
      </w:pPr>
      <w:r>
        <w:rPr>
          <w:color w:val="auto"/>
          <w:highlight w:val="none"/>
        </w:rPr>
        <w:t>《国务院关于印发国家环境保护“十三五”规划的通知》（国发〔2016〕65号）；</w:t>
      </w:r>
    </w:p>
    <w:p>
      <w:pPr>
        <w:numPr>
          <w:ilvl w:val="0"/>
          <w:numId w:val="2"/>
        </w:numPr>
        <w:bidi w:val="0"/>
        <w:ind w:left="0" w:leftChars="0" w:firstLine="0" w:firstLineChars="0"/>
        <w:rPr>
          <w:color w:val="auto"/>
          <w:highlight w:val="none"/>
        </w:rPr>
      </w:pPr>
      <w:r>
        <w:rPr>
          <w:color w:val="auto"/>
          <w:highlight w:val="none"/>
        </w:rPr>
        <w:t>《“十四五”能降碳综合工作方案》；</w:t>
      </w:r>
    </w:p>
    <w:p>
      <w:pPr>
        <w:numPr>
          <w:ilvl w:val="0"/>
          <w:numId w:val="2"/>
        </w:numPr>
        <w:bidi w:val="0"/>
        <w:ind w:left="0" w:leftChars="0" w:firstLine="0" w:firstLineChars="0"/>
        <w:rPr>
          <w:color w:val="auto"/>
          <w:highlight w:val="none"/>
        </w:rPr>
      </w:pPr>
      <w:r>
        <w:rPr>
          <w:color w:val="auto"/>
          <w:highlight w:val="none"/>
        </w:rPr>
        <w:t>《关于以改善环境质量为核心加强环境影响评价管理的通知》（环环评〔2016〕150号）；</w:t>
      </w:r>
    </w:p>
    <w:p>
      <w:pPr>
        <w:numPr>
          <w:ilvl w:val="0"/>
          <w:numId w:val="2"/>
        </w:numPr>
        <w:bidi w:val="0"/>
        <w:ind w:left="0" w:leftChars="0" w:firstLine="0" w:firstLineChars="0"/>
        <w:rPr>
          <w:color w:val="auto"/>
          <w:highlight w:val="none"/>
        </w:rPr>
      </w:pPr>
      <w:r>
        <w:rPr>
          <w:color w:val="auto"/>
          <w:highlight w:val="none"/>
        </w:rPr>
        <w:t>《中共中央国务院关于全面加强生态环境保护 坚决打好污染防治攻坚战的意见》（中共中央国务院，2018.6.16）；</w:t>
      </w:r>
    </w:p>
    <w:p>
      <w:pPr>
        <w:numPr>
          <w:ilvl w:val="0"/>
          <w:numId w:val="2"/>
        </w:numPr>
        <w:bidi w:val="0"/>
        <w:ind w:left="0" w:leftChars="0" w:firstLine="0" w:firstLineChars="0"/>
        <w:rPr>
          <w:color w:val="auto"/>
          <w:highlight w:val="none"/>
        </w:rPr>
      </w:pPr>
      <w:r>
        <w:rPr>
          <w:color w:val="auto"/>
          <w:highlight w:val="none"/>
        </w:rPr>
        <w:t>《2017年煤炭去产能实施方案》（2017.5.12）；</w:t>
      </w:r>
    </w:p>
    <w:p>
      <w:pPr>
        <w:numPr>
          <w:ilvl w:val="0"/>
          <w:numId w:val="2"/>
        </w:numPr>
        <w:bidi w:val="0"/>
        <w:ind w:left="0" w:leftChars="0" w:firstLine="0" w:firstLineChars="0"/>
        <w:rPr>
          <w:color w:val="auto"/>
          <w:highlight w:val="none"/>
        </w:rPr>
      </w:pPr>
      <w:r>
        <w:rPr>
          <w:color w:val="auto"/>
          <w:highlight w:val="none"/>
        </w:rPr>
        <w:t>《关于做好2017年煤炭钢铁行业化解过剩产能实现脱困发展工作的指导意见》（发改运行[2017]691号）；</w:t>
      </w:r>
    </w:p>
    <w:p>
      <w:pPr>
        <w:numPr>
          <w:ilvl w:val="0"/>
          <w:numId w:val="2"/>
        </w:numPr>
        <w:bidi w:val="0"/>
        <w:rPr>
          <w:color w:val="auto"/>
          <w:highlight w:val="none"/>
        </w:rPr>
      </w:pPr>
      <w:r>
        <w:rPr>
          <w:color w:val="auto"/>
          <w:highlight w:val="none"/>
        </w:rPr>
        <w:t>《关于支持钢铁煤炭行业化解过剩产能实现脱困发展的意见》（环大气[2016]47号）；</w:t>
      </w:r>
    </w:p>
    <w:p>
      <w:pPr>
        <w:numPr>
          <w:ilvl w:val="0"/>
          <w:numId w:val="2"/>
        </w:numPr>
        <w:bidi w:val="0"/>
        <w:rPr>
          <w:color w:val="auto"/>
          <w:highlight w:val="none"/>
        </w:rPr>
      </w:pPr>
      <w:r>
        <w:rPr>
          <w:color w:val="auto"/>
          <w:highlight w:val="none"/>
        </w:rPr>
        <w:t>《四川省主体功能区规划》（2013.4）；</w:t>
      </w:r>
    </w:p>
    <w:p>
      <w:pPr>
        <w:numPr>
          <w:ilvl w:val="0"/>
          <w:numId w:val="2"/>
        </w:numPr>
        <w:bidi w:val="0"/>
        <w:rPr>
          <w:color w:val="auto"/>
          <w:highlight w:val="none"/>
        </w:rPr>
      </w:pPr>
      <w:r>
        <w:rPr>
          <w:color w:val="auto"/>
          <w:highlight w:val="none"/>
        </w:rPr>
        <w:t>《四川省矿产资源总体规划（2016-2020）》（四川省人民政府，2017.6.13）；</w:t>
      </w:r>
    </w:p>
    <w:p>
      <w:pPr>
        <w:numPr>
          <w:ilvl w:val="0"/>
          <w:numId w:val="2"/>
        </w:numPr>
        <w:bidi w:val="0"/>
        <w:rPr>
          <w:color w:val="auto"/>
          <w:highlight w:val="none"/>
        </w:rPr>
      </w:pPr>
      <w:r>
        <w:rPr>
          <w:color w:val="auto"/>
          <w:highlight w:val="none"/>
        </w:rPr>
        <w:t>《关于印发&lt;四川省30万吨/年以下煤矿分类处置方案&gt;的通知》（川应急[2020]31号）；</w:t>
      </w:r>
    </w:p>
    <w:p>
      <w:pPr>
        <w:numPr>
          <w:ilvl w:val="0"/>
          <w:numId w:val="2"/>
        </w:numPr>
        <w:bidi w:val="0"/>
        <w:rPr>
          <w:color w:val="auto"/>
          <w:highlight w:val="none"/>
        </w:rPr>
      </w:pPr>
      <w:r>
        <w:rPr>
          <w:color w:val="auto"/>
          <w:highlight w:val="none"/>
        </w:rPr>
        <w:t>《关于印发四川省“十三五”生态保护与建设规划的通知》（川办发〔2017〕33号）；</w:t>
      </w:r>
    </w:p>
    <w:p>
      <w:pPr>
        <w:numPr>
          <w:ilvl w:val="0"/>
          <w:numId w:val="2"/>
        </w:numPr>
        <w:bidi w:val="0"/>
        <w:rPr>
          <w:color w:val="auto"/>
          <w:highlight w:val="none"/>
        </w:rPr>
      </w:pPr>
      <w:r>
        <w:rPr>
          <w:color w:val="auto"/>
          <w:highlight w:val="none"/>
        </w:rPr>
        <w:t>《四川省国家重点生态功能区产业准入负面清单(第一批)(试行)》（川发改规划[2017]407号）；</w:t>
      </w:r>
    </w:p>
    <w:p>
      <w:pPr>
        <w:numPr>
          <w:ilvl w:val="0"/>
          <w:numId w:val="2"/>
        </w:numPr>
        <w:bidi w:val="0"/>
        <w:rPr>
          <w:color w:val="auto"/>
          <w:highlight w:val="none"/>
        </w:rPr>
      </w:pPr>
      <w:r>
        <w:rPr>
          <w:color w:val="auto"/>
          <w:highlight w:val="none"/>
        </w:rPr>
        <w:t>《四川省国家重点生态功能区产业准入负面清单(第二批)(试行)》（川发改规划[2018]263号）；</w:t>
      </w:r>
    </w:p>
    <w:p>
      <w:pPr>
        <w:numPr>
          <w:ilvl w:val="0"/>
          <w:numId w:val="2"/>
        </w:numPr>
        <w:bidi w:val="0"/>
        <w:rPr>
          <w:color w:val="auto"/>
          <w:highlight w:val="none"/>
        </w:rPr>
      </w:pPr>
      <w:r>
        <w:rPr>
          <w:color w:val="auto"/>
          <w:highlight w:val="none"/>
        </w:rPr>
        <w:t>《关于落实生态保护红线、环境质量底线、资源利用上线制定生态环境准入清单实施生态环境分区管控的通知》（川府发〔2020〕9号）；</w:t>
      </w:r>
    </w:p>
    <w:p>
      <w:pPr>
        <w:numPr>
          <w:ilvl w:val="0"/>
          <w:numId w:val="2"/>
        </w:numPr>
        <w:bidi w:val="0"/>
        <w:rPr>
          <w:color w:val="auto"/>
          <w:highlight w:val="none"/>
        </w:rPr>
      </w:pPr>
      <w:r>
        <w:rPr>
          <w:color w:val="auto"/>
          <w:highlight w:val="none"/>
        </w:rPr>
        <w:t>《达州市人民政府关于印发达州市土壤污染防治行动计划工作方案的通知》（达市府发[2017]29号，2017.11.14）；</w:t>
      </w:r>
    </w:p>
    <w:p>
      <w:pPr>
        <w:pStyle w:val="6"/>
        <w:numPr>
          <w:ilvl w:val="2"/>
          <w:numId w:val="1"/>
        </w:numPr>
        <w:bidi w:val="0"/>
        <w:ind w:left="0" w:leftChars="0" w:firstLine="0" w:firstLineChars="0"/>
        <w:rPr>
          <w:color w:val="auto"/>
          <w:highlight w:val="none"/>
        </w:rPr>
      </w:pPr>
      <w:bookmarkStart w:id="19" w:name="1.1.3 技术规范"/>
      <w:bookmarkEnd w:id="19"/>
      <w:bookmarkStart w:id="20" w:name="1.1.3 技术规范"/>
      <w:bookmarkEnd w:id="20"/>
      <w:bookmarkStart w:id="21" w:name="_Toc9727"/>
      <w:bookmarkStart w:id="22" w:name="_Toc21053"/>
      <w:r>
        <w:rPr>
          <w:color w:val="auto"/>
          <w:highlight w:val="none"/>
        </w:rPr>
        <w:t>技术规范</w:t>
      </w:r>
      <w:bookmarkEnd w:id="21"/>
      <w:bookmarkEnd w:id="22"/>
    </w:p>
    <w:p>
      <w:pPr>
        <w:numPr>
          <w:ilvl w:val="0"/>
          <w:numId w:val="3"/>
        </w:numPr>
        <w:bidi w:val="0"/>
        <w:ind w:left="0" w:leftChars="0" w:firstLine="0" w:firstLineChars="0"/>
        <w:rPr>
          <w:color w:val="auto"/>
          <w:highlight w:val="none"/>
        </w:rPr>
      </w:pPr>
      <w:r>
        <w:rPr>
          <w:color w:val="auto"/>
          <w:highlight w:val="none"/>
        </w:rPr>
        <w:t>《规划环境影响评价技术导则—总纲》（HJ130-2019）；</w:t>
      </w:r>
    </w:p>
    <w:p>
      <w:pPr>
        <w:numPr>
          <w:ilvl w:val="0"/>
          <w:numId w:val="3"/>
        </w:numPr>
        <w:bidi w:val="0"/>
        <w:ind w:left="0" w:leftChars="0" w:firstLine="0" w:firstLineChars="0"/>
        <w:rPr>
          <w:color w:val="auto"/>
          <w:highlight w:val="none"/>
        </w:rPr>
      </w:pPr>
      <w:r>
        <w:rPr>
          <w:rFonts w:hint="eastAsia"/>
          <w:color w:val="auto"/>
          <w:highlight w:val="none"/>
          <w:lang w:eastAsia="zh-CN"/>
        </w:rPr>
        <w:t>《规划环境影响评价技术导则—</w:t>
      </w:r>
      <w:r>
        <w:rPr>
          <w:rFonts w:hint="eastAsia"/>
          <w:color w:val="auto"/>
          <w:highlight w:val="none"/>
          <w:lang w:val="en-US" w:eastAsia="zh-CN"/>
        </w:rPr>
        <w:t>煤炭工业矿区总体规划</w:t>
      </w:r>
      <w:r>
        <w:rPr>
          <w:rFonts w:hint="eastAsia"/>
          <w:color w:val="auto"/>
          <w:highlight w:val="none"/>
          <w:lang w:eastAsia="zh-CN"/>
        </w:rPr>
        <w:t>》（</w:t>
      </w:r>
      <w:r>
        <w:rPr>
          <w:rFonts w:hint="eastAsia"/>
          <w:color w:val="auto"/>
          <w:highlight w:val="none"/>
          <w:lang w:val="en-US" w:eastAsia="zh-CN"/>
        </w:rPr>
        <w:t>HJ463-2009</w:t>
      </w:r>
      <w:r>
        <w:rPr>
          <w:rFonts w:hint="eastAsia"/>
          <w:color w:val="auto"/>
          <w:highlight w:val="none"/>
          <w:lang w:eastAsia="zh-CN"/>
        </w:rPr>
        <w:t>）</w:t>
      </w:r>
    </w:p>
    <w:p>
      <w:pPr>
        <w:numPr>
          <w:ilvl w:val="0"/>
          <w:numId w:val="3"/>
        </w:numPr>
        <w:bidi w:val="0"/>
        <w:ind w:left="0" w:leftChars="0" w:firstLine="0" w:firstLineChars="0"/>
        <w:rPr>
          <w:color w:val="auto"/>
          <w:highlight w:val="none"/>
        </w:rPr>
      </w:pPr>
      <w:r>
        <w:rPr>
          <w:color w:val="auto"/>
          <w:highlight w:val="none"/>
        </w:rPr>
        <w:t>《环境影响评价技术导则—煤炭采选工程》（HJ619-2011）；</w:t>
      </w:r>
    </w:p>
    <w:p>
      <w:pPr>
        <w:numPr>
          <w:ilvl w:val="0"/>
          <w:numId w:val="3"/>
        </w:numPr>
        <w:bidi w:val="0"/>
        <w:ind w:left="0" w:leftChars="0" w:firstLine="0" w:firstLineChars="0"/>
        <w:rPr>
          <w:color w:val="auto"/>
          <w:highlight w:val="none"/>
        </w:rPr>
      </w:pPr>
      <w:r>
        <w:rPr>
          <w:color w:val="auto"/>
          <w:highlight w:val="none"/>
        </w:rPr>
        <w:t>《环境影响评价技术导则—大气环境》（HJ2.2-2018)；</w:t>
      </w:r>
    </w:p>
    <w:p>
      <w:pPr>
        <w:numPr>
          <w:ilvl w:val="0"/>
          <w:numId w:val="3"/>
        </w:numPr>
        <w:bidi w:val="0"/>
        <w:ind w:left="0" w:leftChars="0" w:firstLine="0" w:firstLineChars="0"/>
        <w:rPr>
          <w:color w:val="auto"/>
          <w:highlight w:val="none"/>
        </w:rPr>
      </w:pPr>
      <w:r>
        <w:rPr>
          <w:color w:val="auto"/>
          <w:highlight w:val="none"/>
        </w:rPr>
        <w:t>《环境影响评价技术导则—地表水环境》（HJ2.3-2018)；</w:t>
      </w:r>
    </w:p>
    <w:p>
      <w:pPr>
        <w:numPr>
          <w:ilvl w:val="0"/>
          <w:numId w:val="3"/>
        </w:numPr>
        <w:bidi w:val="0"/>
        <w:ind w:left="0" w:leftChars="0" w:firstLine="0" w:firstLineChars="0"/>
        <w:rPr>
          <w:color w:val="auto"/>
          <w:highlight w:val="none"/>
        </w:rPr>
      </w:pPr>
      <w:r>
        <w:rPr>
          <w:color w:val="auto"/>
          <w:highlight w:val="none"/>
        </w:rPr>
        <w:t>《环境影响评价技术导则—地下水环境》（HJ610-2016）；</w:t>
      </w:r>
    </w:p>
    <w:p>
      <w:pPr>
        <w:numPr>
          <w:ilvl w:val="0"/>
          <w:numId w:val="3"/>
        </w:numPr>
        <w:bidi w:val="0"/>
        <w:ind w:left="0" w:leftChars="0" w:firstLine="0" w:firstLineChars="0"/>
        <w:rPr>
          <w:color w:val="auto"/>
          <w:highlight w:val="none"/>
        </w:rPr>
      </w:pPr>
      <w:r>
        <w:rPr>
          <w:color w:val="auto"/>
          <w:highlight w:val="none"/>
        </w:rPr>
        <w:t>《环境影响评价技术导则—声环境》（HJ2.4-2009)；</w:t>
      </w:r>
    </w:p>
    <w:p>
      <w:pPr>
        <w:numPr>
          <w:ilvl w:val="0"/>
          <w:numId w:val="3"/>
        </w:numPr>
        <w:bidi w:val="0"/>
        <w:ind w:left="0" w:leftChars="0" w:firstLine="0" w:firstLineChars="0"/>
        <w:rPr>
          <w:color w:val="auto"/>
          <w:highlight w:val="none"/>
        </w:rPr>
      </w:pPr>
      <w:r>
        <w:rPr>
          <w:color w:val="auto"/>
          <w:highlight w:val="none"/>
        </w:rPr>
        <w:t>《环境影响评价技术导则—生态环境》（HJ19-2011）；</w:t>
      </w:r>
    </w:p>
    <w:p>
      <w:pPr>
        <w:numPr>
          <w:ilvl w:val="0"/>
          <w:numId w:val="3"/>
        </w:numPr>
        <w:bidi w:val="0"/>
        <w:ind w:left="0" w:leftChars="0" w:firstLine="0" w:firstLineChars="0"/>
        <w:rPr>
          <w:color w:val="auto"/>
          <w:highlight w:val="none"/>
        </w:rPr>
      </w:pPr>
      <w:r>
        <w:rPr>
          <w:color w:val="auto"/>
          <w:highlight w:val="none"/>
        </w:rPr>
        <w:t>《环境影响评价技术导则—土壤环境（试行）》（HJ964-2018）；</w:t>
      </w:r>
    </w:p>
    <w:p>
      <w:pPr>
        <w:numPr>
          <w:ilvl w:val="0"/>
          <w:numId w:val="3"/>
        </w:numPr>
        <w:bidi w:val="0"/>
        <w:ind w:left="0" w:leftChars="0" w:firstLine="0" w:firstLineChars="0"/>
        <w:rPr>
          <w:color w:val="auto"/>
          <w:highlight w:val="none"/>
        </w:rPr>
      </w:pPr>
      <w:r>
        <w:rPr>
          <w:color w:val="auto"/>
          <w:highlight w:val="none"/>
        </w:rPr>
        <w:t>《建设项目环境风险评价技术导则》（HJ169-2018）；</w:t>
      </w:r>
    </w:p>
    <w:p>
      <w:pPr>
        <w:numPr>
          <w:ilvl w:val="0"/>
          <w:numId w:val="3"/>
        </w:numPr>
        <w:bidi w:val="0"/>
        <w:ind w:left="0" w:leftChars="0" w:firstLine="0" w:firstLineChars="0"/>
        <w:rPr>
          <w:color w:val="auto"/>
          <w:highlight w:val="none"/>
        </w:rPr>
      </w:pPr>
      <w:r>
        <w:rPr>
          <w:color w:val="auto"/>
          <w:highlight w:val="none"/>
        </w:rPr>
        <w:t>《声环境功能区划分技术规范》（GB/T15190-2014)；</w:t>
      </w:r>
    </w:p>
    <w:p>
      <w:pPr>
        <w:numPr>
          <w:ilvl w:val="0"/>
          <w:numId w:val="3"/>
        </w:numPr>
        <w:bidi w:val="0"/>
        <w:ind w:left="0" w:leftChars="0" w:firstLine="0" w:firstLineChars="0"/>
        <w:rPr>
          <w:color w:val="auto"/>
          <w:highlight w:val="none"/>
        </w:rPr>
      </w:pPr>
      <w:r>
        <w:rPr>
          <w:color w:val="auto"/>
          <w:highlight w:val="none"/>
        </w:rPr>
        <w:t>《环境空气质量功能区划分原则与技术方法》（HJ14-1996)；</w:t>
      </w:r>
    </w:p>
    <w:p>
      <w:pPr>
        <w:numPr>
          <w:ilvl w:val="0"/>
          <w:numId w:val="3"/>
        </w:numPr>
        <w:bidi w:val="0"/>
        <w:ind w:left="0" w:leftChars="0" w:firstLine="0" w:firstLineChars="0"/>
        <w:rPr>
          <w:color w:val="auto"/>
          <w:highlight w:val="none"/>
        </w:rPr>
      </w:pPr>
      <w:r>
        <w:rPr>
          <w:color w:val="auto"/>
          <w:highlight w:val="none"/>
        </w:rPr>
        <w:t>《生态环境状况评价技术规范》（HJ192-2015）；</w:t>
      </w:r>
    </w:p>
    <w:p>
      <w:pPr>
        <w:numPr>
          <w:ilvl w:val="0"/>
          <w:numId w:val="3"/>
        </w:numPr>
        <w:bidi w:val="0"/>
        <w:ind w:left="0" w:leftChars="0" w:firstLine="0" w:firstLineChars="0"/>
        <w:rPr>
          <w:color w:val="auto"/>
          <w:highlight w:val="none"/>
        </w:rPr>
      </w:pPr>
      <w:r>
        <w:rPr>
          <w:color w:val="auto"/>
          <w:highlight w:val="none"/>
        </w:rPr>
        <w:t>《建设项目危险废物环境影响评价指南》（公告2017年第43号）；</w:t>
      </w:r>
    </w:p>
    <w:p>
      <w:pPr>
        <w:numPr>
          <w:ilvl w:val="0"/>
          <w:numId w:val="3"/>
        </w:numPr>
        <w:bidi w:val="0"/>
        <w:ind w:left="0" w:leftChars="0" w:firstLine="0" w:firstLineChars="0"/>
        <w:rPr>
          <w:color w:val="auto"/>
          <w:highlight w:val="none"/>
        </w:rPr>
      </w:pPr>
      <w:r>
        <w:rPr>
          <w:color w:val="auto"/>
          <w:highlight w:val="none"/>
        </w:rPr>
        <w:t>《煤炭工业环境保护设计规范》（GB50821-2012）；</w:t>
      </w:r>
    </w:p>
    <w:p>
      <w:pPr>
        <w:numPr>
          <w:ilvl w:val="0"/>
          <w:numId w:val="3"/>
        </w:numPr>
        <w:bidi w:val="0"/>
        <w:ind w:left="0" w:leftChars="0" w:firstLine="0" w:firstLineChars="0"/>
        <w:rPr>
          <w:color w:val="auto"/>
          <w:highlight w:val="none"/>
        </w:rPr>
      </w:pPr>
      <w:r>
        <w:rPr>
          <w:color w:val="auto"/>
          <w:highlight w:val="none"/>
        </w:rPr>
        <w:t>《矿山生态环境保护与恢复治理技术规范(试行)》(HJ651-2013)；</w:t>
      </w:r>
    </w:p>
    <w:p>
      <w:pPr>
        <w:numPr>
          <w:ilvl w:val="0"/>
          <w:numId w:val="3"/>
        </w:numPr>
        <w:bidi w:val="0"/>
        <w:ind w:left="0" w:leftChars="0" w:firstLine="0" w:firstLineChars="0"/>
        <w:rPr>
          <w:color w:val="auto"/>
          <w:highlight w:val="none"/>
        </w:rPr>
      </w:pPr>
      <w:r>
        <w:rPr>
          <w:color w:val="auto"/>
          <w:highlight w:val="none"/>
        </w:rPr>
        <w:t>《矿山生态环境保护与恢复治理方案（规划）编制规范（试行）》（HJ652-2013）；</w:t>
      </w:r>
    </w:p>
    <w:p>
      <w:pPr>
        <w:numPr>
          <w:ilvl w:val="0"/>
          <w:numId w:val="3"/>
        </w:numPr>
        <w:bidi w:val="0"/>
        <w:ind w:left="0" w:leftChars="0" w:firstLine="0" w:firstLineChars="0"/>
        <w:rPr>
          <w:color w:val="auto"/>
          <w:highlight w:val="none"/>
        </w:rPr>
      </w:pPr>
      <w:r>
        <w:rPr>
          <w:color w:val="auto"/>
          <w:highlight w:val="none"/>
        </w:rPr>
        <w:t>《矿山生态环境保护与恢复治理技术规范（试行）》（HJ651-2013）；</w:t>
      </w:r>
      <w:bookmarkStart w:id="23" w:name="1.1.4 其他"/>
      <w:bookmarkEnd w:id="23"/>
      <w:bookmarkStart w:id="24" w:name="1.1.4 其他"/>
      <w:bookmarkEnd w:id="24"/>
    </w:p>
    <w:p>
      <w:pPr>
        <w:numPr>
          <w:ilvl w:val="0"/>
          <w:numId w:val="3"/>
        </w:numPr>
        <w:bidi w:val="0"/>
        <w:ind w:left="0" w:leftChars="0" w:firstLine="0" w:firstLineChars="0"/>
        <w:rPr>
          <w:color w:val="auto"/>
          <w:highlight w:val="none"/>
        </w:rPr>
      </w:pPr>
      <w:r>
        <w:rPr>
          <w:color w:val="auto"/>
          <w:highlight w:val="none"/>
        </w:rPr>
        <w:t>《</w:t>
      </w:r>
      <w:r>
        <w:rPr>
          <w:rFonts w:hint="eastAsia"/>
          <w:color w:val="auto"/>
          <w:highlight w:val="none"/>
          <w:lang w:eastAsia="zh-CN"/>
        </w:rPr>
        <w:t>四川省达州市大竹县煤炭矿区总体规划</w:t>
      </w:r>
      <w:r>
        <w:rPr>
          <w:color w:val="auto"/>
          <w:highlight w:val="none"/>
        </w:rPr>
        <w:t>》（</w:t>
      </w:r>
      <w:r>
        <w:rPr>
          <w:rFonts w:hint="eastAsia"/>
          <w:color w:val="auto"/>
          <w:highlight w:val="none"/>
          <w:lang w:eastAsia="zh-CN"/>
        </w:rPr>
        <w:t>四川省煤炭研究设计院</w:t>
      </w:r>
      <w:r>
        <w:rPr>
          <w:color w:val="auto"/>
          <w:highlight w:val="none"/>
        </w:rPr>
        <w:t>，2021.</w:t>
      </w:r>
      <w:r>
        <w:rPr>
          <w:rFonts w:hint="eastAsia"/>
          <w:color w:val="auto"/>
          <w:highlight w:val="none"/>
          <w:lang w:val="en-US" w:eastAsia="zh-CN"/>
        </w:rPr>
        <w:t>10</w:t>
      </w:r>
      <w:r>
        <w:rPr>
          <w:color w:val="auto"/>
          <w:highlight w:val="none"/>
        </w:rPr>
        <w:t>）；</w:t>
      </w:r>
    </w:p>
    <w:p>
      <w:pPr>
        <w:numPr>
          <w:ilvl w:val="0"/>
          <w:numId w:val="3"/>
        </w:numPr>
        <w:bidi w:val="0"/>
        <w:ind w:left="0" w:leftChars="0" w:firstLine="0" w:firstLineChars="0"/>
        <w:rPr>
          <w:color w:val="auto"/>
          <w:highlight w:val="none"/>
        </w:rPr>
      </w:pPr>
      <w:r>
        <w:rPr>
          <w:color w:val="auto"/>
          <w:highlight w:val="none"/>
        </w:rPr>
        <w:t>其他相关技术资料。</w:t>
      </w:r>
    </w:p>
    <w:p>
      <w:pPr>
        <w:pStyle w:val="5"/>
        <w:numPr>
          <w:ilvl w:val="1"/>
          <w:numId w:val="1"/>
        </w:numPr>
        <w:bidi w:val="0"/>
        <w:ind w:left="0" w:leftChars="0" w:firstLine="0" w:firstLineChars="0"/>
        <w:rPr>
          <w:color w:val="auto"/>
          <w:highlight w:val="none"/>
        </w:rPr>
      </w:pPr>
      <w:bookmarkStart w:id="25" w:name="1.2 评价目的、原则"/>
      <w:bookmarkEnd w:id="25"/>
      <w:bookmarkStart w:id="26" w:name="_bookmark3"/>
      <w:bookmarkEnd w:id="26"/>
      <w:bookmarkStart w:id="27" w:name="_Toc1542"/>
      <w:bookmarkStart w:id="28" w:name="_Toc2579"/>
      <w:r>
        <w:rPr>
          <w:color w:val="auto"/>
          <w:highlight w:val="none"/>
        </w:rPr>
        <w:t>评价目的、原则</w:t>
      </w:r>
      <w:bookmarkEnd w:id="27"/>
      <w:bookmarkEnd w:id="28"/>
    </w:p>
    <w:p>
      <w:pPr>
        <w:pStyle w:val="6"/>
        <w:numPr>
          <w:ilvl w:val="2"/>
          <w:numId w:val="1"/>
        </w:numPr>
        <w:bidi w:val="0"/>
        <w:ind w:left="0" w:leftChars="0" w:firstLine="0" w:firstLineChars="0"/>
        <w:rPr>
          <w:color w:val="auto"/>
          <w:highlight w:val="none"/>
        </w:rPr>
      </w:pPr>
      <w:bookmarkStart w:id="29" w:name="1.2.1 评价目的"/>
      <w:bookmarkEnd w:id="29"/>
      <w:bookmarkStart w:id="30" w:name="1.2.1 评价目的"/>
      <w:bookmarkEnd w:id="30"/>
      <w:bookmarkStart w:id="31" w:name="_Toc31512"/>
      <w:bookmarkStart w:id="32" w:name="_Toc9718"/>
      <w:r>
        <w:rPr>
          <w:color w:val="auto"/>
          <w:highlight w:val="none"/>
        </w:rPr>
        <w:t>评价目的</w:t>
      </w:r>
      <w:bookmarkEnd w:id="31"/>
      <w:bookmarkEnd w:id="32"/>
    </w:p>
    <w:p>
      <w:pPr>
        <w:numPr>
          <w:ilvl w:val="0"/>
          <w:numId w:val="0"/>
        </w:numPr>
        <w:bidi w:val="0"/>
        <w:ind w:leftChars="0" w:right="0" w:righ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通过矿区规划实施的环境影响情况和回顾评价，查找规划实施过程中存在的环境问题，提出补救措施；</w:t>
      </w:r>
    </w:p>
    <w:p>
      <w:pPr>
        <w:numPr>
          <w:ilvl w:val="0"/>
          <w:numId w:val="0"/>
        </w:numPr>
        <w:bidi w:val="0"/>
        <w:ind w:leftChars="0" w:right="0" w:righ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落实国家最新的环境保护法律、法规及要求，对矿区井田划分方案和规模发生变化导致的矿区开发环境影响程度、范围进行预测分析，提出科学、合理的预防和减缓不利影响对策措施。从环境保护的角度，明确提出规划实施是否可行的结论。同时为规划优化设计、合理布局、施工建设和营运以及污染防治、生态保护、环境管理等方面提出要求；</w:t>
      </w:r>
    </w:p>
    <w:p>
      <w:pPr>
        <w:numPr>
          <w:ilvl w:val="0"/>
          <w:numId w:val="0"/>
        </w:numPr>
        <w:bidi w:val="0"/>
        <w:ind w:leftChars="0" w:right="0" w:righ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评价的最终目的是在规划编制、修改和决策过程中进行环境影响评价，为规划的决策提供依据。</w:t>
      </w:r>
    </w:p>
    <w:p>
      <w:pPr>
        <w:pStyle w:val="6"/>
        <w:numPr>
          <w:ilvl w:val="2"/>
          <w:numId w:val="1"/>
        </w:numPr>
        <w:bidi w:val="0"/>
        <w:rPr>
          <w:color w:val="auto"/>
          <w:highlight w:val="none"/>
        </w:rPr>
      </w:pPr>
      <w:bookmarkStart w:id="33" w:name="1.2.2 评价原则"/>
      <w:bookmarkEnd w:id="33"/>
      <w:bookmarkStart w:id="34" w:name="1.2.2 评价原则"/>
      <w:bookmarkEnd w:id="34"/>
      <w:bookmarkStart w:id="35" w:name="_Toc21581"/>
      <w:bookmarkStart w:id="36" w:name="_Toc11745"/>
      <w:r>
        <w:rPr>
          <w:color w:val="auto"/>
          <w:highlight w:val="none"/>
        </w:rPr>
        <w:t>评价原则</w:t>
      </w:r>
      <w:bookmarkEnd w:id="35"/>
      <w:bookmarkEnd w:id="36"/>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环境影响评价工作坚持科学性、整体性、一致性及突出重点原则，系统考虑规划实施可能产生的环境影响，有针对性提出科学、合理、可操作性强的环保对策；广泛征求社会公众意见，充分考虑各方面利益和主张。</w:t>
      </w:r>
    </w:p>
    <w:p>
      <w:pPr>
        <w:bidi w:val="0"/>
        <w:rPr>
          <w:color w:val="auto"/>
          <w:spacing w:val="2"/>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color w:val="auto"/>
          <w:sz w:val="24"/>
          <w:highlight w:val="none"/>
        </w:rPr>
        <w:t>回顾矿区规划已实施工程环境影响情况，查找矿区规划实施存在的环境问题。以矿区井田划分方案和井田开发规模变化为主线，分析矿区规划与新</w:t>
      </w:r>
      <w:r>
        <w:rPr>
          <w:color w:val="auto"/>
          <w:spacing w:val="3"/>
          <w:sz w:val="24"/>
          <w:highlight w:val="none"/>
        </w:rPr>
        <w:t>的环境保护要求</w:t>
      </w:r>
      <w:r>
        <w:rPr>
          <w:color w:val="auto"/>
          <w:spacing w:val="4"/>
          <w:sz w:val="24"/>
          <w:highlight w:val="none"/>
        </w:rPr>
        <w:t>（</w:t>
      </w:r>
      <w:r>
        <w:rPr>
          <w:color w:val="auto"/>
          <w:spacing w:val="3"/>
          <w:sz w:val="24"/>
          <w:highlight w:val="none"/>
        </w:rPr>
        <w:t>包括法律、法规、相关规划和环保要求）</w:t>
      </w:r>
      <w:r>
        <w:rPr>
          <w:color w:val="auto"/>
          <w:spacing w:val="2"/>
          <w:sz w:val="24"/>
          <w:highlight w:val="none"/>
        </w:rPr>
        <w:t>，预测、评价矿区规划实施环境影响，提出可行的环境保护对策和优化建议。</w:t>
      </w:r>
    </w:p>
    <w:p>
      <w:pPr>
        <w:bidi w:val="0"/>
        <w:rPr>
          <w:color w:val="auto"/>
          <w:sz w:val="24"/>
          <w:highlight w:val="none"/>
        </w:rPr>
      </w:pPr>
      <w:r>
        <w:rPr>
          <w:rFonts w:hint="eastAsia"/>
          <w:color w:val="auto"/>
          <w:spacing w:val="2"/>
          <w:sz w:val="24"/>
          <w:highlight w:val="none"/>
          <w:lang w:eastAsia="zh-CN"/>
        </w:rPr>
        <w:t>（</w:t>
      </w:r>
      <w:r>
        <w:rPr>
          <w:rFonts w:hint="eastAsia"/>
          <w:color w:val="auto"/>
          <w:spacing w:val="2"/>
          <w:sz w:val="24"/>
          <w:highlight w:val="none"/>
          <w:lang w:val="en-US" w:eastAsia="zh-CN"/>
        </w:rPr>
        <w:t>3</w:t>
      </w:r>
      <w:r>
        <w:rPr>
          <w:rFonts w:hint="eastAsia"/>
          <w:color w:val="auto"/>
          <w:spacing w:val="2"/>
          <w:sz w:val="24"/>
          <w:highlight w:val="none"/>
          <w:lang w:eastAsia="zh-CN"/>
        </w:rPr>
        <w:t>）</w:t>
      </w:r>
      <w:r>
        <w:rPr>
          <w:color w:val="auto"/>
          <w:spacing w:val="-1"/>
          <w:sz w:val="24"/>
          <w:highlight w:val="none"/>
        </w:rPr>
        <w:t>在矿区总体发展规划和环境功能区划的总原则下，以科学的态度、实</w:t>
      </w:r>
      <w:r>
        <w:rPr>
          <w:color w:val="auto"/>
          <w:sz w:val="24"/>
          <w:highlight w:val="none"/>
        </w:rPr>
        <w:t>事求是的精神和严肃认真的作风开展环评工作。</w:t>
      </w:r>
    </w:p>
    <w:p>
      <w:pPr>
        <w:pStyle w:val="5"/>
        <w:numPr>
          <w:ilvl w:val="1"/>
          <w:numId w:val="1"/>
        </w:numPr>
        <w:bidi w:val="0"/>
        <w:rPr>
          <w:color w:val="auto"/>
          <w:highlight w:val="none"/>
        </w:rPr>
      </w:pPr>
      <w:bookmarkStart w:id="37" w:name="1.3 评价内容、评价重点及评价方法"/>
      <w:bookmarkEnd w:id="37"/>
      <w:bookmarkStart w:id="38" w:name="_bookmark4"/>
      <w:bookmarkEnd w:id="38"/>
      <w:bookmarkStart w:id="39" w:name="_Toc11066"/>
      <w:bookmarkStart w:id="40" w:name="_Toc7863"/>
      <w:r>
        <w:rPr>
          <w:color w:val="auto"/>
          <w:highlight w:val="none"/>
        </w:rPr>
        <w:t>评价内容、评价重点及评价方法</w:t>
      </w:r>
      <w:bookmarkEnd w:id="39"/>
      <w:bookmarkEnd w:id="40"/>
    </w:p>
    <w:p>
      <w:pPr>
        <w:pStyle w:val="6"/>
        <w:numPr>
          <w:ilvl w:val="2"/>
          <w:numId w:val="1"/>
        </w:numPr>
        <w:bidi w:val="0"/>
        <w:rPr>
          <w:color w:val="auto"/>
          <w:highlight w:val="none"/>
        </w:rPr>
      </w:pPr>
      <w:bookmarkStart w:id="41" w:name="1.3.1 评价内容"/>
      <w:bookmarkEnd w:id="41"/>
      <w:bookmarkStart w:id="42" w:name="1.3.1 评价内容"/>
      <w:bookmarkEnd w:id="42"/>
      <w:bookmarkStart w:id="43" w:name="_Toc27867"/>
      <w:bookmarkStart w:id="44" w:name="_Toc20231"/>
      <w:r>
        <w:rPr>
          <w:color w:val="auto"/>
          <w:highlight w:val="none"/>
        </w:rPr>
        <w:t>评价内容</w:t>
      </w:r>
      <w:bookmarkEnd w:id="43"/>
      <w:bookmarkEnd w:id="44"/>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根据《</w:t>
      </w:r>
      <w:r>
        <w:rPr>
          <w:rFonts w:hint="eastAsia"/>
          <w:color w:val="auto"/>
          <w:highlight w:val="none"/>
          <w:lang w:eastAsia="zh-CN"/>
        </w:rPr>
        <w:t>四川省达州市大竹县煤炭矿区总体规划</w:t>
      </w:r>
      <w:r>
        <w:rPr>
          <w:color w:val="auto"/>
          <w:highlight w:val="none"/>
        </w:rPr>
        <w:t>》分析总体规划主要内容，对总体规划提出的规划方案从环境保护角度予以评价其可行性。</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通过对国家、四川省、达州市、</w:t>
      </w:r>
      <w:r>
        <w:rPr>
          <w:rFonts w:hint="eastAsia"/>
          <w:color w:val="auto"/>
          <w:highlight w:val="none"/>
          <w:lang w:eastAsia="zh-CN"/>
        </w:rPr>
        <w:t>大竹县</w:t>
      </w:r>
      <w:r>
        <w:rPr>
          <w:color w:val="auto"/>
          <w:highlight w:val="none"/>
        </w:rPr>
        <w:t>的相关政策、法规等进行总体评价，分析其符合性以及与国家、地方、行业相关规划、计划的协调性。</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调查、评价总体规划实施所依托的环境条件（包括自然、社会和经济环境），识别区域主要环境问题以及制约规划实施的敏感环境因素，对矿区各矿山进行环境影响回顾评价。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调查规划实施的环境现状评价及环境影响回顾性调查，预测总体规划实施后，可能对环境持续造成的影响，包括直接影响、间接影响和累积影响。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分析、评价达川区区域内资源、环境对总体规划实施和区域可持续发展的承载能力。</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提出预防和减轻不良环境影响的对策措施，并制定循环经济及清洁生产的改进措施。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color w:val="auto"/>
          <w:highlight w:val="none"/>
        </w:rPr>
        <w:t>对总体规划方案的环境合理性进行综合论证，提出环境合理的规划方案调整建议。</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color w:val="auto"/>
          <w:highlight w:val="none"/>
        </w:rPr>
        <w:t>开展公众参与工作。</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color w:val="auto"/>
          <w:highlight w:val="none"/>
        </w:rPr>
        <w:t>制定总体规划实施后环境影响的监测与跟踪评价计划。</w:t>
      </w:r>
    </w:p>
    <w:p>
      <w:pPr>
        <w:pStyle w:val="6"/>
        <w:numPr>
          <w:ilvl w:val="2"/>
          <w:numId w:val="1"/>
        </w:numPr>
        <w:bidi w:val="0"/>
        <w:rPr>
          <w:color w:val="auto"/>
          <w:highlight w:val="none"/>
        </w:rPr>
      </w:pPr>
      <w:bookmarkStart w:id="45" w:name="1.3.2 评价重点"/>
      <w:bookmarkEnd w:id="45"/>
      <w:bookmarkStart w:id="46" w:name="1.3.2 评价重点"/>
      <w:bookmarkEnd w:id="46"/>
      <w:bookmarkStart w:id="47" w:name="_Toc12603"/>
      <w:bookmarkStart w:id="48" w:name="_Toc14662"/>
      <w:r>
        <w:rPr>
          <w:color w:val="auto"/>
          <w:highlight w:val="none"/>
        </w:rPr>
        <w:t>评价重点</w:t>
      </w:r>
      <w:bookmarkEnd w:id="47"/>
      <w:bookmarkEnd w:id="48"/>
    </w:p>
    <w:p>
      <w:pPr>
        <w:bidi w:val="0"/>
        <w:rPr>
          <w:color w:val="auto"/>
          <w:highlight w:val="none"/>
        </w:rPr>
      </w:pPr>
      <w:r>
        <w:rPr>
          <w:color w:val="auto"/>
          <w:highlight w:val="none"/>
        </w:rPr>
        <w:t>根据规划特点、周围区域环境状况，确定本次评价的工作重点为：</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矿区现状调查、监测与开发回顾评价；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规划符合性及其规划布局与产业定位的合理性分析；</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环境承载力分析；</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对大气、地表水、生态环境、声环境的影响预测分析；</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环境影响减缓对策及措施；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规划方案的综合论证和优化调整建议；</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color w:val="auto"/>
          <w:highlight w:val="none"/>
        </w:rPr>
        <w:t>“三线一单”管控要求。</w:t>
      </w:r>
    </w:p>
    <w:p>
      <w:pPr>
        <w:spacing w:after="0" w:line="240" w:lineRule="auto"/>
        <w:jc w:val="left"/>
        <w:rPr>
          <w:color w:val="auto"/>
          <w:sz w:val="24"/>
          <w:highlight w:val="none"/>
        </w:rPr>
        <w:sectPr>
          <w:footerReference r:id="rId9" w:type="default"/>
          <w:pgSz w:w="11910" w:h="16840"/>
          <w:pgMar w:top="1360" w:right="1240" w:bottom="1000" w:left="1260" w:header="902" w:footer="804" w:gutter="0"/>
          <w:pgBorders>
            <w:top w:val="none" w:sz="0" w:space="0"/>
            <w:left w:val="none" w:sz="0" w:space="0"/>
            <w:bottom w:val="none" w:sz="0" w:space="0"/>
            <w:right w:val="none" w:sz="0" w:space="0"/>
          </w:pgBorders>
          <w:pgNumType w:fmt="decimal" w:start="1"/>
          <w:cols w:space="720" w:num="1"/>
        </w:sectPr>
      </w:pPr>
    </w:p>
    <w:p>
      <w:pPr>
        <w:pStyle w:val="6"/>
        <w:numPr>
          <w:ilvl w:val="2"/>
          <w:numId w:val="1"/>
        </w:numPr>
        <w:bidi w:val="0"/>
        <w:rPr>
          <w:color w:val="auto"/>
          <w:highlight w:val="none"/>
        </w:rPr>
      </w:pPr>
      <w:bookmarkStart w:id="49" w:name="1.3.3 评价方法"/>
      <w:bookmarkEnd w:id="49"/>
      <w:bookmarkStart w:id="50" w:name="1.3.3 评价方法"/>
      <w:bookmarkEnd w:id="50"/>
      <w:bookmarkStart w:id="51" w:name="_Toc29412"/>
      <w:bookmarkStart w:id="52" w:name="_Toc15878"/>
      <w:r>
        <w:rPr>
          <w:color w:val="auto"/>
          <w:highlight w:val="none"/>
        </w:rPr>
        <w:t>评价方法</w:t>
      </w:r>
      <w:bookmarkEnd w:id="51"/>
      <w:bookmarkEnd w:id="52"/>
    </w:p>
    <w:p>
      <w:pPr>
        <w:bidi w:val="0"/>
        <w:rPr>
          <w:color w:val="auto"/>
          <w:highlight w:val="none"/>
        </w:rPr>
      </w:pPr>
      <w:r>
        <w:rPr>
          <w:color w:val="auto"/>
          <w:highlight w:val="none"/>
        </w:rPr>
        <w:t>本次采用的评价方法见表</w:t>
      </w:r>
      <w:r>
        <w:rPr>
          <w:rFonts w:ascii="Times New Roman" w:eastAsia="Times New Roman"/>
          <w:color w:val="auto"/>
          <w:highlight w:val="none"/>
        </w:rPr>
        <w:t>1.3-1</w:t>
      </w:r>
      <w:r>
        <w:rPr>
          <w:color w:val="auto"/>
          <w:highlight w:val="none"/>
        </w:rPr>
        <w:t>。</w:t>
      </w:r>
    </w:p>
    <w:p>
      <w:pPr>
        <w:keepNext w:val="0"/>
        <w:keepLines w:val="0"/>
        <w:pageBreakBefore w:val="0"/>
        <w:widowControl w:val="0"/>
        <w:tabs>
          <w:tab w:val="left" w:pos="1147"/>
        </w:tabs>
        <w:kinsoku/>
        <w:wordWrap/>
        <w:overflowPunct/>
        <w:topLinePunct w:val="0"/>
        <w:autoSpaceDE w:val="0"/>
        <w:autoSpaceDN w:val="0"/>
        <w:bidi w:val="0"/>
        <w:adjustRightInd/>
        <w:snapToGrid/>
        <w:spacing w:before="0" w:line="240" w:lineRule="auto"/>
        <w:ind w:left="0" w:right="11" w:firstLine="0"/>
        <w:jc w:val="center"/>
        <w:textAlignment w:val="auto"/>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1.3-1</w:t>
      </w:r>
      <w:r>
        <w:rPr>
          <w:rFonts w:ascii="Times New Roman" w:eastAsia="Times New Roman"/>
          <w:b/>
          <w:color w:val="auto"/>
          <w:sz w:val="21"/>
          <w:highlight w:val="none"/>
        </w:rPr>
        <w:tab/>
      </w:r>
      <w:r>
        <w:rPr>
          <w:b/>
          <w:color w:val="auto"/>
          <w:sz w:val="21"/>
          <w:highlight w:val="none"/>
        </w:rPr>
        <w:t>采用的评价方法</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38"/>
        <w:gridCol w:w="2392"/>
        <w:gridCol w:w="59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638" w:type="dxa"/>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392"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评价环节</w:t>
            </w:r>
          </w:p>
        </w:tc>
        <w:tc>
          <w:tcPr>
            <w:tcW w:w="5959" w:type="dxa"/>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采用的主要方式与方法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6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规划分析</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核查表、叠图分析、类比分析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38"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39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环境现状调查与评价</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现状调查：资料收集、现场踏勘、环境监测、生态调查等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38"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2392"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现状分析与评价：指数法、类比法、叠图分析、生态学分析法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0" w:hRule="atLeast"/>
          <w:jc w:val="center"/>
        </w:trPr>
        <w:tc>
          <w:tcPr>
            <w:tcW w:w="6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3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环境影响识别与评价指标确定</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核查表法、矩阵分析、类比分析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6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3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规划开发强度估算</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负荷分析、类比分析等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6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3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环境影响预测与评价</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类比分析、情景分析、叠图分析等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3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环境风险评价</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6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3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累积影响评价</w:t>
            </w:r>
          </w:p>
        </w:tc>
        <w:tc>
          <w:tcPr>
            <w:tcW w:w="5959"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承载力分析、类比分析、专家咨询</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638" w:type="dxa"/>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392"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资源与环境承载力评估</w:t>
            </w:r>
          </w:p>
        </w:tc>
        <w:tc>
          <w:tcPr>
            <w:tcW w:w="5959" w:type="dxa"/>
            <w:tcBorders>
              <w:top w:val="single" w:color="000000" w:sz="4" w:space="0"/>
              <w:left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类比分析、情景分析</w:t>
            </w:r>
          </w:p>
        </w:tc>
      </w:tr>
    </w:tbl>
    <w:p>
      <w:pPr>
        <w:pStyle w:val="5"/>
        <w:numPr>
          <w:ilvl w:val="1"/>
          <w:numId w:val="1"/>
        </w:numPr>
        <w:bidi w:val="0"/>
        <w:rPr>
          <w:color w:val="auto"/>
          <w:highlight w:val="none"/>
        </w:rPr>
      </w:pPr>
      <w:bookmarkStart w:id="53" w:name="1.4 环境功能区划、评价标准"/>
      <w:bookmarkEnd w:id="53"/>
      <w:bookmarkStart w:id="54" w:name="_bookmark5"/>
      <w:bookmarkEnd w:id="54"/>
      <w:bookmarkStart w:id="55" w:name="_Toc28671"/>
      <w:bookmarkStart w:id="56" w:name="_Toc22527"/>
      <w:r>
        <w:rPr>
          <w:color w:val="auto"/>
          <w:highlight w:val="none"/>
        </w:rPr>
        <w:t>环境功能区划、评价标准</w:t>
      </w:r>
      <w:bookmarkEnd w:id="55"/>
      <w:bookmarkEnd w:id="56"/>
    </w:p>
    <w:p>
      <w:pPr>
        <w:pStyle w:val="6"/>
        <w:numPr>
          <w:ilvl w:val="2"/>
          <w:numId w:val="1"/>
        </w:numPr>
        <w:bidi w:val="0"/>
        <w:rPr>
          <w:color w:val="auto"/>
          <w:highlight w:val="none"/>
        </w:rPr>
      </w:pPr>
      <w:bookmarkStart w:id="57" w:name="1.4.1 环境功能区划"/>
      <w:bookmarkEnd w:id="57"/>
      <w:bookmarkStart w:id="58" w:name="1.4.1 环境功能区划"/>
      <w:bookmarkEnd w:id="58"/>
      <w:bookmarkStart w:id="59" w:name="_Toc31063"/>
      <w:bookmarkStart w:id="60" w:name="_Toc10013"/>
      <w:r>
        <w:rPr>
          <w:color w:val="auto"/>
          <w:highlight w:val="none"/>
        </w:rPr>
        <w:t>环境功能区划</w:t>
      </w:r>
      <w:bookmarkEnd w:id="59"/>
      <w:bookmarkEnd w:id="60"/>
    </w:p>
    <w:p>
      <w:pPr>
        <w:bidi w:val="0"/>
        <w:rPr>
          <w:color w:val="auto"/>
          <w:highlight w:val="none"/>
        </w:rPr>
      </w:pPr>
      <w:r>
        <w:rPr>
          <w:rFonts w:hint="eastAsia"/>
          <w:color w:val="auto"/>
          <w:highlight w:val="none"/>
          <w:lang w:eastAsia="zh-CN"/>
        </w:rPr>
        <w:t>规划</w:t>
      </w:r>
      <w:r>
        <w:rPr>
          <w:color w:val="auto"/>
          <w:highlight w:val="none"/>
        </w:rPr>
        <w:t>矿区环境功能区划见表</w:t>
      </w:r>
      <w:r>
        <w:rPr>
          <w:rFonts w:ascii="Times New Roman" w:eastAsia="Times New Roman"/>
          <w:color w:val="auto"/>
          <w:highlight w:val="none"/>
        </w:rPr>
        <w:t>1.4-1</w:t>
      </w:r>
      <w:r>
        <w:rPr>
          <w:color w:val="auto"/>
          <w:highlight w:val="none"/>
        </w:rPr>
        <w:t>。</w:t>
      </w:r>
    </w:p>
    <w:p>
      <w:pPr>
        <w:keepNext w:val="0"/>
        <w:keepLines w:val="0"/>
        <w:pageBreakBefore w:val="0"/>
        <w:widowControl w:val="0"/>
        <w:tabs>
          <w:tab w:val="left" w:pos="909"/>
        </w:tabs>
        <w:kinsoku/>
        <w:wordWrap/>
        <w:overflowPunct/>
        <w:topLinePunct w:val="0"/>
        <w:autoSpaceDE w:val="0"/>
        <w:autoSpaceDN w:val="0"/>
        <w:bidi w:val="0"/>
        <w:adjustRightInd/>
        <w:snapToGrid/>
        <w:spacing w:before="0" w:line="240" w:lineRule="auto"/>
        <w:ind w:left="0" w:right="0" w:firstLine="0"/>
        <w:jc w:val="center"/>
        <w:textAlignment w:val="auto"/>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1.4-1</w:t>
      </w:r>
      <w:r>
        <w:rPr>
          <w:rFonts w:ascii="Times New Roman" w:eastAsia="Times New Roman"/>
          <w:b/>
          <w:color w:val="auto"/>
          <w:sz w:val="21"/>
          <w:highlight w:val="none"/>
        </w:rPr>
        <w:tab/>
      </w:r>
      <w:r>
        <w:rPr>
          <w:b/>
          <w:color w:val="auto"/>
          <w:sz w:val="21"/>
          <w:highlight w:val="none"/>
        </w:rPr>
        <w:t>环境功能区划结果</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90"/>
        <w:gridCol w:w="1070"/>
        <w:gridCol w:w="73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690" w:type="dxa"/>
            <w:tcBorders>
              <w:left w:val="nil"/>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70" w:type="dxa"/>
            <w:tcBorders>
              <w:left w:val="single" w:color="000000" w:sz="4" w:space="0"/>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7375" w:type="dxa"/>
            <w:tcBorders>
              <w:left w:val="single" w:color="000000" w:sz="4" w:space="0"/>
              <w:bottom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区划结果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690" w:type="dxa"/>
            <w:tcBorders>
              <w:top w:val="single" w:color="000000" w:sz="4" w:space="0"/>
              <w:left w:val="nil"/>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1</w:t>
            </w:r>
          </w:p>
        </w:tc>
        <w:tc>
          <w:tcPr>
            <w:tcW w:w="1070" w:type="dxa"/>
            <w:tcBorders>
              <w:top w:val="single" w:color="000000" w:sz="4" w:space="0"/>
              <w:left w:val="single" w:color="000000" w:sz="4" w:space="0"/>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7375" w:type="dxa"/>
            <w:tcBorders>
              <w:top w:val="single" w:color="000000" w:sz="4" w:space="0"/>
              <w:left w:val="single" w:color="000000" w:sz="4" w:space="0"/>
              <w:bottom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《环境空气质量标准》（GB3095-2012）中二类区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90" w:type="dxa"/>
            <w:tcBorders>
              <w:top w:val="single" w:color="000000" w:sz="4" w:space="0"/>
              <w:left w:val="nil"/>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2</w:t>
            </w:r>
          </w:p>
        </w:tc>
        <w:tc>
          <w:tcPr>
            <w:tcW w:w="1070" w:type="dxa"/>
            <w:tcBorders>
              <w:top w:val="single" w:color="000000" w:sz="4" w:space="0"/>
              <w:left w:val="single" w:color="000000" w:sz="4" w:space="0"/>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7375" w:type="dxa"/>
            <w:tcBorders>
              <w:top w:val="single" w:color="000000" w:sz="4" w:space="0"/>
              <w:left w:val="single" w:color="000000" w:sz="4" w:space="0"/>
              <w:bottom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《声环境质量标准》（GB3096-2008）2、4a类区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90" w:type="dxa"/>
            <w:tcBorders>
              <w:top w:val="single" w:color="000000" w:sz="4" w:space="0"/>
              <w:left w:val="nil"/>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3</w:t>
            </w:r>
          </w:p>
        </w:tc>
        <w:tc>
          <w:tcPr>
            <w:tcW w:w="1070" w:type="dxa"/>
            <w:tcBorders>
              <w:top w:val="single" w:color="000000" w:sz="4" w:space="0"/>
              <w:left w:val="single" w:color="000000" w:sz="4" w:space="0"/>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7375" w:type="dxa"/>
            <w:tcBorders>
              <w:top w:val="single" w:color="000000" w:sz="4" w:space="0"/>
              <w:left w:val="single" w:color="000000" w:sz="4" w:space="0"/>
              <w:bottom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《地下水质量标准》（GB/T14848-2017）中Ⅲ类区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90" w:type="dxa"/>
            <w:tcBorders>
              <w:top w:val="single" w:color="000000" w:sz="4" w:space="0"/>
              <w:left w:val="nil"/>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4</w:t>
            </w:r>
          </w:p>
        </w:tc>
        <w:tc>
          <w:tcPr>
            <w:tcW w:w="1070" w:type="dxa"/>
            <w:tcBorders>
              <w:top w:val="single" w:color="000000" w:sz="4" w:space="0"/>
              <w:left w:val="single" w:color="000000" w:sz="4" w:space="0"/>
              <w:bottom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7375" w:type="dxa"/>
            <w:tcBorders>
              <w:top w:val="single" w:color="000000" w:sz="4" w:space="0"/>
              <w:left w:val="single" w:color="000000" w:sz="4" w:space="0"/>
              <w:bottom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区域内州河水系属《地表水环境质量标准》（GB3838-2002）中Ⅲ类水体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690" w:type="dxa"/>
            <w:tcBorders>
              <w:top w:val="single" w:color="000000" w:sz="4" w:space="0"/>
              <w:left w:val="nil"/>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5</w:t>
            </w:r>
          </w:p>
        </w:tc>
        <w:tc>
          <w:tcPr>
            <w:tcW w:w="1070" w:type="dxa"/>
            <w:tcBorders>
              <w:top w:val="single" w:color="000000" w:sz="4" w:space="0"/>
              <w:left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7375" w:type="dxa"/>
            <w:tcBorders>
              <w:top w:val="single" w:color="000000" w:sz="4" w:space="0"/>
              <w:left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5" w:hRule="atLeast"/>
          <w:jc w:val="center"/>
        </w:trPr>
        <w:tc>
          <w:tcPr>
            <w:tcW w:w="690" w:type="dxa"/>
            <w:tcBorders>
              <w:left w:val="nil"/>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6</w:t>
            </w:r>
          </w:p>
        </w:tc>
        <w:tc>
          <w:tcPr>
            <w:tcW w:w="1070" w:type="dxa"/>
            <w:tcBorders>
              <w:left w:val="single" w:color="000000" w:sz="4" w:space="0"/>
              <w:right w:val="single" w:color="000000" w:sz="4" w:space="0"/>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w:t>
            </w:r>
          </w:p>
        </w:tc>
        <w:tc>
          <w:tcPr>
            <w:tcW w:w="7375" w:type="dxa"/>
            <w:tcBorders>
              <w:left w:val="single" w:color="000000" w:sz="4" w:space="0"/>
              <w:right w:val="nil"/>
            </w:tcBorders>
          </w:tcPr>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 建设用地土壤污染风险管控标准（试行）》（GB3600-2018）</w:t>
            </w:r>
          </w:p>
          <w:p>
            <w:pPr>
              <w:pStyle w:val="25"/>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 农用地土壤污染风险管控标准（试行）》（GB15618-2018）</w:t>
            </w:r>
          </w:p>
        </w:tc>
      </w:tr>
    </w:tbl>
    <w:p>
      <w:pPr>
        <w:pStyle w:val="6"/>
        <w:numPr>
          <w:ilvl w:val="2"/>
          <w:numId w:val="1"/>
        </w:numPr>
        <w:bidi w:val="0"/>
        <w:rPr>
          <w:color w:val="auto"/>
          <w:highlight w:val="none"/>
        </w:rPr>
      </w:pPr>
      <w:bookmarkStart w:id="61" w:name="1.4.2 评价标准"/>
      <w:bookmarkEnd w:id="61"/>
      <w:bookmarkStart w:id="62" w:name="1.4.2 评价标准"/>
      <w:bookmarkEnd w:id="62"/>
      <w:bookmarkStart w:id="63" w:name="_Toc20403"/>
      <w:bookmarkStart w:id="64" w:name="_Toc22626"/>
      <w:r>
        <w:rPr>
          <w:color w:val="auto"/>
          <w:highlight w:val="none"/>
        </w:rPr>
        <w:t>评价标准</w:t>
      </w:r>
      <w:bookmarkEnd w:id="63"/>
      <w:bookmarkEnd w:id="64"/>
    </w:p>
    <w:p>
      <w:pPr>
        <w:pStyle w:val="7"/>
        <w:numPr>
          <w:ilvl w:val="3"/>
          <w:numId w:val="4"/>
        </w:numPr>
        <w:bidi w:val="0"/>
        <w:ind w:left="0" w:leftChars="0" w:firstLine="0" w:firstLineChars="0"/>
        <w:rPr>
          <w:color w:val="auto"/>
          <w:highlight w:val="none"/>
        </w:rPr>
      </w:pPr>
      <w:r>
        <w:rPr>
          <w:color w:val="auto"/>
          <w:highlight w:val="none"/>
        </w:rPr>
        <w:t>环境质量标准</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环境空气</w:t>
      </w:r>
    </w:p>
    <w:p>
      <w:pPr>
        <w:bidi w:val="0"/>
        <w:rPr>
          <w:color w:val="auto"/>
          <w:highlight w:val="none"/>
        </w:rPr>
      </w:pPr>
      <w:r>
        <w:rPr>
          <w:rFonts w:hint="eastAsia"/>
          <w:color w:val="auto"/>
          <w:highlight w:val="none"/>
          <w:lang w:eastAsia="zh-CN"/>
        </w:rPr>
        <w:t>五峰山国家森林公园执行</w:t>
      </w:r>
      <w:r>
        <w:rPr>
          <w:color w:val="auto"/>
          <w:highlight w:val="none"/>
          <w:lang w:eastAsia="zh-CN"/>
        </w:rPr>
        <w:t>《环境空气质量标准》（GB3095-2012）中</w:t>
      </w:r>
      <w:r>
        <w:rPr>
          <w:rFonts w:hint="eastAsia"/>
          <w:color w:val="auto"/>
          <w:highlight w:val="none"/>
          <w:lang w:eastAsia="zh-CN"/>
        </w:rPr>
        <w:t>一</w:t>
      </w:r>
      <w:r>
        <w:rPr>
          <w:color w:val="auto"/>
          <w:highlight w:val="none"/>
          <w:lang w:eastAsia="zh-CN"/>
        </w:rPr>
        <w:t>级标准</w:t>
      </w:r>
      <w:r>
        <w:rPr>
          <w:rFonts w:hint="eastAsia"/>
          <w:color w:val="auto"/>
          <w:highlight w:val="none"/>
          <w:lang w:eastAsia="zh-CN"/>
        </w:rPr>
        <w:t>，其余</w:t>
      </w:r>
      <w:r>
        <w:rPr>
          <w:color w:val="auto"/>
          <w:highlight w:val="none"/>
          <w:lang w:eastAsia="zh-CN"/>
        </w:rPr>
        <w:t>执行《环境空气质量标准》（GB3095-2012）中二级标准</w:t>
      </w:r>
      <w:r>
        <w:rPr>
          <w:color w:val="auto"/>
          <w:highlight w:val="none"/>
        </w:rPr>
        <w:t>，详见表1.4-2。</w:t>
      </w:r>
    </w:p>
    <w:p>
      <w:pPr>
        <w:keepNext w:val="0"/>
        <w:keepLines w:val="0"/>
        <w:pageBreakBefore w:val="0"/>
        <w:widowControl w:val="0"/>
        <w:tabs>
          <w:tab w:val="left" w:pos="909"/>
        </w:tabs>
        <w:kinsoku/>
        <w:wordWrap/>
        <w:overflowPunct/>
        <w:topLinePunct w:val="0"/>
        <w:autoSpaceDE w:val="0"/>
        <w:autoSpaceDN w:val="0"/>
        <w:bidi w:val="0"/>
        <w:adjustRightInd/>
        <w:snapToGrid/>
        <w:spacing w:before="0" w:line="240" w:lineRule="auto"/>
        <w:ind w:left="0" w:right="0" w:firstLine="0" w:firstLineChars="0"/>
        <w:jc w:val="center"/>
        <w:textAlignment w:val="auto"/>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1.4-2</w:t>
      </w:r>
      <w:r>
        <w:rPr>
          <w:rFonts w:ascii="Times New Roman" w:eastAsia="Times New Roman"/>
          <w:b/>
          <w:color w:val="auto"/>
          <w:sz w:val="21"/>
          <w:highlight w:val="none"/>
        </w:rPr>
        <w:tab/>
      </w:r>
      <w:r>
        <w:rPr>
          <w:b/>
          <w:color w:val="auto"/>
          <w:sz w:val="21"/>
          <w:highlight w:val="none"/>
        </w:rPr>
        <w:t>环境空气污染基本</w:t>
      </w:r>
      <w:r>
        <w:rPr>
          <w:rFonts w:ascii="Times New Roman" w:eastAsia="Times New Roman"/>
          <w:b/>
          <w:color w:val="auto"/>
          <w:sz w:val="21"/>
          <w:highlight w:val="none"/>
        </w:rPr>
        <w:t>/</w:t>
      </w:r>
      <w:r>
        <w:rPr>
          <w:b/>
          <w:color w:val="auto"/>
          <w:sz w:val="21"/>
          <w:highlight w:val="none"/>
        </w:rPr>
        <w:t>其他项目浓度限值（摘录）</w:t>
      </w:r>
    </w:p>
    <w:tbl>
      <w:tblPr>
        <w:tblStyle w:val="17"/>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3"/>
        <w:gridCol w:w="1304"/>
        <w:gridCol w:w="2971"/>
        <w:gridCol w:w="1375"/>
        <w:gridCol w:w="1375"/>
        <w:gridCol w:w="12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5" w:hRule="atLeast"/>
          <w:jc w:val="center"/>
        </w:trPr>
        <w:tc>
          <w:tcPr>
            <w:tcW w:w="1267" w:type="dxa"/>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标准</w:t>
            </w:r>
          </w:p>
        </w:tc>
        <w:tc>
          <w:tcPr>
            <w:tcW w:w="146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污染物名称</w:t>
            </w:r>
          </w:p>
        </w:tc>
        <w:tc>
          <w:tcPr>
            <w:tcW w:w="3350"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取值时间</w:t>
            </w:r>
          </w:p>
        </w:tc>
        <w:tc>
          <w:tcPr>
            <w:tcW w:w="154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lang w:eastAsia="zh-CN"/>
              </w:rPr>
              <w:t>一</w:t>
            </w:r>
            <w:r>
              <w:rPr>
                <w:color w:val="auto"/>
                <w:sz w:val="21"/>
                <w:szCs w:val="21"/>
                <w:highlight w:val="none"/>
              </w:rPr>
              <w:t>级标准浓度</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限值</w:t>
            </w:r>
          </w:p>
        </w:tc>
        <w:tc>
          <w:tcPr>
            <w:tcW w:w="154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二级标准浓度</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限值</w:t>
            </w:r>
          </w:p>
        </w:tc>
        <w:tc>
          <w:tcPr>
            <w:tcW w:w="1423" w:type="dxa"/>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浓度单位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restart"/>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《环境空气质量标准》（GB3095-2012）</w:t>
            </w: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年平均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60</w:t>
            </w:r>
          </w:p>
        </w:tc>
        <w:tc>
          <w:tcPr>
            <w:tcW w:w="1423" w:type="dxa"/>
            <w:vMerge w:val="restart"/>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ug/m</w:t>
            </w:r>
            <w:r>
              <w:rPr>
                <w:color w:val="auto"/>
                <w:sz w:val="21"/>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 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500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年平均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80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CO</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 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w:t>
            </w:r>
          </w:p>
        </w:tc>
        <w:tc>
          <w:tcPr>
            <w:tcW w:w="1423" w:type="dxa"/>
            <w:vMerge w:val="restart"/>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mg/m</w:t>
            </w:r>
            <w:r>
              <w:rPr>
                <w:color w:val="auto"/>
                <w:sz w:val="21"/>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O</w:t>
            </w:r>
            <w:r>
              <w:rPr>
                <w:color w:val="auto"/>
                <w:sz w:val="21"/>
                <w:szCs w:val="21"/>
                <w:highlight w:val="none"/>
                <w:vertAlign w:val="subscript"/>
              </w:rPr>
              <w:t>3</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日最大8小时平均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160</w:t>
            </w:r>
          </w:p>
        </w:tc>
        <w:tc>
          <w:tcPr>
            <w:tcW w:w="1423" w:type="dxa"/>
            <w:vMerge w:val="restart"/>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ug/m</w:t>
            </w:r>
            <w:r>
              <w:rPr>
                <w:color w:val="auto"/>
                <w:sz w:val="21"/>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160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PM</w:t>
            </w:r>
            <w:r>
              <w:rPr>
                <w:color w:val="auto"/>
                <w:sz w:val="21"/>
                <w:szCs w:val="21"/>
                <w:highlight w:val="none"/>
                <w:vertAlign w:val="subscript"/>
              </w:rPr>
              <w:t>10</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年平均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PM</w:t>
            </w:r>
            <w:r>
              <w:rPr>
                <w:color w:val="auto"/>
                <w:sz w:val="21"/>
                <w:szCs w:val="21"/>
                <w:highlight w:val="none"/>
                <w:vertAlign w:val="subscript"/>
              </w:rPr>
              <w:t>2.5</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年平均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35</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35</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75</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TSP</w:t>
            </w: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年平均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67" w:type="dxa"/>
            <w:vMerge w:val="continue"/>
            <w:tcBorders>
              <w:top w:val="nil"/>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6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35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24小时平均</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120</w:t>
            </w:r>
          </w:p>
        </w:tc>
        <w:tc>
          <w:tcPr>
            <w:tcW w:w="1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300</w:t>
            </w:r>
          </w:p>
        </w:tc>
        <w:tc>
          <w:tcPr>
            <w:tcW w:w="1423" w:type="dxa"/>
            <w:vMerge w:val="continue"/>
            <w:tcBorders>
              <w:top w:val="nil"/>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bl>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声环境</w:t>
      </w:r>
    </w:p>
    <w:p>
      <w:pPr>
        <w:bidi w:val="0"/>
        <w:rPr>
          <w:color w:val="auto"/>
          <w:highlight w:val="none"/>
        </w:rPr>
      </w:pPr>
      <w:r>
        <w:rPr>
          <w:color w:val="auto"/>
          <w:highlight w:val="none"/>
        </w:rPr>
        <w:t>矿区内所有矿井工业场地、矿井生活区、居民区执行《声环境质量标准》（GB3096-2008）2类，高速公路道路红线外40m范围内的区域执行4a类标准要求，具体见表1.4-3。</w:t>
      </w:r>
    </w:p>
    <w:p>
      <w:pPr>
        <w:tabs>
          <w:tab w:val="left" w:pos="2548"/>
        </w:tabs>
        <w:spacing w:before="4"/>
        <w:ind w:left="1636" w:right="0" w:firstLine="0"/>
        <w:jc w:val="left"/>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1.4-3</w:t>
      </w:r>
      <w:r>
        <w:rPr>
          <w:rFonts w:ascii="Times New Roman" w:eastAsia="Times New Roman"/>
          <w:b/>
          <w:color w:val="auto"/>
          <w:sz w:val="21"/>
          <w:highlight w:val="none"/>
        </w:rPr>
        <w:tab/>
      </w:r>
      <w:r>
        <w:rPr>
          <w:b/>
          <w:color w:val="auto"/>
          <w:sz w:val="21"/>
          <w:highlight w:val="none"/>
        </w:rPr>
        <w:t>《声环境质量标准》（</w:t>
      </w:r>
      <w:r>
        <w:rPr>
          <w:rFonts w:ascii="Times New Roman" w:eastAsia="Times New Roman"/>
          <w:b/>
          <w:color w:val="auto"/>
          <w:sz w:val="21"/>
          <w:highlight w:val="none"/>
        </w:rPr>
        <w:t>GB3096-2008</w:t>
      </w:r>
      <w:r>
        <w:rPr>
          <w:b/>
          <w:color w:val="auto"/>
          <w:sz w:val="21"/>
          <w:highlight w:val="none"/>
        </w:rPr>
        <w:t>）标准限值（摘录）</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72"/>
        <w:gridCol w:w="2993"/>
        <w:gridCol w:w="30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2772" w:type="dxa"/>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类别</w:t>
            </w:r>
          </w:p>
        </w:tc>
        <w:tc>
          <w:tcPr>
            <w:tcW w:w="2993"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昼间[dB(A)]</w:t>
            </w:r>
          </w:p>
        </w:tc>
        <w:tc>
          <w:tcPr>
            <w:tcW w:w="3004" w:type="dxa"/>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夜间[dB(A)]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2772"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2类区</w:t>
            </w:r>
          </w:p>
        </w:tc>
        <w:tc>
          <w:tcPr>
            <w:tcW w:w="29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60</w:t>
            </w:r>
          </w:p>
        </w:tc>
        <w:tc>
          <w:tcPr>
            <w:tcW w:w="300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2772" w:type="dxa"/>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4a类</w:t>
            </w:r>
          </w:p>
        </w:tc>
        <w:tc>
          <w:tcPr>
            <w:tcW w:w="2993"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70</w:t>
            </w:r>
          </w:p>
        </w:tc>
        <w:tc>
          <w:tcPr>
            <w:tcW w:w="3004" w:type="dxa"/>
            <w:tcBorders>
              <w:top w:val="single" w:color="000000" w:sz="4" w:space="0"/>
              <w:left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55</w:t>
            </w:r>
          </w:p>
        </w:tc>
      </w:tr>
    </w:tbl>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地表水</w:t>
      </w:r>
    </w:p>
    <w:p>
      <w:pPr>
        <w:bidi w:val="0"/>
        <w:rPr>
          <w:color w:val="auto"/>
          <w:highlight w:val="none"/>
        </w:rPr>
      </w:pPr>
      <w:r>
        <w:rPr>
          <w:color w:val="auto"/>
          <w:highlight w:val="none"/>
        </w:rPr>
        <w:t>执行《地表水环境质量标准》（GB3838-2002）Ⅲ类水质标准，具体见表1.4-4。</w:t>
      </w:r>
    </w:p>
    <w:p>
      <w:pPr>
        <w:tabs>
          <w:tab w:val="left" w:pos="909"/>
          <w:tab w:val="left" w:pos="3911"/>
        </w:tabs>
        <w:spacing w:before="159"/>
        <w:ind w:left="0" w:right="1" w:firstLine="0"/>
        <w:jc w:val="center"/>
        <w:rPr>
          <w:rFonts w:ascii="Times New Roman" w:eastAsia="Times New Roman"/>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1.4-4</w:t>
      </w:r>
      <w:r>
        <w:rPr>
          <w:rFonts w:hint="eastAsia"/>
          <w:b/>
          <w:color w:val="auto"/>
          <w:sz w:val="21"/>
          <w:highlight w:val="none"/>
          <w:lang w:val="en-US" w:eastAsia="zh-CN"/>
        </w:rPr>
        <w:t xml:space="preserve"> </w:t>
      </w:r>
      <w:r>
        <w:rPr>
          <w:b/>
          <w:color w:val="auto"/>
          <w:sz w:val="21"/>
          <w:highlight w:val="none"/>
        </w:rPr>
        <w:t>地表水环境质量标准（摘录）</w:t>
      </w:r>
      <w:r>
        <w:rPr>
          <w:b/>
          <w:color w:val="auto"/>
          <w:sz w:val="21"/>
          <w:highlight w:val="none"/>
        </w:rPr>
        <w:tab/>
      </w:r>
      <w:r>
        <w:rPr>
          <w:b/>
          <w:color w:val="auto"/>
          <w:sz w:val="21"/>
          <w:highlight w:val="none"/>
        </w:rPr>
        <w:t>单位：</w:t>
      </w:r>
      <w:r>
        <w:rPr>
          <w:rFonts w:ascii="Times New Roman" w:eastAsia="Times New Roman"/>
          <w:b/>
          <w:color w:val="auto"/>
          <w:sz w:val="21"/>
          <w:highlight w:val="none"/>
        </w:rPr>
        <w:t>mg/L</w:t>
      </w:r>
    </w:p>
    <w:tbl>
      <w:tblPr>
        <w:tblStyle w:val="17"/>
        <w:tblW w:w="0" w:type="auto"/>
        <w:tblInd w:w="18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1"/>
        <w:gridCol w:w="1787"/>
        <w:gridCol w:w="1250"/>
        <w:gridCol w:w="866"/>
        <w:gridCol w:w="2267"/>
        <w:gridCol w:w="19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841" w:type="dxa"/>
            <w:tcBorders>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序号</w:t>
            </w:r>
          </w:p>
        </w:tc>
        <w:tc>
          <w:tcPr>
            <w:tcW w:w="1787"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指标</w:t>
            </w:r>
          </w:p>
        </w:tc>
        <w:tc>
          <w:tcPr>
            <w:tcW w:w="1250"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Ⅲ类</w:t>
            </w:r>
          </w:p>
        </w:tc>
        <w:tc>
          <w:tcPr>
            <w:tcW w:w="866"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序号</w:t>
            </w:r>
          </w:p>
        </w:tc>
        <w:tc>
          <w:tcPr>
            <w:tcW w:w="2267"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指标</w:t>
            </w:r>
          </w:p>
        </w:tc>
        <w:tc>
          <w:tcPr>
            <w:tcW w:w="1995" w:type="dxa"/>
            <w:tcBorders>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Ⅲ类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841"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w:t>
            </w:r>
          </w:p>
        </w:tc>
        <w:tc>
          <w:tcPr>
            <w:tcW w:w="178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pH</w:t>
            </w:r>
          </w:p>
        </w:tc>
        <w:tc>
          <w:tcPr>
            <w:tcW w:w="125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6~9</w:t>
            </w:r>
          </w:p>
        </w:tc>
        <w:tc>
          <w:tcPr>
            <w:tcW w:w="866"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12</w:t>
            </w:r>
          </w:p>
        </w:tc>
        <w:tc>
          <w:tcPr>
            <w:tcW w:w="226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氟化物</w:t>
            </w:r>
          </w:p>
        </w:tc>
        <w:tc>
          <w:tcPr>
            <w:tcW w:w="1995"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841"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w:t>
            </w:r>
          </w:p>
        </w:tc>
        <w:tc>
          <w:tcPr>
            <w:tcW w:w="178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溶解氧</w:t>
            </w:r>
          </w:p>
        </w:tc>
        <w:tc>
          <w:tcPr>
            <w:tcW w:w="125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w:t>
            </w:r>
          </w:p>
        </w:tc>
        <w:tc>
          <w:tcPr>
            <w:tcW w:w="866"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13</w:t>
            </w:r>
          </w:p>
        </w:tc>
        <w:tc>
          <w:tcPr>
            <w:tcW w:w="226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硒</w:t>
            </w:r>
          </w:p>
        </w:tc>
        <w:tc>
          <w:tcPr>
            <w:tcW w:w="1995"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841"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w:t>
            </w:r>
          </w:p>
        </w:tc>
        <w:tc>
          <w:tcPr>
            <w:tcW w:w="178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高猛酸盐指数</w:t>
            </w:r>
          </w:p>
        </w:tc>
        <w:tc>
          <w:tcPr>
            <w:tcW w:w="125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w:t>
            </w:r>
          </w:p>
        </w:tc>
        <w:tc>
          <w:tcPr>
            <w:tcW w:w="866"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14</w:t>
            </w:r>
          </w:p>
        </w:tc>
        <w:tc>
          <w:tcPr>
            <w:tcW w:w="226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砷</w:t>
            </w:r>
          </w:p>
        </w:tc>
        <w:tc>
          <w:tcPr>
            <w:tcW w:w="1995"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841"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w:t>
            </w:r>
          </w:p>
        </w:tc>
        <w:tc>
          <w:tcPr>
            <w:tcW w:w="178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COD</w:t>
            </w:r>
          </w:p>
        </w:tc>
        <w:tc>
          <w:tcPr>
            <w:tcW w:w="125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w:t>
            </w:r>
          </w:p>
        </w:tc>
        <w:tc>
          <w:tcPr>
            <w:tcW w:w="866"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w:t>
            </w:r>
          </w:p>
        </w:tc>
        <w:tc>
          <w:tcPr>
            <w:tcW w:w="2267"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汞</w:t>
            </w:r>
          </w:p>
        </w:tc>
        <w:tc>
          <w:tcPr>
            <w:tcW w:w="1995"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41" w:type="dxa"/>
            <w:tcBorders>
              <w:lef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w:t>
            </w:r>
          </w:p>
        </w:tc>
        <w:tc>
          <w:tcPr>
            <w:tcW w:w="178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BOD5</w:t>
            </w:r>
          </w:p>
        </w:tc>
        <w:tc>
          <w:tcPr>
            <w:tcW w:w="1250"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w:t>
            </w:r>
          </w:p>
        </w:tc>
        <w:tc>
          <w:tcPr>
            <w:tcW w:w="866"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16</w:t>
            </w:r>
          </w:p>
        </w:tc>
        <w:tc>
          <w:tcPr>
            <w:tcW w:w="226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镉</w:t>
            </w:r>
          </w:p>
        </w:tc>
        <w:tc>
          <w:tcPr>
            <w:tcW w:w="1995" w:type="dxa"/>
            <w:tcBorders>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41" w:type="dxa"/>
            <w:tcBorders>
              <w:lef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w:t>
            </w:r>
          </w:p>
        </w:tc>
        <w:tc>
          <w:tcPr>
            <w:tcW w:w="178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氨氮</w:t>
            </w:r>
          </w:p>
        </w:tc>
        <w:tc>
          <w:tcPr>
            <w:tcW w:w="1250"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c>
          <w:tcPr>
            <w:tcW w:w="866"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17</w:t>
            </w:r>
          </w:p>
        </w:tc>
        <w:tc>
          <w:tcPr>
            <w:tcW w:w="226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六价铬</w:t>
            </w:r>
          </w:p>
        </w:tc>
        <w:tc>
          <w:tcPr>
            <w:tcW w:w="1995" w:type="dxa"/>
            <w:tcBorders>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41" w:type="dxa"/>
            <w:tcBorders>
              <w:lef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w:t>
            </w:r>
          </w:p>
        </w:tc>
        <w:tc>
          <w:tcPr>
            <w:tcW w:w="178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总磷</w:t>
            </w:r>
          </w:p>
        </w:tc>
        <w:tc>
          <w:tcPr>
            <w:tcW w:w="1250"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≤0.05</w:t>
            </w:r>
          </w:p>
        </w:tc>
        <w:tc>
          <w:tcPr>
            <w:tcW w:w="866"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18</w:t>
            </w:r>
          </w:p>
        </w:tc>
        <w:tc>
          <w:tcPr>
            <w:tcW w:w="226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铅</w:t>
            </w:r>
          </w:p>
        </w:tc>
        <w:tc>
          <w:tcPr>
            <w:tcW w:w="1995" w:type="dxa"/>
            <w:tcBorders>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41" w:type="dxa"/>
            <w:tcBorders>
              <w:lef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8</w:t>
            </w:r>
          </w:p>
        </w:tc>
        <w:tc>
          <w:tcPr>
            <w:tcW w:w="178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总氮</w:t>
            </w:r>
          </w:p>
        </w:tc>
        <w:tc>
          <w:tcPr>
            <w:tcW w:w="1250"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c>
          <w:tcPr>
            <w:tcW w:w="866"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19</w:t>
            </w:r>
          </w:p>
        </w:tc>
        <w:tc>
          <w:tcPr>
            <w:tcW w:w="226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氰化物</w:t>
            </w:r>
          </w:p>
        </w:tc>
        <w:tc>
          <w:tcPr>
            <w:tcW w:w="1995" w:type="dxa"/>
            <w:tcBorders>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41" w:type="dxa"/>
            <w:tcBorders>
              <w:lef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9</w:t>
            </w:r>
          </w:p>
        </w:tc>
        <w:tc>
          <w:tcPr>
            <w:tcW w:w="178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铜</w:t>
            </w:r>
          </w:p>
        </w:tc>
        <w:tc>
          <w:tcPr>
            <w:tcW w:w="1250"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c>
          <w:tcPr>
            <w:tcW w:w="866"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w:t>
            </w:r>
          </w:p>
        </w:tc>
        <w:tc>
          <w:tcPr>
            <w:tcW w:w="226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挥发酚</w:t>
            </w:r>
          </w:p>
        </w:tc>
        <w:tc>
          <w:tcPr>
            <w:tcW w:w="1995" w:type="dxa"/>
            <w:tcBorders>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41" w:type="dxa"/>
            <w:tcBorders>
              <w:lef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c>
          <w:tcPr>
            <w:tcW w:w="178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锌</w:t>
            </w:r>
          </w:p>
        </w:tc>
        <w:tc>
          <w:tcPr>
            <w:tcW w:w="1250"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c>
          <w:tcPr>
            <w:tcW w:w="866"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21</w:t>
            </w:r>
          </w:p>
        </w:tc>
        <w:tc>
          <w:tcPr>
            <w:tcW w:w="2267" w:type="dxa"/>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石油类</w:t>
            </w:r>
          </w:p>
        </w:tc>
        <w:tc>
          <w:tcPr>
            <w:tcW w:w="1995" w:type="dxa"/>
            <w:tcBorders>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841" w:type="dxa"/>
            <w:tcBorders>
              <w:left w:val="nil"/>
              <w:bottom w:val="single" w:color="000000" w:sz="12"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11</w:t>
            </w:r>
          </w:p>
        </w:tc>
        <w:tc>
          <w:tcPr>
            <w:tcW w:w="1787" w:type="dxa"/>
            <w:tcBorders>
              <w:bottom w:val="single" w:color="000000" w:sz="12"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硫化物</w:t>
            </w:r>
          </w:p>
        </w:tc>
        <w:tc>
          <w:tcPr>
            <w:tcW w:w="1250" w:type="dxa"/>
            <w:tcBorders>
              <w:bottom w:val="single" w:color="000000" w:sz="12"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≤0.2</w:t>
            </w:r>
          </w:p>
        </w:tc>
        <w:tc>
          <w:tcPr>
            <w:tcW w:w="866" w:type="dxa"/>
            <w:tcBorders>
              <w:bottom w:val="single" w:color="000000" w:sz="12"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22</w:t>
            </w:r>
          </w:p>
        </w:tc>
        <w:tc>
          <w:tcPr>
            <w:tcW w:w="2267" w:type="dxa"/>
            <w:tcBorders>
              <w:bottom w:val="single" w:color="000000" w:sz="12"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粪大肠菌群（个/L）</w:t>
            </w:r>
          </w:p>
        </w:tc>
        <w:tc>
          <w:tcPr>
            <w:tcW w:w="1995" w:type="dxa"/>
            <w:tcBorders>
              <w:bottom w:val="single" w:color="000000" w:sz="12"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≤10000</w:t>
            </w:r>
          </w:p>
        </w:tc>
      </w:tr>
    </w:tbl>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地下水</w:t>
      </w:r>
    </w:p>
    <w:p>
      <w:pPr>
        <w:bidi w:val="0"/>
        <w:rPr>
          <w:color w:val="auto"/>
          <w:highlight w:val="none"/>
        </w:rPr>
      </w:pPr>
      <w:r>
        <w:rPr>
          <w:color w:val="auto"/>
          <w:highlight w:val="none"/>
        </w:rPr>
        <w:t>执行《地下水质量标准》（GB/T14848-2017）Ⅲ类水质标准，具体见表1.4</w:t>
      </w:r>
      <w:r>
        <w:rPr>
          <w:rFonts w:ascii="Times New Roman" w:eastAsia="Times New Roman"/>
          <w:color w:val="auto"/>
          <w:highlight w:val="none"/>
        </w:rPr>
        <w:t>-5</w:t>
      </w:r>
      <w:r>
        <w:rPr>
          <w:color w:val="auto"/>
          <w:highlight w:val="none"/>
        </w:rPr>
        <w:t>。</w:t>
      </w:r>
    </w:p>
    <w:p>
      <w:pPr>
        <w:tabs>
          <w:tab w:val="left" w:pos="2268"/>
          <w:tab w:val="left" w:pos="4901"/>
        </w:tabs>
        <w:spacing w:before="0" w:line="240" w:lineRule="auto"/>
        <w:ind w:left="1359" w:right="0" w:firstLine="0"/>
        <w:jc w:val="center"/>
        <w:rPr>
          <w:rFonts w:ascii="Times New Roman"/>
          <w:b/>
          <w:color w:val="auto"/>
          <w:sz w:val="12"/>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1.4-5</w:t>
      </w:r>
      <w:r>
        <w:rPr>
          <w:rFonts w:hint="eastAsia"/>
          <w:b/>
          <w:color w:val="auto"/>
          <w:sz w:val="21"/>
          <w:highlight w:val="none"/>
          <w:lang w:val="en-US" w:eastAsia="zh-CN"/>
        </w:rPr>
        <w:t xml:space="preserve"> </w:t>
      </w:r>
      <w:r>
        <w:rPr>
          <w:b/>
          <w:color w:val="auto"/>
          <w:sz w:val="21"/>
          <w:highlight w:val="none"/>
        </w:rPr>
        <w:t>地下水质量标准（摘录）</w:t>
      </w:r>
      <w:r>
        <w:rPr>
          <w:b/>
          <w:color w:val="auto"/>
          <w:sz w:val="21"/>
          <w:highlight w:val="none"/>
        </w:rPr>
        <w:tab/>
      </w:r>
      <w:r>
        <w:rPr>
          <w:b/>
          <w:color w:val="auto"/>
          <w:sz w:val="21"/>
          <w:highlight w:val="none"/>
        </w:rPr>
        <w:t>单位：</w:t>
      </w:r>
      <w:r>
        <w:rPr>
          <w:rFonts w:ascii="Times New Roman" w:eastAsia="Times New Roman"/>
          <w:b/>
          <w:color w:val="auto"/>
          <w:sz w:val="21"/>
          <w:highlight w:val="none"/>
        </w:rPr>
        <w:t>mg/L</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13"/>
        <w:gridCol w:w="2625"/>
        <w:gridCol w:w="1335"/>
        <w:gridCol w:w="735"/>
        <w:gridCol w:w="2640"/>
        <w:gridCol w:w="9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13" w:type="dxa"/>
            <w:tcBorders>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序号</w:t>
            </w:r>
          </w:p>
        </w:tc>
        <w:tc>
          <w:tcPr>
            <w:tcW w:w="2625"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指标</w:t>
            </w:r>
          </w:p>
        </w:tc>
        <w:tc>
          <w:tcPr>
            <w:tcW w:w="1335"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Ⅲ类</w:t>
            </w:r>
          </w:p>
        </w:tc>
        <w:tc>
          <w:tcPr>
            <w:tcW w:w="735"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序号</w:t>
            </w:r>
          </w:p>
        </w:tc>
        <w:tc>
          <w:tcPr>
            <w:tcW w:w="2640"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指标</w:t>
            </w:r>
          </w:p>
        </w:tc>
        <w:tc>
          <w:tcPr>
            <w:tcW w:w="958" w:type="dxa"/>
            <w:tcBorders>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Ⅲ类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色</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≤15</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18</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氨氮（以 N 计）</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臭和味</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无</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19</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硫化物</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浑浊度</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20</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钠</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4</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肉眼可见物</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无</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21</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总大肠菌群（CFU/100mL）</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5</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pH</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6.5≤pH≤8.5</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22</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菌落总数（CFU/mL）</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6</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总硬度以（CaCO3）计</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≤450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23</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亚硝酸盐（以 N 计）</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7</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溶解性总固体</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≤1000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24</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硝酸盐（以 N 计）</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8</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硫酸盐</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≤250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25</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氰化物</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9</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氯化物</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≤250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26</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氟化物</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铁（Fe）</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≤0.3</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27</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碘化物</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11</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锰（Mn）</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≤0.1</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28</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汞（Hg）</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12</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铜（Cu）</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29</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砷（As）</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13</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锌（Zn）</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30</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硒</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13" w:type="dxa"/>
            <w:tcBorders>
              <w:top w:val="single" w:color="000000" w:sz="4" w:space="0"/>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14</w:t>
            </w:r>
          </w:p>
        </w:tc>
        <w:tc>
          <w:tcPr>
            <w:tcW w:w="262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铝</w:t>
            </w:r>
          </w:p>
        </w:tc>
        <w:tc>
          <w:tcPr>
            <w:tcW w:w="13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≤0.20</w:t>
            </w:r>
          </w:p>
        </w:tc>
        <w:tc>
          <w:tcPr>
            <w:tcW w:w="73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31</w:t>
            </w:r>
          </w:p>
        </w:tc>
        <w:tc>
          <w:tcPr>
            <w:tcW w:w="2640"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镉（Cd）</w:t>
            </w:r>
          </w:p>
        </w:tc>
        <w:tc>
          <w:tcPr>
            <w:tcW w:w="958" w:type="dxa"/>
            <w:tcBorders>
              <w:top w:val="single" w:color="000000" w:sz="4" w:space="0"/>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13" w:type="dxa"/>
            <w:tcBorders>
              <w:top w:val="single" w:color="000000" w:sz="4" w:space="0"/>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15</w:t>
            </w:r>
          </w:p>
        </w:tc>
        <w:tc>
          <w:tcPr>
            <w:tcW w:w="2625"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挥发性酚类（以苯酚计）</w:t>
            </w:r>
          </w:p>
        </w:tc>
        <w:tc>
          <w:tcPr>
            <w:tcW w:w="1335"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≤0.002</w:t>
            </w:r>
          </w:p>
        </w:tc>
        <w:tc>
          <w:tcPr>
            <w:tcW w:w="735"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32</w:t>
            </w:r>
          </w:p>
        </w:tc>
        <w:tc>
          <w:tcPr>
            <w:tcW w:w="2640"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铬（六价）</w:t>
            </w:r>
          </w:p>
        </w:tc>
        <w:tc>
          <w:tcPr>
            <w:tcW w:w="958" w:type="dxa"/>
            <w:tcBorders>
              <w:top w:val="single" w:color="000000" w:sz="4" w:space="0"/>
              <w:left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13" w:type="dxa"/>
            <w:tcBorders>
              <w:left w:val="nil"/>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16</w:t>
            </w:r>
          </w:p>
        </w:tc>
        <w:tc>
          <w:tcPr>
            <w:tcW w:w="2625"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阴离子表面活性剂</w:t>
            </w:r>
          </w:p>
        </w:tc>
        <w:tc>
          <w:tcPr>
            <w:tcW w:w="1335"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≤0.3</w:t>
            </w:r>
          </w:p>
        </w:tc>
        <w:tc>
          <w:tcPr>
            <w:tcW w:w="735"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33</w:t>
            </w:r>
          </w:p>
        </w:tc>
        <w:tc>
          <w:tcPr>
            <w:tcW w:w="2640" w:type="dxa"/>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铅（Pb）</w:t>
            </w:r>
          </w:p>
        </w:tc>
        <w:tc>
          <w:tcPr>
            <w:tcW w:w="958" w:type="dxa"/>
            <w:tcBorders>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13" w:type="dxa"/>
            <w:tcBorders>
              <w:top w:val="single" w:color="000000" w:sz="4" w:space="0"/>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17</w:t>
            </w:r>
          </w:p>
        </w:tc>
        <w:tc>
          <w:tcPr>
            <w:tcW w:w="2625"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耗氧量（CODMn，以O2计）</w:t>
            </w:r>
          </w:p>
        </w:tc>
        <w:tc>
          <w:tcPr>
            <w:tcW w:w="1335"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≤3.0</w:t>
            </w:r>
          </w:p>
        </w:tc>
        <w:tc>
          <w:tcPr>
            <w:tcW w:w="735"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c>
          <w:tcPr>
            <w:tcW w:w="2640" w:type="dxa"/>
            <w:tcBorders>
              <w:top w:val="single" w:color="000000" w:sz="4" w:space="0"/>
              <w:left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c>
          <w:tcPr>
            <w:tcW w:w="958" w:type="dxa"/>
            <w:tcBorders>
              <w:top w:val="single" w:color="000000" w:sz="4" w:space="0"/>
              <w:left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1"/>
                <w:szCs w:val="21"/>
                <w:highlight w:val="none"/>
              </w:rPr>
            </w:pPr>
          </w:p>
        </w:tc>
      </w:tr>
    </w:tbl>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土壤</w:t>
      </w:r>
    </w:p>
    <w:p>
      <w:pPr>
        <w:bidi w:val="0"/>
        <w:rPr>
          <w:color w:val="auto"/>
          <w:highlight w:val="none"/>
        </w:rPr>
      </w:pPr>
      <w:r>
        <w:rPr>
          <w:color w:val="auto"/>
          <w:spacing w:val="-36"/>
          <w:highlight w:val="none"/>
        </w:rPr>
        <w:t>各矿井工业场地执行《土壤环境质量 建设用地土壤污染风险</w:t>
      </w:r>
      <w:r>
        <w:rPr>
          <w:color w:val="auto"/>
          <w:spacing w:val="-25"/>
          <w:highlight w:val="none"/>
        </w:rPr>
        <w:t>管控标准</w:t>
      </w:r>
      <w:r>
        <w:rPr>
          <w:color w:val="auto"/>
          <w:highlight w:val="none"/>
        </w:rPr>
        <w:t>（</w:t>
      </w:r>
      <w:r>
        <w:rPr>
          <w:color w:val="auto"/>
          <w:spacing w:val="-29"/>
          <w:highlight w:val="none"/>
        </w:rPr>
        <w:t>试行</w:t>
      </w:r>
      <w:r>
        <w:rPr>
          <w:color w:val="auto"/>
          <w:highlight w:val="none"/>
        </w:rPr>
        <w:t>）</w:t>
      </w:r>
      <w:r>
        <w:rPr>
          <w:color w:val="auto"/>
          <w:spacing w:val="-20"/>
          <w:highlight w:val="none"/>
        </w:rPr>
        <w:t>》</w:t>
      </w:r>
      <w:r>
        <w:rPr>
          <w:color w:val="auto"/>
          <w:highlight w:val="none"/>
        </w:rPr>
        <w:t>（</w:t>
      </w:r>
      <w:r>
        <w:rPr>
          <w:rFonts w:ascii="Times New Roman" w:eastAsia="Times New Roman"/>
          <w:color w:val="auto"/>
          <w:highlight w:val="none"/>
        </w:rPr>
        <w:t>GB3600-2018</w:t>
      </w:r>
      <w:r>
        <w:rPr>
          <w:color w:val="auto"/>
          <w:highlight w:val="none"/>
        </w:rPr>
        <w:t>）</w:t>
      </w:r>
      <w:r>
        <w:rPr>
          <w:color w:val="auto"/>
          <w:spacing w:val="-14"/>
          <w:highlight w:val="none"/>
        </w:rPr>
        <w:t>中表</w:t>
      </w:r>
      <w:r>
        <w:rPr>
          <w:rFonts w:ascii="Times New Roman" w:eastAsia="Times New Roman"/>
          <w:color w:val="auto"/>
          <w:highlight w:val="none"/>
        </w:rPr>
        <w:t>1</w:t>
      </w:r>
      <w:r>
        <w:rPr>
          <w:color w:val="auto"/>
          <w:spacing w:val="3"/>
          <w:highlight w:val="none"/>
        </w:rPr>
        <w:t>中的第二类用地风险筛选值</w:t>
      </w:r>
      <w:r>
        <w:rPr>
          <w:color w:val="auto"/>
          <w:highlight w:val="none"/>
        </w:rPr>
        <w:t>要求，具体见表</w:t>
      </w:r>
      <w:r>
        <w:rPr>
          <w:rFonts w:ascii="Times New Roman" w:eastAsia="Times New Roman"/>
          <w:color w:val="auto"/>
          <w:highlight w:val="none"/>
        </w:rPr>
        <w:t>1.4-6</w:t>
      </w:r>
      <w:r>
        <w:rPr>
          <w:color w:val="auto"/>
          <w:highlight w:val="none"/>
        </w:rPr>
        <w:t>；场地外侧农用地执行《土壤环境质量 农用地土壤风险管控标准（试行）》（</w:t>
      </w:r>
      <w:r>
        <w:rPr>
          <w:rFonts w:ascii="Times New Roman" w:eastAsia="Times New Roman"/>
          <w:color w:val="auto"/>
          <w:highlight w:val="none"/>
        </w:rPr>
        <w:t>GB15618-2018</w:t>
      </w:r>
      <w:r>
        <w:rPr>
          <w:color w:val="auto"/>
          <w:highlight w:val="none"/>
        </w:rPr>
        <w:t>），具体见表</w:t>
      </w:r>
      <w:r>
        <w:rPr>
          <w:rFonts w:ascii="Times New Roman" w:eastAsia="Times New Roman"/>
          <w:color w:val="auto"/>
          <w:highlight w:val="none"/>
        </w:rPr>
        <w:t>1.4-7</w:t>
      </w:r>
      <w:r>
        <w:rPr>
          <w:color w:val="auto"/>
          <w:highlight w:val="none"/>
        </w:rPr>
        <w:t>。</w:t>
      </w:r>
    </w:p>
    <w:p>
      <w:pPr>
        <w:tabs>
          <w:tab w:val="left" w:pos="1984"/>
          <w:tab w:val="left" w:pos="7147"/>
        </w:tabs>
        <w:spacing w:before="0" w:line="267" w:lineRule="exact"/>
        <w:ind w:left="1072" w:right="0" w:firstLine="0"/>
        <w:jc w:val="left"/>
        <w:rPr>
          <w:rFonts w:ascii="Times New Roman" w:eastAsia="Times New Roman"/>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1.4-6</w:t>
      </w:r>
      <w:r>
        <w:rPr>
          <w:rFonts w:hint="eastAsia"/>
          <w:b/>
          <w:color w:val="auto"/>
          <w:sz w:val="21"/>
          <w:highlight w:val="none"/>
          <w:lang w:val="en-US" w:eastAsia="zh-CN"/>
        </w:rPr>
        <w:t xml:space="preserve"> </w:t>
      </w:r>
      <w:r>
        <w:rPr>
          <w:b/>
          <w:color w:val="auto"/>
          <w:sz w:val="21"/>
          <w:highlight w:val="none"/>
        </w:rPr>
        <w:t>建设用地土壤污染风险筛选值和管控值（基本项目）</w:t>
      </w:r>
      <w:r>
        <w:rPr>
          <w:rFonts w:hint="eastAsia"/>
          <w:b/>
          <w:color w:val="auto"/>
          <w:sz w:val="21"/>
          <w:highlight w:val="none"/>
          <w:lang w:val="en-US" w:eastAsia="zh-CN"/>
        </w:rPr>
        <w:t xml:space="preserve"> </w:t>
      </w:r>
      <w:r>
        <w:rPr>
          <w:b/>
          <w:color w:val="auto"/>
          <w:sz w:val="21"/>
          <w:highlight w:val="none"/>
        </w:rPr>
        <w:t>单位：</w:t>
      </w:r>
      <w:r>
        <w:rPr>
          <w:rFonts w:ascii="Times New Roman" w:eastAsia="Times New Roman"/>
          <w:b/>
          <w:color w:val="auto"/>
          <w:sz w:val="21"/>
          <w:highlight w:val="none"/>
        </w:rPr>
        <w:t>mg/kg</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5"/>
        <w:gridCol w:w="2572"/>
        <w:gridCol w:w="1800"/>
        <w:gridCol w:w="1907"/>
        <w:gridCol w:w="19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85" w:type="dxa"/>
            <w:vMerge w:val="restar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序号</w:t>
            </w:r>
          </w:p>
        </w:tc>
        <w:tc>
          <w:tcPr>
            <w:tcW w:w="2572" w:type="dxa"/>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污染物项目</w:t>
            </w:r>
          </w:p>
        </w:tc>
        <w:tc>
          <w:tcPr>
            <w:tcW w:w="1800" w:type="dxa"/>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CAS 编号</w:t>
            </w:r>
          </w:p>
        </w:tc>
        <w:tc>
          <w:tcPr>
            <w:tcW w:w="1907"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筛选值</w:t>
            </w:r>
          </w:p>
        </w:tc>
        <w:tc>
          <w:tcPr>
            <w:tcW w:w="1907" w:type="dxa"/>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管制值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p>
        </w:tc>
        <w:tc>
          <w:tcPr>
            <w:tcW w:w="2572"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p>
        </w:tc>
        <w:tc>
          <w:tcPr>
            <w:tcW w:w="1800"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第二类用地</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第二类用地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7440-38-2</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镉</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7440-43-9</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65</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172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铬（六价）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18540-29-9</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5.7</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铜</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7440-50-8</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18000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36000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铅</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7439-92-1</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800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汞</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7439-97-6</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38</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镍</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7440-02-0</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900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8</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四氯化碳</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56-23-5</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2.8</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氯仿</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67-66-3</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0.9</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氯甲烷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74-87-3</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37</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1,1-二氯乙烷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75-34-3</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1，2-二氯乙烷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107-06-2</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13</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1,1-二氯乙烯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75-35-4</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66</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14</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顺-1,2-二氯乙烯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156-59-2</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596</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反-1,2-二氯乙烯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156-60-5</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54</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16</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二氯甲烷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75-09-2</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616</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17</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1,2-二氯丙烷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78-87-5</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18</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1,1,1,2-四氯乙烷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630-20-6</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19</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1,1,2,2-四氯乙烷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79-34-5</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6.8</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四氯乙烯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127-18-4</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53</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21</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1,1,1-三氯乙烷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71-55-6</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840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840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22</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1,1,2 三氯乙烷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79-00-5</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2.8</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23</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三氯乙烯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79-01-6</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2.8</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24</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1,2,3-三氯丙烷</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96-18-4</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0.5</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25</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氯乙烯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75-01-4</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0.43</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26</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71-43-2</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27</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氯苯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108-90-7</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270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78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28</w:t>
            </w:r>
          </w:p>
        </w:tc>
        <w:tc>
          <w:tcPr>
            <w:tcW w:w="25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1,2-二氯苯</w:t>
            </w:r>
          </w:p>
        </w:tc>
        <w:tc>
          <w:tcPr>
            <w:tcW w:w="1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95-50-1</w:t>
            </w:r>
          </w:p>
        </w:tc>
        <w:tc>
          <w:tcPr>
            <w:tcW w:w="19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560</w:t>
            </w:r>
          </w:p>
        </w:tc>
        <w:tc>
          <w:tcPr>
            <w:tcW w:w="190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29</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1,4-二氯苯</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106-46-7</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30</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乙苯</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100-41-4</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28</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85" w:type="dxa"/>
            <w:tcBorders>
              <w:left w:val="nil"/>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31</w:t>
            </w:r>
          </w:p>
        </w:tc>
        <w:tc>
          <w:tcPr>
            <w:tcW w:w="2572" w:type="dxa"/>
            <w:tcBorders>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苯乙烯</w:t>
            </w:r>
          </w:p>
        </w:tc>
        <w:tc>
          <w:tcPr>
            <w:tcW w:w="1800" w:type="dxa"/>
            <w:tcBorders>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100-42-5</w:t>
            </w:r>
          </w:p>
        </w:tc>
        <w:tc>
          <w:tcPr>
            <w:tcW w:w="1907" w:type="dxa"/>
            <w:tcBorders>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1290</w:t>
            </w:r>
          </w:p>
        </w:tc>
        <w:tc>
          <w:tcPr>
            <w:tcW w:w="1907" w:type="dxa"/>
            <w:tcBorders>
              <w:bottom w:val="single" w:color="000000" w:sz="12"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85" w:type="dxa"/>
            <w:tcBorders>
              <w:top w:val="single" w:color="000000" w:sz="12" w:space="0"/>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32</w:t>
            </w:r>
          </w:p>
        </w:tc>
        <w:tc>
          <w:tcPr>
            <w:tcW w:w="2572" w:type="dxa"/>
            <w:tcBorders>
              <w:top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甲苯</w:t>
            </w:r>
          </w:p>
        </w:tc>
        <w:tc>
          <w:tcPr>
            <w:tcW w:w="1800" w:type="dxa"/>
            <w:tcBorders>
              <w:top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108-88-3</w:t>
            </w:r>
          </w:p>
        </w:tc>
        <w:tc>
          <w:tcPr>
            <w:tcW w:w="1907" w:type="dxa"/>
            <w:tcBorders>
              <w:top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1200</w:t>
            </w:r>
          </w:p>
        </w:tc>
        <w:tc>
          <w:tcPr>
            <w:tcW w:w="1907" w:type="dxa"/>
            <w:tcBorders>
              <w:top w:val="single" w:color="000000" w:sz="12"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33</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间二甲苯+对二甲苯</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108-38-3</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108-42-3</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570</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34</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邻二甲苯</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95-47-6</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640</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35</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硝基苯</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98-95-3</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76</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36</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苯胺</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62-53-3</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260</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37</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2-氯酚</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95-57-8</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2256</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38</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苯并[a]蒽</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56-55-3</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39</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苯并[a]芘</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50-32-8</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40</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苯并[b]荧蒽</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205-99-2</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41</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苯并[k]荧蒽</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207-08-9</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151</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42</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䓛</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218-01-9</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1293</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12900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43</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二苯并[a,h]蒽</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53-70-3</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44</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茚并[1,2,3-cd]芘</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193-39-5</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45</w:t>
            </w:r>
          </w:p>
        </w:tc>
        <w:tc>
          <w:tcPr>
            <w:tcW w:w="25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萘</w:t>
            </w:r>
          </w:p>
        </w:tc>
        <w:tc>
          <w:tcPr>
            <w:tcW w:w="18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91-20-3</w:t>
            </w:r>
          </w:p>
        </w:tc>
        <w:tc>
          <w:tcPr>
            <w:tcW w:w="190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70</w:t>
            </w:r>
          </w:p>
        </w:tc>
        <w:tc>
          <w:tcPr>
            <w:tcW w:w="1907"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85" w:type="dxa"/>
            <w:tcBorders>
              <w:left w:val="nil"/>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46</w:t>
            </w:r>
          </w:p>
        </w:tc>
        <w:tc>
          <w:tcPr>
            <w:tcW w:w="2572" w:type="dxa"/>
            <w:tcBorders>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氰化物</w:t>
            </w:r>
          </w:p>
        </w:tc>
        <w:tc>
          <w:tcPr>
            <w:tcW w:w="1800" w:type="dxa"/>
            <w:tcBorders>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57-12-5</w:t>
            </w:r>
          </w:p>
        </w:tc>
        <w:tc>
          <w:tcPr>
            <w:tcW w:w="1907" w:type="dxa"/>
            <w:tcBorders>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135</w:t>
            </w:r>
          </w:p>
        </w:tc>
        <w:tc>
          <w:tcPr>
            <w:tcW w:w="1907" w:type="dxa"/>
            <w:tcBorders>
              <w:bottom w:val="single" w:color="000000" w:sz="12"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highlight w:val="none"/>
              </w:rPr>
            </w:pPr>
            <w:r>
              <w:rPr>
                <w:rFonts w:hint="default"/>
                <w:color w:val="auto"/>
                <w:sz w:val="21"/>
                <w:szCs w:val="21"/>
                <w:highlight w:val="none"/>
              </w:rPr>
              <w:t>270</w:t>
            </w:r>
          </w:p>
        </w:tc>
      </w:tr>
    </w:tbl>
    <w:p>
      <w:pPr>
        <w:tabs>
          <w:tab w:val="left" w:pos="860"/>
          <w:tab w:val="left" w:pos="4984"/>
        </w:tabs>
        <w:spacing w:before="28" w:after="18"/>
        <w:ind w:left="4" w:right="0" w:firstLine="0"/>
        <w:jc w:val="center"/>
        <w:rPr>
          <w:rFonts w:ascii="Times New Roman" w:eastAsia="Times New Roman"/>
          <w:b/>
          <w:color w:val="auto"/>
          <w:sz w:val="21"/>
          <w:highlight w:val="none"/>
        </w:rPr>
      </w:pPr>
      <w:r>
        <w:rPr>
          <w:b/>
          <w:color w:val="auto"/>
          <w:sz w:val="21"/>
          <w:highlight w:val="none"/>
        </w:rPr>
        <w:t>表</w:t>
      </w:r>
      <w:r>
        <w:rPr>
          <w:rFonts w:ascii="Times New Roman" w:eastAsia="Times New Roman"/>
          <w:b/>
          <w:color w:val="auto"/>
          <w:sz w:val="21"/>
          <w:highlight w:val="none"/>
        </w:rPr>
        <w:t>1.4-7</w:t>
      </w:r>
      <w:r>
        <w:rPr>
          <w:rFonts w:hint="eastAsia"/>
          <w:b/>
          <w:color w:val="auto"/>
          <w:sz w:val="21"/>
          <w:highlight w:val="none"/>
          <w:lang w:val="en-US" w:eastAsia="zh-CN"/>
        </w:rPr>
        <w:t xml:space="preserve"> </w:t>
      </w:r>
      <w:r>
        <w:rPr>
          <w:b/>
          <w:color w:val="auto"/>
          <w:sz w:val="21"/>
          <w:highlight w:val="none"/>
        </w:rPr>
        <w:t>农用地</w:t>
      </w:r>
      <w:r>
        <w:rPr>
          <w:b/>
          <w:color w:val="auto"/>
          <w:spacing w:val="4"/>
          <w:sz w:val="21"/>
          <w:highlight w:val="none"/>
        </w:rPr>
        <w:t>土</w:t>
      </w:r>
      <w:r>
        <w:rPr>
          <w:b/>
          <w:color w:val="auto"/>
          <w:sz w:val="21"/>
          <w:highlight w:val="none"/>
        </w:rPr>
        <w:t>壤污</w:t>
      </w:r>
      <w:r>
        <w:rPr>
          <w:b/>
          <w:color w:val="auto"/>
          <w:spacing w:val="4"/>
          <w:sz w:val="21"/>
          <w:highlight w:val="none"/>
        </w:rPr>
        <w:t>染</w:t>
      </w:r>
      <w:r>
        <w:rPr>
          <w:b/>
          <w:color w:val="auto"/>
          <w:sz w:val="21"/>
          <w:highlight w:val="none"/>
        </w:rPr>
        <w:t>风险筛选</w:t>
      </w:r>
      <w:r>
        <w:rPr>
          <w:b/>
          <w:color w:val="auto"/>
          <w:spacing w:val="4"/>
          <w:sz w:val="21"/>
          <w:highlight w:val="none"/>
        </w:rPr>
        <w:t>值</w:t>
      </w:r>
      <w:r>
        <w:rPr>
          <w:b/>
          <w:color w:val="auto"/>
          <w:sz w:val="21"/>
          <w:highlight w:val="none"/>
        </w:rPr>
        <w:t>（基</w:t>
      </w:r>
      <w:r>
        <w:rPr>
          <w:b/>
          <w:color w:val="auto"/>
          <w:spacing w:val="4"/>
          <w:sz w:val="21"/>
          <w:highlight w:val="none"/>
        </w:rPr>
        <w:t>本</w:t>
      </w:r>
      <w:r>
        <w:rPr>
          <w:b/>
          <w:color w:val="auto"/>
          <w:sz w:val="21"/>
          <w:highlight w:val="none"/>
        </w:rPr>
        <w:t>项</w:t>
      </w:r>
      <w:r>
        <w:rPr>
          <w:b/>
          <w:color w:val="auto"/>
          <w:spacing w:val="4"/>
          <w:sz w:val="21"/>
          <w:highlight w:val="none"/>
        </w:rPr>
        <w:t>目</w:t>
      </w:r>
      <w:r>
        <w:rPr>
          <w:b/>
          <w:color w:val="auto"/>
          <w:sz w:val="21"/>
          <w:highlight w:val="none"/>
        </w:rPr>
        <w:t>）</w:t>
      </w:r>
      <w:r>
        <w:rPr>
          <w:rFonts w:hint="eastAsia"/>
          <w:b/>
          <w:color w:val="auto"/>
          <w:sz w:val="21"/>
          <w:highlight w:val="none"/>
          <w:lang w:val="en-US" w:eastAsia="zh-CN"/>
        </w:rPr>
        <w:t xml:space="preserve"> </w:t>
      </w:r>
      <w:r>
        <w:rPr>
          <w:b/>
          <w:color w:val="auto"/>
          <w:sz w:val="21"/>
          <w:highlight w:val="none"/>
        </w:rPr>
        <w:t>单位：</w:t>
      </w:r>
      <w:r>
        <w:rPr>
          <w:rFonts w:ascii="Times New Roman" w:eastAsia="Times New Roman"/>
          <w:b/>
          <w:color w:val="auto"/>
          <w:sz w:val="21"/>
          <w:highlight w:val="none"/>
        </w:rPr>
        <w:t>mg/kg</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5"/>
        <w:gridCol w:w="1129"/>
        <w:gridCol w:w="1317"/>
        <w:gridCol w:w="1432"/>
        <w:gridCol w:w="1432"/>
        <w:gridCol w:w="1432"/>
        <w:gridCol w:w="14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4" w:hRule="atLeast"/>
          <w:jc w:val="center"/>
        </w:trPr>
        <w:tc>
          <w:tcPr>
            <w:tcW w:w="785" w:type="dxa"/>
            <w:vMerge w:val="restar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序号</w:t>
            </w:r>
          </w:p>
        </w:tc>
        <w:tc>
          <w:tcPr>
            <w:tcW w:w="2446" w:type="dxa"/>
            <w:gridSpan w:val="2"/>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污染物项目</w:t>
            </w:r>
          </w:p>
        </w:tc>
        <w:tc>
          <w:tcPr>
            <w:tcW w:w="5740" w:type="dxa"/>
            <w:gridSpan w:val="4"/>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风险筛选值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2446" w:type="dxa"/>
            <w:gridSpan w:val="2"/>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pH≤5.5</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5.5&lt;pH≤6.5</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6.5&lt;pH≤7.5</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pH&gt;7.5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镉</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水田</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0.3</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0.4</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0.6</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12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其他</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0.3</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0.3</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0.3</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汞</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水田</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0.5</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0.5</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0.6</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12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其他</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1.3</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1.8</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砷</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水田</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25</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12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其他</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铅</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水田</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80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140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12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其他</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90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120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铬</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水田</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300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12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其他</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5" w:type="dxa"/>
            <w:vMerge w:val="restar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铜</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果园</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785"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12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其他</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50</w:t>
            </w:r>
          </w:p>
        </w:tc>
        <w:tc>
          <w:tcPr>
            <w:tcW w:w="14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100</w:t>
            </w:r>
          </w:p>
        </w:tc>
        <w:tc>
          <w:tcPr>
            <w:tcW w:w="1444"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w:t>
            </w:r>
          </w:p>
        </w:tc>
        <w:tc>
          <w:tcPr>
            <w:tcW w:w="244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镍</w:t>
            </w:r>
          </w:p>
        </w:tc>
        <w:tc>
          <w:tcPr>
            <w:tcW w:w="14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60</w:t>
            </w:r>
          </w:p>
        </w:tc>
        <w:tc>
          <w:tcPr>
            <w:tcW w:w="14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70</w:t>
            </w:r>
          </w:p>
        </w:tc>
        <w:tc>
          <w:tcPr>
            <w:tcW w:w="14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100</w:t>
            </w:r>
          </w:p>
        </w:tc>
        <w:tc>
          <w:tcPr>
            <w:tcW w:w="1444"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8</w:t>
            </w:r>
          </w:p>
        </w:tc>
        <w:tc>
          <w:tcPr>
            <w:tcW w:w="244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锌</w:t>
            </w:r>
          </w:p>
        </w:tc>
        <w:tc>
          <w:tcPr>
            <w:tcW w:w="14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200</w:t>
            </w:r>
          </w:p>
        </w:tc>
        <w:tc>
          <w:tcPr>
            <w:tcW w:w="14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250</w:t>
            </w:r>
          </w:p>
        </w:tc>
        <w:tc>
          <w:tcPr>
            <w:tcW w:w="1444"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jc w:val="center"/>
        </w:trPr>
        <w:tc>
          <w:tcPr>
            <w:tcW w:w="785" w:type="dxa"/>
            <w:tcBorders>
              <w:left w:val="nil"/>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备注</w:t>
            </w:r>
          </w:p>
        </w:tc>
        <w:tc>
          <w:tcPr>
            <w:tcW w:w="8186" w:type="dxa"/>
            <w:gridSpan w:val="6"/>
            <w:tcBorders>
              <w:bottom w:val="single" w:color="000000" w:sz="12"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（1）重金属和类金属砷均按元素总量计；</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（2）对于水旱轮作地，采用其他较严格的风险筛选值。</w:t>
            </w:r>
          </w:p>
        </w:tc>
      </w:tr>
    </w:tbl>
    <w:p>
      <w:pPr>
        <w:pStyle w:val="7"/>
        <w:numPr>
          <w:ilvl w:val="3"/>
          <w:numId w:val="4"/>
        </w:numPr>
        <w:bidi w:val="0"/>
        <w:rPr>
          <w:color w:val="auto"/>
          <w:highlight w:val="none"/>
        </w:rPr>
      </w:pPr>
      <w:r>
        <w:rPr>
          <w:color w:val="auto"/>
          <w:highlight w:val="none"/>
        </w:rPr>
        <w:t>污染物排放标准</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废气</w:t>
      </w:r>
    </w:p>
    <w:p>
      <w:pPr>
        <w:bidi w:val="0"/>
        <w:rPr>
          <w:color w:val="auto"/>
          <w:highlight w:val="none"/>
        </w:rPr>
      </w:pPr>
      <w:r>
        <w:rPr>
          <w:color w:val="auto"/>
          <w:highlight w:val="none"/>
        </w:rPr>
        <w:t>矿区原煤筛分、转载点以及煤炭装卸场所、场内道路运输扬尘、煤炭贮存场所等颗粒物分别执行《煤炭工业污染物排放标准》（GB20426-2006）中表4和表5的规定，具体见表 1.4-8、1.4-9。</w:t>
      </w:r>
    </w:p>
    <w:p>
      <w:pPr>
        <w:spacing w:before="0" w:line="267" w:lineRule="exact"/>
        <w:ind w:left="1718" w:right="0" w:firstLine="0"/>
        <w:jc w:val="both"/>
        <w:rPr>
          <w:b/>
          <w:color w:val="auto"/>
          <w:sz w:val="21"/>
          <w:highlight w:val="none"/>
        </w:rPr>
      </w:pPr>
      <w:r>
        <w:rPr>
          <w:b/>
          <w:color w:val="auto"/>
          <w:sz w:val="21"/>
          <w:highlight w:val="none"/>
        </w:rPr>
        <w:t xml:space="preserve">表 </w:t>
      </w:r>
      <w:r>
        <w:rPr>
          <w:rFonts w:ascii="Times New Roman" w:eastAsia="Times New Roman"/>
          <w:b/>
          <w:color w:val="auto"/>
          <w:sz w:val="21"/>
          <w:highlight w:val="none"/>
        </w:rPr>
        <w:t xml:space="preserve">1.4-8 </w:t>
      </w:r>
      <w:r>
        <w:rPr>
          <w:b/>
          <w:color w:val="auto"/>
          <w:sz w:val="21"/>
          <w:highlight w:val="none"/>
        </w:rPr>
        <w:t>煤炭工业大气污染物排放标准污染物排放限值（摘录）</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3"/>
        <w:gridCol w:w="3633"/>
        <w:gridCol w:w="450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963" w:type="dxa"/>
            <w:vMerge w:val="restar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污染物</w:t>
            </w:r>
          </w:p>
        </w:tc>
        <w:tc>
          <w:tcPr>
            <w:tcW w:w="8135" w:type="dxa"/>
            <w:gridSpan w:val="2"/>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生产设备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4" w:hRule="atLeast"/>
          <w:jc w:val="center"/>
        </w:trPr>
        <w:tc>
          <w:tcPr>
            <w:tcW w:w="963"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p>
        </w:tc>
        <w:tc>
          <w:tcPr>
            <w:tcW w:w="36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原煤筛分、破碎、转载点等除尘设备</w:t>
            </w:r>
          </w:p>
        </w:tc>
        <w:tc>
          <w:tcPr>
            <w:tcW w:w="450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煤炭风选设备通风管道、筛面、转载点等除尘 设备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963" w:type="dxa"/>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颗粒物</w:t>
            </w:r>
          </w:p>
        </w:tc>
        <w:tc>
          <w:tcPr>
            <w:tcW w:w="3633"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color w:val="auto"/>
                <w:sz w:val="21"/>
                <w:szCs w:val="21"/>
                <w:highlight w:val="none"/>
              </w:rPr>
            </w:pPr>
            <w:r>
              <w:rPr>
                <w:color w:val="auto"/>
                <w:sz w:val="21"/>
                <w:szCs w:val="21"/>
                <w:highlight w:val="none"/>
              </w:rPr>
              <w:t>80mg/Nm</w:t>
            </w:r>
            <w:r>
              <w:rPr>
                <w:color w:val="auto"/>
                <w:sz w:val="21"/>
                <w:szCs w:val="21"/>
                <w:highlight w:val="none"/>
                <w:vertAlign w:val="superscript"/>
              </w:rPr>
              <w:t>3</w:t>
            </w:r>
            <w:r>
              <w:rPr>
                <w:color w:val="auto"/>
                <w:sz w:val="21"/>
                <w:szCs w:val="21"/>
                <w:highlight w:val="none"/>
              </w:rPr>
              <w:t>或设备去除效率&gt;98%</w:t>
            </w:r>
          </w:p>
        </w:tc>
        <w:tc>
          <w:tcPr>
            <w:tcW w:w="4502" w:type="dxa"/>
            <w:tcBorders>
              <w:top w:val="single" w:color="000000" w:sz="4" w:space="0"/>
              <w:left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80mg/Nm</w:t>
            </w:r>
            <w:r>
              <w:rPr>
                <w:color w:val="auto"/>
                <w:sz w:val="21"/>
                <w:szCs w:val="21"/>
                <w:highlight w:val="none"/>
                <w:vertAlign w:val="superscript"/>
              </w:rPr>
              <w:t>3</w:t>
            </w:r>
            <w:r>
              <w:rPr>
                <w:color w:val="auto"/>
                <w:sz w:val="21"/>
                <w:szCs w:val="21"/>
                <w:highlight w:val="none"/>
              </w:rPr>
              <w:t>或设备去除效率&gt;98%</w:t>
            </w:r>
          </w:p>
        </w:tc>
      </w:tr>
    </w:tbl>
    <w:p>
      <w:pPr>
        <w:tabs>
          <w:tab w:val="left" w:pos="899"/>
        </w:tabs>
        <w:spacing w:before="25" w:after="20"/>
        <w:ind w:left="0" w:right="2" w:firstLine="0"/>
        <w:jc w:val="center"/>
        <w:rPr>
          <w:b/>
          <w:color w:val="auto"/>
          <w:sz w:val="21"/>
          <w:highlight w:val="none"/>
        </w:rPr>
      </w:pPr>
      <w:r>
        <w:rPr>
          <w:b/>
          <w:color w:val="auto"/>
          <w:sz w:val="21"/>
          <w:highlight w:val="none"/>
        </w:rPr>
        <w:t>表</w:t>
      </w:r>
      <w:r>
        <w:rPr>
          <w:b/>
          <w:color w:val="auto"/>
          <w:spacing w:val="-63"/>
          <w:sz w:val="21"/>
          <w:highlight w:val="none"/>
        </w:rPr>
        <w:t xml:space="preserve"> </w:t>
      </w:r>
      <w:r>
        <w:rPr>
          <w:rFonts w:ascii="Times New Roman" w:eastAsia="Times New Roman"/>
          <w:b/>
          <w:color w:val="auto"/>
          <w:sz w:val="21"/>
          <w:highlight w:val="none"/>
        </w:rPr>
        <w:t>1.4-9</w:t>
      </w:r>
      <w:r>
        <w:rPr>
          <w:rFonts w:ascii="Times New Roman" w:eastAsia="Times New Roman"/>
          <w:b/>
          <w:color w:val="auto"/>
          <w:sz w:val="21"/>
          <w:highlight w:val="none"/>
        </w:rPr>
        <w:tab/>
      </w:r>
      <w:r>
        <w:rPr>
          <w:b/>
          <w:color w:val="auto"/>
          <w:sz w:val="21"/>
          <w:highlight w:val="none"/>
        </w:rPr>
        <w:t>煤</w:t>
      </w:r>
      <w:r>
        <w:rPr>
          <w:b/>
          <w:color w:val="auto"/>
          <w:spacing w:val="4"/>
          <w:sz w:val="21"/>
          <w:highlight w:val="none"/>
        </w:rPr>
        <w:t>炭</w:t>
      </w:r>
      <w:r>
        <w:rPr>
          <w:b/>
          <w:color w:val="auto"/>
          <w:sz w:val="21"/>
          <w:highlight w:val="none"/>
        </w:rPr>
        <w:t>工业大气</w:t>
      </w:r>
      <w:r>
        <w:rPr>
          <w:b/>
          <w:color w:val="auto"/>
          <w:spacing w:val="4"/>
          <w:sz w:val="21"/>
          <w:highlight w:val="none"/>
        </w:rPr>
        <w:t>污</w:t>
      </w:r>
      <w:r>
        <w:rPr>
          <w:b/>
          <w:color w:val="auto"/>
          <w:sz w:val="21"/>
          <w:highlight w:val="none"/>
        </w:rPr>
        <w:t>染</w:t>
      </w:r>
      <w:r>
        <w:rPr>
          <w:b/>
          <w:color w:val="auto"/>
          <w:spacing w:val="4"/>
          <w:sz w:val="21"/>
          <w:highlight w:val="none"/>
        </w:rPr>
        <w:t>物</w:t>
      </w:r>
      <w:r>
        <w:rPr>
          <w:b/>
          <w:color w:val="auto"/>
          <w:sz w:val="21"/>
          <w:highlight w:val="none"/>
        </w:rPr>
        <w:t>排放</w:t>
      </w:r>
      <w:r>
        <w:rPr>
          <w:b/>
          <w:color w:val="auto"/>
          <w:spacing w:val="4"/>
          <w:sz w:val="21"/>
          <w:highlight w:val="none"/>
        </w:rPr>
        <w:t>限</w:t>
      </w:r>
      <w:r>
        <w:rPr>
          <w:b/>
          <w:color w:val="auto"/>
          <w:sz w:val="21"/>
          <w:highlight w:val="none"/>
        </w:rPr>
        <w:t>值（摘录）</w:t>
      </w:r>
    </w:p>
    <w:tbl>
      <w:tblPr>
        <w:tblStyle w:val="17"/>
        <w:tblW w:w="0" w:type="auto"/>
        <w:tblInd w:w="13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7"/>
        <w:gridCol w:w="1300"/>
        <w:gridCol w:w="3015"/>
        <w:gridCol w:w="36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177" w:type="dxa"/>
            <w:vMerge w:val="restart"/>
            <w:tcBorders>
              <w:left w:val="nil"/>
              <w:bottom w:val="single" w:color="000000" w:sz="4" w:space="0"/>
              <w:right w:val="single" w:color="000000" w:sz="4" w:space="0"/>
            </w:tcBorders>
          </w:tcPr>
          <w:p>
            <w:pPr>
              <w:pStyle w:val="22"/>
              <w:bidi w:val="0"/>
              <w:rPr>
                <w:color w:val="auto"/>
                <w:highlight w:val="none"/>
              </w:rPr>
            </w:pPr>
            <w:r>
              <w:rPr>
                <w:color w:val="auto"/>
                <w:highlight w:val="none"/>
              </w:rPr>
              <w:t>污染物</w:t>
            </w:r>
          </w:p>
        </w:tc>
        <w:tc>
          <w:tcPr>
            <w:tcW w:w="1300" w:type="dxa"/>
            <w:vMerge w:val="restart"/>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监控点</w:t>
            </w:r>
          </w:p>
        </w:tc>
        <w:tc>
          <w:tcPr>
            <w:tcW w:w="6621" w:type="dxa"/>
            <w:gridSpan w:val="2"/>
            <w:tcBorders>
              <w:left w:val="single" w:color="000000" w:sz="4" w:space="0"/>
              <w:bottom w:val="single" w:color="000000" w:sz="4" w:space="0"/>
              <w:right w:val="nil"/>
            </w:tcBorders>
          </w:tcPr>
          <w:p>
            <w:pPr>
              <w:pStyle w:val="22"/>
              <w:bidi w:val="0"/>
              <w:rPr>
                <w:color w:val="auto"/>
                <w:highlight w:val="none"/>
              </w:rPr>
            </w:pPr>
            <w:r>
              <w:rPr>
                <w:color w:val="auto"/>
                <w:highlight w:val="none"/>
              </w:rPr>
              <w:t>作业场所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trPr>
        <w:tc>
          <w:tcPr>
            <w:tcW w:w="117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1300" w:type="dxa"/>
            <w:vMerge w:val="continue"/>
            <w:tcBorders>
              <w:top w:val="nil"/>
              <w:left w:val="single" w:color="000000" w:sz="4" w:space="0"/>
              <w:bottom w:val="single" w:color="000000" w:sz="4" w:space="0"/>
              <w:right w:val="single" w:color="000000" w:sz="4" w:space="0"/>
            </w:tcBorders>
          </w:tcPr>
          <w:p>
            <w:pPr>
              <w:pStyle w:val="22"/>
              <w:bidi w:val="0"/>
              <w:rPr>
                <w:color w:val="auto"/>
                <w:highlight w:val="none"/>
              </w:rPr>
            </w:pPr>
          </w:p>
        </w:tc>
        <w:tc>
          <w:tcPr>
            <w:tcW w:w="301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煤炭工业所属装卸场所</w:t>
            </w:r>
          </w:p>
        </w:tc>
        <w:tc>
          <w:tcPr>
            <w:tcW w:w="3606"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煤炭贮存场所、煤矸石堆置场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5" w:hRule="atLeast"/>
        </w:trPr>
        <w:tc>
          <w:tcPr>
            <w:tcW w:w="117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1300" w:type="dxa"/>
            <w:vMerge w:val="continue"/>
            <w:tcBorders>
              <w:top w:val="nil"/>
              <w:left w:val="single" w:color="000000" w:sz="4" w:space="0"/>
              <w:bottom w:val="single" w:color="000000" w:sz="4" w:space="0"/>
              <w:right w:val="single" w:color="000000" w:sz="4" w:space="0"/>
            </w:tcBorders>
          </w:tcPr>
          <w:p>
            <w:pPr>
              <w:pStyle w:val="22"/>
              <w:bidi w:val="0"/>
              <w:rPr>
                <w:color w:val="auto"/>
                <w:highlight w:val="none"/>
              </w:rPr>
            </w:pPr>
          </w:p>
        </w:tc>
        <w:tc>
          <w:tcPr>
            <w:tcW w:w="301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无组织排放限值（mg/Nm</w:t>
            </w:r>
            <w:r>
              <w:rPr>
                <w:color w:val="auto"/>
                <w:highlight w:val="none"/>
                <w:vertAlign w:val="superscript"/>
              </w:rPr>
              <w:t>3</w:t>
            </w:r>
            <w:r>
              <w:rPr>
                <w:color w:val="auto"/>
                <w:highlight w:val="none"/>
              </w:rPr>
              <w:t>）</w:t>
            </w:r>
          </w:p>
          <w:p>
            <w:pPr>
              <w:pStyle w:val="22"/>
              <w:bidi w:val="0"/>
              <w:rPr>
                <w:color w:val="auto"/>
                <w:highlight w:val="none"/>
              </w:rPr>
            </w:pPr>
            <w:r>
              <w:rPr>
                <w:color w:val="auto"/>
                <w:highlight w:val="none"/>
              </w:rPr>
              <w:t>（监控点与参考点浓度差值）</w:t>
            </w:r>
          </w:p>
        </w:tc>
        <w:tc>
          <w:tcPr>
            <w:tcW w:w="3606"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无组织排放限值（mg/Nm</w:t>
            </w:r>
            <w:r>
              <w:rPr>
                <w:color w:val="auto"/>
                <w:highlight w:val="none"/>
                <w:vertAlign w:val="superscript"/>
              </w:rPr>
              <w:t>3</w:t>
            </w:r>
            <w:r>
              <w:rPr>
                <w:color w:val="auto"/>
                <w:highlight w:val="none"/>
              </w:rPr>
              <w:t>）</w:t>
            </w:r>
          </w:p>
          <w:p>
            <w:pPr>
              <w:pStyle w:val="22"/>
              <w:bidi w:val="0"/>
              <w:rPr>
                <w:color w:val="auto"/>
                <w:highlight w:val="none"/>
              </w:rPr>
            </w:pPr>
            <w:r>
              <w:rPr>
                <w:color w:val="auto"/>
                <w:highlight w:val="none"/>
              </w:rPr>
              <w:t>（监控点与参考点浓度差值）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trPr>
        <w:tc>
          <w:tcPr>
            <w:tcW w:w="117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颗粒物</w:t>
            </w:r>
          </w:p>
        </w:tc>
        <w:tc>
          <w:tcPr>
            <w:tcW w:w="1300" w:type="dxa"/>
            <w:vMerge w:val="restart"/>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周界外浓度最高点</w:t>
            </w:r>
          </w:p>
        </w:tc>
        <w:tc>
          <w:tcPr>
            <w:tcW w:w="301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1.0</w:t>
            </w:r>
          </w:p>
        </w:tc>
        <w:tc>
          <w:tcPr>
            <w:tcW w:w="3606"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1177" w:type="dxa"/>
            <w:tcBorders>
              <w:top w:val="single" w:color="000000" w:sz="4" w:space="0"/>
              <w:left w:val="nil"/>
              <w:right w:val="single" w:color="000000" w:sz="4" w:space="0"/>
            </w:tcBorders>
          </w:tcPr>
          <w:p>
            <w:pPr>
              <w:pStyle w:val="22"/>
              <w:bidi w:val="0"/>
              <w:rPr>
                <w:color w:val="auto"/>
                <w:highlight w:val="none"/>
              </w:rPr>
            </w:pPr>
            <w:r>
              <w:rPr>
                <w:color w:val="auto"/>
                <w:highlight w:val="none"/>
              </w:rPr>
              <w:t>二氧化硫</w:t>
            </w:r>
          </w:p>
        </w:tc>
        <w:tc>
          <w:tcPr>
            <w:tcW w:w="1300" w:type="dxa"/>
            <w:vMerge w:val="continue"/>
            <w:tcBorders>
              <w:top w:val="nil"/>
              <w:left w:val="single" w:color="000000" w:sz="4" w:space="0"/>
              <w:right w:val="single" w:color="000000" w:sz="4" w:space="0"/>
            </w:tcBorders>
          </w:tcPr>
          <w:p>
            <w:pPr>
              <w:pStyle w:val="22"/>
              <w:bidi w:val="0"/>
              <w:rPr>
                <w:color w:val="auto"/>
                <w:highlight w:val="none"/>
              </w:rPr>
            </w:pPr>
          </w:p>
        </w:tc>
        <w:tc>
          <w:tcPr>
            <w:tcW w:w="301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w:t>
            </w:r>
          </w:p>
        </w:tc>
        <w:tc>
          <w:tcPr>
            <w:tcW w:w="3606" w:type="dxa"/>
            <w:tcBorders>
              <w:top w:val="single" w:color="000000" w:sz="4" w:space="0"/>
              <w:left w:val="single" w:color="000000" w:sz="4" w:space="0"/>
              <w:right w:val="nil"/>
            </w:tcBorders>
          </w:tcPr>
          <w:p>
            <w:pPr>
              <w:pStyle w:val="22"/>
              <w:bidi w:val="0"/>
              <w:rPr>
                <w:color w:val="auto"/>
                <w:highlight w:val="none"/>
              </w:rPr>
            </w:pPr>
            <w:r>
              <w:rPr>
                <w:color w:val="auto"/>
                <w:highlight w:val="none"/>
              </w:rPr>
              <w:t>0.4</w:t>
            </w:r>
          </w:p>
        </w:tc>
      </w:tr>
    </w:tbl>
    <w:p>
      <w:pPr>
        <w:bidi w:val="0"/>
        <w:rPr>
          <w:color w:val="auto"/>
          <w:highlight w:val="none"/>
        </w:rPr>
      </w:pPr>
      <w:r>
        <w:rPr>
          <w:color w:val="auto"/>
          <w:highlight w:val="none"/>
        </w:rPr>
        <w:t>污水处理站恶臭执行《恶臭污染物排放标准》（</w:t>
      </w:r>
      <w:r>
        <w:rPr>
          <w:rFonts w:ascii="Times New Roman" w:eastAsia="Times New Roman"/>
          <w:color w:val="auto"/>
          <w:highlight w:val="none"/>
        </w:rPr>
        <w:t>GB14554-93</w:t>
      </w:r>
      <w:r>
        <w:rPr>
          <w:color w:val="auto"/>
          <w:highlight w:val="none"/>
        </w:rPr>
        <w:t>）中的无组织排放源的限值，具体见表</w:t>
      </w:r>
      <w:r>
        <w:rPr>
          <w:rFonts w:ascii="Times New Roman" w:eastAsia="Times New Roman"/>
          <w:color w:val="auto"/>
          <w:highlight w:val="none"/>
        </w:rPr>
        <w:t>1.4-10</w:t>
      </w:r>
      <w:r>
        <w:rPr>
          <w:color w:val="auto"/>
          <w:highlight w:val="none"/>
        </w:rPr>
        <w:t>。</w:t>
      </w:r>
    </w:p>
    <w:p>
      <w:pPr>
        <w:tabs>
          <w:tab w:val="left" w:pos="2971"/>
          <w:tab w:val="left" w:pos="6237"/>
        </w:tabs>
        <w:spacing w:before="0"/>
        <w:ind w:left="1956" w:right="0" w:firstLine="0"/>
        <w:jc w:val="left"/>
        <w:rPr>
          <w:rFonts w:ascii="Times New Roman" w:eastAsia="Times New Roman"/>
          <w:b/>
          <w:color w:val="auto"/>
          <w:sz w:val="13"/>
          <w:highlight w:val="none"/>
        </w:rPr>
      </w:pPr>
      <w:r>
        <w:rPr>
          <w:b/>
          <w:color w:val="auto"/>
          <w:sz w:val="21"/>
          <w:highlight w:val="none"/>
        </w:rPr>
        <w:t>表</w:t>
      </w:r>
      <w:r>
        <w:rPr>
          <w:b/>
          <w:color w:val="auto"/>
          <w:spacing w:val="-53"/>
          <w:sz w:val="21"/>
          <w:highlight w:val="none"/>
        </w:rPr>
        <w:t xml:space="preserve"> </w:t>
      </w:r>
      <w:r>
        <w:rPr>
          <w:rFonts w:ascii="Times New Roman" w:eastAsia="Times New Roman"/>
          <w:b/>
          <w:color w:val="auto"/>
          <w:sz w:val="21"/>
          <w:highlight w:val="none"/>
        </w:rPr>
        <w:t>1.4-10</w:t>
      </w:r>
      <w:r>
        <w:rPr>
          <w:rFonts w:hint="eastAsia"/>
          <w:b/>
          <w:color w:val="auto"/>
          <w:sz w:val="21"/>
          <w:highlight w:val="none"/>
          <w:lang w:val="en-US" w:eastAsia="zh-CN"/>
        </w:rPr>
        <w:t xml:space="preserve"> </w:t>
      </w:r>
      <w:r>
        <w:rPr>
          <w:b/>
          <w:color w:val="auto"/>
          <w:sz w:val="21"/>
          <w:highlight w:val="none"/>
        </w:rPr>
        <w:t>恶臭污染物厂界标准值（摘录）</w:t>
      </w:r>
      <w:r>
        <w:rPr>
          <w:rFonts w:hint="eastAsia"/>
          <w:b/>
          <w:color w:val="auto"/>
          <w:sz w:val="21"/>
          <w:highlight w:val="none"/>
          <w:lang w:val="en-US" w:eastAsia="zh-CN"/>
        </w:rPr>
        <w:t xml:space="preserve"> </w:t>
      </w:r>
      <w:r>
        <w:rPr>
          <w:b/>
          <w:color w:val="auto"/>
          <w:sz w:val="21"/>
          <w:highlight w:val="none"/>
        </w:rPr>
        <w:t>单位：</w:t>
      </w:r>
      <w:r>
        <w:rPr>
          <w:rFonts w:ascii="Times New Roman" w:eastAsia="Times New Roman"/>
          <w:b/>
          <w:color w:val="auto"/>
          <w:sz w:val="21"/>
          <w:highlight w:val="none"/>
        </w:rPr>
        <w:t>mg/m</w:t>
      </w:r>
      <w:r>
        <w:rPr>
          <w:rFonts w:ascii="Times New Roman" w:eastAsia="Times New Roman"/>
          <w:b/>
          <w:color w:val="auto"/>
          <w:position w:val="7"/>
          <w:sz w:val="13"/>
          <w:highlight w:val="none"/>
        </w:rPr>
        <w:t>3</w:t>
      </w:r>
    </w:p>
    <w:tbl>
      <w:tblPr>
        <w:tblStyle w:val="17"/>
        <w:tblW w:w="0" w:type="auto"/>
        <w:tblInd w:w="13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08"/>
        <w:gridCol w:w="3895"/>
        <w:gridCol w:w="38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308" w:type="dxa"/>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3895"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控制项目</w:t>
            </w:r>
          </w:p>
        </w:tc>
        <w:tc>
          <w:tcPr>
            <w:tcW w:w="3895" w:type="dxa"/>
            <w:tcBorders>
              <w:left w:val="single" w:color="000000" w:sz="4" w:space="0"/>
              <w:bottom w:val="single" w:color="000000" w:sz="4" w:space="0"/>
              <w:right w:val="nil"/>
            </w:tcBorders>
          </w:tcPr>
          <w:p>
            <w:pPr>
              <w:pStyle w:val="22"/>
              <w:bidi w:val="0"/>
              <w:rPr>
                <w:color w:val="auto"/>
                <w:highlight w:val="none"/>
              </w:rPr>
            </w:pPr>
            <w:r>
              <w:rPr>
                <w:color w:val="auto"/>
                <w:highlight w:val="none"/>
              </w:rPr>
              <w:t>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30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389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氨气</w:t>
            </w:r>
          </w:p>
        </w:tc>
        <w:tc>
          <w:tcPr>
            <w:tcW w:w="389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30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389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389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0.06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308" w:type="dxa"/>
            <w:tcBorders>
              <w:top w:val="single" w:color="000000" w:sz="4" w:space="0"/>
              <w:left w:val="nil"/>
              <w:right w:val="single" w:color="000000" w:sz="4" w:space="0"/>
            </w:tcBorders>
          </w:tcPr>
          <w:p>
            <w:pPr>
              <w:pStyle w:val="22"/>
              <w:bidi w:val="0"/>
              <w:rPr>
                <w:color w:val="auto"/>
                <w:highlight w:val="none"/>
              </w:rPr>
            </w:pPr>
            <w:r>
              <w:rPr>
                <w:color w:val="auto"/>
                <w:highlight w:val="none"/>
              </w:rPr>
              <w:t>3</w:t>
            </w:r>
          </w:p>
        </w:tc>
        <w:tc>
          <w:tcPr>
            <w:tcW w:w="389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臭气浓度（无量纲）</w:t>
            </w:r>
          </w:p>
        </w:tc>
        <w:tc>
          <w:tcPr>
            <w:tcW w:w="3895" w:type="dxa"/>
            <w:tcBorders>
              <w:top w:val="single" w:color="000000" w:sz="4" w:space="0"/>
              <w:left w:val="single" w:color="000000" w:sz="4" w:space="0"/>
              <w:right w:val="nil"/>
            </w:tcBorders>
          </w:tcPr>
          <w:p>
            <w:pPr>
              <w:pStyle w:val="22"/>
              <w:bidi w:val="0"/>
              <w:rPr>
                <w:color w:val="auto"/>
                <w:highlight w:val="none"/>
              </w:rPr>
            </w:pPr>
            <w:r>
              <w:rPr>
                <w:color w:val="auto"/>
                <w:highlight w:val="none"/>
              </w:rPr>
              <w:t>20</w:t>
            </w:r>
          </w:p>
        </w:tc>
      </w:tr>
    </w:tbl>
    <w:p>
      <w:pPr>
        <w:bidi w:val="0"/>
        <w:rPr>
          <w:color w:val="auto"/>
          <w:highlight w:val="none"/>
        </w:rPr>
      </w:pPr>
      <w:r>
        <w:rPr>
          <w:color w:val="auto"/>
          <w:highlight w:val="none"/>
        </w:rPr>
        <w:t>风井工业产地通风机废气执行《煤层气（煤矿瓦斯）排放标准（暂行）》（GB21522-2008），主要控制煤层气中的甲烷浓度，其中低浓度瓦斯（甲烷体积浓度＜30%）排放限值无要求。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废水</w:t>
      </w:r>
    </w:p>
    <w:p>
      <w:pPr>
        <w:bidi w:val="0"/>
        <w:rPr>
          <w:color w:val="auto"/>
          <w:highlight w:val="none"/>
        </w:rPr>
      </w:pPr>
      <w:r>
        <w:rPr>
          <w:color w:val="auto"/>
          <w:highlight w:val="none"/>
        </w:rPr>
        <w:t>生产废水（采矿废水、矿井涌水或矿坑水）及生活污水经处理后</w:t>
      </w:r>
      <w:r>
        <w:rPr>
          <w:rFonts w:hint="eastAsia"/>
          <w:color w:val="auto"/>
          <w:highlight w:val="none"/>
          <w:lang w:eastAsia="zh-CN"/>
        </w:rPr>
        <w:t>尽量</w:t>
      </w:r>
      <w:r>
        <w:rPr>
          <w:color w:val="auto"/>
          <w:highlight w:val="none"/>
        </w:rPr>
        <w:t>资源化利用，</w:t>
      </w:r>
      <w:r>
        <w:rPr>
          <w:rFonts w:hint="eastAsia"/>
          <w:color w:val="auto"/>
          <w:highlight w:val="none"/>
          <w:lang w:eastAsia="zh-CN"/>
        </w:rPr>
        <w:t>其中生活污水要求处理达到</w:t>
      </w:r>
      <w:r>
        <w:rPr>
          <w:color w:val="auto"/>
          <w:highlight w:val="none"/>
        </w:rPr>
        <w:t>《城市污水再生利用绿地灌溉水质》（GB/T 25499-2010）</w:t>
      </w:r>
      <w:r>
        <w:rPr>
          <w:rFonts w:hint="eastAsia"/>
          <w:color w:val="auto"/>
          <w:highlight w:val="none"/>
          <w:lang w:eastAsia="zh-CN"/>
        </w:rPr>
        <w:t>标准要求全部综合利用不外排</w:t>
      </w:r>
      <w:r>
        <w:rPr>
          <w:color w:val="auto"/>
          <w:highlight w:val="none"/>
        </w:rPr>
        <w:t>执行</w:t>
      </w:r>
      <w:r>
        <w:rPr>
          <w:rFonts w:hint="eastAsia"/>
          <w:color w:val="auto"/>
          <w:highlight w:val="none"/>
          <w:lang w:eastAsia="zh-CN"/>
        </w:rPr>
        <w:t>，</w:t>
      </w:r>
      <w:r>
        <w:rPr>
          <w:color w:val="auto"/>
          <w:highlight w:val="none"/>
        </w:rPr>
        <w:t>具体见表1.4-11。生产废水（采矿废水、矿井涌水或矿坑水）</w:t>
      </w:r>
      <w:r>
        <w:rPr>
          <w:rFonts w:hint="eastAsia"/>
          <w:color w:val="auto"/>
          <w:highlight w:val="none"/>
          <w:lang w:eastAsia="zh-CN"/>
        </w:rPr>
        <w:t>，经污水处理设施处理后要求回用率不低于</w:t>
      </w:r>
      <w:r>
        <w:rPr>
          <w:rFonts w:hint="eastAsia"/>
          <w:color w:val="auto"/>
          <w:highlight w:val="none"/>
          <w:lang w:val="en-US" w:eastAsia="zh-CN"/>
        </w:rPr>
        <w:t>80%，多余废水再达标排放，执行标准按照环环评[2020]63号文要求，</w:t>
      </w:r>
      <w:r>
        <w:rPr>
          <w:color w:val="auto"/>
          <w:highlight w:val="none"/>
        </w:rPr>
        <w:t>执行《煤炭工业污染物排放标准》（GB20426-2006）中表1煤炭工业废水有毒污染物排放限值、表2采煤废水排放限值要求，具体见表1.4-12、1.4-13</w:t>
      </w:r>
      <w:r>
        <w:rPr>
          <w:rFonts w:hint="eastAsia"/>
          <w:color w:val="auto"/>
          <w:highlight w:val="none"/>
          <w:lang w:eastAsia="zh-CN"/>
        </w:rPr>
        <w:t>，并且相关水质因子满足或优于受纳水体环境功能区划规定的对应值，含盐量不得超过</w:t>
      </w:r>
      <w:r>
        <w:rPr>
          <w:rFonts w:hint="eastAsia"/>
          <w:color w:val="auto"/>
          <w:highlight w:val="none"/>
          <w:lang w:val="en-US" w:eastAsia="zh-CN"/>
        </w:rPr>
        <w:t>1000mg/L，具体建1.4-14</w:t>
      </w:r>
      <w:r>
        <w:rPr>
          <w:color w:val="auto"/>
          <w:highlight w:val="none"/>
        </w:rPr>
        <w:t>。煤矿井下</w:t>
      </w:r>
      <w:r>
        <w:rPr>
          <w:rFonts w:hint="eastAsia"/>
          <w:color w:val="auto"/>
          <w:highlight w:val="none"/>
          <w:lang w:eastAsia="zh-CN"/>
        </w:rPr>
        <w:t>直接</w:t>
      </w:r>
      <w:r>
        <w:rPr>
          <w:color w:val="auto"/>
          <w:highlight w:val="none"/>
        </w:rPr>
        <w:t>回用水水质执行《煤矿井下消防、洒水设计规范》（GB50383-2006）中的水质要求，具体见1.4-1</w:t>
      </w:r>
      <w:r>
        <w:rPr>
          <w:rFonts w:hint="eastAsia"/>
          <w:color w:val="auto"/>
          <w:highlight w:val="none"/>
          <w:lang w:val="en-US" w:eastAsia="zh-CN"/>
        </w:rPr>
        <w:t>5</w:t>
      </w:r>
      <w:r>
        <w:rPr>
          <w:color w:val="auto"/>
          <w:highlight w:val="none"/>
        </w:rPr>
        <w:t>。</w:t>
      </w:r>
    </w:p>
    <w:p>
      <w:pPr>
        <w:spacing w:before="0" w:line="266" w:lineRule="exact"/>
        <w:ind w:left="2296" w:right="0" w:firstLine="0"/>
        <w:jc w:val="both"/>
        <w:rPr>
          <w:b/>
          <w:color w:val="auto"/>
          <w:sz w:val="21"/>
          <w:highlight w:val="none"/>
        </w:rPr>
      </w:pPr>
      <w:r>
        <w:rPr>
          <w:b/>
          <w:color w:val="auto"/>
          <w:spacing w:val="-26"/>
          <w:sz w:val="21"/>
          <w:highlight w:val="none"/>
        </w:rPr>
        <w:t xml:space="preserve">表 </w:t>
      </w:r>
      <w:r>
        <w:rPr>
          <w:rFonts w:ascii="Times New Roman" w:eastAsia="Times New Roman"/>
          <w:b/>
          <w:color w:val="auto"/>
          <w:sz w:val="21"/>
          <w:highlight w:val="none"/>
        </w:rPr>
        <w:t>1.4-11</w:t>
      </w:r>
      <w:r>
        <w:rPr>
          <w:rFonts w:ascii="Times New Roman" w:eastAsia="Times New Roman"/>
          <w:b/>
          <w:color w:val="auto"/>
          <w:spacing w:val="51"/>
          <w:sz w:val="21"/>
          <w:highlight w:val="none"/>
        </w:rPr>
        <w:t xml:space="preserve"> </w:t>
      </w:r>
      <w:r>
        <w:rPr>
          <w:b/>
          <w:color w:val="auto"/>
          <w:sz w:val="21"/>
          <w:highlight w:val="none"/>
        </w:rPr>
        <w:t>城市污水再生利用绿地灌溉水质（摘录）</w:t>
      </w:r>
    </w:p>
    <w:tbl>
      <w:tblPr>
        <w:tblStyle w:val="17"/>
        <w:tblW w:w="0" w:type="auto"/>
        <w:tblInd w:w="1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2"/>
        <w:gridCol w:w="2828"/>
        <w:gridCol w:w="2616"/>
        <w:gridCol w:w="267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52" w:type="dxa"/>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2828"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项目</w:t>
            </w:r>
          </w:p>
        </w:tc>
        <w:tc>
          <w:tcPr>
            <w:tcW w:w="2616"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单位</w:t>
            </w:r>
          </w:p>
        </w:tc>
        <w:tc>
          <w:tcPr>
            <w:tcW w:w="2679" w:type="dxa"/>
            <w:tcBorders>
              <w:left w:val="single" w:color="000000" w:sz="4" w:space="0"/>
              <w:bottom w:val="single" w:color="000000" w:sz="4" w:space="0"/>
              <w:right w:val="nil"/>
            </w:tcBorders>
          </w:tcPr>
          <w:p>
            <w:pPr>
              <w:pStyle w:val="22"/>
              <w:bidi w:val="0"/>
              <w:rPr>
                <w:color w:val="auto"/>
                <w:highlight w:val="none"/>
              </w:rPr>
            </w:pPr>
            <w:r>
              <w:rPr>
                <w:color w:val="auto"/>
                <w:highlight w:val="none"/>
              </w:rPr>
              <w:t>旱作指标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52"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28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五日生化需氧量</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mg/L</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52"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28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溶解性总固体</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mg/L</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52"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3</w:t>
            </w:r>
          </w:p>
        </w:tc>
        <w:tc>
          <w:tcPr>
            <w:tcW w:w="28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氨氮</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mg/L</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52"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4</w:t>
            </w:r>
          </w:p>
        </w:tc>
        <w:tc>
          <w:tcPr>
            <w:tcW w:w="28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氯化物</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mg/L</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250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52"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5</w:t>
            </w:r>
          </w:p>
        </w:tc>
        <w:tc>
          <w:tcPr>
            <w:tcW w:w="28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pH</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6.0~9.0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52"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6</w:t>
            </w:r>
          </w:p>
        </w:tc>
        <w:tc>
          <w:tcPr>
            <w:tcW w:w="28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阴离子表面活性剂</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mg/L</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52" w:type="dxa"/>
            <w:tcBorders>
              <w:top w:val="single" w:color="000000" w:sz="4" w:space="0"/>
              <w:left w:val="nil"/>
              <w:right w:val="single" w:color="000000" w:sz="4" w:space="0"/>
            </w:tcBorders>
          </w:tcPr>
          <w:p>
            <w:pPr>
              <w:pStyle w:val="22"/>
              <w:bidi w:val="0"/>
              <w:rPr>
                <w:color w:val="auto"/>
                <w:highlight w:val="none"/>
              </w:rPr>
            </w:pPr>
            <w:r>
              <w:rPr>
                <w:color w:val="auto"/>
                <w:highlight w:val="none"/>
              </w:rPr>
              <w:t>7</w:t>
            </w:r>
          </w:p>
        </w:tc>
        <w:tc>
          <w:tcPr>
            <w:tcW w:w="2828"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总大肠菌群</w:t>
            </w:r>
          </w:p>
        </w:tc>
        <w:tc>
          <w:tcPr>
            <w:tcW w:w="261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个/L</w:t>
            </w:r>
          </w:p>
        </w:tc>
        <w:tc>
          <w:tcPr>
            <w:tcW w:w="2679" w:type="dxa"/>
            <w:tcBorders>
              <w:top w:val="single" w:color="000000" w:sz="4" w:space="0"/>
              <w:left w:val="single" w:color="000000" w:sz="4" w:space="0"/>
              <w:right w:val="nil"/>
            </w:tcBorders>
          </w:tcPr>
          <w:p>
            <w:pPr>
              <w:pStyle w:val="22"/>
              <w:bidi w:val="0"/>
              <w:rPr>
                <w:color w:val="auto"/>
                <w:highlight w:val="none"/>
              </w:rPr>
            </w:pPr>
            <w:r>
              <w:rPr>
                <w:color w:val="auto"/>
                <w:highlight w:val="none"/>
              </w:rPr>
              <w:t>200</w:t>
            </w:r>
          </w:p>
        </w:tc>
      </w:tr>
    </w:tbl>
    <w:p>
      <w:pPr>
        <w:tabs>
          <w:tab w:val="left" w:pos="1005"/>
        </w:tabs>
        <w:spacing w:before="26" w:after="19"/>
        <w:ind w:left="0" w:right="2" w:firstLine="0"/>
        <w:jc w:val="center"/>
        <w:rPr>
          <w:b/>
          <w:color w:val="auto"/>
          <w:sz w:val="21"/>
          <w:highlight w:val="none"/>
        </w:rPr>
      </w:pPr>
      <w:r>
        <w:rPr>
          <w:b/>
          <w:color w:val="auto"/>
          <w:sz w:val="21"/>
          <w:highlight w:val="none"/>
        </w:rPr>
        <w:t>表</w:t>
      </w:r>
      <w:r>
        <w:rPr>
          <w:b/>
          <w:color w:val="auto"/>
          <w:spacing w:val="-60"/>
          <w:sz w:val="21"/>
          <w:highlight w:val="none"/>
        </w:rPr>
        <w:t xml:space="preserve"> </w:t>
      </w:r>
      <w:r>
        <w:rPr>
          <w:rFonts w:ascii="Times New Roman" w:eastAsia="Times New Roman"/>
          <w:b/>
          <w:color w:val="auto"/>
          <w:sz w:val="21"/>
          <w:highlight w:val="none"/>
        </w:rPr>
        <w:t>1.4-1</w:t>
      </w:r>
      <w:r>
        <w:rPr>
          <w:rFonts w:hint="eastAsia"/>
          <w:b/>
          <w:color w:val="auto"/>
          <w:sz w:val="21"/>
          <w:highlight w:val="none"/>
          <w:lang w:val="en-US" w:eastAsia="zh-CN"/>
        </w:rPr>
        <w:t>2</w:t>
      </w:r>
      <w:r>
        <w:rPr>
          <w:rFonts w:ascii="Times New Roman" w:eastAsia="Times New Roman"/>
          <w:b/>
          <w:color w:val="auto"/>
          <w:sz w:val="21"/>
          <w:highlight w:val="none"/>
        </w:rPr>
        <w:tab/>
      </w:r>
      <w:r>
        <w:rPr>
          <w:b/>
          <w:color w:val="auto"/>
          <w:sz w:val="21"/>
          <w:highlight w:val="none"/>
        </w:rPr>
        <w:t>煤</w:t>
      </w:r>
      <w:r>
        <w:rPr>
          <w:b/>
          <w:color w:val="auto"/>
          <w:spacing w:val="4"/>
          <w:sz w:val="21"/>
          <w:highlight w:val="none"/>
        </w:rPr>
        <w:t>炭</w:t>
      </w:r>
      <w:r>
        <w:rPr>
          <w:b/>
          <w:color w:val="auto"/>
          <w:sz w:val="21"/>
          <w:highlight w:val="none"/>
        </w:rPr>
        <w:t>工业废水</w:t>
      </w:r>
      <w:r>
        <w:rPr>
          <w:b/>
          <w:color w:val="auto"/>
          <w:spacing w:val="4"/>
          <w:sz w:val="21"/>
          <w:highlight w:val="none"/>
        </w:rPr>
        <w:t>有</w:t>
      </w:r>
      <w:r>
        <w:rPr>
          <w:b/>
          <w:color w:val="auto"/>
          <w:sz w:val="21"/>
          <w:highlight w:val="none"/>
        </w:rPr>
        <w:t>毒</w:t>
      </w:r>
      <w:r>
        <w:rPr>
          <w:b/>
          <w:color w:val="auto"/>
          <w:spacing w:val="4"/>
          <w:sz w:val="21"/>
          <w:highlight w:val="none"/>
        </w:rPr>
        <w:t>污</w:t>
      </w:r>
      <w:r>
        <w:rPr>
          <w:b/>
          <w:color w:val="auto"/>
          <w:sz w:val="21"/>
          <w:highlight w:val="none"/>
        </w:rPr>
        <w:t>染物</w:t>
      </w:r>
      <w:r>
        <w:rPr>
          <w:b/>
          <w:color w:val="auto"/>
          <w:spacing w:val="4"/>
          <w:sz w:val="21"/>
          <w:highlight w:val="none"/>
        </w:rPr>
        <w:t>排</w:t>
      </w:r>
      <w:r>
        <w:rPr>
          <w:b/>
          <w:color w:val="auto"/>
          <w:sz w:val="21"/>
          <w:highlight w:val="none"/>
        </w:rPr>
        <w:t>放限值</w:t>
      </w:r>
    </w:p>
    <w:tbl>
      <w:tblPr>
        <w:tblStyle w:val="17"/>
        <w:tblW w:w="0" w:type="auto"/>
        <w:tblInd w:w="1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6"/>
        <w:gridCol w:w="2817"/>
        <w:gridCol w:w="531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6" w:type="dxa"/>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2817"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污染物</w:t>
            </w:r>
          </w:p>
        </w:tc>
        <w:tc>
          <w:tcPr>
            <w:tcW w:w="5312" w:type="dxa"/>
            <w:tcBorders>
              <w:left w:val="single" w:color="000000" w:sz="4" w:space="0"/>
              <w:bottom w:val="single" w:color="000000" w:sz="4" w:space="0"/>
              <w:right w:val="nil"/>
            </w:tcBorders>
          </w:tcPr>
          <w:p>
            <w:pPr>
              <w:pStyle w:val="22"/>
              <w:bidi w:val="0"/>
              <w:rPr>
                <w:color w:val="auto"/>
                <w:highlight w:val="none"/>
              </w:rPr>
            </w:pPr>
            <w:r>
              <w:rPr>
                <w:color w:val="auto"/>
                <w:highlight w:val="none"/>
              </w:rPr>
              <w:t>日最高允许排放浓度（单位：mg/L）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总汞</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总镉</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3</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总铬</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4</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六价铬</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5</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总铅</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6</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总砷</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7</w:t>
            </w:r>
          </w:p>
        </w:tc>
        <w:tc>
          <w:tcPr>
            <w:tcW w:w="28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总锌</w:t>
            </w:r>
          </w:p>
        </w:tc>
        <w:tc>
          <w:tcPr>
            <w:tcW w:w="531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6" w:type="dxa"/>
            <w:tcBorders>
              <w:top w:val="single" w:color="000000" w:sz="4" w:space="0"/>
              <w:left w:val="nil"/>
              <w:right w:val="single" w:color="000000" w:sz="4" w:space="0"/>
            </w:tcBorders>
          </w:tcPr>
          <w:p>
            <w:pPr>
              <w:pStyle w:val="22"/>
              <w:bidi w:val="0"/>
              <w:rPr>
                <w:color w:val="auto"/>
                <w:highlight w:val="none"/>
              </w:rPr>
            </w:pPr>
            <w:r>
              <w:rPr>
                <w:color w:val="auto"/>
                <w:highlight w:val="none"/>
              </w:rPr>
              <w:t>8</w:t>
            </w:r>
          </w:p>
        </w:tc>
        <w:tc>
          <w:tcPr>
            <w:tcW w:w="281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氟化物</w:t>
            </w:r>
          </w:p>
        </w:tc>
        <w:tc>
          <w:tcPr>
            <w:tcW w:w="5312" w:type="dxa"/>
            <w:tcBorders>
              <w:top w:val="single" w:color="000000" w:sz="4" w:space="0"/>
              <w:left w:val="single" w:color="000000" w:sz="4" w:space="0"/>
              <w:right w:val="nil"/>
            </w:tcBorders>
          </w:tcPr>
          <w:p>
            <w:pPr>
              <w:pStyle w:val="22"/>
              <w:bidi w:val="0"/>
              <w:rPr>
                <w:color w:val="auto"/>
                <w:highlight w:val="none"/>
              </w:rPr>
            </w:pPr>
            <w:r>
              <w:rPr>
                <w:color w:val="auto"/>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6" w:type="dxa"/>
            <w:tcBorders>
              <w:left w:val="nil"/>
              <w:bottom w:val="single" w:color="000000" w:sz="4" w:space="0"/>
              <w:right w:val="single" w:color="000000" w:sz="4" w:space="0"/>
            </w:tcBorders>
          </w:tcPr>
          <w:p>
            <w:pPr>
              <w:pStyle w:val="22"/>
              <w:bidi w:val="0"/>
              <w:rPr>
                <w:color w:val="auto"/>
                <w:highlight w:val="none"/>
              </w:rPr>
            </w:pPr>
            <w:r>
              <w:rPr>
                <w:color w:val="auto"/>
                <w:highlight w:val="none"/>
              </w:rPr>
              <w:t>9</w:t>
            </w:r>
          </w:p>
        </w:tc>
        <w:tc>
          <w:tcPr>
            <w:tcW w:w="2817"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总α放射性</w:t>
            </w:r>
          </w:p>
        </w:tc>
        <w:tc>
          <w:tcPr>
            <w:tcW w:w="5312" w:type="dxa"/>
            <w:tcBorders>
              <w:left w:val="single" w:color="000000" w:sz="4" w:space="0"/>
              <w:bottom w:val="single" w:color="000000" w:sz="4" w:space="0"/>
              <w:right w:val="nil"/>
            </w:tcBorders>
          </w:tcPr>
          <w:p>
            <w:pPr>
              <w:pStyle w:val="22"/>
              <w:bidi w:val="0"/>
              <w:rPr>
                <w:color w:val="auto"/>
                <w:highlight w:val="none"/>
              </w:rPr>
            </w:pPr>
            <w:r>
              <w:rPr>
                <w:color w:val="auto"/>
                <w:highlight w:val="none"/>
              </w:rPr>
              <w:t>1Bq/L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6" w:type="dxa"/>
            <w:tcBorders>
              <w:top w:val="single" w:color="000000" w:sz="4" w:space="0"/>
              <w:left w:val="nil"/>
              <w:right w:val="single" w:color="000000" w:sz="4" w:space="0"/>
            </w:tcBorders>
          </w:tcPr>
          <w:p>
            <w:pPr>
              <w:pStyle w:val="22"/>
              <w:bidi w:val="0"/>
              <w:rPr>
                <w:color w:val="auto"/>
                <w:highlight w:val="none"/>
              </w:rPr>
            </w:pPr>
            <w:r>
              <w:rPr>
                <w:color w:val="auto"/>
                <w:highlight w:val="none"/>
              </w:rPr>
              <w:t>10</w:t>
            </w:r>
          </w:p>
        </w:tc>
        <w:tc>
          <w:tcPr>
            <w:tcW w:w="281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总β放射性</w:t>
            </w:r>
          </w:p>
        </w:tc>
        <w:tc>
          <w:tcPr>
            <w:tcW w:w="5312" w:type="dxa"/>
            <w:tcBorders>
              <w:top w:val="single" w:color="000000" w:sz="4" w:space="0"/>
              <w:left w:val="single" w:color="000000" w:sz="4" w:space="0"/>
              <w:right w:val="nil"/>
            </w:tcBorders>
          </w:tcPr>
          <w:p>
            <w:pPr>
              <w:pStyle w:val="22"/>
              <w:bidi w:val="0"/>
              <w:rPr>
                <w:color w:val="auto"/>
                <w:highlight w:val="none"/>
              </w:rPr>
            </w:pPr>
            <w:r>
              <w:rPr>
                <w:color w:val="auto"/>
                <w:highlight w:val="none"/>
              </w:rPr>
              <w:t>10Bq/L</w:t>
            </w:r>
          </w:p>
        </w:tc>
      </w:tr>
    </w:tbl>
    <w:p>
      <w:pPr>
        <w:tabs>
          <w:tab w:val="left" w:pos="1007"/>
        </w:tabs>
        <w:spacing w:before="27"/>
        <w:ind w:left="0" w:right="6" w:firstLine="0"/>
        <w:jc w:val="center"/>
        <w:rPr>
          <w:b/>
          <w:color w:val="auto"/>
          <w:sz w:val="21"/>
          <w:highlight w:val="none"/>
        </w:rPr>
      </w:pPr>
      <w:r>
        <w:rPr>
          <w:b/>
          <w:color w:val="auto"/>
          <w:sz w:val="21"/>
          <w:highlight w:val="none"/>
        </w:rPr>
        <w:t>表</w:t>
      </w:r>
      <w:r>
        <w:rPr>
          <w:b/>
          <w:color w:val="auto"/>
          <w:spacing w:val="-60"/>
          <w:sz w:val="21"/>
          <w:highlight w:val="none"/>
        </w:rPr>
        <w:t xml:space="preserve"> </w:t>
      </w:r>
      <w:r>
        <w:rPr>
          <w:rFonts w:ascii="Times New Roman" w:eastAsia="Times New Roman"/>
          <w:b/>
          <w:color w:val="auto"/>
          <w:sz w:val="21"/>
          <w:highlight w:val="none"/>
        </w:rPr>
        <w:t>1.4-1</w:t>
      </w:r>
      <w:r>
        <w:rPr>
          <w:rFonts w:hint="eastAsia"/>
          <w:b/>
          <w:color w:val="auto"/>
          <w:sz w:val="21"/>
          <w:highlight w:val="none"/>
          <w:lang w:val="en-US" w:eastAsia="zh-CN"/>
        </w:rPr>
        <w:t>3</w:t>
      </w:r>
      <w:r>
        <w:rPr>
          <w:rFonts w:ascii="Times New Roman" w:eastAsia="Times New Roman"/>
          <w:b/>
          <w:color w:val="auto"/>
          <w:sz w:val="21"/>
          <w:highlight w:val="none"/>
        </w:rPr>
        <w:tab/>
      </w:r>
      <w:r>
        <w:rPr>
          <w:b/>
          <w:color w:val="auto"/>
          <w:sz w:val="21"/>
          <w:highlight w:val="none"/>
        </w:rPr>
        <w:t>采</w:t>
      </w:r>
      <w:r>
        <w:rPr>
          <w:b/>
          <w:color w:val="auto"/>
          <w:spacing w:val="4"/>
          <w:sz w:val="21"/>
          <w:highlight w:val="none"/>
        </w:rPr>
        <w:t>煤</w:t>
      </w:r>
      <w:r>
        <w:rPr>
          <w:b/>
          <w:color w:val="auto"/>
          <w:sz w:val="21"/>
          <w:highlight w:val="none"/>
        </w:rPr>
        <w:t>废</w:t>
      </w:r>
      <w:r>
        <w:rPr>
          <w:b/>
          <w:color w:val="auto"/>
          <w:spacing w:val="4"/>
          <w:sz w:val="21"/>
          <w:highlight w:val="none"/>
        </w:rPr>
        <w:t>水</w:t>
      </w:r>
      <w:r>
        <w:rPr>
          <w:b/>
          <w:color w:val="auto"/>
          <w:sz w:val="21"/>
          <w:highlight w:val="none"/>
        </w:rPr>
        <w:t>污染物排</w:t>
      </w:r>
      <w:r>
        <w:rPr>
          <w:b/>
          <w:color w:val="auto"/>
          <w:spacing w:val="4"/>
          <w:sz w:val="21"/>
          <w:highlight w:val="none"/>
        </w:rPr>
        <w:t>放</w:t>
      </w:r>
      <w:r>
        <w:rPr>
          <w:b/>
          <w:color w:val="auto"/>
          <w:sz w:val="21"/>
          <w:highlight w:val="none"/>
        </w:rPr>
        <w:t>限值</w:t>
      </w:r>
    </w:p>
    <w:tbl>
      <w:tblPr>
        <w:tblStyle w:val="17"/>
        <w:tblW w:w="0" w:type="auto"/>
        <w:tblInd w:w="1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8"/>
        <w:gridCol w:w="2816"/>
        <w:gridCol w:w="2655"/>
        <w:gridCol w:w="26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vMerge w:val="restart"/>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2816" w:type="dxa"/>
            <w:vMerge w:val="restart"/>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污染物</w:t>
            </w:r>
          </w:p>
        </w:tc>
        <w:tc>
          <w:tcPr>
            <w:tcW w:w="5330" w:type="dxa"/>
            <w:gridSpan w:val="2"/>
            <w:tcBorders>
              <w:left w:val="single" w:color="000000" w:sz="4" w:space="0"/>
              <w:bottom w:val="single" w:color="000000" w:sz="4" w:space="0"/>
              <w:right w:val="nil"/>
            </w:tcBorders>
          </w:tcPr>
          <w:p>
            <w:pPr>
              <w:pStyle w:val="22"/>
              <w:bidi w:val="0"/>
              <w:rPr>
                <w:color w:val="auto"/>
                <w:highlight w:val="none"/>
              </w:rPr>
            </w:pPr>
            <w:r>
              <w:rPr>
                <w:color w:val="auto"/>
                <w:highlight w:val="none"/>
              </w:rPr>
              <w:t>日最高允许排放浓度（单位：mg/L，pH值除外）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1" w:hRule="atLeast"/>
        </w:trPr>
        <w:tc>
          <w:tcPr>
            <w:tcW w:w="998"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2816" w:type="dxa"/>
            <w:vMerge w:val="continue"/>
            <w:tcBorders>
              <w:top w:val="nil"/>
              <w:left w:val="single" w:color="000000" w:sz="4" w:space="0"/>
              <w:bottom w:val="single" w:color="000000" w:sz="4" w:space="0"/>
              <w:right w:val="single" w:color="000000" w:sz="4" w:space="0"/>
            </w:tcBorders>
          </w:tcPr>
          <w:p>
            <w:pPr>
              <w:pStyle w:val="22"/>
              <w:bidi w:val="0"/>
              <w:rPr>
                <w:color w:val="auto"/>
                <w:highlight w:val="none"/>
              </w:rPr>
            </w:pP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现有生产线</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新建（扩、改）生产线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pH 值</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6~9</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总悬浮物</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70</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3</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CODcr</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70</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4</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石油类</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10</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5</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总铁</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7</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right w:val="single" w:color="000000" w:sz="4" w:space="0"/>
            </w:tcBorders>
          </w:tcPr>
          <w:p>
            <w:pPr>
              <w:pStyle w:val="22"/>
              <w:bidi w:val="0"/>
              <w:rPr>
                <w:color w:val="auto"/>
                <w:highlight w:val="none"/>
              </w:rPr>
            </w:pPr>
            <w:r>
              <w:rPr>
                <w:color w:val="auto"/>
                <w:highlight w:val="none"/>
              </w:rPr>
              <w:t>6</w:t>
            </w:r>
          </w:p>
        </w:tc>
        <w:tc>
          <w:tcPr>
            <w:tcW w:w="281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总锰</w:t>
            </w:r>
          </w:p>
        </w:tc>
        <w:tc>
          <w:tcPr>
            <w:tcW w:w="265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4</w:t>
            </w:r>
          </w:p>
        </w:tc>
        <w:tc>
          <w:tcPr>
            <w:tcW w:w="2675" w:type="dxa"/>
            <w:tcBorders>
              <w:top w:val="single" w:color="000000" w:sz="4" w:space="0"/>
              <w:left w:val="single" w:color="000000" w:sz="4" w:space="0"/>
              <w:right w:val="nil"/>
            </w:tcBorders>
          </w:tcPr>
          <w:p>
            <w:pPr>
              <w:pStyle w:val="22"/>
              <w:bidi w:val="0"/>
              <w:rPr>
                <w:color w:val="auto"/>
                <w:highlight w:val="none"/>
              </w:rPr>
            </w:pPr>
            <w:r>
              <w:rPr>
                <w:color w:val="auto"/>
                <w:highlight w:val="none"/>
              </w:rPr>
              <w:t>4</w:t>
            </w:r>
          </w:p>
        </w:tc>
      </w:tr>
    </w:tbl>
    <w:p>
      <w:pPr>
        <w:tabs>
          <w:tab w:val="left" w:pos="1007"/>
        </w:tabs>
        <w:spacing w:before="27"/>
        <w:ind w:left="0" w:right="6" w:firstLine="0"/>
        <w:jc w:val="center"/>
        <w:rPr>
          <w:rFonts w:hint="eastAsia" w:eastAsia="宋体"/>
          <w:b/>
          <w:color w:val="auto"/>
          <w:sz w:val="21"/>
          <w:highlight w:val="none"/>
          <w:lang w:eastAsia="zh-CN"/>
        </w:rPr>
      </w:pPr>
      <w:r>
        <w:rPr>
          <w:b/>
          <w:color w:val="auto"/>
          <w:sz w:val="21"/>
          <w:highlight w:val="none"/>
        </w:rPr>
        <w:t>表</w:t>
      </w:r>
      <w:r>
        <w:rPr>
          <w:b/>
          <w:color w:val="auto"/>
          <w:spacing w:val="-60"/>
          <w:sz w:val="21"/>
          <w:highlight w:val="none"/>
        </w:rPr>
        <w:t xml:space="preserve"> </w:t>
      </w:r>
      <w:r>
        <w:rPr>
          <w:rFonts w:ascii="Times New Roman" w:eastAsia="Times New Roman"/>
          <w:b/>
          <w:color w:val="auto"/>
          <w:sz w:val="21"/>
          <w:highlight w:val="none"/>
        </w:rPr>
        <w:t>1.4-1</w:t>
      </w:r>
      <w:r>
        <w:rPr>
          <w:rFonts w:hint="eastAsia"/>
          <w:b/>
          <w:color w:val="auto"/>
          <w:sz w:val="21"/>
          <w:highlight w:val="none"/>
          <w:lang w:val="en-US" w:eastAsia="zh-CN"/>
        </w:rPr>
        <w:t>4</w:t>
      </w:r>
      <w:r>
        <w:rPr>
          <w:rFonts w:ascii="Times New Roman" w:eastAsia="Times New Roman"/>
          <w:b/>
          <w:color w:val="auto"/>
          <w:sz w:val="21"/>
          <w:highlight w:val="none"/>
        </w:rPr>
        <w:tab/>
      </w:r>
      <w:r>
        <w:rPr>
          <w:rFonts w:hint="eastAsia"/>
          <w:b/>
          <w:color w:val="auto"/>
          <w:sz w:val="21"/>
          <w:highlight w:val="none"/>
          <w:lang w:eastAsia="zh-CN"/>
        </w:rPr>
        <w:t>受纳水体环境功能区划对应水质要求</w:t>
      </w:r>
    </w:p>
    <w:tbl>
      <w:tblPr>
        <w:tblStyle w:val="17"/>
        <w:tblW w:w="0" w:type="auto"/>
        <w:tblInd w:w="1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8"/>
        <w:gridCol w:w="2816"/>
        <w:gridCol w:w="2655"/>
        <w:gridCol w:w="26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vMerge w:val="restart"/>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2816" w:type="dxa"/>
            <w:vMerge w:val="restart"/>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污染物</w:t>
            </w:r>
          </w:p>
        </w:tc>
        <w:tc>
          <w:tcPr>
            <w:tcW w:w="5330" w:type="dxa"/>
            <w:gridSpan w:val="2"/>
            <w:tcBorders>
              <w:left w:val="single" w:color="000000" w:sz="4" w:space="0"/>
              <w:bottom w:val="single" w:color="000000" w:sz="4" w:space="0"/>
              <w:right w:val="nil"/>
            </w:tcBorders>
          </w:tcPr>
          <w:p>
            <w:pPr>
              <w:pStyle w:val="22"/>
              <w:bidi w:val="0"/>
              <w:rPr>
                <w:color w:val="auto"/>
                <w:highlight w:val="none"/>
              </w:rPr>
            </w:pPr>
            <w:r>
              <w:rPr>
                <w:rFonts w:hint="eastAsia"/>
                <w:color w:val="auto"/>
                <w:highlight w:val="none"/>
                <w:lang w:eastAsia="zh-CN"/>
              </w:rPr>
              <w:t>标准限值</w:t>
            </w:r>
            <w:r>
              <w:rPr>
                <w:color w:val="auto"/>
                <w:highlight w:val="none"/>
              </w:rPr>
              <w:t>（单位：mg/L，pH值除外）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1" w:hRule="atLeast"/>
        </w:trPr>
        <w:tc>
          <w:tcPr>
            <w:tcW w:w="998"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2816" w:type="dxa"/>
            <w:vMerge w:val="continue"/>
            <w:tcBorders>
              <w:top w:val="nil"/>
              <w:left w:val="single" w:color="000000" w:sz="4" w:space="0"/>
              <w:bottom w:val="single" w:color="000000" w:sz="4" w:space="0"/>
              <w:right w:val="single" w:color="000000" w:sz="4" w:space="0"/>
            </w:tcBorders>
          </w:tcPr>
          <w:p>
            <w:pPr>
              <w:pStyle w:val="22"/>
              <w:bidi w:val="0"/>
              <w:rPr>
                <w:color w:val="auto"/>
                <w:highlight w:val="none"/>
              </w:rPr>
            </w:pP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rFonts w:hint="eastAsia" w:ascii="宋体" w:hAnsi="宋体" w:eastAsia="宋体" w:cs="宋体"/>
                <w:color w:val="auto"/>
                <w:highlight w:val="none"/>
              </w:rPr>
              <w:t>Ⅲ</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rFonts w:hint="eastAsia" w:ascii="宋体" w:hAnsi="宋体" w:eastAsia="宋体" w:cs="宋体"/>
                <w:color w:val="auto"/>
                <w:highlight w:val="none"/>
              </w:rPr>
              <w:t>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pH值</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6~9</w:t>
            </w:r>
          </w:p>
        </w:tc>
        <w:tc>
          <w:tcPr>
            <w:tcW w:w="267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总悬浮物</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eastAsia" w:eastAsia="宋体"/>
                <w:color w:val="auto"/>
                <w:highlight w:val="none"/>
                <w:lang w:eastAsia="zh-CN"/>
              </w:rPr>
            </w:pPr>
            <w:r>
              <w:rPr>
                <w:rFonts w:hint="eastAsia"/>
                <w:color w:val="auto"/>
                <w:highlight w:val="none"/>
                <w:lang w:val="en-US" w:eastAsia="zh-CN"/>
              </w:rPr>
              <w:t>/</w:t>
            </w:r>
          </w:p>
        </w:tc>
        <w:tc>
          <w:tcPr>
            <w:tcW w:w="2675" w:type="dxa"/>
            <w:tcBorders>
              <w:top w:val="single" w:color="000000" w:sz="4" w:space="0"/>
              <w:left w:val="single" w:color="000000" w:sz="4" w:space="0"/>
              <w:bottom w:val="single" w:color="000000" w:sz="4" w:space="0"/>
              <w:right w:val="nil"/>
            </w:tcBorders>
          </w:tcPr>
          <w:p>
            <w:pPr>
              <w:pStyle w:val="22"/>
              <w:bidi w:val="0"/>
              <w:rPr>
                <w:rFonts w:hint="eastAsia" w:eastAsia="宋体"/>
                <w:color w:val="auto"/>
                <w:highlight w:val="none"/>
                <w:lang w:eastAsia="zh-CN"/>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3</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CODcr</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20</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4</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石油类</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0.05</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5</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eastAsia="宋体"/>
                <w:color w:val="auto"/>
                <w:highlight w:val="none"/>
                <w:lang w:eastAsia="zh-CN"/>
              </w:rPr>
            </w:pPr>
            <w:r>
              <w:rPr>
                <w:rFonts w:hint="eastAsia"/>
                <w:color w:val="auto"/>
                <w:highlight w:val="none"/>
                <w:lang w:eastAsia="zh-CN"/>
              </w:rPr>
              <w:t>氨氮</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6</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eastAsia="宋体"/>
                <w:color w:val="auto"/>
                <w:highlight w:val="none"/>
                <w:lang w:eastAsia="zh-CN"/>
              </w:rPr>
            </w:pPr>
            <w:r>
              <w:rPr>
                <w:rFonts w:hint="eastAsia"/>
                <w:color w:val="auto"/>
                <w:highlight w:val="none"/>
                <w:lang w:eastAsia="zh-CN"/>
              </w:rPr>
              <w:t>总磷</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0.2（湖、库0.05）</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0.3（湖、库0.1）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氟化物</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铜</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锌</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砷</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0.05</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11</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汞</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0.0001</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12</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镉</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0.005</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六价铬</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0.05</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14</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铅</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0.05</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98" w:type="dxa"/>
            <w:tcBorders>
              <w:top w:val="single" w:color="000000" w:sz="4" w:space="0"/>
              <w:left w:val="nil"/>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2816" w:type="dxa"/>
            <w:tcBorders>
              <w:top w:val="single" w:color="000000" w:sz="4" w:space="0"/>
              <w:left w:val="single" w:color="000000" w:sz="4" w:space="0"/>
              <w:bottom w:val="single" w:color="000000" w:sz="4" w:space="0"/>
              <w:right w:val="single" w:color="000000" w:sz="4" w:space="0"/>
            </w:tcBorders>
          </w:tcPr>
          <w:p>
            <w:pPr>
              <w:pStyle w:val="22"/>
              <w:bidi w:val="0"/>
              <w:rPr>
                <w:rFonts w:hint="eastAsia"/>
                <w:color w:val="auto"/>
                <w:highlight w:val="none"/>
                <w:lang w:eastAsia="zh-CN"/>
              </w:rPr>
            </w:pPr>
            <w:r>
              <w:rPr>
                <w:rFonts w:hint="eastAsia"/>
                <w:color w:val="auto"/>
                <w:highlight w:val="none"/>
                <w:lang w:eastAsia="zh-CN"/>
              </w:rPr>
              <w:t>硫化物</w:t>
            </w:r>
          </w:p>
        </w:tc>
        <w:tc>
          <w:tcPr>
            <w:tcW w:w="2655" w:type="dxa"/>
            <w:tcBorders>
              <w:top w:val="single" w:color="000000" w:sz="4" w:space="0"/>
              <w:left w:val="single" w:color="000000" w:sz="4" w:space="0"/>
              <w:bottom w:val="single" w:color="000000" w:sz="4" w:space="0"/>
              <w:right w:val="single" w:color="000000" w:sz="4" w:space="0"/>
            </w:tcBorders>
          </w:tcPr>
          <w:p>
            <w:pPr>
              <w:pStyle w:val="22"/>
              <w:bidi w:val="0"/>
              <w:rPr>
                <w:rFonts w:hint="default" w:eastAsia="宋体"/>
                <w:color w:val="auto"/>
                <w:highlight w:val="none"/>
                <w:lang w:val="en-US" w:eastAsia="zh-CN"/>
              </w:rPr>
            </w:pPr>
            <w:r>
              <w:rPr>
                <w:rFonts w:hint="eastAsia"/>
                <w:color w:val="auto"/>
                <w:highlight w:val="none"/>
                <w:lang w:val="en-US" w:eastAsia="zh-CN"/>
              </w:rPr>
              <w:t>0.2</w:t>
            </w:r>
          </w:p>
        </w:tc>
        <w:tc>
          <w:tcPr>
            <w:tcW w:w="2675" w:type="dxa"/>
            <w:tcBorders>
              <w:top w:val="single" w:color="000000" w:sz="4" w:space="0"/>
              <w:left w:val="single" w:color="000000" w:sz="4" w:space="0"/>
              <w:bottom w:val="single" w:color="000000" w:sz="4" w:space="0"/>
              <w:right w:val="nil"/>
            </w:tcBorders>
          </w:tcPr>
          <w:p>
            <w:pPr>
              <w:pStyle w:val="22"/>
              <w:bidi w:val="0"/>
              <w:rPr>
                <w:rFonts w:hint="default" w:eastAsia="宋体"/>
                <w:color w:val="auto"/>
                <w:highlight w:val="none"/>
                <w:lang w:val="en-US" w:eastAsia="zh-CN"/>
              </w:rPr>
            </w:pPr>
            <w:r>
              <w:rPr>
                <w:rFonts w:hint="eastAsia"/>
                <w:color w:val="auto"/>
                <w:highlight w:val="none"/>
                <w:lang w:val="en-US" w:eastAsia="zh-CN"/>
              </w:rPr>
              <w:t>0.5</w:t>
            </w:r>
          </w:p>
        </w:tc>
      </w:tr>
    </w:tbl>
    <w:p>
      <w:pPr>
        <w:tabs>
          <w:tab w:val="left" w:pos="1005"/>
        </w:tabs>
        <w:spacing w:before="26" w:after="19"/>
        <w:ind w:left="0" w:right="2" w:firstLine="0"/>
        <w:jc w:val="center"/>
        <w:rPr>
          <w:b/>
          <w:color w:val="auto"/>
          <w:sz w:val="21"/>
          <w:highlight w:val="none"/>
        </w:rPr>
      </w:pPr>
      <w:r>
        <w:rPr>
          <w:b/>
          <w:color w:val="auto"/>
          <w:sz w:val="21"/>
          <w:highlight w:val="none"/>
        </w:rPr>
        <w:t>表</w:t>
      </w:r>
      <w:r>
        <w:rPr>
          <w:b/>
          <w:color w:val="auto"/>
          <w:spacing w:val="-63"/>
          <w:sz w:val="21"/>
          <w:highlight w:val="none"/>
        </w:rPr>
        <w:t xml:space="preserve"> </w:t>
      </w:r>
      <w:r>
        <w:rPr>
          <w:rFonts w:ascii="Times New Roman" w:eastAsia="Times New Roman"/>
          <w:b/>
          <w:color w:val="auto"/>
          <w:sz w:val="21"/>
          <w:highlight w:val="none"/>
        </w:rPr>
        <w:t>1.4-1</w:t>
      </w:r>
      <w:r>
        <w:rPr>
          <w:rFonts w:hint="eastAsia"/>
          <w:b/>
          <w:color w:val="auto"/>
          <w:sz w:val="21"/>
          <w:highlight w:val="none"/>
          <w:lang w:val="en-US" w:eastAsia="zh-CN"/>
        </w:rPr>
        <w:t>5</w:t>
      </w:r>
      <w:r>
        <w:rPr>
          <w:rFonts w:ascii="Times New Roman" w:eastAsia="Times New Roman"/>
          <w:b/>
          <w:color w:val="auto"/>
          <w:sz w:val="21"/>
          <w:highlight w:val="none"/>
        </w:rPr>
        <w:tab/>
      </w:r>
      <w:r>
        <w:rPr>
          <w:b/>
          <w:color w:val="auto"/>
          <w:sz w:val="21"/>
          <w:highlight w:val="none"/>
        </w:rPr>
        <w:t>井</w:t>
      </w:r>
      <w:r>
        <w:rPr>
          <w:b/>
          <w:color w:val="auto"/>
          <w:spacing w:val="4"/>
          <w:sz w:val="21"/>
          <w:highlight w:val="none"/>
        </w:rPr>
        <w:t>下</w:t>
      </w:r>
      <w:r>
        <w:rPr>
          <w:b/>
          <w:color w:val="auto"/>
          <w:sz w:val="21"/>
          <w:highlight w:val="none"/>
        </w:rPr>
        <w:t>消防</w:t>
      </w:r>
      <w:r>
        <w:rPr>
          <w:rFonts w:hint="eastAsia"/>
          <w:b/>
          <w:color w:val="auto"/>
          <w:sz w:val="21"/>
          <w:highlight w:val="none"/>
          <w:lang w:eastAsia="zh-CN"/>
        </w:rPr>
        <w:t>、</w:t>
      </w:r>
      <w:r>
        <w:rPr>
          <w:b/>
          <w:color w:val="auto"/>
          <w:sz w:val="21"/>
          <w:highlight w:val="none"/>
        </w:rPr>
        <w:t>洒水</w:t>
      </w:r>
      <w:r>
        <w:rPr>
          <w:b/>
          <w:color w:val="auto"/>
          <w:spacing w:val="4"/>
          <w:sz w:val="21"/>
          <w:highlight w:val="none"/>
        </w:rPr>
        <w:t>水</w:t>
      </w:r>
      <w:r>
        <w:rPr>
          <w:b/>
          <w:color w:val="auto"/>
          <w:sz w:val="21"/>
          <w:highlight w:val="none"/>
        </w:rPr>
        <w:t>质标准（</w:t>
      </w:r>
      <w:r>
        <w:rPr>
          <w:b/>
          <w:color w:val="auto"/>
          <w:spacing w:val="4"/>
          <w:sz w:val="21"/>
          <w:highlight w:val="none"/>
        </w:rPr>
        <w:t>摘</w:t>
      </w:r>
      <w:r>
        <w:rPr>
          <w:b/>
          <w:color w:val="auto"/>
          <w:sz w:val="21"/>
          <w:highlight w:val="none"/>
        </w:rPr>
        <w:t>录）</w:t>
      </w:r>
    </w:p>
    <w:tbl>
      <w:tblPr>
        <w:tblStyle w:val="17"/>
        <w:tblW w:w="0" w:type="auto"/>
        <w:tblInd w:w="1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6"/>
        <w:gridCol w:w="2834"/>
        <w:gridCol w:w="2616"/>
        <w:gridCol w:w="267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6" w:type="dxa"/>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2834"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项目</w:t>
            </w:r>
          </w:p>
        </w:tc>
        <w:tc>
          <w:tcPr>
            <w:tcW w:w="2616"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单位</w:t>
            </w:r>
          </w:p>
        </w:tc>
        <w:tc>
          <w:tcPr>
            <w:tcW w:w="2679" w:type="dxa"/>
            <w:tcBorders>
              <w:left w:val="single" w:color="000000" w:sz="4" w:space="0"/>
              <w:bottom w:val="single" w:color="000000" w:sz="4" w:space="0"/>
              <w:right w:val="nil"/>
            </w:tcBorders>
          </w:tcPr>
          <w:p>
            <w:pPr>
              <w:pStyle w:val="22"/>
              <w:bidi w:val="0"/>
              <w:rPr>
                <w:color w:val="auto"/>
                <w:highlight w:val="none"/>
              </w:rPr>
            </w:pPr>
            <w:r>
              <w:rPr>
                <w:color w:val="auto"/>
                <w:highlight w:val="none"/>
              </w:rPr>
              <w:t>指标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28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悬浮物含量</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mg/L</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不超过30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28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悬浮物粒度</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mm</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不大于0.3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4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3</w:t>
            </w:r>
          </w:p>
        </w:tc>
        <w:tc>
          <w:tcPr>
            <w:tcW w:w="28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pH值</w:t>
            </w:r>
          </w:p>
        </w:tc>
        <w:tc>
          <w:tcPr>
            <w:tcW w:w="2616" w:type="dxa"/>
            <w:tcBorders>
              <w:top w:val="single" w:color="000000" w:sz="4" w:space="0"/>
              <w:left w:val="single" w:color="000000" w:sz="4" w:space="0"/>
              <w:bottom w:val="single" w:color="000000" w:sz="4" w:space="0"/>
              <w:right w:val="single" w:color="000000" w:sz="4" w:space="0"/>
            </w:tcBorders>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6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6" w:type="dxa"/>
            <w:tcBorders>
              <w:top w:val="single" w:color="000000" w:sz="4" w:space="0"/>
              <w:left w:val="nil"/>
              <w:right w:val="single" w:color="000000" w:sz="4" w:space="0"/>
            </w:tcBorders>
          </w:tcPr>
          <w:p>
            <w:pPr>
              <w:pStyle w:val="22"/>
              <w:bidi w:val="0"/>
              <w:rPr>
                <w:color w:val="auto"/>
                <w:highlight w:val="none"/>
              </w:rPr>
            </w:pPr>
            <w:r>
              <w:rPr>
                <w:color w:val="auto"/>
                <w:highlight w:val="none"/>
              </w:rPr>
              <w:t>4</w:t>
            </w:r>
          </w:p>
        </w:tc>
        <w:tc>
          <w:tcPr>
            <w:tcW w:w="2834"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大肠菌群</w:t>
            </w:r>
          </w:p>
        </w:tc>
        <w:tc>
          <w:tcPr>
            <w:tcW w:w="261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个/L</w:t>
            </w:r>
          </w:p>
        </w:tc>
        <w:tc>
          <w:tcPr>
            <w:tcW w:w="2679" w:type="dxa"/>
            <w:tcBorders>
              <w:top w:val="single" w:color="000000" w:sz="4" w:space="0"/>
              <w:left w:val="single" w:color="000000" w:sz="4" w:space="0"/>
              <w:right w:val="nil"/>
            </w:tcBorders>
          </w:tcPr>
          <w:p>
            <w:pPr>
              <w:pStyle w:val="22"/>
              <w:bidi w:val="0"/>
              <w:rPr>
                <w:color w:val="auto"/>
                <w:highlight w:val="none"/>
              </w:rPr>
            </w:pPr>
            <w:r>
              <w:rPr>
                <w:color w:val="auto"/>
                <w:highlight w:val="none"/>
              </w:rPr>
              <w:t>不超过 3</w:t>
            </w:r>
          </w:p>
        </w:tc>
      </w:tr>
    </w:tbl>
    <w:p>
      <w:pPr>
        <w:bidi w:val="0"/>
        <w:rPr>
          <w:rFonts w:hint="eastAsia"/>
          <w:color w:val="auto"/>
          <w:highlight w:val="none"/>
          <w:lang w:eastAsia="zh-CN"/>
        </w:rPr>
      </w:pP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噪声</w:t>
      </w:r>
    </w:p>
    <w:p>
      <w:pPr>
        <w:bidi w:val="0"/>
        <w:rPr>
          <w:color w:val="auto"/>
          <w:highlight w:val="none"/>
        </w:rPr>
      </w:pPr>
      <w:r>
        <w:rPr>
          <w:color w:val="auto"/>
          <w:highlight w:val="none"/>
        </w:rPr>
        <w:t>矿区噪声执行《工业企业厂界环境噪声排放标准》（GB12348-2008）中2类标准要求，高速公路</w:t>
      </w:r>
      <w:r>
        <w:rPr>
          <w:rFonts w:hint="eastAsia"/>
          <w:color w:val="auto"/>
          <w:highlight w:val="none"/>
          <w:lang w:eastAsia="zh-CN"/>
        </w:rPr>
        <w:t>、铁路</w:t>
      </w:r>
      <w:r>
        <w:rPr>
          <w:color w:val="auto"/>
          <w:highlight w:val="none"/>
        </w:rPr>
        <w:t>道路红线外40m范围内的区域执行4类，其标准值见表1.4-1</w:t>
      </w:r>
      <w:r>
        <w:rPr>
          <w:rFonts w:hint="eastAsia"/>
          <w:color w:val="auto"/>
          <w:highlight w:val="none"/>
          <w:lang w:val="en-US" w:eastAsia="zh-CN"/>
        </w:rPr>
        <w:t>6</w:t>
      </w:r>
      <w:r>
        <w:rPr>
          <w:color w:val="auto"/>
          <w:highlight w:val="none"/>
        </w:rPr>
        <w:t>。</w:t>
      </w:r>
    </w:p>
    <w:p>
      <w:pPr>
        <w:spacing w:before="0" w:line="267" w:lineRule="exact"/>
        <w:ind w:left="1622" w:right="0" w:firstLine="0"/>
        <w:jc w:val="both"/>
        <w:rPr>
          <w:b/>
          <w:color w:val="auto"/>
          <w:sz w:val="21"/>
          <w:highlight w:val="none"/>
        </w:rPr>
      </w:pPr>
      <w:r>
        <w:rPr>
          <w:b/>
          <w:color w:val="auto"/>
          <w:sz w:val="21"/>
          <w:highlight w:val="none"/>
        </w:rPr>
        <w:t xml:space="preserve">表 </w:t>
      </w:r>
      <w:r>
        <w:rPr>
          <w:rFonts w:ascii="Times New Roman" w:eastAsia="Times New Roman"/>
          <w:b/>
          <w:color w:val="auto"/>
          <w:sz w:val="21"/>
          <w:highlight w:val="none"/>
        </w:rPr>
        <w:t>1.4-1</w:t>
      </w:r>
      <w:r>
        <w:rPr>
          <w:rFonts w:hint="eastAsia"/>
          <w:b/>
          <w:color w:val="auto"/>
          <w:sz w:val="21"/>
          <w:highlight w:val="none"/>
          <w:lang w:val="en-US" w:eastAsia="zh-CN"/>
        </w:rPr>
        <w:t>6</w:t>
      </w:r>
      <w:r>
        <w:rPr>
          <w:rFonts w:ascii="Times New Roman" w:eastAsia="Times New Roman"/>
          <w:b/>
          <w:color w:val="auto"/>
          <w:sz w:val="21"/>
          <w:highlight w:val="none"/>
        </w:rPr>
        <w:t xml:space="preserve"> </w:t>
      </w:r>
      <w:r>
        <w:rPr>
          <w:b/>
          <w:color w:val="auto"/>
          <w:sz w:val="21"/>
          <w:highlight w:val="none"/>
        </w:rPr>
        <w:t>工业企业厂界环境噪声排放标准限值 单位：</w:t>
      </w:r>
      <w:r>
        <w:rPr>
          <w:rFonts w:ascii="Times New Roman" w:eastAsia="Times New Roman"/>
          <w:b/>
          <w:color w:val="auto"/>
          <w:sz w:val="21"/>
          <w:highlight w:val="none"/>
        </w:rPr>
        <w:t>dB</w:t>
      </w:r>
      <w:r>
        <w:rPr>
          <w:b/>
          <w:color w:val="auto"/>
          <w:sz w:val="21"/>
          <w:highlight w:val="none"/>
        </w:rPr>
        <w:t>（</w:t>
      </w:r>
      <w:r>
        <w:rPr>
          <w:rFonts w:ascii="Times New Roman" w:eastAsia="Times New Roman"/>
          <w:b/>
          <w:color w:val="auto"/>
          <w:sz w:val="21"/>
          <w:highlight w:val="none"/>
        </w:rPr>
        <w:t>A</w:t>
      </w:r>
      <w:r>
        <w:rPr>
          <w:b/>
          <w:color w:val="auto"/>
          <w:sz w:val="21"/>
          <w:highlight w:val="none"/>
        </w:rPr>
        <w:t>）</w:t>
      </w:r>
    </w:p>
    <w:tbl>
      <w:tblPr>
        <w:tblStyle w:val="17"/>
        <w:tblW w:w="0" w:type="auto"/>
        <w:tblInd w:w="1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66"/>
        <w:gridCol w:w="3652"/>
        <w:gridCol w:w="32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266" w:type="dxa"/>
            <w:tcBorders>
              <w:left w:val="nil"/>
              <w:bottom w:val="single" w:color="000000" w:sz="4" w:space="0"/>
              <w:right w:val="single" w:color="000000" w:sz="4" w:space="0"/>
            </w:tcBorders>
          </w:tcPr>
          <w:p>
            <w:pPr>
              <w:pStyle w:val="22"/>
              <w:bidi w:val="0"/>
              <w:rPr>
                <w:color w:val="auto"/>
                <w:highlight w:val="none"/>
              </w:rPr>
            </w:pPr>
            <w:r>
              <w:rPr>
                <w:color w:val="auto"/>
                <w:highlight w:val="none"/>
              </w:rPr>
              <w:t>类别</w:t>
            </w:r>
          </w:p>
        </w:tc>
        <w:tc>
          <w:tcPr>
            <w:tcW w:w="3652"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昼间</w:t>
            </w:r>
          </w:p>
        </w:tc>
        <w:tc>
          <w:tcPr>
            <w:tcW w:w="3226" w:type="dxa"/>
            <w:tcBorders>
              <w:left w:val="single" w:color="000000" w:sz="4" w:space="0"/>
              <w:bottom w:val="single" w:color="000000" w:sz="4" w:space="0"/>
              <w:right w:val="nil"/>
            </w:tcBorders>
          </w:tcPr>
          <w:p>
            <w:pPr>
              <w:pStyle w:val="22"/>
              <w:bidi w:val="0"/>
              <w:rPr>
                <w:color w:val="auto"/>
                <w:highlight w:val="none"/>
              </w:rPr>
            </w:pPr>
            <w:r>
              <w:rPr>
                <w:color w:val="auto"/>
                <w:highlight w:val="none"/>
              </w:rPr>
              <w:t>夜间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26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 类</w:t>
            </w:r>
          </w:p>
        </w:tc>
        <w:tc>
          <w:tcPr>
            <w:tcW w:w="3652"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60</w:t>
            </w:r>
          </w:p>
        </w:tc>
        <w:tc>
          <w:tcPr>
            <w:tcW w:w="3226"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266" w:type="dxa"/>
            <w:tcBorders>
              <w:top w:val="single" w:color="000000" w:sz="4" w:space="0"/>
              <w:left w:val="nil"/>
              <w:right w:val="single" w:color="000000" w:sz="4" w:space="0"/>
            </w:tcBorders>
          </w:tcPr>
          <w:p>
            <w:pPr>
              <w:pStyle w:val="22"/>
              <w:bidi w:val="0"/>
              <w:rPr>
                <w:color w:val="auto"/>
                <w:highlight w:val="none"/>
              </w:rPr>
            </w:pPr>
            <w:r>
              <w:rPr>
                <w:color w:val="auto"/>
                <w:highlight w:val="none"/>
              </w:rPr>
              <w:t>4类</w:t>
            </w:r>
          </w:p>
        </w:tc>
        <w:tc>
          <w:tcPr>
            <w:tcW w:w="3652"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70</w:t>
            </w:r>
          </w:p>
        </w:tc>
        <w:tc>
          <w:tcPr>
            <w:tcW w:w="3226" w:type="dxa"/>
            <w:tcBorders>
              <w:top w:val="single" w:color="000000" w:sz="4" w:space="0"/>
              <w:left w:val="single" w:color="000000" w:sz="4" w:space="0"/>
              <w:right w:val="nil"/>
            </w:tcBorders>
          </w:tcPr>
          <w:p>
            <w:pPr>
              <w:pStyle w:val="22"/>
              <w:bidi w:val="0"/>
              <w:rPr>
                <w:color w:val="auto"/>
                <w:highlight w:val="none"/>
              </w:rPr>
            </w:pPr>
            <w:r>
              <w:rPr>
                <w:color w:val="auto"/>
                <w:highlight w:val="none"/>
              </w:rPr>
              <w:t>55</w:t>
            </w:r>
          </w:p>
        </w:tc>
      </w:tr>
    </w:tbl>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固体废物</w:t>
      </w:r>
    </w:p>
    <w:p>
      <w:pPr>
        <w:bidi w:val="0"/>
        <w:rPr>
          <w:color w:val="auto"/>
          <w:highlight w:val="none"/>
        </w:rPr>
      </w:pPr>
      <w:r>
        <w:rPr>
          <w:color w:val="auto"/>
          <w:highlight w:val="none"/>
        </w:rPr>
        <w:t>一般工业固体废物贮存、处置执行</w:t>
      </w:r>
      <w:r>
        <w:rPr>
          <w:rFonts w:hint="eastAsia"/>
          <w:color w:val="auto"/>
          <w:highlight w:val="none"/>
          <w:lang w:eastAsia="zh-CN"/>
        </w:rPr>
        <w:t>《一般工业固体废物贮存和填埋污染控制标准》（</w:t>
      </w:r>
      <w:r>
        <w:rPr>
          <w:rFonts w:hint="eastAsia"/>
          <w:color w:val="auto"/>
          <w:highlight w:val="none"/>
          <w:lang w:val="en-US" w:eastAsia="zh-CN"/>
        </w:rPr>
        <w:t>GB18599-2020</w:t>
      </w:r>
      <w:r>
        <w:rPr>
          <w:rFonts w:hint="eastAsia"/>
          <w:color w:val="auto"/>
          <w:highlight w:val="none"/>
          <w:lang w:eastAsia="zh-CN"/>
        </w:rPr>
        <w:t>）；</w:t>
      </w:r>
      <w:r>
        <w:rPr>
          <w:color w:val="auto"/>
          <w:highlight w:val="none"/>
        </w:rPr>
        <w:t>危险废物贮存执行《危险废物贮存污染控制标准》（GB18597-2001）及其修改单（环境保护部公告 2013 年第36号）中相关标准的要求。</w:t>
      </w:r>
    </w:p>
    <w:p>
      <w:pPr>
        <w:bidi w:val="0"/>
        <w:rPr>
          <w:color w:val="auto"/>
          <w:highlight w:val="none"/>
        </w:rPr>
      </w:pPr>
      <w:r>
        <w:rPr>
          <w:color w:val="auto"/>
          <w:highlight w:val="none"/>
        </w:rPr>
        <w:t>因环境质量标准及污染物排放标准体系在不断补充、修订和完善，部分未尽标准，在项目环评中确定。</w:t>
      </w:r>
    </w:p>
    <w:p>
      <w:pPr>
        <w:pStyle w:val="5"/>
        <w:numPr>
          <w:ilvl w:val="1"/>
          <w:numId w:val="1"/>
        </w:numPr>
        <w:bidi w:val="0"/>
        <w:rPr>
          <w:color w:val="auto"/>
          <w:highlight w:val="none"/>
        </w:rPr>
      </w:pPr>
      <w:bookmarkStart w:id="65" w:name="_bookmark6"/>
      <w:bookmarkEnd w:id="65"/>
      <w:bookmarkStart w:id="66" w:name="1.5 评价范围及评价时段"/>
      <w:bookmarkEnd w:id="66"/>
      <w:bookmarkStart w:id="67" w:name="_Toc17637"/>
      <w:bookmarkStart w:id="68" w:name="_Toc23266"/>
      <w:r>
        <w:rPr>
          <w:color w:val="auto"/>
          <w:highlight w:val="none"/>
        </w:rPr>
        <w:t>评价范围及评价时段</w:t>
      </w:r>
      <w:bookmarkEnd w:id="67"/>
      <w:bookmarkEnd w:id="68"/>
    </w:p>
    <w:p>
      <w:pPr>
        <w:pStyle w:val="6"/>
        <w:numPr>
          <w:ilvl w:val="2"/>
          <w:numId w:val="1"/>
        </w:numPr>
        <w:bidi w:val="0"/>
        <w:rPr>
          <w:color w:val="auto"/>
          <w:highlight w:val="none"/>
        </w:rPr>
      </w:pPr>
      <w:bookmarkStart w:id="69" w:name="1.5.1 评价范围"/>
      <w:bookmarkEnd w:id="69"/>
      <w:bookmarkStart w:id="70" w:name="1.5.1 评价范围"/>
      <w:bookmarkEnd w:id="70"/>
      <w:bookmarkStart w:id="71" w:name="_Toc490"/>
      <w:bookmarkStart w:id="72" w:name="_Toc17963"/>
      <w:r>
        <w:rPr>
          <w:color w:val="auto"/>
          <w:highlight w:val="none"/>
        </w:rPr>
        <w:t>评价范围</w:t>
      </w:r>
      <w:bookmarkEnd w:id="71"/>
      <w:bookmarkEnd w:id="72"/>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生态环境</w:t>
      </w:r>
    </w:p>
    <w:p>
      <w:pPr>
        <w:bidi w:val="0"/>
        <w:rPr>
          <w:color w:val="auto"/>
          <w:highlight w:val="none"/>
        </w:rPr>
      </w:pPr>
      <w:r>
        <w:rPr>
          <w:rFonts w:hint="default"/>
          <w:color w:val="auto"/>
          <w:highlight w:val="none"/>
        </w:rPr>
        <w:t>该区域以</w:t>
      </w:r>
      <w:r>
        <w:rPr>
          <w:rFonts w:hint="eastAsia"/>
          <w:color w:val="auto"/>
          <w:highlight w:val="none"/>
          <w:lang w:eastAsia="zh-CN"/>
        </w:rPr>
        <w:t>林地、丘陵、村镇等为主，</w:t>
      </w:r>
      <w:r>
        <w:rPr>
          <w:color w:val="auto"/>
          <w:highlight w:val="none"/>
        </w:rPr>
        <w:t>根据《环境影响评价技术导则---生态影响》（HJ19-2011），根据实地调查</w:t>
      </w:r>
      <w:r>
        <w:rPr>
          <w:rFonts w:hint="eastAsia"/>
          <w:color w:val="auto"/>
          <w:highlight w:val="none"/>
        </w:rPr>
        <w:t>及资料核实</w:t>
      </w:r>
      <w:r>
        <w:rPr>
          <w:color w:val="auto"/>
          <w:highlight w:val="none"/>
        </w:rPr>
        <w:t>，</w:t>
      </w:r>
      <w:r>
        <w:rPr>
          <w:rFonts w:hint="eastAsia"/>
          <w:color w:val="auto"/>
          <w:highlight w:val="none"/>
        </w:rPr>
        <w:t>大竹县</w:t>
      </w:r>
      <w:r>
        <w:rPr>
          <w:color w:val="auto"/>
          <w:highlight w:val="none"/>
        </w:rPr>
        <w:t>煤炭矿区总体规划项目以煤炭矿区规划区</w:t>
      </w:r>
      <w:r>
        <w:rPr>
          <w:rFonts w:hint="eastAsia"/>
          <w:color w:val="auto"/>
          <w:highlight w:val="none"/>
        </w:rPr>
        <w:t>外延5</w:t>
      </w:r>
      <w:r>
        <w:rPr>
          <w:color w:val="auto"/>
          <w:highlight w:val="none"/>
        </w:rPr>
        <w:t>00</w:t>
      </w:r>
      <w:r>
        <w:rPr>
          <w:rFonts w:hint="eastAsia"/>
          <w:color w:val="auto"/>
          <w:highlight w:val="none"/>
        </w:rPr>
        <w:t>m</w:t>
      </w:r>
      <w:r>
        <w:rPr>
          <w:color w:val="auto"/>
          <w:highlight w:val="none"/>
        </w:rPr>
        <w:t>为生态影响评价范围</w:t>
      </w:r>
      <w:r>
        <w:rPr>
          <w:rFonts w:hint="eastAsia"/>
          <w:color w:val="auto"/>
          <w:highlight w:val="none"/>
        </w:rPr>
        <w:t>（局部区域考虑山脊线等），面积</w:t>
      </w:r>
      <w:r>
        <w:rPr>
          <w:color w:val="auto"/>
          <w:highlight w:val="none"/>
        </w:rPr>
        <w:t>约279.70km</w:t>
      </w:r>
      <w:r>
        <w:rPr>
          <w:color w:val="auto"/>
          <w:highlight w:val="none"/>
          <w:vertAlign w:val="superscript"/>
        </w:rPr>
        <w:t>2</w:t>
      </w:r>
      <w:r>
        <w:rPr>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大气环境</w:t>
      </w:r>
    </w:p>
    <w:p>
      <w:pPr>
        <w:bidi w:val="0"/>
        <w:rPr>
          <w:color w:val="auto"/>
          <w:highlight w:val="none"/>
        </w:rPr>
      </w:pPr>
      <w:r>
        <w:rPr>
          <w:color w:val="auto"/>
          <w:highlight w:val="none"/>
        </w:rPr>
        <w:t>根据《环境影响评价技术导则—大气环境》（HJ 2.2-2018），结合矿区周围敏感点分布情况，确定大气评价范围为整个矿区规划面积，重点为矿区范围内涉及的各个矿井工业场地周围、临时扰动场地附近。</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）地表水</w:t>
      </w:r>
    </w:p>
    <w:p>
      <w:pPr>
        <w:bidi w:val="0"/>
        <w:rPr>
          <w:rFonts w:hint="eastAsia"/>
          <w:color w:val="auto"/>
          <w:highlight w:val="none"/>
          <w:lang w:eastAsia="zh-CN"/>
        </w:rPr>
      </w:pPr>
      <w:r>
        <w:rPr>
          <w:rFonts w:hint="eastAsia"/>
          <w:color w:val="auto"/>
          <w:highlight w:val="none"/>
          <w:lang w:eastAsia="zh-CN"/>
        </w:rPr>
        <w:t>矿区规划范围周边汇水范围内的水系，主要为大竹县境内的</w:t>
      </w:r>
      <w:r>
        <w:rPr>
          <w:rFonts w:hint="eastAsia"/>
          <w:color w:val="auto"/>
          <w:highlight w:val="none"/>
          <w:lang w:val="en-US" w:eastAsia="zh-CN"/>
        </w:rPr>
        <w:t>4条小河</w:t>
      </w:r>
      <w:r>
        <w:rPr>
          <w:rFonts w:hint="eastAsia"/>
          <w:color w:val="auto"/>
          <w:highlight w:val="none"/>
          <w:lang w:eastAsia="zh-CN"/>
        </w:rPr>
        <w:t>东柳河、东河、铜钵河、黄滩河支干流水系。</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地下水</w:t>
      </w:r>
    </w:p>
    <w:p>
      <w:pPr>
        <w:bidi w:val="0"/>
        <w:rPr>
          <w:color w:val="auto"/>
          <w:highlight w:val="none"/>
        </w:rPr>
      </w:pPr>
      <w:r>
        <w:rPr>
          <w:color w:val="auto"/>
          <w:highlight w:val="none"/>
        </w:rPr>
        <w:t>结合区域水文地质图，根据《环境影响评价技术导则—地下水环境》（HJ610-2016），采用公式法确定地下水评价范围：</w:t>
      </w:r>
    </w:p>
    <w:p>
      <w:pPr>
        <w:bidi w:val="0"/>
        <w:rPr>
          <w:color w:val="auto"/>
          <w:highlight w:val="none"/>
        </w:rPr>
      </w:pPr>
      <w:r>
        <w:rPr>
          <w:color w:val="auto"/>
          <w:highlight w:val="none"/>
        </w:rPr>
        <w:t>L=a×K×I×T/ne</w:t>
      </w:r>
    </w:p>
    <w:p>
      <w:pPr>
        <w:bidi w:val="0"/>
        <w:rPr>
          <w:color w:val="auto"/>
          <w:highlight w:val="none"/>
        </w:rPr>
      </w:pPr>
      <w:r>
        <w:rPr>
          <w:color w:val="auto"/>
          <w:highlight w:val="none"/>
        </w:rPr>
        <w:t>式中：L—下游迁移距离，m</w:t>
      </w:r>
    </w:p>
    <w:p>
      <w:pPr>
        <w:bidi w:val="0"/>
        <w:rPr>
          <w:color w:val="auto"/>
          <w:highlight w:val="none"/>
        </w:rPr>
      </w:pPr>
      <w:r>
        <w:rPr>
          <w:color w:val="auto"/>
          <w:highlight w:val="none"/>
        </w:rPr>
        <w:t>a—变化系数，a≥1，一般取2；</w:t>
      </w:r>
    </w:p>
    <w:p>
      <w:pPr>
        <w:bidi w:val="0"/>
        <w:rPr>
          <w:color w:val="auto"/>
          <w:highlight w:val="none"/>
        </w:rPr>
      </w:pPr>
      <w:r>
        <w:rPr>
          <w:color w:val="auto"/>
          <w:highlight w:val="none"/>
        </w:rPr>
        <w:t>K—渗透系数，m/d；</w:t>
      </w:r>
    </w:p>
    <w:p>
      <w:pPr>
        <w:bidi w:val="0"/>
        <w:rPr>
          <w:color w:val="auto"/>
          <w:highlight w:val="none"/>
        </w:rPr>
      </w:pPr>
      <w:r>
        <w:rPr>
          <w:color w:val="auto"/>
          <w:highlight w:val="none"/>
        </w:rPr>
        <w:t>I—水力坡度，%；</w:t>
      </w:r>
    </w:p>
    <w:p>
      <w:pPr>
        <w:bidi w:val="0"/>
        <w:rPr>
          <w:color w:val="auto"/>
          <w:highlight w:val="none"/>
        </w:rPr>
      </w:pPr>
      <w:r>
        <w:rPr>
          <w:color w:val="auto"/>
          <w:highlight w:val="none"/>
        </w:rPr>
        <w:t>T—质点迁移天数，d；</w:t>
      </w:r>
    </w:p>
    <w:p>
      <w:pPr>
        <w:bidi w:val="0"/>
        <w:rPr>
          <w:color w:val="auto"/>
          <w:highlight w:val="none"/>
        </w:rPr>
      </w:pPr>
      <w:r>
        <w:rPr>
          <w:color w:val="auto"/>
          <w:highlight w:val="none"/>
        </w:rPr>
        <w:t>e—有效孔隙度，无量纲。</w:t>
      </w:r>
    </w:p>
    <w:p>
      <w:pPr>
        <w:bidi w:val="0"/>
        <w:rPr>
          <w:color w:val="auto"/>
          <w:highlight w:val="none"/>
        </w:rPr>
      </w:pPr>
      <w:r>
        <w:rPr>
          <w:color w:val="auto"/>
          <w:highlight w:val="none"/>
        </w:rPr>
        <w:t>经计算，L=</w:t>
      </w:r>
      <w:r>
        <w:rPr>
          <w:rFonts w:hint="eastAsia"/>
          <w:color w:val="auto"/>
          <w:highlight w:val="none"/>
          <w:lang w:val="en-US" w:eastAsia="zh-CN"/>
        </w:rPr>
        <w:t>12</w:t>
      </w:r>
      <w:r>
        <w:rPr>
          <w:color w:val="auto"/>
          <w:highlight w:val="none"/>
        </w:rPr>
        <w:t>00m。结合区域水文地质条件，确定本次地下水评价范围如下：</w:t>
      </w:r>
    </w:p>
    <w:p>
      <w:pPr>
        <w:bidi w:val="0"/>
        <w:rPr>
          <w:color w:val="auto"/>
          <w:highlight w:val="none"/>
        </w:rPr>
      </w:pPr>
      <w:r>
        <w:rPr>
          <w:color w:val="auto"/>
          <w:highlight w:val="none"/>
          <w:lang w:eastAsia="zh-CN"/>
        </w:rPr>
        <w:t>矿区规划范围的水文单元，</w:t>
      </w:r>
      <w:r>
        <w:rPr>
          <w:rFonts w:hint="eastAsia"/>
          <w:color w:val="auto"/>
          <w:highlight w:val="none"/>
          <w:lang w:eastAsia="zh-CN"/>
        </w:rPr>
        <w:t>以</w:t>
      </w:r>
      <w:r>
        <w:rPr>
          <w:color w:val="auto"/>
          <w:highlight w:val="none"/>
          <w:lang w:eastAsia="zh-CN"/>
        </w:rPr>
        <w:t>规划范围</w:t>
      </w:r>
      <w:r>
        <w:rPr>
          <w:rFonts w:hint="eastAsia"/>
          <w:color w:val="auto"/>
          <w:highlight w:val="none"/>
          <w:lang w:eastAsia="zh-CN"/>
        </w:rPr>
        <w:t>并向外</w:t>
      </w:r>
      <w:r>
        <w:rPr>
          <w:color w:val="auto"/>
          <w:highlight w:val="none"/>
          <w:lang w:eastAsia="zh-CN"/>
        </w:rPr>
        <w:t>外扩1.2km</w:t>
      </w:r>
      <w:r>
        <w:rPr>
          <w:rFonts w:hint="eastAsia"/>
          <w:color w:val="auto"/>
          <w:highlight w:val="none"/>
          <w:lang w:eastAsia="zh-CN"/>
        </w:rPr>
        <w:t>区域</w:t>
      </w:r>
      <w:r>
        <w:rPr>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声环境</w:t>
      </w:r>
    </w:p>
    <w:p>
      <w:pPr>
        <w:bidi w:val="0"/>
        <w:rPr>
          <w:color w:val="auto"/>
          <w:highlight w:val="none"/>
        </w:rPr>
      </w:pPr>
      <w:r>
        <w:rPr>
          <w:color w:val="auto"/>
          <w:highlight w:val="none"/>
        </w:rPr>
        <w:t>根据矿区与相邻区域声环境适宜性，评价范围为</w:t>
      </w:r>
      <w:r>
        <w:rPr>
          <w:rFonts w:hint="eastAsia"/>
          <w:color w:val="auto"/>
          <w:highlight w:val="none"/>
          <w:lang w:eastAsia="zh-CN"/>
        </w:rPr>
        <w:t>规划</w:t>
      </w:r>
      <w:r>
        <w:rPr>
          <w:color w:val="auto"/>
          <w:highlight w:val="none"/>
        </w:rPr>
        <w:t>矿区四周各向外延伸200m区域。</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土壤环境</w:t>
      </w:r>
    </w:p>
    <w:p>
      <w:pPr>
        <w:bidi w:val="0"/>
        <w:rPr>
          <w:color w:val="auto"/>
          <w:highlight w:val="none"/>
        </w:rPr>
      </w:pPr>
      <w:r>
        <w:rPr>
          <w:color w:val="auto"/>
          <w:highlight w:val="none"/>
        </w:rPr>
        <w:t>根据《环境影响评价技术导则—土壤环境（试行）》（HJ964-2018），结合矿区实际情况，土壤环境评价范围为矿区边界外扩1km的范围。</w:t>
      </w:r>
    </w:p>
    <w:p>
      <w:pPr>
        <w:pStyle w:val="6"/>
        <w:numPr>
          <w:ilvl w:val="2"/>
          <w:numId w:val="1"/>
        </w:numPr>
        <w:bidi w:val="0"/>
        <w:rPr>
          <w:color w:val="auto"/>
          <w:highlight w:val="none"/>
        </w:rPr>
      </w:pPr>
      <w:bookmarkStart w:id="73" w:name="1.5.2 评价时段"/>
      <w:bookmarkEnd w:id="73"/>
      <w:bookmarkStart w:id="74" w:name="1.5.2 评价时段"/>
      <w:bookmarkEnd w:id="74"/>
      <w:bookmarkStart w:id="75" w:name="_Toc695"/>
      <w:bookmarkStart w:id="76" w:name="_Toc27884"/>
      <w:r>
        <w:rPr>
          <w:color w:val="auto"/>
          <w:highlight w:val="none"/>
        </w:rPr>
        <w:t>评价时段</w:t>
      </w:r>
      <w:bookmarkEnd w:id="75"/>
      <w:bookmarkEnd w:id="76"/>
    </w:p>
    <w:p>
      <w:pPr>
        <w:bidi w:val="0"/>
        <w:rPr>
          <w:color w:val="auto"/>
          <w:highlight w:val="none"/>
        </w:rPr>
      </w:pPr>
      <w:r>
        <w:rPr>
          <w:rFonts w:hint="eastAsia"/>
          <w:color w:val="auto"/>
          <w:highlight w:val="none"/>
        </w:rPr>
        <w:t>大竹县</w:t>
      </w:r>
      <w:r>
        <w:rPr>
          <w:color w:val="auto"/>
          <w:highlight w:val="none"/>
        </w:rPr>
        <w:t>煤炭矿区总体规划</w:t>
      </w:r>
      <w:r>
        <w:rPr>
          <w:rFonts w:hint="eastAsia"/>
          <w:color w:val="auto"/>
          <w:highlight w:val="none"/>
          <w:lang w:eastAsia="zh-CN"/>
        </w:rPr>
        <w:t>的</w:t>
      </w:r>
      <w:r>
        <w:rPr>
          <w:color w:val="auto"/>
          <w:highlight w:val="none"/>
        </w:rPr>
        <w:t>规划时间段主要分为规划准备建设期与生产期</w:t>
      </w:r>
      <w:r>
        <w:rPr>
          <w:rFonts w:hint="eastAsia"/>
          <w:color w:val="auto"/>
          <w:highlight w:val="none"/>
        </w:rPr>
        <w:t>，包括探矿区内的资源勘查</w:t>
      </w:r>
      <w:r>
        <w:rPr>
          <w:color w:val="auto"/>
          <w:highlight w:val="none"/>
        </w:rPr>
        <w:t>。</w:t>
      </w:r>
      <w:r>
        <w:rPr>
          <w:rFonts w:hint="eastAsia"/>
          <w:color w:val="auto"/>
          <w:highlight w:val="none"/>
        </w:rPr>
        <w:t>规划区内，保留生产矿井利用原有工业场地，不新增用地；升级改造矿井均在原有的工业场地基础上改造利用，</w:t>
      </w:r>
      <w:r>
        <w:rPr>
          <w:color w:val="auto"/>
          <w:highlight w:val="none"/>
        </w:rPr>
        <w:t>大部</w:t>
      </w:r>
      <w:r>
        <w:rPr>
          <w:rFonts w:hint="eastAsia"/>
          <w:color w:val="auto"/>
          <w:highlight w:val="none"/>
        </w:rPr>
        <w:t>生产设施</w:t>
      </w:r>
      <w:r>
        <w:rPr>
          <w:color w:val="auto"/>
          <w:highlight w:val="none"/>
        </w:rPr>
        <w:t>为利用原有设施及工程，所以建设准备时间较短，建设规模较小，周期较短</w:t>
      </w:r>
      <w:r>
        <w:rPr>
          <w:rFonts w:hint="eastAsia"/>
          <w:color w:val="auto"/>
          <w:highlight w:val="none"/>
        </w:rPr>
        <w:t>（建设工期0</w:t>
      </w:r>
      <w:r>
        <w:rPr>
          <w:color w:val="auto"/>
          <w:highlight w:val="none"/>
        </w:rPr>
        <w:t>.9</w:t>
      </w:r>
      <w:r>
        <w:rPr>
          <w:rFonts w:hint="eastAsia"/>
          <w:color w:val="auto"/>
          <w:highlight w:val="none"/>
        </w:rPr>
        <w:t>-</w:t>
      </w:r>
      <w:r>
        <w:rPr>
          <w:color w:val="auto"/>
          <w:highlight w:val="none"/>
        </w:rPr>
        <w:t>3.1</w:t>
      </w:r>
      <w:r>
        <w:rPr>
          <w:rFonts w:hint="eastAsia"/>
          <w:color w:val="auto"/>
          <w:highlight w:val="none"/>
        </w:rPr>
        <w:t>年）。各升级改造矿井</w:t>
      </w:r>
      <w:r>
        <w:rPr>
          <w:color w:val="auto"/>
          <w:highlight w:val="none"/>
        </w:rPr>
        <w:t>经改造升级完成后各矿井完成试运行后就可以安排生产</w:t>
      </w:r>
      <w:r>
        <w:rPr>
          <w:rFonts w:hint="eastAsia"/>
          <w:color w:val="auto"/>
          <w:highlight w:val="none"/>
        </w:rPr>
        <w:t>。根据各矿井资源条件、开拓开采技术条件等，估算大竹县各矿井服务年限为</w:t>
      </w:r>
      <w:r>
        <w:rPr>
          <w:rFonts w:hint="eastAsia"/>
          <w:color w:val="auto"/>
          <w:highlight w:val="none"/>
          <w:lang w:val="en-US" w:eastAsia="zh-CN"/>
        </w:rPr>
        <w:t>5.7~13.3</w:t>
      </w:r>
      <w:r>
        <w:rPr>
          <w:rFonts w:hint="eastAsia"/>
          <w:color w:val="auto"/>
          <w:highlight w:val="none"/>
        </w:rPr>
        <w:t>年，按现有勘探及生产程度，矿区生产年限为1</w:t>
      </w:r>
      <w:r>
        <w:rPr>
          <w:rFonts w:hint="eastAsia"/>
          <w:color w:val="auto"/>
          <w:highlight w:val="none"/>
          <w:lang w:val="en-US" w:eastAsia="zh-CN"/>
        </w:rPr>
        <w:t>3.3</w:t>
      </w:r>
      <w:r>
        <w:rPr>
          <w:rFonts w:hint="eastAsia"/>
          <w:color w:val="auto"/>
          <w:highlight w:val="none"/>
        </w:rPr>
        <w:t>年（为现有采矿权范围或规划矿权范围内的资源剩余服务年限），其中达产期为3.1年，减产期为</w:t>
      </w:r>
      <w:r>
        <w:rPr>
          <w:rFonts w:hint="eastAsia"/>
          <w:color w:val="auto"/>
          <w:highlight w:val="none"/>
          <w:lang w:val="en-US" w:eastAsia="zh-CN"/>
        </w:rPr>
        <w:t>5.9</w:t>
      </w:r>
      <w:r>
        <w:rPr>
          <w:rFonts w:hint="eastAsia"/>
          <w:color w:val="auto"/>
          <w:highlight w:val="none"/>
        </w:rPr>
        <w:t>年，均衡生产期为</w:t>
      </w:r>
      <w:r>
        <w:rPr>
          <w:rFonts w:hint="eastAsia"/>
          <w:color w:val="auto"/>
          <w:highlight w:val="none"/>
          <w:lang w:val="en-US" w:eastAsia="zh-CN"/>
        </w:rPr>
        <w:t>4.3</w:t>
      </w:r>
      <w:r>
        <w:rPr>
          <w:rFonts w:hint="eastAsia"/>
          <w:color w:val="auto"/>
          <w:highlight w:val="none"/>
        </w:rPr>
        <w:t>年。</w:t>
      </w:r>
    </w:p>
    <w:p>
      <w:pPr>
        <w:bidi w:val="0"/>
        <w:rPr>
          <w:color w:val="auto"/>
          <w:highlight w:val="none"/>
        </w:rPr>
      </w:pPr>
      <w:r>
        <w:rPr>
          <w:color w:val="auto"/>
          <w:highlight w:val="none"/>
        </w:rPr>
        <w:t>规划为</w:t>
      </w:r>
      <w:r>
        <w:rPr>
          <w:rFonts w:hint="eastAsia"/>
          <w:color w:val="auto"/>
          <w:highlight w:val="none"/>
          <w:lang w:eastAsia="zh-CN"/>
        </w:rPr>
        <w:t>四川省达州市大竹县煤炭矿区总体规划</w:t>
      </w:r>
      <w:r>
        <w:rPr>
          <w:color w:val="auto"/>
          <w:highlight w:val="none"/>
        </w:rPr>
        <w:t>，</w:t>
      </w:r>
      <w:r>
        <w:rPr>
          <w:rFonts w:hint="eastAsia"/>
          <w:color w:val="auto"/>
          <w:highlight w:val="none"/>
          <w:lang w:eastAsia="zh-CN"/>
        </w:rPr>
        <w:t>当前总体规划未给出规划时段和时序相关内容，根据与多方协商沟通确定，</w:t>
      </w:r>
      <w:r>
        <w:rPr>
          <w:color w:val="auto"/>
          <w:highlight w:val="none"/>
        </w:rPr>
        <w:t>规划期限为2022~20</w:t>
      </w:r>
      <w:r>
        <w:rPr>
          <w:rFonts w:hint="eastAsia"/>
          <w:color w:val="auto"/>
          <w:highlight w:val="none"/>
          <w:lang w:val="en-US" w:eastAsia="zh-CN"/>
        </w:rPr>
        <w:t>35</w:t>
      </w:r>
      <w:r>
        <w:rPr>
          <w:color w:val="auto"/>
          <w:highlight w:val="none"/>
        </w:rPr>
        <w:t>年，据此，本次评价时段如下：评价基准年：202</w:t>
      </w:r>
      <w:r>
        <w:rPr>
          <w:rFonts w:hint="eastAsia"/>
          <w:color w:val="auto"/>
          <w:highlight w:val="none"/>
          <w:lang w:val="en-US" w:eastAsia="zh-CN"/>
        </w:rPr>
        <w:t>0</w:t>
      </w:r>
      <w:r>
        <w:rPr>
          <w:color w:val="auto"/>
          <w:highlight w:val="none"/>
        </w:rPr>
        <w:t>年；预测水平年：2022-203</w:t>
      </w:r>
      <w:r>
        <w:rPr>
          <w:rFonts w:hint="eastAsia"/>
          <w:color w:val="auto"/>
          <w:highlight w:val="none"/>
          <w:lang w:val="en-US" w:eastAsia="zh-CN"/>
        </w:rPr>
        <w:t>5</w:t>
      </w:r>
      <w:r>
        <w:rPr>
          <w:color w:val="auto"/>
          <w:highlight w:val="none"/>
        </w:rPr>
        <w:t>年。</w:t>
      </w:r>
    </w:p>
    <w:p>
      <w:pPr>
        <w:pStyle w:val="5"/>
        <w:numPr>
          <w:ilvl w:val="1"/>
          <w:numId w:val="1"/>
        </w:numPr>
        <w:bidi w:val="0"/>
        <w:rPr>
          <w:color w:val="auto"/>
          <w:highlight w:val="none"/>
        </w:rPr>
      </w:pPr>
      <w:bookmarkStart w:id="77" w:name="_bookmark7"/>
      <w:bookmarkEnd w:id="77"/>
      <w:bookmarkStart w:id="78" w:name="1.6 环境保护目标和环境敏感点"/>
      <w:bookmarkEnd w:id="78"/>
      <w:bookmarkStart w:id="79" w:name="_Toc2181"/>
      <w:bookmarkStart w:id="80" w:name="_Toc9007"/>
      <w:r>
        <w:rPr>
          <w:color w:val="auto"/>
          <w:highlight w:val="none"/>
        </w:rPr>
        <w:t>环境保护目标和环境敏感点</w:t>
      </w:r>
      <w:bookmarkEnd w:id="79"/>
      <w:bookmarkEnd w:id="80"/>
    </w:p>
    <w:p>
      <w:pPr>
        <w:pStyle w:val="6"/>
        <w:numPr>
          <w:ilvl w:val="2"/>
          <w:numId w:val="1"/>
        </w:numPr>
        <w:bidi w:val="0"/>
        <w:rPr>
          <w:color w:val="auto"/>
          <w:highlight w:val="none"/>
        </w:rPr>
      </w:pPr>
      <w:bookmarkStart w:id="81" w:name="1.6.1 环境保护目标"/>
      <w:bookmarkEnd w:id="81"/>
      <w:bookmarkStart w:id="82" w:name="1.6.1 环境保护目标"/>
      <w:bookmarkEnd w:id="82"/>
      <w:bookmarkStart w:id="83" w:name="_Toc26890"/>
      <w:bookmarkStart w:id="84" w:name="_Toc14818"/>
      <w:r>
        <w:rPr>
          <w:color w:val="auto"/>
          <w:highlight w:val="none"/>
        </w:rPr>
        <w:t>环境保护目标</w:t>
      </w:r>
      <w:bookmarkEnd w:id="83"/>
      <w:bookmarkEnd w:id="84"/>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生态环境：不改变区域生态功能，使本次规划对当地生态系统的影响在可接受 范围内。</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地表水环境：项目污废水能够尽可能实现综合利用，减少废污水排放，确保本次规划实施后不对规划范围内</w:t>
      </w:r>
      <w:r>
        <w:rPr>
          <w:rFonts w:hint="eastAsia"/>
          <w:color w:val="auto"/>
          <w:highlight w:val="none"/>
          <w:lang w:eastAsia="zh-CN"/>
        </w:rPr>
        <w:t>受纳</w:t>
      </w:r>
      <w:r>
        <w:rPr>
          <w:color w:val="auto"/>
          <w:highlight w:val="none"/>
        </w:rPr>
        <w:t>水体造成水质变坏的影响。保护规划范围内地下水环境，规划范围内矿井开采不造成地下水水质的恶化，开采不造成区域地下水水位明显下降，不影响第四系含水层的供水功能。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环境空气：规划范围内大气污染物达标排放，保护区域环境空气，</w:t>
      </w:r>
      <w:r>
        <w:rPr>
          <w:rFonts w:hint="eastAsia"/>
          <w:color w:val="auto"/>
          <w:highlight w:val="none"/>
          <w:lang w:eastAsia="zh-CN"/>
        </w:rPr>
        <w:t>其中五峰山国家森林公园</w:t>
      </w:r>
      <w:r>
        <w:rPr>
          <w:color w:val="auto"/>
          <w:highlight w:val="none"/>
        </w:rPr>
        <w:t>满足《环境空气质量标准》（GB3095-2012）</w:t>
      </w:r>
      <w:r>
        <w:rPr>
          <w:rFonts w:hint="eastAsia"/>
          <w:color w:val="auto"/>
          <w:highlight w:val="none"/>
          <w:lang w:eastAsia="zh-CN"/>
        </w:rPr>
        <w:t>一</w:t>
      </w:r>
      <w:r>
        <w:rPr>
          <w:color w:val="auto"/>
          <w:highlight w:val="none"/>
        </w:rPr>
        <w:t>级标准要求</w:t>
      </w:r>
      <w:r>
        <w:rPr>
          <w:rFonts w:hint="eastAsia"/>
          <w:color w:val="auto"/>
          <w:highlight w:val="none"/>
          <w:lang w:eastAsia="zh-CN"/>
        </w:rPr>
        <w:t>，其余</w:t>
      </w:r>
      <w:r>
        <w:rPr>
          <w:color w:val="auto"/>
          <w:highlight w:val="none"/>
        </w:rPr>
        <w:t>满足《环境空气质量标准》（GB3095-2012）二级标准要求。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声环境：规划范围内各地面构筑物周边及交通道路沿线声环境达到相应功能区标准要求</w:t>
      </w:r>
      <w:r>
        <w:rPr>
          <w:rFonts w:hint="eastAsia"/>
          <w:color w:val="auto"/>
          <w:highlight w:val="none"/>
          <w:lang w:eastAsia="zh-CN"/>
        </w:rPr>
        <w:t>，其中矿区《声环境质量标准》（GB3096—2008）</w:t>
      </w:r>
      <w:r>
        <w:rPr>
          <w:rFonts w:hint="eastAsia"/>
          <w:color w:val="auto"/>
          <w:highlight w:val="none"/>
          <w:lang w:val="en-US" w:eastAsia="zh-CN"/>
        </w:rPr>
        <w:t>2类，主要公路、铁路干线两侧边界外35m内区域为4类，主要公路、铁路干线两侧边界外35m以外农村区域为1类</w:t>
      </w:r>
      <w:r>
        <w:rPr>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固体废弃物：固废分类妥善处置，煤矸石尽可能实现综合利用，生活垃圾得到妥善处置，现场无散乱堆弃现象。</w:t>
      </w:r>
    </w:p>
    <w:p>
      <w:pPr>
        <w:pStyle w:val="6"/>
        <w:numPr>
          <w:ilvl w:val="2"/>
          <w:numId w:val="1"/>
        </w:numPr>
        <w:bidi w:val="0"/>
        <w:rPr>
          <w:color w:val="auto"/>
          <w:highlight w:val="none"/>
        </w:rPr>
      </w:pPr>
      <w:bookmarkStart w:id="85" w:name="1.6.2 环境敏感点"/>
      <w:bookmarkEnd w:id="85"/>
      <w:bookmarkStart w:id="86" w:name="1.6.2 环境敏感点"/>
      <w:bookmarkEnd w:id="86"/>
      <w:bookmarkStart w:id="87" w:name="_Toc4608"/>
      <w:bookmarkStart w:id="88" w:name="_Toc24101"/>
      <w:r>
        <w:rPr>
          <w:color w:val="auto"/>
          <w:highlight w:val="none"/>
        </w:rPr>
        <w:t>环境敏感点</w:t>
      </w:r>
      <w:bookmarkEnd w:id="87"/>
      <w:bookmarkEnd w:id="88"/>
    </w:p>
    <w:p>
      <w:pPr>
        <w:bidi w:val="0"/>
        <w:rPr>
          <w:color w:val="auto"/>
          <w:highlight w:val="none"/>
        </w:rPr>
      </w:pPr>
      <w:r>
        <w:rPr>
          <w:color w:val="auto"/>
          <w:highlight w:val="none"/>
        </w:rPr>
        <w:t>根据《规划环境影响评价技术导则——煤炭工业矿区总体规划》</w:t>
      </w:r>
      <w:r>
        <w:rPr>
          <w:rFonts w:hint="eastAsia"/>
          <w:color w:val="auto"/>
          <w:highlight w:val="none"/>
          <w:lang w:eastAsia="zh-CN"/>
        </w:rPr>
        <w:t>（</w:t>
      </w:r>
      <w:r>
        <w:rPr>
          <w:color w:val="auto"/>
          <w:highlight w:val="none"/>
        </w:rPr>
        <w:t>HJ/463‐2009</w:t>
      </w:r>
      <w:r>
        <w:rPr>
          <w:rFonts w:hint="eastAsia"/>
          <w:color w:val="auto"/>
          <w:highlight w:val="none"/>
          <w:lang w:eastAsia="zh-CN"/>
        </w:rPr>
        <w:t>）</w:t>
      </w:r>
      <w:r>
        <w:rPr>
          <w:color w:val="auto"/>
          <w:highlight w:val="none"/>
        </w:rPr>
        <w:t>中关于生态敏感区（点）的定义，结合矿区及周边的自然环境与人文特征，经现场踏勘和调查分析发现，环境保护对象主要为规划区及评价范围内的基本农田、</w:t>
      </w:r>
      <w:r>
        <w:rPr>
          <w:rFonts w:hint="eastAsia"/>
          <w:color w:val="auto"/>
          <w:highlight w:val="none"/>
          <w:lang w:eastAsia="zh-CN"/>
        </w:rPr>
        <w:t>集中式</w:t>
      </w:r>
      <w:r>
        <w:rPr>
          <w:color w:val="auto"/>
          <w:highlight w:val="none"/>
        </w:rPr>
        <w:t>居民点、学校等</w:t>
      </w:r>
      <w:r>
        <w:rPr>
          <w:rFonts w:hint="eastAsia"/>
          <w:color w:val="auto"/>
          <w:highlight w:val="none"/>
          <w:lang w:eastAsia="zh-CN"/>
        </w:rPr>
        <w:t>，以及五峰山国家森林公园、乌木滩水库和龙潭水库和一些村镇集中式饮用水水源地等重要敏感目标</w:t>
      </w:r>
      <w:r>
        <w:rPr>
          <w:color w:val="auto"/>
          <w:highlight w:val="none"/>
        </w:rPr>
        <w:t>。</w:t>
      </w:r>
    </w:p>
    <w:p>
      <w:pPr>
        <w:pStyle w:val="6"/>
        <w:numPr>
          <w:ilvl w:val="2"/>
          <w:numId w:val="1"/>
        </w:numPr>
        <w:bidi w:val="0"/>
        <w:rPr>
          <w:color w:val="auto"/>
          <w:highlight w:val="none"/>
        </w:rPr>
      </w:pPr>
      <w:bookmarkStart w:id="89" w:name="_Toc1595"/>
      <w:bookmarkStart w:id="90" w:name="_Toc19008"/>
      <w:r>
        <w:rPr>
          <w:color w:val="auto"/>
          <w:highlight w:val="none"/>
        </w:rPr>
        <w:t>环境</w:t>
      </w:r>
      <w:r>
        <w:rPr>
          <w:rFonts w:hint="eastAsia"/>
          <w:color w:val="auto"/>
          <w:highlight w:val="none"/>
          <w:lang w:eastAsia="zh-CN"/>
        </w:rPr>
        <w:t>保护对象汇总</w:t>
      </w:r>
      <w:bookmarkEnd w:id="89"/>
      <w:bookmarkEnd w:id="90"/>
    </w:p>
    <w:p>
      <w:pPr>
        <w:bidi w:val="0"/>
        <w:rPr>
          <w:rFonts w:hint="eastAsia" w:ascii="Calibri" w:hAnsi="Calibri"/>
          <w:color w:val="auto"/>
          <w:highlight w:val="none"/>
          <w:lang w:eastAsia="zh-CN"/>
        </w:rPr>
      </w:pPr>
      <w:r>
        <w:rPr>
          <w:color w:val="auto"/>
          <w:highlight w:val="none"/>
        </w:rPr>
        <w:t>矿区环境保护目标汇总见表</w:t>
      </w:r>
      <w:r>
        <w:rPr>
          <w:rFonts w:ascii="Calibri" w:hAnsi="Calibri" w:eastAsia="Calibri"/>
          <w:color w:val="auto"/>
          <w:highlight w:val="none"/>
        </w:rPr>
        <w:t>1.</w:t>
      </w:r>
      <w:r>
        <w:rPr>
          <w:rFonts w:hint="eastAsia" w:ascii="Calibri" w:hAnsi="Calibri"/>
          <w:color w:val="auto"/>
          <w:highlight w:val="none"/>
          <w:lang w:val="en-US" w:eastAsia="zh-CN"/>
        </w:rPr>
        <w:t>6</w:t>
      </w:r>
      <w:r>
        <w:rPr>
          <w:rFonts w:ascii="Calibri" w:hAnsi="Calibri" w:eastAsia="Calibri"/>
          <w:color w:val="auto"/>
          <w:highlight w:val="none"/>
        </w:rPr>
        <w:t>‐</w:t>
      </w:r>
      <w:r>
        <w:rPr>
          <w:rFonts w:hint="eastAsia" w:ascii="Calibri" w:hAnsi="Calibri"/>
          <w:color w:val="auto"/>
          <w:highlight w:val="none"/>
          <w:lang w:val="en-US" w:eastAsia="zh-CN"/>
        </w:rPr>
        <w:t>1</w:t>
      </w:r>
      <w:r>
        <w:rPr>
          <w:color w:val="auto"/>
          <w:highlight w:val="none"/>
        </w:rPr>
        <w:t>，矿区环境保护目标分布情况见</w:t>
      </w:r>
      <w:r>
        <w:rPr>
          <w:rFonts w:hint="eastAsia"/>
          <w:color w:val="auto"/>
          <w:highlight w:val="none"/>
          <w:lang w:eastAsia="zh-CN"/>
        </w:rPr>
        <w:t>附图</w:t>
      </w:r>
      <w:r>
        <w:rPr>
          <w:rFonts w:hint="eastAsia" w:ascii="Calibri" w:hAnsi="Calibri"/>
          <w:color w:val="auto"/>
          <w:highlight w:val="none"/>
          <w:lang w:eastAsia="zh-CN"/>
        </w:rPr>
        <w:t>。</w:t>
      </w:r>
    </w:p>
    <w:p>
      <w:pPr>
        <w:bidi w:val="0"/>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22"/>
        <w:bidi w:val="0"/>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1.6-1   矿区环境保护对象汇总表</w:t>
      </w:r>
    </w:p>
    <w:tbl>
      <w:tblPr>
        <w:tblStyle w:val="17"/>
        <w:tblW w:w="52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836"/>
        <w:gridCol w:w="803"/>
        <w:gridCol w:w="108"/>
        <w:gridCol w:w="1533"/>
        <w:gridCol w:w="2681"/>
        <w:gridCol w:w="3291"/>
        <w:gridCol w:w="4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环境要素</w:t>
            </w:r>
            <w:r>
              <w:rPr>
                <w:color w:val="auto"/>
                <w:highlight w:val="none"/>
              </w:rPr>
              <w:t xml:space="preserve">/ </w:t>
            </w:r>
            <w:r>
              <w:rPr>
                <w:rFonts w:hint="eastAsia"/>
                <w:color w:val="auto"/>
                <w:highlight w:val="none"/>
              </w:rPr>
              <w:t>地面设施</w:t>
            </w:r>
          </w:p>
        </w:tc>
        <w:tc>
          <w:tcPr>
            <w:tcW w:w="3279" w:type="dxa"/>
            <w:gridSpan w:val="4"/>
            <w:vAlign w:val="center"/>
          </w:tcPr>
          <w:p>
            <w:pPr>
              <w:pStyle w:val="22"/>
              <w:bidi w:val="0"/>
              <w:rPr>
                <w:rFonts w:hint="eastAsia"/>
                <w:color w:val="auto"/>
                <w:highlight w:val="none"/>
              </w:rPr>
            </w:pPr>
            <w:r>
              <w:rPr>
                <w:rFonts w:hint="eastAsia"/>
                <w:color w:val="auto"/>
                <w:highlight w:val="none"/>
              </w:rPr>
              <w:t>环境保护目标</w:t>
            </w:r>
          </w:p>
        </w:tc>
        <w:tc>
          <w:tcPr>
            <w:tcW w:w="5969" w:type="dxa"/>
            <w:gridSpan w:val="2"/>
            <w:vAlign w:val="center"/>
          </w:tcPr>
          <w:p>
            <w:pPr>
              <w:pStyle w:val="22"/>
              <w:bidi w:val="0"/>
              <w:rPr>
                <w:rFonts w:hint="eastAsia"/>
                <w:color w:val="auto"/>
                <w:highlight w:val="none"/>
              </w:rPr>
            </w:pPr>
            <w:r>
              <w:rPr>
                <w:rFonts w:hint="eastAsia"/>
                <w:color w:val="auto"/>
                <w:highlight w:val="none"/>
              </w:rPr>
              <w:t>位置</w:t>
            </w:r>
          </w:p>
        </w:tc>
        <w:tc>
          <w:tcPr>
            <w:tcW w:w="4716" w:type="dxa"/>
            <w:vMerge w:val="restart"/>
            <w:vAlign w:val="center"/>
          </w:tcPr>
          <w:p>
            <w:pPr>
              <w:pStyle w:val="22"/>
              <w:bidi w:val="0"/>
              <w:rPr>
                <w:rFonts w:hint="eastAsia"/>
                <w:color w:val="auto"/>
                <w:highlight w:val="none"/>
              </w:rPr>
            </w:pPr>
            <w:r>
              <w:rPr>
                <w:rFonts w:hint="eastAsia"/>
                <w:color w:val="auto"/>
                <w:highlight w:val="none"/>
              </w:rPr>
              <w:t>保护要求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分类</w:t>
            </w:r>
            <w:r>
              <w:rPr>
                <w:rFonts w:hint="eastAsia"/>
                <w:color w:val="auto"/>
                <w:highlight w:val="none"/>
                <w:lang w:eastAsia="zh-CN"/>
              </w:rPr>
              <w:t>、</w:t>
            </w:r>
            <w:r>
              <w:rPr>
                <w:rFonts w:hint="eastAsia"/>
                <w:color w:val="auto"/>
                <w:highlight w:val="none"/>
              </w:rPr>
              <w:t>名称</w:t>
            </w:r>
          </w:p>
        </w:tc>
        <w:tc>
          <w:tcPr>
            <w:tcW w:w="2680" w:type="dxa"/>
            <w:tcBorders>
              <w:top w:val="nil"/>
            </w:tcBorders>
            <w:vAlign w:val="center"/>
          </w:tcPr>
          <w:p>
            <w:pPr>
              <w:pStyle w:val="22"/>
              <w:bidi w:val="0"/>
              <w:rPr>
                <w:rFonts w:hint="default" w:eastAsia="宋体"/>
                <w:color w:val="auto"/>
                <w:highlight w:val="none"/>
                <w:lang w:val="en-US" w:eastAsia="zh-CN"/>
              </w:rPr>
            </w:pPr>
            <w:r>
              <w:rPr>
                <w:rFonts w:hint="eastAsia"/>
                <w:color w:val="auto"/>
                <w:highlight w:val="none"/>
                <w:lang w:eastAsia="zh-CN"/>
              </w:rPr>
              <w:t>距离最近的矿段</w:t>
            </w:r>
            <w:r>
              <w:rPr>
                <w:rFonts w:hint="eastAsia"/>
                <w:color w:val="auto"/>
                <w:highlight w:val="none"/>
                <w:lang w:val="en-US" w:eastAsia="zh-CN"/>
              </w:rPr>
              <w:t>/片区</w:t>
            </w:r>
          </w:p>
        </w:tc>
        <w:tc>
          <w:tcPr>
            <w:tcW w:w="3289" w:type="dxa"/>
            <w:tcBorders>
              <w:top w:val="nil"/>
            </w:tcBorders>
            <w:vAlign w:val="center"/>
          </w:tcPr>
          <w:p>
            <w:pPr>
              <w:pStyle w:val="22"/>
              <w:bidi w:val="0"/>
              <w:rPr>
                <w:rFonts w:hint="eastAsia" w:eastAsia="宋体"/>
                <w:color w:val="auto"/>
                <w:highlight w:val="none"/>
                <w:lang w:eastAsia="zh-CN"/>
              </w:rPr>
            </w:pPr>
            <w:r>
              <w:rPr>
                <w:rFonts w:hint="eastAsia"/>
                <w:color w:val="auto"/>
                <w:highlight w:val="none"/>
                <w:lang w:eastAsia="zh-CN"/>
              </w:rPr>
              <w:t>最近距离</w:t>
            </w:r>
          </w:p>
        </w:tc>
        <w:tc>
          <w:tcPr>
            <w:tcW w:w="4716" w:type="dxa"/>
            <w:vMerge w:val="continue"/>
            <w:tcBorders>
              <w:top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shd w:val="clear" w:color="auto" w:fill="auto"/>
            <w:vAlign w:val="center"/>
          </w:tcPr>
          <w:p>
            <w:pPr>
              <w:pStyle w:val="22"/>
              <w:bidi w:val="0"/>
              <w:rPr>
                <w:rFonts w:hint="eastAsia"/>
                <w:color w:val="auto"/>
                <w:highlight w:val="none"/>
              </w:rPr>
            </w:pPr>
            <w:r>
              <w:rPr>
                <w:rFonts w:hint="eastAsia"/>
                <w:color w:val="auto"/>
                <w:highlight w:val="none"/>
              </w:rPr>
              <w:t>生态环境及其他</w:t>
            </w:r>
          </w:p>
        </w:tc>
        <w:tc>
          <w:tcPr>
            <w:tcW w:w="1639" w:type="dxa"/>
            <w:gridSpan w:val="2"/>
            <w:vMerge w:val="restart"/>
            <w:shd w:val="clear" w:color="auto" w:fill="auto"/>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五峰山国家森林公园</w:t>
            </w:r>
          </w:p>
        </w:tc>
        <w:tc>
          <w:tcPr>
            <w:tcW w:w="1640" w:type="dxa"/>
            <w:gridSpan w:val="2"/>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蒲包山片区</w:t>
            </w:r>
          </w:p>
        </w:tc>
        <w:tc>
          <w:tcPr>
            <w:tcW w:w="2680" w:type="dxa"/>
            <w:shd w:val="clear" w:color="auto" w:fill="auto"/>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shd w:val="clear" w:color="auto" w:fill="auto"/>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西侧紧邻</w:t>
            </w:r>
          </w:p>
        </w:tc>
        <w:tc>
          <w:tcPr>
            <w:tcW w:w="4716" w:type="dxa"/>
            <w:vMerge w:val="restart"/>
            <w:shd w:val="clear" w:color="auto" w:fill="auto"/>
            <w:vAlign w:val="center"/>
          </w:tcPr>
          <w:p>
            <w:pPr>
              <w:pStyle w:val="22"/>
              <w:bidi w:val="0"/>
              <w:rPr>
                <w:rFonts w:hint="eastAsia"/>
                <w:color w:val="auto"/>
                <w:highlight w:val="none"/>
              </w:rPr>
            </w:pPr>
            <w:r>
              <w:rPr>
                <w:color w:val="auto"/>
                <w:highlight w:val="none"/>
              </w:rPr>
              <w:t>不改变区域生态功能，使本次规划对当地生态系统的影响在可接受范围内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shd w:val="clear" w:color="auto" w:fill="auto"/>
            <w:vAlign w:val="center"/>
          </w:tcPr>
          <w:p>
            <w:pPr>
              <w:pStyle w:val="22"/>
              <w:bidi w:val="0"/>
              <w:rPr>
                <w:rFonts w:hint="eastAsia"/>
                <w:color w:val="auto"/>
                <w:highlight w:val="none"/>
              </w:rPr>
            </w:pPr>
          </w:p>
        </w:tc>
        <w:tc>
          <w:tcPr>
            <w:tcW w:w="1639" w:type="dxa"/>
            <w:gridSpan w:val="2"/>
            <w:vMerge w:val="continue"/>
            <w:shd w:val="clear" w:color="auto" w:fill="auto"/>
            <w:vAlign w:val="center"/>
          </w:tcPr>
          <w:p>
            <w:pPr>
              <w:pStyle w:val="22"/>
              <w:bidi w:val="0"/>
              <w:ind w:left="0" w:leftChars="0" w:right="0" w:rightChars="0" w:firstLine="0" w:firstLineChars="0"/>
              <w:rPr>
                <w:rFonts w:hint="eastAsia"/>
                <w:color w:val="auto"/>
                <w:highlight w:val="none"/>
                <w:lang w:eastAsia="zh-CN"/>
              </w:rPr>
            </w:pPr>
          </w:p>
        </w:tc>
        <w:tc>
          <w:tcPr>
            <w:tcW w:w="1640" w:type="dxa"/>
            <w:gridSpan w:val="2"/>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乌木湖片区</w:t>
            </w:r>
          </w:p>
        </w:tc>
        <w:tc>
          <w:tcPr>
            <w:tcW w:w="2680"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val="en-US" w:eastAsia="zh-CN"/>
              </w:rPr>
              <w:t>西北侧820m</w:t>
            </w:r>
          </w:p>
        </w:tc>
        <w:tc>
          <w:tcPr>
            <w:tcW w:w="4716" w:type="dxa"/>
            <w:vMerge w:val="continue"/>
            <w:shd w:val="clear" w:color="auto" w:fill="auto"/>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shd w:val="clear" w:color="auto" w:fill="auto"/>
            <w:vAlign w:val="center"/>
          </w:tcPr>
          <w:p>
            <w:pPr>
              <w:pStyle w:val="22"/>
              <w:bidi w:val="0"/>
              <w:rPr>
                <w:rFonts w:hint="eastAsia"/>
                <w:color w:val="auto"/>
                <w:highlight w:val="none"/>
              </w:rPr>
            </w:pPr>
          </w:p>
        </w:tc>
        <w:tc>
          <w:tcPr>
            <w:tcW w:w="1639" w:type="dxa"/>
            <w:gridSpan w:val="2"/>
            <w:vMerge w:val="continue"/>
            <w:shd w:val="clear" w:color="auto" w:fill="auto"/>
            <w:vAlign w:val="center"/>
          </w:tcPr>
          <w:p>
            <w:pPr>
              <w:pStyle w:val="22"/>
              <w:bidi w:val="0"/>
              <w:ind w:left="0" w:leftChars="0" w:right="0" w:rightChars="0" w:firstLine="0" w:firstLineChars="0"/>
              <w:rPr>
                <w:rFonts w:hint="eastAsia"/>
                <w:color w:val="auto"/>
                <w:highlight w:val="none"/>
                <w:lang w:eastAsia="zh-CN"/>
              </w:rPr>
            </w:pPr>
          </w:p>
        </w:tc>
        <w:tc>
          <w:tcPr>
            <w:tcW w:w="1640" w:type="dxa"/>
            <w:gridSpan w:val="2"/>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五峰山片区</w:t>
            </w:r>
          </w:p>
        </w:tc>
        <w:tc>
          <w:tcPr>
            <w:tcW w:w="2680"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西侧</w:t>
            </w:r>
            <w:r>
              <w:rPr>
                <w:rFonts w:hint="eastAsia"/>
                <w:color w:val="auto"/>
                <w:highlight w:val="none"/>
                <w:lang w:val="en-US" w:eastAsia="zh-CN"/>
              </w:rPr>
              <w:t>1.49km</w:t>
            </w:r>
          </w:p>
        </w:tc>
        <w:tc>
          <w:tcPr>
            <w:tcW w:w="4716" w:type="dxa"/>
            <w:vMerge w:val="continue"/>
            <w:shd w:val="clear" w:color="auto" w:fill="auto"/>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shd w:val="clear" w:color="auto" w:fill="auto"/>
            <w:vAlign w:val="center"/>
          </w:tcPr>
          <w:p>
            <w:pPr>
              <w:pStyle w:val="22"/>
              <w:bidi w:val="0"/>
              <w:rPr>
                <w:color w:val="auto"/>
                <w:highlight w:val="none"/>
              </w:rPr>
            </w:pPr>
          </w:p>
        </w:tc>
        <w:tc>
          <w:tcPr>
            <w:tcW w:w="3279" w:type="dxa"/>
            <w:gridSpan w:val="4"/>
            <w:tcBorders>
              <w:top w:val="nil"/>
            </w:tcBorders>
            <w:shd w:val="clear" w:color="auto" w:fill="auto"/>
            <w:vAlign w:val="center"/>
          </w:tcPr>
          <w:p>
            <w:pPr>
              <w:pStyle w:val="22"/>
              <w:bidi w:val="0"/>
              <w:rPr>
                <w:rFonts w:hint="eastAsia" w:eastAsia="宋体"/>
                <w:color w:val="auto"/>
                <w:highlight w:val="none"/>
                <w:lang w:eastAsia="zh-CN"/>
              </w:rPr>
            </w:pPr>
            <w:r>
              <w:rPr>
                <w:rFonts w:hint="eastAsia"/>
                <w:color w:val="auto"/>
                <w:highlight w:val="none"/>
                <w:lang w:eastAsia="zh-CN"/>
              </w:rPr>
              <w:t>百岛湖省级湿地公园</w:t>
            </w:r>
          </w:p>
        </w:tc>
        <w:tc>
          <w:tcPr>
            <w:tcW w:w="2680" w:type="dxa"/>
            <w:shd w:val="clear" w:color="auto" w:fill="auto"/>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shd w:val="clear" w:color="auto" w:fill="auto"/>
            <w:vAlign w:val="center"/>
          </w:tcPr>
          <w:p>
            <w:pPr>
              <w:pStyle w:val="22"/>
              <w:bidi w:val="0"/>
              <w:rPr>
                <w:rFonts w:hint="default" w:eastAsia="宋体"/>
                <w:color w:val="auto"/>
                <w:highlight w:val="none"/>
                <w:lang w:val="en-US" w:eastAsia="zh-CN"/>
              </w:rPr>
            </w:pPr>
            <w:r>
              <w:rPr>
                <w:rFonts w:hint="eastAsia"/>
                <w:color w:val="auto"/>
                <w:highlight w:val="none"/>
                <w:lang w:eastAsia="zh-CN"/>
              </w:rPr>
              <w:t>北侧</w:t>
            </w:r>
            <w:r>
              <w:rPr>
                <w:rFonts w:hint="eastAsia"/>
                <w:color w:val="auto"/>
                <w:highlight w:val="none"/>
                <w:lang w:val="en-US" w:eastAsia="zh-CN"/>
              </w:rPr>
              <w:t>500m</w:t>
            </w:r>
          </w:p>
        </w:tc>
        <w:tc>
          <w:tcPr>
            <w:tcW w:w="4716" w:type="dxa"/>
            <w:tcBorders>
              <w:top w:val="nil"/>
            </w:tcBorders>
            <w:shd w:val="clear" w:color="auto" w:fill="auto"/>
            <w:vAlign w:val="center"/>
          </w:tcPr>
          <w:p>
            <w:pPr>
              <w:pStyle w:val="22"/>
              <w:bidi w:val="0"/>
              <w:rPr>
                <w:color w:val="auto"/>
                <w:highlight w:val="none"/>
              </w:rPr>
            </w:pPr>
            <w:r>
              <w:rPr>
                <w:color w:val="auto"/>
                <w:highlight w:val="none"/>
              </w:rPr>
              <w:t>不改变区域生态功能，使本次规划对当地生态系统的影响在可接受范围内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shd w:val="clear" w:color="auto" w:fill="auto"/>
            <w:vAlign w:val="center"/>
          </w:tcPr>
          <w:p>
            <w:pPr>
              <w:pStyle w:val="22"/>
              <w:bidi w:val="0"/>
              <w:rPr>
                <w:color w:val="auto"/>
                <w:highlight w:val="none"/>
              </w:rPr>
            </w:pPr>
          </w:p>
        </w:tc>
        <w:tc>
          <w:tcPr>
            <w:tcW w:w="3279" w:type="dxa"/>
            <w:gridSpan w:val="4"/>
            <w:tcBorders>
              <w:top w:val="nil"/>
            </w:tcBorders>
            <w:shd w:val="clear" w:color="auto" w:fill="auto"/>
            <w:vAlign w:val="center"/>
          </w:tcPr>
          <w:p>
            <w:pPr>
              <w:pStyle w:val="22"/>
              <w:bidi w:val="0"/>
              <w:rPr>
                <w:rFonts w:hint="eastAsia"/>
                <w:color w:val="auto"/>
                <w:highlight w:val="none"/>
                <w:lang w:eastAsia="zh-CN"/>
              </w:rPr>
            </w:pPr>
            <w:r>
              <w:rPr>
                <w:rFonts w:hint="eastAsia"/>
                <w:color w:val="auto"/>
                <w:highlight w:val="none"/>
                <w:lang w:eastAsia="zh-CN"/>
              </w:rPr>
              <w:t>国家二级公益林</w:t>
            </w:r>
          </w:p>
        </w:tc>
        <w:tc>
          <w:tcPr>
            <w:tcW w:w="2680" w:type="dxa"/>
            <w:shd w:val="clear" w:color="auto" w:fill="auto"/>
            <w:vAlign w:val="center"/>
          </w:tcPr>
          <w:p>
            <w:pPr>
              <w:pStyle w:val="22"/>
              <w:bidi w:val="0"/>
              <w:rPr>
                <w:rFonts w:hint="eastAsia"/>
                <w:color w:val="auto"/>
                <w:highlight w:val="none"/>
                <w:lang w:eastAsia="zh-CN"/>
              </w:rPr>
            </w:pPr>
            <w:r>
              <w:rPr>
                <w:rFonts w:hint="eastAsia"/>
                <w:color w:val="auto"/>
                <w:highlight w:val="none"/>
              </w:rPr>
              <w:t>矿区范围</w:t>
            </w:r>
          </w:p>
        </w:tc>
        <w:tc>
          <w:tcPr>
            <w:tcW w:w="3289" w:type="dxa"/>
            <w:shd w:val="clear" w:color="auto" w:fill="auto"/>
            <w:vAlign w:val="center"/>
          </w:tcPr>
          <w:p>
            <w:pPr>
              <w:pStyle w:val="22"/>
              <w:bidi w:val="0"/>
              <w:rPr>
                <w:rFonts w:hint="eastAsia"/>
                <w:color w:val="auto"/>
                <w:highlight w:val="none"/>
                <w:lang w:eastAsia="zh-CN"/>
              </w:rPr>
            </w:pPr>
            <w:r>
              <w:rPr>
                <w:rFonts w:hint="eastAsia"/>
                <w:color w:val="auto"/>
                <w:highlight w:val="none"/>
                <w:lang w:eastAsia="zh-CN"/>
              </w:rPr>
              <w:t>规划范围内外均涉及</w:t>
            </w:r>
          </w:p>
        </w:tc>
        <w:tc>
          <w:tcPr>
            <w:tcW w:w="4716" w:type="dxa"/>
            <w:tcBorders>
              <w:top w:val="nil"/>
            </w:tcBorders>
            <w:shd w:val="clear" w:color="auto" w:fill="auto"/>
            <w:vAlign w:val="center"/>
          </w:tcPr>
          <w:p>
            <w:pPr>
              <w:pStyle w:val="22"/>
              <w:bidi w:val="0"/>
              <w:rPr>
                <w:rFonts w:hint="eastAsia" w:eastAsia="宋体"/>
                <w:color w:val="auto"/>
                <w:highlight w:val="none"/>
                <w:lang w:eastAsia="zh-CN"/>
              </w:rPr>
            </w:pPr>
            <w:r>
              <w:rPr>
                <w:rFonts w:hint="eastAsia"/>
                <w:color w:val="auto"/>
                <w:sz w:val="21"/>
                <w:szCs w:val="21"/>
                <w:highlight w:val="none"/>
              </w:rPr>
              <w:t>尽量减少植被破坏，降低水土流失，及时做好土地复垦和生态恢复工作</w:t>
            </w:r>
            <w:r>
              <w:rPr>
                <w:rFonts w:hint="eastAsia"/>
                <w:color w:val="auto"/>
                <w:sz w:val="21"/>
                <w:szCs w:val="21"/>
                <w:highlight w:val="none"/>
                <w:lang w:eastAsia="zh-CN"/>
              </w:rPr>
              <w:t>，不得影响整体森林生态系统功能发挥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shd w:val="clear" w:color="auto" w:fill="auto"/>
            <w:vAlign w:val="center"/>
          </w:tcPr>
          <w:p>
            <w:pPr>
              <w:pStyle w:val="22"/>
              <w:bidi w:val="0"/>
              <w:rPr>
                <w:color w:val="auto"/>
                <w:highlight w:val="none"/>
              </w:rPr>
            </w:pPr>
          </w:p>
        </w:tc>
        <w:tc>
          <w:tcPr>
            <w:tcW w:w="3279" w:type="dxa"/>
            <w:gridSpan w:val="4"/>
            <w:shd w:val="clear" w:color="auto" w:fill="auto"/>
            <w:vAlign w:val="center"/>
          </w:tcPr>
          <w:p>
            <w:pPr>
              <w:pStyle w:val="22"/>
              <w:bidi w:val="0"/>
              <w:rPr>
                <w:rFonts w:hint="eastAsia"/>
                <w:color w:val="auto"/>
                <w:highlight w:val="none"/>
              </w:rPr>
            </w:pPr>
            <w:r>
              <w:rPr>
                <w:rFonts w:hint="eastAsia"/>
                <w:color w:val="auto"/>
                <w:highlight w:val="none"/>
              </w:rPr>
              <w:t>矿区范围生态系统、土壤、植被</w:t>
            </w:r>
          </w:p>
        </w:tc>
        <w:tc>
          <w:tcPr>
            <w:tcW w:w="2680" w:type="dxa"/>
            <w:shd w:val="clear" w:color="auto" w:fill="auto"/>
            <w:vAlign w:val="center"/>
          </w:tcPr>
          <w:p>
            <w:pPr>
              <w:pStyle w:val="22"/>
              <w:bidi w:val="0"/>
              <w:rPr>
                <w:rFonts w:hint="eastAsia"/>
                <w:color w:val="auto"/>
                <w:highlight w:val="none"/>
              </w:rPr>
            </w:pPr>
            <w:r>
              <w:rPr>
                <w:rFonts w:hint="eastAsia"/>
                <w:color w:val="auto"/>
                <w:highlight w:val="none"/>
              </w:rPr>
              <w:t>矿区范围</w:t>
            </w:r>
          </w:p>
        </w:tc>
        <w:tc>
          <w:tcPr>
            <w:tcW w:w="3289" w:type="dxa"/>
            <w:shd w:val="clear" w:color="auto" w:fill="auto"/>
            <w:vAlign w:val="center"/>
          </w:tcPr>
          <w:p>
            <w:pPr>
              <w:pStyle w:val="22"/>
              <w:bidi w:val="0"/>
              <w:rPr>
                <w:rFonts w:hint="default" w:eastAsia="宋体"/>
                <w:color w:val="auto"/>
                <w:highlight w:val="none"/>
                <w:lang w:val="en-US" w:eastAsia="zh-CN"/>
              </w:rPr>
            </w:pPr>
            <w:r>
              <w:rPr>
                <w:rFonts w:hint="eastAsia"/>
                <w:color w:val="auto"/>
                <w:highlight w:val="none"/>
                <w:lang w:eastAsia="zh-CN"/>
              </w:rPr>
              <w:t>规划区及外扩</w:t>
            </w:r>
            <w:r>
              <w:rPr>
                <w:rFonts w:hint="eastAsia"/>
                <w:color w:val="auto"/>
                <w:highlight w:val="none"/>
                <w:lang w:val="en-US" w:eastAsia="zh-CN"/>
              </w:rPr>
              <w:t>1km范围</w:t>
            </w:r>
          </w:p>
        </w:tc>
        <w:tc>
          <w:tcPr>
            <w:tcW w:w="4716" w:type="dxa"/>
            <w:shd w:val="clear" w:color="auto" w:fill="auto"/>
            <w:vAlign w:val="center"/>
          </w:tcPr>
          <w:p>
            <w:pPr>
              <w:pStyle w:val="22"/>
              <w:bidi w:val="0"/>
              <w:rPr>
                <w:rFonts w:hint="eastAsia"/>
                <w:color w:val="auto"/>
                <w:highlight w:val="none"/>
              </w:rPr>
            </w:pPr>
            <w:r>
              <w:rPr>
                <w:rFonts w:hint="eastAsia"/>
                <w:color w:val="auto"/>
                <w:highlight w:val="none"/>
              </w:rPr>
              <w:t>防止矿区煤炭开采地表沉陷（挖损）、固体废物堆存对矿区范围内植被大面积破坏；加强地表沉陷的治理和固体废物的合理处置与综合利用，保证区域生态功能不退化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地表水</w:t>
            </w: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东柳河支、干流水系</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干流自南向西于规划区东北角穿越，部分支流水系在规划区范围内</w:t>
            </w:r>
          </w:p>
        </w:tc>
        <w:tc>
          <w:tcPr>
            <w:tcW w:w="4716" w:type="dxa"/>
            <w:vMerge w:val="restart"/>
            <w:vAlign w:val="center"/>
          </w:tcPr>
          <w:p>
            <w:pPr>
              <w:pStyle w:val="22"/>
              <w:bidi w:val="0"/>
              <w:rPr>
                <w:rFonts w:hint="eastAsia" w:eastAsia="宋体"/>
                <w:color w:val="auto"/>
                <w:highlight w:val="none"/>
                <w:lang w:eastAsia="zh-CN"/>
              </w:rPr>
            </w:pPr>
            <w:r>
              <w:rPr>
                <w:rFonts w:hint="eastAsia"/>
                <w:color w:val="auto"/>
                <w:highlight w:val="none"/>
              </w:rPr>
              <w:t>留设保护煤柱，确保水域水体功能、水量不受矿区开发影响</w:t>
            </w:r>
            <w:r>
              <w:rPr>
                <w:rFonts w:hint="eastAsia"/>
                <w:color w:val="auto"/>
                <w:highlight w:val="none"/>
                <w:lang w:eastAsia="zh-CN"/>
              </w:rPr>
              <w:t>，保护饮用水水源安全，矿权范围均不涉及饮用水水源地取水口及保护区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lang w:eastAsia="zh-CN"/>
              </w:rPr>
              <w:t>冒水眼水库（村镇饮用水源地）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2.3km，距保护区1.9km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铁峰水库（村镇饮用水源地）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2.9km，距保护区2.6km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龙王庙河古耳寺（村镇饮用水源地）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及保护区250m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朱家沟倒桥儿（村镇饮用水源地）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80m，距保护区20m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拱桥坝水库（村镇饮用水源地）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750m，距保护区380m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default"/>
                <w:color w:val="auto"/>
                <w:highlight w:val="none"/>
                <w:lang w:val="en-US" w:eastAsia="zh-CN"/>
              </w:rPr>
            </w:pPr>
            <w:r>
              <w:rPr>
                <w:rFonts w:hint="eastAsia"/>
                <w:color w:val="auto"/>
                <w:highlight w:val="none"/>
                <w:lang w:val="en-US" w:eastAsia="zh-CN"/>
              </w:rPr>
              <w:t>煤炭沟徐家老屋</w:t>
            </w:r>
            <w:r>
              <w:rPr>
                <w:rFonts w:hint="eastAsia"/>
                <w:color w:val="auto"/>
                <w:highlight w:val="none"/>
                <w:lang w:eastAsia="zh-CN"/>
              </w:rPr>
              <w:t>（村镇饮用水源地）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2.6km，距保护区1.9km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半边街水库（村镇饮用水源地）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1.4km，距保护区1.2km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清水河陈家沟（村镇饮用水源地）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430m，距保护区350m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龙潭水库（县城饮用水水源地）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5.4km，部分准保护区在规划区范围内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黄滩河支、干流水系</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西侧</w:t>
            </w:r>
            <w:r>
              <w:rPr>
                <w:rFonts w:hint="eastAsia"/>
                <w:color w:val="auto"/>
                <w:highlight w:val="none"/>
                <w:lang w:val="en-US" w:eastAsia="zh-CN"/>
              </w:rPr>
              <w:t>1.4km为干流、部分支流水系在规划区范围内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刘家坝水库（村镇饮用水源地）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560m</w:t>
            </w:r>
            <w:r>
              <w:rPr>
                <w:rFonts w:hint="eastAsia"/>
                <w:color w:val="auto"/>
                <w:highlight w:val="none"/>
                <w:lang w:eastAsia="zh-CN"/>
              </w:rPr>
              <w:t>，一级保护区及部分二级保护区在规划区范围内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钟家沟（村镇饮用水源地）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340m，距保护区250m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乌木镇广子村水源地（村镇饮用水源地）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取水口、一级保护区及二级保护区均在规划区范围内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平桥水库（村镇饮用水源地）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500m，距保护区270m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青滩子水库（村镇饮用水源地）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1.38km，距保护区880m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兰家槽七吊钱（村镇饮用水源地）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距取水口及保护区</w:t>
            </w:r>
            <w:r>
              <w:rPr>
                <w:rFonts w:hint="eastAsia"/>
                <w:color w:val="auto"/>
                <w:highlight w:val="none"/>
                <w:lang w:val="en-US" w:eastAsia="zh-CN"/>
              </w:rPr>
              <w:t>380m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老龙洞水库（村镇饮用水源地）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1.9km，距保护区1.38km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乌木滩水库（县城饮用水水源地）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2.8km，距保护区160m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同心桥水库（灌溉、防洪、发电）</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东侧</w:t>
            </w:r>
            <w:r>
              <w:rPr>
                <w:rFonts w:hint="eastAsia"/>
                <w:color w:val="auto"/>
                <w:highlight w:val="none"/>
                <w:lang w:val="en-US" w:eastAsia="zh-CN"/>
              </w:rPr>
              <w:t>125m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铜钵河（包括平滩河）支、干流</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西北侧</w:t>
            </w:r>
            <w:r>
              <w:rPr>
                <w:rFonts w:hint="eastAsia"/>
                <w:color w:val="auto"/>
                <w:highlight w:val="none"/>
                <w:lang w:val="en-US" w:eastAsia="zh-CN"/>
              </w:rPr>
              <w:t>3.3km为干流、部分支流水系在规划区范围内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东河支、干流</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西侧</w:t>
            </w:r>
            <w:r>
              <w:rPr>
                <w:rFonts w:hint="eastAsia"/>
                <w:color w:val="auto"/>
                <w:highlight w:val="none"/>
                <w:lang w:val="en-US" w:eastAsia="zh-CN"/>
              </w:rPr>
              <w:t>800m为干流、部分支流水系在规划区范围内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九龙水库（村镇饮用水源地）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2.0km，距保护区1.18km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猫儿沟（村镇饮用水源地）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距取水口及保护区</w:t>
            </w:r>
            <w:r>
              <w:rPr>
                <w:rFonts w:hint="eastAsia"/>
                <w:color w:val="auto"/>
                <w:highlight w:val="none"/>
                <w:lang w:val="en-US" w:eastAsia="zh-CN"/>
              </w:rPr>
              <w:t>2.6km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八渡乡花岩村饮用水源地（村镇饮用水源地）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110m，紧邻保护区（二级保护区）</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天城镇李子村饮用水源地（村镇饮用水源地）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取水口、部分一级保护区及部分二级保护区均在规划区范围内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地下水</w:t>
            </w:r>
          </w:p>
        </w:tc>
        <w:tc>
          <w:tcPr>
            <w:tcW w:w="3279" w:type="dxa"/>
            <w:gridSpan w:val="4"/>
            <w:vAlign w:val="center"/>
          </w:tcPr>
          <w:p>
            <w:pPr>
              <w:pStyle w:val="22"/>
              <w:bidi w:val="0"/>
              <w:rPr>
                <w:rFonts w:hint="eastAsia"/>
                <w:color w:val="auto"/>
                <w:highlight w:val="none"/>
              </w:rPr>
            </w:pPr>
            <w:r>
              <w:rPr>
                <w:rFonts w:hint="eastAsia"/>
                <w:color w:val="auto"/>
                <w:highlight w:val="none"/>
              </w:rPr>
              <w:t>第四系孔隙潜水中等</w:t>
            </w:r>
            <w:r>
              <w:rPr>
                <w:color w:val="auto"/>
                <w:highlight w:val="none"/>
              </w:rPr>
              <w:t>‐</w:t>
            </w:r>
            <w:r>
              <w:rPr>
                <w:rFonts w:hint="eastAsia"/>
                <w:color w:val="auto"/>
                <w:highlight w:val="none"/>
              </w:rPr>
              <w:t>强</w:t>
            </w:r>
          </w:p>
          <w:p>
            <w:pPr>
              <w:pStyle w:val="22"/>
              <w:bidi w:val="0"/>
              <w:rPr>
                <w:rFonts w:hint="eastAsia"/>
                <w:color w:val="auto"/>
                <w:highlight w:val="none"/>
              </w:rPr>
            </w:pPr>
            <w:r>
              <w:rPr>
                <w:rFonts w:hint="eastAsia"/>
                <w:color w:val="auto"/>
                <w:highlight w:val="none"/>
              </w:rPr>
              <w:t>富水含水层</w:t>
            </w:r>
          </w:p>
        </w:tc>
        <w:tc>
          <w:tcPr>
            <w:tcW w:w="5969" w:type="dxa"/>
            <w:gridSpan w:val="2"/>
            <w:vAlign w:val="center"/>
          </w:tcPr>
          <w:p>
            <w:pPr>
              <w:pStyle w:val="22"/>
              <w:bidi w:val="0"/>
              <w:rPr>
                <w:rFonts w:hint="eastAsia"/>
                <w:color w:val="auto"/>
                <w:highlight w:val="none"/>
              </w:rPr>
            </w:pPr>
            <w:r>
              <w:rPr>
                <w:rFonts w:hint="eastAsia"/>
                <w:color w:val="auto"/>
                <w:highlight w:val="none"/>
              </w:rPr>
              <w:t>矿区范围及地下水补径排关系密切的区域</w:t>
            </w:r>
          </w:p>
        </w:tc>
        <w:tc>
          <w:tcPr>
            <w:tcW w:w="4716" w:type="dxa"/>
            <w:vAlign w:val="center"/>
          </w:tcPr>
          <w:p>
            <w:pPr>
              <w:pStyle w:val="22"/>
              <w:bidi w:val="0"/>
              <w:rPr>
                <w:rFonts w:hint="eastAsia"/>
                <w:color w:val="auto"/>
                <w:highlight w:val="none"/>
              </w:rPr>
            </w:pPr>
            <w:r>
              <w:rPr>
                <w:rFonts w:hint="eastAsia"/>
                <w:color w:val="auto"/>
                <w:highlight w:val="none"/>
              </w:rPr>
              <w:t>尽量减少矿区开发对地下水资源的影响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高口滩（村镇饮用水源地）</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rPr>
            </w:pPr>
            <w:r>
              <w:rPr>
                <w:rFonts w:hint="eastAsia"/>
                <w:color w:val="auto"/>
                <w:highlight w:val="none"/>
                <w:lang w:eastAsia="zh-CN"/>
              </w:rPr>
              <w:t>取水口、一级保护区均在规划区范围内</w:t>
            </w:r>
          </w:p>
        </w:tc>
        <w:tc>
          <w:tcPr>
            <w:tcW w:w="4716" w:type="dxa"/>
            <w:vMerge w:val="restart"/>
            <w:vAlign w:val="center"/>
          </w:tcPr>
          <w:p>
            <w:pPr>
              <w:pStyle w:val="22"/>
              <w:bidi w:val="0"/>
              <w:rPr>
                <w:rFonts w:hint="eastAsia"/>
                <w:color w:val="auto"/>
                <w:highlight w:val="none"/>
              </w:rPr>
            </w:pPr>
            <w:r>
              <w:rPr>
                <w:rFonts w:hint="eastAsia"/>
                <w:color w:val="auto"/>
                <w:highlight w:val="none"/>
                <w:lang w:eastAsia="zh-CN"/>
              </w:rPr>
              <w:t>保护饮用水水源安全，矿权范围均不涉及饮用水水源地取水口及保护区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lang w:eastAsia="zh-CN"/>
              </w:rPr>
              <w:t>青云洞（村镇饮用水源地）</w:t>
            </w:r>
          </w:p>
        </w:tc>
        <w:tc>
          <w:tcPr>
            <w:tcW w:w="2680" w:type="dxa"/>
            <w:vAlign w:val="center"/>
          </w:tcPr>
          <w:p>
            <w:pPr>
              <w:pStyle w:val="22"/>
              <w:bidi w:val="0"/>
              <w:rPr>
                <w:rFonts w:hint="eastAsia"/>
                <w:color w:val="auto"/>
                <w:highlight w:val="none"/>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1.06km，距保护区770m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团坝镇赵家村水源地（村镇饮用水源地）</w:t>
            </w:r>
          </w:p>
        </w:tc>
        <w:tc>
          <w:tcPr>
            <w:tcW w:w="2680" w:type="dxa"/>
            <w:vAlign w:val="center"/>
          </w:tcPr>
          <w:p>
            <w:pPr>
              <w:pStyle w:val="22"/>
              <w:bidi w:val="0"/>
              <w:rPr>
                <w:rFonts w:hint="default"/>
                <w:color w:val="auto"/>
                <w:highlight w:val="none"/>
                <w:lang w:val="en-US"/>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eastAsia" w:eastAsia="宋体"/>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890m，距保护区600m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天城镇三元村饮用水源地（村镇饮用水源地）</w:t>
            </w:r>
          </w:p>
        </w:tc>
        <w:tc>
          <w:tcPr>
            <w:tcW w:w="2680" w:type="dxa"/>
            <w:vAlign w:val="center"/>
          </w:tcPr>
          <w:p>
            <w:pPr>
              <w:pStyle w:val="22"/>
              <w:bidi w:val="0"/>
              <w:rPr>
                <w:rFonts w:hint="eastAsia"/>
                <w:color w:val="auto"/>
                <w:highlight w:val="none"/>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1.7km，距保护区1.4km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环境空气</w:t>
            </w:r>
          </w:p>
        </w:tc>
        <w:tc>
          <w:tcPr>
            <w:tcW w:w="3279" w:type="dxa"/>
            <w:gridSpan w:val="4"/>
            <w:vAlign w:val="center"/>
          </w:tcPr>
          <w:p>
            <w:pPr>
              <w:pStyle w:val="22"/>
              <w:bidi w:val="0"/>
              <w:rPr>
                <w:rFonts w:hint="default"/>
                <w:color w:val="auto"/>
                <w:highlight w:val="none"/>
                <w:lang w:val="en-US" w:eastAsia="zh-CN"/>
              </w:rPr>
            </w:pPr>
            <w:r>
              <w:rPr>
                <w:rFonts w:hint="eastAsia"/>
                <w:color w:val="auto"/>
                <w:highlight w:val="none"/>
                <w:lang w:val="en-US" w:eastAsia="zh-CN"/>
              </w:rPr>
              <w:t>柏林镇（主要是场镇、观音村、洪河村、白马村）</w:t>
            </w:r>
          </w:p>
        </w:tc>
        <w:tc>
          <w:tcPr>
            <w:tcW w:w="2680" w:type="dxa"/>
            <w:vAlign w:val="center"/>
          </w:tcPr>
          <w:p>
            <w:pPr>
              <w:pStyle w:val="22"/>
              <w:bidi w:val="0"/>
              <w:rPr>
                <w:rFonts w:hint="eastAsia"/>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restart"/>
            <w:vAlign w:val="center"/>
          </w:tcPr>
          <w:p>
            <w:pPr>
              <w:pStyle w:val="22"/>
              <w:bidi w:val="0"/>
              <w:rPr>
                <w:rFonts w:hint="eastAsia"/>
                <w:color w:val="auto"/>
                <w:highlight w:val="none"/>
                <w:lang w:eastAsia="zh-CN"/>
              </w:rPr>
            </w:pPr>
            <w:r>
              <w:rPr>
                <w:rFonts w:hint="eastAsia"/>
                <w:color w:val="auto"/>
                <w:highlight w:val="none"/>
                <w:lang w:eastAsia="zh-CN"/>
              </w:rPr>
              <w:t>规划区范围内</w:t>
            </w:r>
          </w:p>
        </w:tc>
        <w:tc>
          <w:tcPr>
            <w:tcW w:w="4716" w:type="dxa"/>
            <w:vMerge w:val="restart"/>
            <w:vAlign w:val="center"/>
          </w:tcPr>
          <w:p>
            <w:pPr>
              <w:pStyle w:val="22"/>
              <w:bidi w:val="0"/>
              <w:rPr>
                <w:rFonts w:hint="eastAsia" w:eastAsia="宋体"/>
                <w:color w:val="auto"/>
                <w:highlight w:val="none"/>
                <w:lang w:eastAsia="zh-CN"/>
              </w:rPr>
            </w:pPr>
            <w:r>
              <w:rPr>
                <w:color w:val="auto"/>
                <w:highlight w:val="none"/>
              </w:rPr>
              <w:t>规划范围内大气污染物达标排放，保护区域环境空气</w:t>
            </w:r>
            <w:r>
              <w:rPr>
                <w:rFonts w:hint="eastAsia"/>
                <w:color w:val="auto"/>
                <w:highlight w:val="none"/>
                <w:lang w:eastAsia="zh-CN"/>
              </w:rPr>
              <w:t>质量</w:t>
            </w:r>
            <w:r>
              <w:rPr>
                <w:color w:val="auto"/>
                <w:highlight w:val="none"/>
              </w:rPr>
              <w:t>满足《环境空气质量标准》（GB3095-2012）二级标准要求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清河镇（主要是快活村、龙洞坝村、铁峰村、沙坝村、万里坪村）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清水镇（主要是偏岩村、何家村）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杨家镇（主要是龙台村、安山村、群英村、皂角村）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庙坝镇（主要是黑水村、长乐村、老场村、跃进村）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黄家乡（主要是红岭村）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中华乡（主要是中华村、桂花村）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乌木镇（主要是乌木村、广子村）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石桥铺镇（主要是指挥村、锁石村）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高穴镇（主要是荣华村、清滩村、月光村）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团坝镇（主要是场镇、大河村、赵家村、白坝村、新生村）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中和乡（主要是场镇、狮子村、牛心村、清凉村）</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永胜乡（主要是茨竹村、光明村）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新生乡（主要是高兴村、铁板村、工农村）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周家镇（主要是八角村、月岩村、龙虎村、龙头村、西河村）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黄滩乡（主要是汇水村）</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白坝乡（主要是高河村）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观音镇（主要是河石村）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天城镇（主要是场镇、龙滩村、李子村、天池村）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八渡乡（主要是华兴村、花岩村）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各矿井工业场地周边居民聚居点</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各矿段</w:t>
            </w:r>
          </w:p>
        </w:tc>
        <w:tc>
          <w:tcPr>
            <w:tcW w:w="3289" w:type="dxa"/>
            <w:vMerge w:val="continue"/>
            <w:tcBorders>
              <w:bottom w:val="single" w:color="auto" w:sz="4" w:space="0"/>
            </w:tcBorders>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达州市百岛湖职业技术学校</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tcBorders>
              <w:top w:val="single" w:color="auto" w:sz="4" w:space="0"/>
            </w:tcBorders>
            <w:vAlign w:val="center"/>
          </w:tcPr>
          <w:p>
            <w:pPr>
              <w:pStyle w:val="22"/>
              <w:bidi w:val="0"/>
              <w:rPr>
                <w:rFonts w:hint="default"/>
                <w:color w:val="auto"/>
                <w:highlight w:val="none"/>
                <w:lang w:val="en-US" w:eastAsia="zh-CN"/>
              </w:rPr>
            </w:pPr>
            <w:r>
              <w:rPr>
                <w:rFonts w:hint="eastAsia"/>
                <w:color w:val="auto"/>
                <w:highlight w:val="none"/>
                <w:lang w:eastAsia="zh-CN"/>
              </w:rPr>
              <w:t>北侧</w:t>
            </w:r>
            <w:r>
              <w:rPr>
                <w:rFonts w:hint="eastAsia"/>
                <w:color w:val="auto"/>
                <w:highlight w:val="none"/>
                <w:lang w:val="en-US" w:eastAsia="zh-CN"/>
              </w:rPr>
              <w:t>470m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1747" w:type="dxa"/>
            <w:gridSpan w:val="3"/>
            <w:vMerge w:val="restart"/>
            <w:vAlign w:val="center"/>
          </w:tcPr>
          <w:p>
            <w:pPr>
              <w:pStyle w:val="22"/>
              <w:bidi w:val="0"/>
              <w:rPr>
                <w:rFonts w:hint="eastAsia"/>
                <w:color w:val="auto"/>
                <w:highlight w:val="none"/>
                <w:lang w:eastAsia="zh-CN"/>
              </w:rPr>
            </w:pPr>
            <w:r>
              <w:rPr>
                <w:rFonts w:hint="eastAsia"/>
                <w:color w:val="auto"/>
                <w:highlight w:val="none"/>
                <w:lang w:eastAsia="zh-CN"/>
              </w:rPr>
              <w:t>五峰山国家森林公园</w:t>
            </w:r>
          </w:p>
        </w:tc>
        <w:tc>
          <w:tcPr>
            <w:tcW w:w="1532" w:type="dxa"/>
            <w:vAlign w:val="center"/>
          </w:tcPr>
          <w:p>
            <w:pPr>
              <w:pStyle w:val="22"/>
              <w:bidi w:val="0"/>
              <w:rPr>
                <w:rFonts w:hint="eastAsia"/>
                <w:color w:val="auto"/>
                <w:highlight w:val="none"/>
                <w:lang w:eastAsia="zh-CN"/>
              </w:rPr>
            </w:pPr>
            <w:r>
              <w:rPr>
                <w:rFonts w:hint="eastAsia"/>
                <w:color w:val="auto"/>
                <w:highlight w:val="none"/>
                <w:lang w:eastAsia="zh-CN"/>
              </w:rPr>
              <w:t>蒲包山片区</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西侧紧邻</w:t>
            </w:r>
          </w:p>
        </w:tc>
        <w:tc>
          <w:tcPr>
            <w:tcW w:w="4716" w:type="dxa"/>
            <w:vMerge w:val="restart"/>
            <w:vAlign w:val="center"/>
          </w:tcPr>
          <w:p>
            <w:pPr>
              <w:pStyle w:val="22"/>
              <w:bidi w:val="0"/>
              <w:rPr>
                <w:rFonts w:hint="eastAsia"/>
                <w:color w:val="auto"/>
                <w:highlight w:val="none"/>
              </w:rPr>
            </w:pPr>
            <w:r>
              <w:rPr>
                <w:color w:val="auto"/>
                <w:highlight w:val="none"/>
              </w:rPr>
              <w:t>规划范围内大气污染物达标排放，保护区域环境空气</w:t>
            </w:r>
            <w:r>
              <w:rPr>
                <w:rFonts w:hint="eastAsia"/>
                <w:color w:val="auto"/>
                <w:highlight w:val="none"/>
                <w:lang w:eastAsia="zh-CN"/>
              </w:rPr>
              <w:t>质量</w:t>
            </w:r>
            <w:r>
              <w:rPr>
                <w:color w:val="auto"/>
                <w:highlight w:val="none"/>
              </w:rPr>
              <w:t>满足《环境空气质量标准》（GB3095-2012）</w:t>
            </w:r>
            <w:r>
              <w:rPr>
                <w:rFonts w:hint="eastAsia"/>
                <w:color w:val="auto"/>
                <w:highlight w:val="none"/>
                <w:lang w:eastAsia="zh-CN"/>
              </w:rPr>
              <w:t>一</w:t>
            </w:r>
            <w:r>
              <w:rPr>
                <w:color w:val="auto"/>
                <w:highlight w:val="none"/>
              </w:rPr>
              <w:t>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1747" w:type="dxa"/>
            <w:gridSpan w:val="3"/>
            <w:vMerge w:val="continue"/>
            <w:vAlign w:val="center"/>
          </w:tcPr>
          <w:p>
            <w:pPr>
              <w:pStyle w:val="22"/>
              <w:bidi w:val="0"/>
              <w:rPr>
                <w:rFonts w:hint="eastAsia"/>
                <w:color w:val="auto"/>
                <w:highlight w:val="none"/>
                <w:lang w:eastAsia="zh-CN"/>
              </w:rPr>
            </w:pPr>
          </w:p>
        </w:tc>
        <w:tc>
          <w:tcPr>
            <w:tcW w:w="1532" w:type="dxa"/>
            <w:vAlign w:val="center"/>
          </w:tcPr>
          <w:p>
            <w:pPr>
              <w:pStyle w:val="22"/>
              <w:bidi w:val="0"/>
              <w:rPr>
                <w:rFonts w:hint="eastAsia"/>
                <w:color w:val="auto"/>
                <w:highlight w:val="none"/>
                <w:lang w:eastAsia="zh-CN"/>
              </w:rPr>
            </w:pPr>
            <w:r>
              <w:rPr>
                <w:rFonts w:hint="eastAsia"/>
                <w:color w:val="auto"/>
                <w:highlight w:val="none"/>
                <w:lang w:eastAsia="zh-CN"/>
              </w:rPr>
              <w:t>乌木湖片区</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val="en-US" w:eastAsia="zh-CN"/>
              </w:rPr>
              <w:t>西北侧820m</w:t>
            </w:r>
          </w:p>
        </w:tc>
        <w:tc>
          <w:tcPr>
            <w:tcW w:w="4716"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1747" w:type="dxa"/>
            <w:gridSpan w:val="3"/>
            <w:vMerge w:val="continue"/>
            <w:vAlign w:val="center"/>
          </w:tcPr>
          <w:p>
            <w:pPr>
              <w:pStyle w:val="22"/>
              <w:bidi w:val="0"/>
              <w:rPr>
                <w:rFonts w:hint="eastAsia"/>
                <w:color w:val="auto"/>
                <w:highlight w:val="none"/>
                <w:lang w:eastAsia="zh-CN"/>
              </w:rPr>
            </w:pPr>
          </w:p>
        </w:tc>
        <w:tc>
          <w:tcPr>
            <w:tcW w:w="1532" w:type="dxa"/>
            <w:vAlign w:val="center"/>
          </w:tcPr>
          <w:p>
            <w:pPr>
              <w:pStyle w:val="22"/>
              <w:bidi w:val="0"/>
              <w:rPr>
                <w:rFonts w:hint="eastAsia"/>
                <w:color w:val="auto"/>
                <w:highlight w:val="none"/>
                <w:lang w:eastAsia="zh-CN"/>
              </w:rPr>
            </w:pPr>
            <w:r>
              <w:rPr>
                <w:rFonts w:hint="eastAsia"/>
                <w:color w:val="auto"/>
                <w:highlight w:val="none"/>
                <w:lang w:eastAsia="zh-CN"/>
              </w:rPr>
              <w:t>五峰山片区</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西侧</w:t>
            </w:r>
            <w:r>
              <w:rPr>
                <w:rFonts w:hint="eastAsia"/>
                <w:color w:val="auto"/>
                <w:highlight w:val="none"/>
                <w:lang w:val="en-US" w:eastAsia="zh-CN"/>
              </w:rPr>
              <w:t>1.49km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379"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声环境</w:t>
            </w: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柏林镇（主要是场镇、观音村、洪河村、白马村）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restart"/>
            <w:vAlign w:val="center"/>
          </w:tcPr>
          <w:p>
            <w:pPr>
              <w:pStyle w:val="22"/>
              <w:bidi w:val="0"/>
              <w:rPr>
                <w:rFonts w:hint="default"/>
                <w:color w:val="auto"/>
                <w:highlight w:val="none"/>
                <w:lang w:val="en-US" w:eastAsia="zh-CN"/>
              </w:rPr>
            </w:pPr>
            <w:r>
              <w:rPr>
                <w:rFonts w:hint="eastAsia"/>
                <w:color w:val="auto"/>
                <w:highlight w:val="none"/>
                <w:lang w:eastAsia="zh-CN"/>
              </w:rPr>
              <w:t>矿区外扩</w:t>
            </w:r>
            <w:r>
              <w:rPr>
                <w:rFonts w:hint="eastAsia"/>
                <w:color w:val="auto"/>
                <w:highlight w:val="none"/>
                <w:lang w:val="en-US" w:eastAsia="zh-CN"/>
              </w:rPr>
              <w:t>200m范围内</w:t>
            </w:r>
          </w:p>
        </w:tc>
        <w:tc>
          <w:tcPr>
            <w:tcW w:w="4716" w:type="dxa"/>
            <w:vMerge w:val="restart"/>
            <w:vAlign w:val="center"/>
          </w:tcPr>
          <w:p>
            <w:pPr>
              <w:pStyle w:val="22"/>
              <w:bidi w:val="0"/>
              <w:rPr>
                <w:rFonts w:hint="eastAsia"/>
                <w:color w:val="auto"/>
                <w:highlight w:val="none"/>
              </w:rPr>
            </w:pPr>
            <w:r>
              <w:rPr>
                <w:rFonts w:hint="eastAsia"/>
                <w:color w:val="auto"/>
                <w:highlight w:val="none"/>
                <w:lang w:eastAsia="zh-CN"/>
              </w:rPr>
              <w:t>矿区《声环境质量标准》（GB3096—2008）</w:t>
            </w:r>
            <w:r>
              <w:rPr>
                <w:rFonts w:hint="eastAsia"/>
                <w:color w:val="auto"/>
                <w:highlight w:val="none"/>
                <w:lang w:val="en-US" w:eastAsia="zh-CN"/>
              </w:rPr>
              <w:t>2类，主要公路、铁路干线两侧边界外35m内区域为4类，主要公路、铁路干线两侧边界外35m以外农村区域为1类，确保开发利用不改变声功能区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清河镇（主要是快活村、龙洞坝村、铁峰村、沙坝村、万里坪村）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清水镇（主要是偏岩村、何家村）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杨家镇（主要是龙台村、安山村、群英村、皂角村）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庙坝镇（主要是黑水村、长乐村、老场村、跃进村）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黄家乡（主要是红岭村）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中华乡（主要是中华村、桂花村）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乌木镇（主要是乌木村、广子村）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eastAsia="宋体"/>
                <w:color w:val="auto"/>
                <w:highlight w:val="none"/>
                <w:lang w:eastAsia="zh-CN"/>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石桥铺镇（主要是指挥村、锁石村）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高穴镇（主要是荣华村、清滩村、月光村）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团坝镇（主要是场镇、大河村、赵家村、白坝村、新生村）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中和乡（主要是场镇、狮子村、牛心村、清凉村）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永胜乡（主要是茨竹村、光明村）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新生乡（主要是高兴村、铁板村、工农村）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周家镇（主要是八角村、月岩村、龙虎村、龙头村、西河村）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黄滩乡（主要是汇水村）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白坝乡（主要是高河村）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观音镇（主要是河石村）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天城镇（主要是场镇、龙滩村、李子村、天池村）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八渡乡（主要是华兴村、花岩村）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各矿井工业场地周边居民聚居点</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各矿段</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达州市百岛湖职业技术学校</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五峰山国家森林公园（蒲包山片区）</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铁路及公路</w:t>
            </w:r>
          </w:p>
        </w:tc>
        <w:tc>
          <w:tcPr>
            <w:tcW w:w="836" w:type="dxa"/>
            <w:vAlign w:val="center"/>
          </w:tcPr>
          <w:p>
            <w:pPr>
              <w:pStyle w:val="22"/>
              <w:bidi w:val="0"/>
              <w:rPr>
                <w:rFonts w:hint="eastAsia"/>
                <w:color w:val="auto"/>
                <w:highlight w:val="none"/>
              </w:rPr>
            </w:pPr>
            <w:r>
              <w:rPr>
                <w:rFonts w:hint="eastAsia"/>
                <w:color w:val="auto"/>
                <w:highlight w:val="none"/>
              </w:rPr>
              <w:t>铁路</w:t>
            </w: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西达渝高铁（尚未实施）</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中偏南部东北至西南走向穿越</w:t>
            </w:r>
          </w:p>
        </w:tc>
        <w:tc>
          <w:tcPr>
            <w:tcW w:w="4716" w:type="dxa"/>
            <w:vMerge w:val="restart"/>
            <w:vAlign w:val="center"/>
          </w:tcPr>
          <w:p>
            <w:pPr>
              <w:pStyle w:val="22"/>
              <w:bidi w:val="0"/>
              <w:rPr>
                <w:rFonts w:hint="eastAsia"/>
                <w:color w:val="auto"/>
                <w:highlight w:val="none"/>
                <w:lang w:eastAsia="zh-CN"/>
              </w:rPr>
            </w:pPr>
            <w:r>
              <w:rPr>
                <w:rFonts w:hint="eastAsia"/>
                <w:color w:val="auto"/>
                <w:highlight w:val="none"/>
              </w:rPr>
              <w:t>留设保护煤柱</w:t>
            </w:r>
            <w:r>
              <w:rPr>
                <w:rFonts w:hint="eastAsia"/>
                <w:color w:val="auto"/>
                <w:highlight w:val="none"/>
                <w:lang w:eastAsia="zh-CN"/>
              </w:rPr>
              <w:t>，</w:t>
            </w:r>
            <w:r>
              <w:rPr>
                <w:rFonts w:hint="eastAsia"/>
                <w:color w:val="auto"/>
                <w:highlight w:val="none"/>
              </w:rPr>
              <w:t>不影响正常交通</w:t>
            </w:r>
            <w:r>
              <w:rPr>
                <w:rFonts w:hint="eastAsia"/>
                <w:color w:val="auto"/>
                <w:highlight w:val="none"/>
                <w:lang w:eastAsia="zh-CN"/>
              </w:rPr>
              <w:t>和交通安全，随沉随填，涉及禁采区须避让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restart"/>
            <w:vAlign w:val="center"/>
          </w:tcPr>
          <w:p>
            <w:pPr>
              <w:pStyle w:val="22"/>
              <w:bidi w:val="0"/>
              <w:rPr>
                <w:rFonts w:hint="eastAsia"/>
                <w:color w:val="auto"/>
                <w:highlight w:val="none"/>
              </w:rPr>
            </w:pPr>
            <w:r>
              <w:rPr>
                <w:rFonts w:hint="eastAsia"/>
                <w:color w:val="auto"/>
                <w:highlight w:val="none"/>
              </w:rPr>
              <w:t>高速公路</w:t>
            </w: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南大梁高速</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大垫高速（尚未实施）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restart"/>
            <w:vAlign w:val="center"/>
          </w:tcPr>
          <w:p>
            <w:pPr>
              <w:pStyle w:val="22"/>
              <w:bidi w:val="0"/>
              <w:rPr>
                <w:rFonts w:hint="eastAsia"/>
                <w:color w:val="auto"/>
                <w:highlight w:val="none"/>
              </w:rPr>
            </w:pPr>
            <w:r>
              <w:rPr>
                <w:rFonts w:hint="eastAsia"/>
                <w:color w:val="auto"/>
                <w:highlight w:val="none"/>
              </w:rPr>
              <w:t>公路</w:t>
            </w: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国道G318</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华蓥山北段中部以东西走向穿越，中山段中偏北部以东西走向穿越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国道G210</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东南部以南北走向穿越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省道S404（尚未实施）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东北角以东南至西北走向穿越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省道S507（尚未实施）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华蓥山北段南部以东西走向穿越，中山段南部以东北至西南走向穿越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省道S508（尚未实施）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中偏南部以东西走向穿越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竹周快速路</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中部以西北至东南走向穿越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color w:val="auto"/>
                <w:highlight w:val="none"/>
              </w:rPr>
            </w:pPr>
          </w:p>
        </w:tc>
        <w:tc>
          <w:tcPr>
            <w:tcW w:w="2443" w:type="dxa"/>
            <w:gridSpan w:val="3"/>
            <w:vAlign w:val="center"/>
          </w:tcPr>
          <w:p>
            <w:pPr>
              <w:pStyle w:val="22"/>
              <w:bidi w:val="0"/>
              <w:rPr>
                <w:rFonts w:hint="eastAsia"/>
                <w:color w:val="auto"/>
                <w:highlight w:val="none"/>
                <w:lang w:eastAsia="zh-CN"/>
              </w:rPr>
            </w:pPr>
            <w:r>
              <w:rPr>
                <w:rFonts w:hint="eastAsia"/>
                <w:color w:val="auto"/>
                <w:highlight w:val="none"/>
              </w:rPr>
              <w:t>县道</w:t>
            </w:r>
            <w:r>
              <w:rPr>
                <w:rFonts w:hint="eastAsia"/>
                <w:color w:val="auto"/>
                <w:highlight w:val="none"/>
                <w:lang w:eastAsia="zh-CN"/>
              </w:rPr>
              <w:t>、乡道</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穿越</w:t>
            </w:r>
          </w:p>
        </w:tc>
        <w:tc>
          <w:tcPr>
            <w:tcW w:w="4716" w:type="dxa"/>
            <w:vAlign w:val="center"/>
          </w:tcPr>
          <w:p>
            <w:pPr>
              <w:pStyle w:val="22"/>
              <w:bidi w:val="0"/>
              <w:rPr>
                <w:rFonts w:hint="eastAsia"/>
                <w:color w:val="auto"/>
                <w:highlight w:val="none"/>
              </w:rPr>
            </w:pPr>
            <w:r>
              <w:rPr>
                <w:rFonts w:hint="eastAsia"/>
                <w:color w:val="auto"/>
                <w:highlight w:val="none"/>
              </w:rPr>
              <w:t>留设保护煤柱</w:t>
            </w:r>
            <w:r>
              <w:rPr>
                <w:rFonts w:hint="eastAsia"/>
                <w:color w:val="auto"/>
                <w:highlight w:val="none"/>
                <w:lang w:eastAsia="zh-CN"/>
              </w:rPr>
              <w:t>，</w:t>
            </w:r>
            <w:r>
              <w:rPr>
                <w:rFonts w:hint="eastAsia"/>
                <w:color w:val="auto"/>
                <w:highlight w:val="none"/>
              </w:rPr>
              <w:t>不影响正常交通</w:t>
            </w:r>
            <w:r>
              <w:rPr>
                <w:rFonts w:hint="eastAsia"/>
                <w:color w:val="auto"/>
                <w:highlight w:val="none"/>
                <w:lang w:eastAsia="zh-CN"/>
              </w:rPr>
              <w:t>和交通安全，随沉随填，同时环评建议调整规划范围，避让营达高速隧道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输</w:t>
            </w:r>
            <w:r>
              <w:rPr>
                <w:rFonts w:hint="eastAsia"/>
                <w:color w:val="auto"/>
                <w:highlight w:val="none"/>
                <w:lang w:eastAsia="zh-CN"/>
              </w:rPr>
              <w:t>供</w:t>
            </w:r>
            <w:r>
              <w:rPr>
                <w:rFonts w:hint="eastAsia"/>
                <w:color w:val="auto"/>
                <w:highlight w:val="none"/>
              </w:rPr>
              <w:t>电线路</w:t>
            </w: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清河变电站</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w:t>
            </w:r>
          </w:p>
        </w:tc>
        <w:tc>
          <w:tcPr>
            <w:tcW w:w="3289" w:type="dxa"/>
            <w:vAlign w:val="center"/>
          </w:tcPr>
          <w:p>
            <w:pPr>
              <w:pStyle w:val="22"/>
              <w:bidi w:val="0"/>
              <w:rPr>
                <w:rFonts w:hint="eastAsia" w:eastAsia="宋体"/>
                <w:color w:val="auto"/>
                <w:highlight w:val="none"/>
                <w:lang w:eastAsia="zh-CN"/>
              </w:rPr>
            </w:pPr>
            <w:r>
              <w:rPr>
                <w:rFonts w:hint="eastAsia"/>
                <w:color w:val="auto"/>
                <w:highlight w:val="none"/>
                <w:lang w:eastAsia="zh-CN"/>
              </w:rPr>
              <w:t>规划区内北部</w:t>
            </w:r>
          </w:p>
        </w:tc>
        <w:tc>
          <w:tcPr>
            <w:tcW w:w="4716" w:type="dxa"/>
            <w:vMerge w:val="restart"/>
            <w:vAlign w:val="center"/>
          </w:tcPr>
          <w:p>
            <w:pPr>
              <w:pStyle w:val="22"/>
              <w:bidi w:val="0"/>
              <w:rPr>
                <w:rFonts w:hint="eastAsia"/>
                <w:color w:val="auto"/>
                <w:highlight w:val="none"/>
              </w:rPr>
            </w:pPr>
            <w:r>
              <w:rPr>
                <w:rFonts w:hint="eastAsia"/>
                <w:color w:val="auto"/>
                <w:highlight w:val="none"/>
              </w:rPr>
              <w:t>确保</w:t>
            </w:r>
            <w:r>
              <w:rPr>
                <w:rFonts w:hint="eastAsia"/>
                <w:color w:val="auto"/>
                <w:highlight w:val="none"/>
                <w:lang w:eastAsia="zh-CN"/>
              </w:rPr>
              <w:t>输</w:t>
            </w:r>
            <w:r>
              <w:rPr>
                <w:rFonts w:hint="eastAsia"/>
                <w:color w:val="auto"/>
                <w:highlight w:val="none"/>
              </w:rPr>
              <w:t>供电工程不受采煤沉陷影响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中华变电站</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rPr>
            </w:pPr>
            <w:r>
              <w:rPr>
                <w:rFonts w:hint="eastAsia"/>
                <w:color w:val="auto"/>
                <w:highlight w:val="none"/>
                <w:lang w:eastAsia="zh-CN"/>
              </w:rPr>
              <w:t>规划区内中部</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清潭子变电站</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color w:val="auto"/>
                <w:highlight w:val="none"/>
              </w:rPr>
            </w:pPr>
            <w:r>
              <w:rPr>
                <w:rFonts w:hint="eastAsia"/>
                <w:color w:val="auto"/>
                <w:highlight w:val="none"/>
                <w:lang w:eastAsia="zh-CN"/>
              </w:rPr>
              <w:t>规划区内南部</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restart"/>
            <w:vAlign w:val="center"/>
          </w:tcPr>
          <w:p>
            <w:pPr>
              <w:pStyle w:val="22"/>
              <w:bidi w:val="0"/>
              <w:rPr>
                <w:rFonts w:hint="eastAsia" w:eastAsia="宋体"/>
                <w:color w:val="auto"/>
                <w:highlight w:val="none"/>
                <w:lang w:eastAsia="zh-CN"/>
              </w:rPr>
            </w:pPr>
            <w:r>
              <w:rPr>
                <w:rFonts w:hint="eastAsia"/>
                <w:color w:val="auto"/>
                <w:highlight w:val="none"/>
              </w:rPr>
              <w:t>文物</w:t>
            </w: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清河街道建筑群</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北部东侧</w:t>
            </w:r>
            <w:r>
              <w:rPr>
                <w:rFonts w:hint="eastAsia"/>
                <w:color w:val="auto"/>
                <w:highlight w:val="none"/>
                <w:lang w:val="en-US" w:eastAsia="zh-CN"/>
              </w:rPr>
              <w:t>500m</w:t>
            </w:r>
          </w:p>
        </w:tc>
        <w:tc>
          <w:tcPr>
            <w:tcW w:w="4716" w:type="dxa"/>
            <w:vAlign w:val="center"/>
          </w:tcPr>
          <w:p>
            <w:pPr>
              <w:pStyle w:val="22"/>
              <w:bidi w:val="0"/>
              <w:rPr>
                <w:rFonts w:hint="eastAsia"/>
                <w:color w:val="auto"/>
                <w:highlight w:val="none"/>
              </w:rPr>
            </w:pPr>
            <w:r>
              <w:rPr>
                <w:rFonts w:hint="eastAsia"/>
                <w:color w:val="auto"/>
                <w:highlight w:val="none"/>
                <w:lang w:eastAsia="zh-CN"/>
              </w:rPr>
              <w:t>省级文物保护单位，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平滩河牌坊</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p>
        </w:tc>
        <w:tc>
          <w:tcPr>
            <w:tcW w:w="3289"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中偏北部东侧</w:t>
            </w:r>
            <w:r>
              <w:rPr>
                <w:rFonts w:hint="eastAsia"/>
                <w:color w:val="auto"/>
                <w:highlight w:val="none"/>
                <w:lang w:val="en-US" w:eastAsia="zh-CN"/>
              </w:rPr>
              <w:t>790m</w:t>
            </w:r>
          </w:p>
        </w:tc>
        <w:tc>
          <w:tcPr>
            <w:tcW w:w="4716" w:type="dxa"/>
            <w:vAlign w:val="center"/>
          </w:tcPr>
          <w:p>
            <w:pPr>
              <w:pStyle w:val="22"/>
              <w:bidi w:val="0"/>
              <w:rPr>
                <w:rFonts w:hint="eastAsia"/>
                <w:color w:val="auto"/>
                <w:highlight w:val="none"/>
              </w:rPr>
            </w:pPr>
            <w:r>
              <w:rPr>
                <w:rFonts w:hint="eastAsia"/>
                <w:color w:val="auto"/>
                <w:highlight w:val="none"/>
                <w:lang w:eastAsia="zh-CN"/>
              </w:rPr>
              <w:t>省级文物保护单位，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观音村千佛岩摩崖造像</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北部西侧</w:t>
            </w:r>
            <w:r>
              <w:rPr>
                <w:rFonts w:hint="eastAsia"/>
                <w:color w:val="auto"/>
                <w:highlight w:val="none"/>
                <w:lang w:val="en-US" w:eastAsia="zh-CN"/>
              </w:rPr>
              <w:t>670m</w:t>
            </w:r>
          </w:p>
        </w:tc>
        <w:tc>
          <w:tcPr>
            <w:tcW w:w="4716" w:type="dxa"/>
            <w:vAlign w:val="center"/>
          </w:tcPr>
          <w:p>
            <w:pPr>
              <w:pStyle w:val="22"/>
              <w:bidi w:val="0"/>
              <w:rPr>
                <w:rFonts w:hint="eastAsia"/>
                <w:color w:val="auto"/>
                <w:highlight w:val="none"/>
              </w:rPr>
            </w:pPr>
            <w:r>
              <w:rPr>
                <w:rFonts w:hint="eastAsia"/>
                <w:color w:val="auto"/>
                <w:highlight w:val="none"/>
                <w:lang w:eastAsia="zh-CN"/>
              </w:rPr>
              <w:t>市级文物保护单位，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岩莲公塔</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eastAsia="宋体"/>
                <w:color w:val="auto"/>
                <w:highlight w:val="none"/>
                <w:lang w:eastAsia="zh-CN"/>
              </w:rPr>
            </w:pPr>
            <w:r>
              <w:rPr>
                <w:rFonts w:hint="eastAsia"/>
                <w:color w:val="auto"/>
                <w:highlight w:val="none"/>
                <w:lang w:eastAsia="zh-CN"/>
              </w:rPr>
              <w:t>规划区范围内中部</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柏林范家院</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color w:val="auto"/>
                <w:highlight w:val="none"/>
              </w:rPr>
            </w:pPr>
            <w:r>
              <w:rPr>
                <w:rFonts w:hint="eastAsia"/>
                <w:color w:val="auto"/>
                <w:highlight w:val="none"/>
                <w:lang w:eastAsia="zh-CN"/>
              </w:rPr>
              <w:t>规划区范围内东北角</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踏水桥</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color w:val="auto"/>
                <w:highlight w:val="none"/>
              </w:rPr>
            </w:pPr>
            <w:r>
              <w:rPr>
                <w:rFonts w:hint="eastAsia"/>
                <w:color w:val="auto"/>
                <w:highlight w:val="none"/>
                <w:lang w:eastAsia="zh-CN"/>
              </w:rPr>
              <w:t>北部东侧</w:t>
            </w:r>
            <w:r>
              <w:rPr>
                <w:rFonts w:hint="eastAsia"/>
                <w:color w:val="auto"/>
                <w:highlight w:val="none"/>
                <w:lang w:val="en-US" w:eastAsia="zh-CN"/>
              </w:rPr>
              <w:t>620m</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三拱桥</w:t>
            </w:r>
          </w:p>
        </w:tc>
        <w:tc>
          <w:tcPr>
            <w:tcW w:w="2680" w:type="dxa"/>
            <w:vAlign w:val="center"/>
          </w:tcPr>
          <w:p>
            <w:pPr>
              <w:pStyle w:val="22"/>
              <w:bidi w:val="0"/>
              <w:rPr>
                <w:color w:val="auto"/>
                <w:highlight w:val="none"/>
              </w:rPr>
            </w:pPr>
            <w:r>
              <w:rPr>
                <w:rFonts w:hint="eastAsia"/>
                <w:color w:val="auto"/>
                <w:highlight w:val="none"/>
                <w:lang w:eastAsia="zh-CN"/>
              </w:rPr>
              <w:t>华蓥山北段</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中部东侧</w:t>
            </w:r>
            <w:r>
              <w:rPr>
                <w:rFonts w:hint="eastAsia"/>
                <w:color w:val="auto"/>
                <w:highlight w:val="none"/>
                <w:lang w:val="en-US" w:eastAsia="zh-CN"/>
              </w:rPr>
              <w:t>770m</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bl>
    <w:p>
      <w:pPr>
        <w:pStyle w:val="22"/>
        <w:bidi w:val="0"/>
        <w:jc w:val="left"/>
        <w:rPr>
          <w:rFonts w:hint="default"/>
          <w:color w:val="auto"/>
          <w:highlight w:val="none"/>
          <w:lang w:val="en-US" w:eastAsia="zh-CN"/>
        </w:rPr>
      </w:pPr>
      <w:r>
        <w:rPr>
          <w:rFonts w:hint="eastAsia"/>
          <w:color w:val="auto"/>
          <w:highlight w:val="none"/>
          <w:lang w:val="en-US" w:eastAsia="zh-CN"/>
        </w:rPr>
        <w:t>注：近年来各地均在落实“合乡并镇”政策，因信息的更新有滞后，因此本评价中提出的乡镇名称均为各乡镇的原名称</w:t>
      </w:r>
    </w:p>
    <w:p>
      <w:pPr>
        <w:rPr>
          <w:color w:val="auto"/>
          <w:highlight w:val="none"/>
        </w:rPr>
      </w:pPr>
    </w:p>
    <w:p>
      <w:pPr>
        <w:rPr>
          <w:color w:val="auto"/>
          <w:highlight w:val="none"/>
        </w:rPr>
        <w:sectPr>
          <w:pgSz w:w="16840" w:h="11910" w:orient="landscape"/>
          <w:pgMar w:top="1260" w:right="1360" w:bottom="1240" w:left="1000" w:header="902" w:footer="804" w:gutter="0"/>
          <w:pgBorders>
            <w:top w:val="none" w:sz="0" w:space="0"/>
            <w:left w:val="none" w:sz="0" w:space="0"/>
            <w:bottom w:val="none" w:sz="0" w:space="0"/>
            <w:right w:val="none" w:sz="0" w:space="0"/>
          </w:pgBorders>
          <w:pgNumType w:fmt="decimal"/>
          <w:cols w:space="720" w:num="1"/>
        </w:sectPr>
      </w:pPr>
    </w:p>
    <w:p>
      <w:pPr>
        <w:pStyle w:val="5"/>
        <w:numPr>
          <w:ilvl w:val="1"/>
          <w:numId w:val="1"/>
        </w:numPr>
        <w:bidi w:val="0"/>
        <w:rPr>
          <w:color w:val="auto"/>
          <w:highlight w:val="none"/>
        </w:rPr>
      </w:pPr>
      <w:bookmarkStart w:id="91" w:name="_bookmark8"/>
      <w:bookmarkEnd w:id="91"/>
      <w:bookmarkStart w:id="92" w:name="1.7评价技术路线"/>
      <w:bookmarkEnd w:id="92"/>
      <w:bookmarkStart w:id="93" w:name="_Toc9609"/>
      <w:bookmarkStart w:id="94" w:name="_Toc4106"/>
      <w:r>
        <w:rPr>
          <w:color w:val="auto"/>
          <w:highlight w:val="none"/>
        </w:rPr>
        <w:t>评价技术路线</w:t>
      </w:r>
      <w:bookmarkEnd w:id="93"/>
      <w:bookmarkEnd w:id="94"/>
    </w:p>
    <w:p>
      <w:pPr>
        <w:bidi w:val="0"/>
        <w:rPr>
          <w:color w:val="auto"/>
          <w:highlight w:val="none"/>
        </w:rPr>
      </w:pPr>
      <w:r>
        <w:rPr>
          <w:color w:val="auto"/>
          <w:highlight w:val="none"/>
        </w:rPr>
        <w:t>本规划环境影响技术路线详见图1.7-1。</w:t>
      </w:r>
    </w:p>
    <w:p>
      <w:pPr>
        <w:pStyle w:val="10"/>
        <w:ind w:left="929"/>
        <w:rPr>
          <w:color w:val="auto"/>
          <w:sz w:val="20"/>
          <w:highlight w:val="none"/>
        </w:rPr>
      </w:pPr>
      <w:r>
        <w:rPr>
          <w:color w:val="auto"/>
          <w:sz w:val="20"/>
          <w:highlight w:val="none"/>
        </w:rPr>
        <w:drawing>
          <wp:inline distT="0" distB="0" distL="0" distR="0">
            <wp:extent cx="4798695" cy="479869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2" cstate="print"/>
                    <a:stretch>
                      <a:fillRect/>
                    </a:stretch>
                  </pic:blipFill>
                  <pic:spPr>
                    <a:xfrm>
                      <a:off x="0" y="0"/>
                      <a:ext cx="4799230" cy="4799076"/>
                    </a:xfrm>
                    <a:prstGeom prst="rect">
                      <a:avLst/>
                    </a:prstGeom>
                  </pic:spPr>
                </pic:pic>
              </a:graphicData>
            </a:graphic>
          </wp:inline>
        </w:drawing>
      </w:r>
    </w:p>
    <w:p>
      <w:pPr>
        <w:spacing w:before="77"/>
        <w:ind w:left="429" w:right="21" w:firstLine="0"/>
        <w:jc w:val="center"/>
        <w:rPr>
          <w:b/>
          <w:color w:val="auto"/>
          <w:sz w:val="21"/>
          <w:highlight w:val="none"/>
        </w:rPr>
        <w:sectPr>
          <w:type w:val="continuous"/>
          <w:pgSz w:w="11910" w:h="16840"/>
          <w:pgMar w:top="1360" w:right="1240" w:bottom="280" w:left="1260" w:header="720" w:footer="720" w:gutter="0"/>
          <w:pgBorders>
            <w:top w:val="none" w:sz="0" w:space="0"/>
            <w:left w:val="none" w:sz="0" w:space="0"/>
            <w:bottom w:val="none" w:sz="0" w:space="0"/>
            <w:right w:val="none" w:sz="0" w:space="0"/>
          </w:pgBorders>
          <w:pgNumType w:fmt="decimal"/>
          <w:cols w:space="720" w:num="1"/>
        </w:sectPr>
      </w:pPr>
      <w:r>
        <w:rPr>
          <w:b/>
          <w:color w:val="auto"/>
          <w:sz w:val="21"/>
          <w:highlight w:val="none"/>
        </w:rPr>
        <w:t xml:space="preserve">图 </w:t>
      </w:r>
      <w:r>
        <w:rPr>
          <w:rFonts w:ascii="Times New Roman" w:eastAsia="Times New Roman"/>
          <w:b/>
          <w:color w:val="auto"/>
          <w:sz w:val="21"/>
          <w:highlight w:val="none"/>
        </w:rPr>
        <w:t xml:space="preserve">1.7-1 </w:t>
      </w:r>
      <w:r>
        <w:rPr>
          <w:b/>
          <w:color w:val="auto"/>
          <w:sz w:val="21"/>
          <w:highlight w:val="none"/>
        </w:rPr>
        <w:t>环境影响评价技术路线图</w:t>
      </w:r>
    </w:p>
    <w:p>
      <w:pPr>
        <w:pStyle w:val="4"/>
        <w:numPr>
          <w:ilvl w:val="0"/>
          <w:numId w:val="5"/>
        </w:numPr>
        <w:bidi w:val="0"/>
        <w:rPr>
          <w:color w:val="auto"/>
          <w:highlight w:val="none"/>
        </w:rPr>
      </w:pPr>
      <w:bookmarkStart w:id="95" w:name="_bookmark9"/>
      <w:bookmarkEnd w:id="95"/>
      <w:bookmarkStart w:id="96" w:name="2 规划分析"/>
      <w:bookmarkEnd w:id="96"/>
      <w:bookmarkStart w:id="97" w:name="_Toc15964"/>
      <w:bookmarkStart w:id="98" w:name="_Toc6967"/>
      <w:r>
        <w:rPr>
          <w:color w:val="auto"/>
          <w:highlight w:val="none"/>
        </w:rPr>
        <w:t>规划分析</w:t>
      </w:r>
      <w:bookmarkEnd w:id="97"/>
      <w:bookmarkEnd w:id="98"/>
    </w:p>
    <w:p>
      <w:pPr>
        <w:pStyle w:val="5"/>
        <w:bidi w:val="0"/>
        <w:rPr>
          <w:rFonts w:hint="default"/>
          <w:color w:val="auto"/>
          <w:highlight w:val="none"/>
          <w:lang w:val="en-US" w:eastAsia="zh-CN"/>
        </w:rPr>
      </w:pPr>
      <w:bookmarkStart w:id="99" w:name="_Toc11135"/>
      <w:bookmarkStart w:id="100" w:name="_Toc5977"/>
      <w:r>
        <w:rPr>
          <w:rFonts w:hint="default"/>
          <w:color w:val="auto"/>
          <w:highlight w:val="none"/>
          <w:lang w:val="en-US" w:eastAsia="zh-CN"/>
        </w:rPr>
        <w:t>2.1 规划方案概述</w:t>
      </w:r>
      <w:bookmarkEnd w:id="99"/>
      <w:bookmarkEnd w:id="100"/>
    </w:p>
    <w:p>
      <w:pPr>
        <w:pStyle w:val="6"/>
        <w:bidi w:val="0"/>
        <w:rPr>
          <w:rFonts w:hint="default"/>
          <w:color w:val="auto"/>
          <w:highlight w:val="none"/>
          <w:lang w:val="en-US" w:eastAsia="zh-CN"/>
        </w:rPr>
      </w:pPr>
      <w:bookmarkStart w:id="101" w:name="_Toc20203"/>
      <w:bookmarkStart w:id="102" w:name="_Toc19187"/>
      <w:r>
        <w:rPr>
          <w:rFonts w:hint="default"/>
          <w:color w:val="auto"/>
          <w:highlight w:val="none"/>
          <w:lang w:val="en-US" w:eastAsia="zh-CN"/>
        </w:rPr>
        <w:t>2.1.1 矿区位置与范围</w:t>
      </w:r>
      <w:bookmarkEnd w:id="101"/>
      <w:bookmarkEnd w:id="102"/>
    </w:p>
    <w:p>
      <w:pPr>
        <w:pStyle w:val="7"/>
        <w:bidi w:val="0"/>
        <w:rPr>
          <w:rFonts w:hint="default"/>
          <w:color w:val="auto"/>
          <w:highlight w:val="none"/>
          <w:lang w:val="en-US" w:eastAsia="zh-CN"/>
        </w:rPr>
      </w:pPr>
      <w:r>
        <w:rPr>
          <w:rFonts w:hint="eastAsia"/>
          <w:color w:val="auto"/>
          <w:highlight w:val="none"/>
          <w:lang w:val="en-US" w:eastAsia="zh-CN"/>
        </w:rPr>
        <w:t>2.1.1.1</w:t>
      </w:r>
      <w:r>
        <w:rPr>
          <w:rFonts w:hint="default"/>
          <w:color w:val="auto"/>
          <w:highlight w:val="none"/>
          <w:lang w:val="en-US" w:eastAsia="zh-CN"/>
        </w:rPr>
        <w:t>规划名称</w:t>
      </w:r>
    </w:p>
    <w:p>
      <w:pPr>
        <w:bidi w:val="0"/>
        <w:rPr>
          <w:rFonts w:hint="default"/>
          <w:color w:val="auto"/>
          <w:highlight w:val="none"/>
          <w:lang w:val="en-US" w:eastAsia="zh-CN"/>
        </w:rPr>
      </w:pPr>
      <w:r>
        <w:rPr>
          <w:rFonts w:hint="default"/>
          <w:color w:val="auto"/>
          <w:highlight w:val="none"/>
          <w:lang w:val="en-US" w:eastAsia="zh-CN"/>
        </w:rPr>
        <w:t>四川省达州市大竹县煤炭矿区总体规划</w:t>
      </w:r>
    </w:p>
    <w:p>
      <w:pPr>
        <w:pStyle w:val="7"/>
        <w:bidi w:val="0"/>
        <w:rPr>
          <w:rFonts w:hint="default"/>
          <w:color w:val="auto"/>
          <w:highlight w:val="none"/>
          <w:lang w:val="en-US" w:eastAsia="zh-CN"/>
        </w:rPr>
      </w:pPr>
      <w:r>
        <w:rPr>
          <w:rFonts w:hint="eastAsia"/>
          <w:color w:val="auto"/>
          <w:highlight w:val="none"/>
          <w:lang w:val="en-US" w:eastAsia="zh-CN"/>
        </w:rPr>
        <w:t>2.1.1.2</w:t>
      </w:r>
      <w:r>
        <w:rPr>
          <w:rFonts w:hint="default"/>
          <w:color w:val="auto"/>
          <w:highlight w:val="none"/>
          <w:lang w:val="en-US" w:eastAsia="zh-CN"/>
        </w:rPr>
        <w:t>规划区位置及交通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大竹县位于四川盆地东部，地跨东经106°59′—107°32′，北纬30°20′—31°00′，东邻重庆市梁平县、垫江县，南接邻水县，西连广安市，北靠达川区。东西宽45km，南北长75km，幅员面积2079km</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大竹县地处成都、重庆、西安、武汉交汇辐射的腹心地带，境内G65达渝高速公路、G5515南大梁高速公路、国道318线、国道210线纵横贯穿，县城北距达州60km，南距重庆机场135km，东距万州港176km，西距成都350km，区内乡镇、行政村均通水泥（油）路，形成了“半小时达州、1小时重庆、3小时成都、5小时西安、5小时武汉”的通达格局。县内交通主要为公路运输，交通较为方便。</w:t>
      </w:r>
    </w:p>
    <w:p>
      <w:pPr>
        <w:pStyle w:val="7"/>
        <w:bidi w:val="0"/>
        <w:rPr>
          <w:rFonts w:hint="default"/>
          <w:color w:val="auto"/>
          <w:highlight w:val="none"/>
          <w:lang w:val="en-US" w:eastAsia="zh-CN"/>
        </w:rPr>
      </w:pPr>
      <w:r>
        <w:rPr>
          <w:rFonts w:hint="eastAsia"/>
          <w:color w:val="auto"/>
          <w:highlight w:val="none"/>
          <w:lang w:val="en-US" w:eastAsia="zh-CN"/>
        </w:rPr>
        <w:t>2.1.1.3</w:t>
      </w:r>
      <w:r>
        <w:rPr>
          <w:rFonts w:hint="default"/>
          <w:color w:val="auto"/>
          <w:highlight w:val="none"/>
          <w:lang w:val="en-US" w:eastAsia="zh-CN"/>
        </w:rPr>
        <w:t>规划范围</w:t>
      </w:r>
    </w:p>
    <w:p>
      <w:pPr>
        <w:bidi w:val="0"/>
        <w:rPr>
          <w:rFonts w:hint="default"/>
          <w:color w:val="auto"/>
          <w:highlight w:val="none"/>
          <w:lang w:val="en-US" w:eastAsia="zh-CN"/>
        </w:rPr>
      </w:pPr>
      <w:r>
        <w:rPr>
          <w:rFonts w:hint="default"/>
          <w:color w:val="auto"/>
          <w:highlight w:val="none"/>
          <w:lang w:val="en-US" w:eastAsia="zh-CN"/>
        </w:rPr>
        <w:t>大竹县各矿井主要分布在华蓥山背斜、铜锣峡背斜和明月峡背斜，结合现有煤矿及关闭矿井的分布情况，大竹县共划分为2个矿区，分别为华蓥山北段矿区、中山明月峡矿区。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（1）华蓥山北段</w:t>
      </w:r>
      <w:r>
        <w:rPr>
          <w:rFonts w:hint="eastAsia" w:ascii="Times New Roman" w:hAnsi="Times New Roman" w:cs="Times New Roman"/>
          <w:b w:val="0"/>
          <w:bCs w:val="0"/>
          <w:color w:val="auto"/>
          <w:sz w:val="24"/>
          <w:szCs w:val="24"/>
          <w:highlight w:val="none"/>
          <w:lang w:val="en-US" w:eastAsia="zh-CN"/>
        </w:rPr>
        <w:t>矿区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华蓥山北段矿区位于大竹县西部，地处华蓥山背斜。根据现有煤矿及已经关闭煤矿的分布情况，同时综合考虑矿井深部延深资源情况，分为3个片区，分别为新桥红星片区、大河沟-大洞坪片区、柏林-黑滩片区。其中新桥红星片区范围由9个拐点坐标圈闭（即1’～9’号拐点，见表3-1-1），面积为3.0898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，规划设置1个采矿权，即新桥红星煤矿；大河沟-大洞坪片区范围由8个拐点坐标圈闭（即10’～17’号拐点，见表3-1-1），面积为15.2423km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，规划设置2个采矿权，即大河沟煤矿和大硐坪煤矿；柏林-黑滩片区范围由20个拐点坐标圈闭（即18’～37’号拐点，见表3-1-1），面积为39.5545km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，规划设置3个采矿权和1个探矿权，即田坝煤矿、黑滩煤矿、柏林煤矿和柏林煤矿延深勘探。</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华蓥山北段矿区总面积为57.8866km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，其范围拐点坐标见表</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-1-1。</w:t>
      </w:r>
    </w:p>
    <w:p>
      <w:pPr>
        <w:pStyle w:val="22"/>
        <w:bidi w:val="0"/>
        <w:rPr>
          <w:rFonts w:hint="default"/>
          <w:color w:val="auto"/>
          <w:highlight w:val="none"/>
          <w:lang w:eastAsia="zh-CN"/>
        </w:rPr>
      </w:pPr>
      <w:r>
        <w:rPr>
          <w:rFonts w:hint="default"/>
          <w:color w:val="auto"/>
          <w:highlight w:val="none"/>
        </w:rPr>
        <w:t>表</w:t>
      </w:r>
      <w:r>
        <w:rPr>
          <w:rFonts w:hint="default"/>
          <w:color w:val="auto"/>
          <w:highlight w:val="none"/>
          <w:lang w:val="en-US" w:eastAsia="zh-CN"/>
        </w:rPr>
        <w:t xml:space="preserve">2.1.1-1  </w:t>
      </w:r>
      <w:r>
        <w:rPr>
          <w:rFonts w:hint="default"/>
          <w:color w:val="auto"/>
          <w:highlight w:val="none"/>
        </w:rPr>
        <w:t>大竹县华蓥山北段矿段范围拐点坐标表</w:t>
      </w:r>
      <w:r>
        <w:rPr>
          <w:rFonts w:hint="default"/>
          <w:color w:val="auto"/>
          <w:highlight w:val="none"/>
          <w:lang w:eastAsia="zh-CN"/>
        </w:rPr>
        <w:t>（</w:t>
      </w:r>
      <w:r>
        <w:rPr>
          <w:rFonts w:hint="default"/>
          <w:color w:val="auto"/>
          <w:highlight w:val="none"/>
          <w:lang w:val="en-US" w:eastAsia="zh-CN"/>
        </w:rPr>
        <w:t>2000坐标系</w:t>
      </w:r>
      <w:r>
        <w:rPr>
          <w:rFonts w:hint="default"/>
          <w:color w:val="auto"/>
          <w:highlight w:val="none"/>
          <w:lang w:eastAsia="zh-CN"/>
        </w:rPr>
        <w:t>）</w:t>
      </w:r>
    </w:p>
    <w:tbl>
      <w:tblPr>
        <w:tblStyle w:val="17"/>
        <w:tblW w:w="0" w:type="auto"/>
        <w:jc w:val="center"/>
        <w:tblLayout w:type="fixed"/>
        <w:tblCellMar>
          <w:top w:w="0" w:type="dxa"/>
          <w:left w:w="108" w:type="dxa"/>
          <w:bottom w:w="0" w:type="dxa"/>
          <w:right w:w="108" w:type="dxa"/>
        </w:tblCellMar>
      </w:tblPr>
      <w:tblGrid>
        <w:gridCol w:w="1042"/>
        <w:gridCol w:w="1506"/>
        <w:gridCol w:w="1738"/>
        <w:gridCol w:w="1043"/>
        <w:gridCol w:w="1491"/>
        <w:gridCol w:w="1617"/>
      </w:tblGrid>
      <w:tr>
        <w:tblPrEx>
          <w:tblCellMar>
            <w:top w:w="0" w:type="dxa"/>
            <w:left w:w="108" w:type="dxa"/>
            <w:bottom w:w="0" w:type="dxa"/>
            <w:right w:w="108" w:type="dxa"/>
          </w:tblCellMar>
        </w:tblPrEx>
        <w:trPr>
          <w:trHeight w:val="363" w:hRule="atLeast"/>
          <w:tblHeader/>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拐点号</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横坐标(X)</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纵坐标(Y)</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拐点号</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横坐标(X)</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纵坐标(Y)</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3385149.00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36409349.00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3386893.00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36411305.00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3385949.00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36409674.00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3385881.00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36410808.00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3386949.00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36410139.00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3385287.00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36410449.00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3387864.00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36410569.00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9'</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3384757.00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36410259.00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3387458.00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36411521.00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新桥红星片区面积为3.0898km</w:t>
            </w:r>
            <w:r>
              <w:rPr>
                <w:rFonts w:hint="default"/>
                <w:color w:val="auto"/>
                <w:highlight w:val="none"/>
                <w:vertAlign w:val="superscript"/>
              </w:rPr>
              <w:t>2</w:t>
            </w:r>
            <w:r>
              <w:rPr>
                <w:rFonts w:hint="default"/>
                <w:color w:val="auto"/>
                <w:highlight w:val="none"/>
              </w:rPr>
              <w:t>，规划设置1个采矿权，即新桥红星煤矿</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10'</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3395309.62</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36411019.01</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14'</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3396904.44</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36415614.96</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11'</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3397924.26</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36412218.79</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15'</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3392945.41</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36414452.83</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12'</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3398239.26</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36412773.79</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16'</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3393960.64</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36412321.01</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13'</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3398304.26</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36413088.79</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17'</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3395039.62</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36411099.01</w:t>
            </w: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大河沟-大洞坪片区面积为15.2423km</w:t>
            </w:r>
            <w:r>
              <w:rPr>
                <w:rFonts w:hint="default"/>
                <w:color w:val="auto"/>
                <w:highlight w:val="none"/>
                <w:vertAlign w:val="superscript"/>
              </w:rPr>
              <w:t>2</w:t>
            </w:r>
            <w:r>
              <w:rPr>
                <w:rFonts w:hint="default"/>
                <w:color w:val="auto"/>
                <w:highlight w:val="none"/>
              </w:rPr>
              <w:t>，规划设置2个采矿权，即大河沟煤矿和大硐坪煤矿</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18'</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3410317.77</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36418043.71</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28'</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3425814.46</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36424080.83</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19'</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3413212.77</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36419338.69</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29'</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3428897.48</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36425157.83</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20'</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3416310.00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36420919.00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3429206.48</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36425582.83</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21'</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3419424.00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36422167.00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31'</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3427452.00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36427751.00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22'</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3419398.00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36422280.00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32'</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3426252.00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36427929.00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23'</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3419992.00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36422479.00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3425336.00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36427628.00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24'</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3419921.00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36422653.00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3419640.00</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36424814.00</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25'</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3419757.00</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36422804.83</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35'</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3419384.43</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36423587.83</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26'</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3424509.46</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36424352.83</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3412926.64</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36420651.45</w:t>
            </w:r>
          </w:p>
        </w:tc>
      </w:tr>
      <w:tr>
        <w:tblPrEx>
          <w:tblCellMar>
            <w:top w:w="0" w:type="dxa"/>
            <w:left w:w="108" w:type="dxa"/>
            <w:bottom w:w="0" w:type="dxa"/>
            <w:right w:w="108" w:type="dxa"/>
          </w:tblCellMar>
        </w:tblPrEx>
        <w:trPr>
          <w:trHeight w:val="363" w:hRule="atLeast"/>
          <w:jc w:val="center"/>
        </w:trPr>
        <w:tc>
          <w:tcPr>
            <w:tcW w:w="10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27'</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3424699.46</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36423807.83</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37'</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3409567.38</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36419633.87</w:t>
            </w: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柏林-黑滩片区面积为39.5545km</w:t>
            </w:r>
            <w:r>
              <w:rPr>
                <w:rFonts w:hint="default"/>
                <w:color w:val="auto"/>
                <w:highlight w:val="none"/>
                <w:vertAlign w:val="superscript"/>
              </w:rPr>
              <w:t>2</w:t>
            </w:r>
            <w:r>
              <w:rPr>
                <w:rFonts w:hint="default"/>
                <w:color w:val="auto"/>
                <w:highlight w:val="none"/>
              </w:rPr>
              <w:t>，规划设置3个采矿权和1个探矿权，即柏林煤矿、田坝煤矿、黑滩煤矿和柏林煤矿延深勘探</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（2）中山明月峡</w:t>
      </w:r>
      <w:r>
        <w:rPr>
          <w:rFonts w:hint="eastAsia" w:ascii="Times New Roman" w:hAnsi="Times New Roman" w:cs="Times New Roman"/>
          <w:b w:val="0"/>
          <w:bCs w:val="0"/>
          <w:color w:val="auto"/>
          <w:sz w:val="24"/>
          <w:szCs w:val="24"/>
          <w:highlight w:val="none"/>
          <w:lang w:val="en-US" w:eastAsia="zh-CN"/>
        </w:rPr>
        <w:t>矿区</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中山明月峡矿区位于铜锣峡背斜和明月峡背斜，根据现有煤矿及已经关闭煤矿的分布情况，同时综合考虑矿井深部延深资源情况，分为4个片区，分别为荣华-堡子片区、平桥-华家沟片区、城门洞片区和观音片区。其中荣华-堡子片区范围由20个拐点坐标圈闭（即1’～20’号拐点，见表3-1-2），面积为20.6034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，规划设置2个采矿权和1个探矿权，即荣华煤矿、堡子煤矿和堡子煤矿延伸勘探；平桥-华家沟片区范围由30个拐点坐标圈闭（即21’～50’号拐点，见表3-1-2），面积为40.7740km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，规划设置5个采矿权，即华家沟煤矿、孔家沟煤矿、刘家沟联合煤矿、牛郎沟煤矿和平桥煤矿；观音片区范围由11个拐点坐标圈闭（即51’～61’号拐点，见表3-1-2），面积为4.5872km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，规划设置1个采矿权，即观音煤矿；城门洞片区范围由6个拐点坐标圈闭（即62’～67’号拐点，见表3-1-2），面积为24.3116km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，规划设置1个探矿权，即城门洞矿段勘探。</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rPr>
        <w:t>中山明月峡矿区总面积为90.2762km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，其范围拐点坐标见表</w:t>
      </w:r>
      <w:r>
        <w:rPr>
          <w:rFonts w:hint="default" w:ascii="Times New Roman" w:hAnsi="Times New Roman" w:cs="Times New Roman"/>
          <w:b w:val="0"/>
          <w:bCs w:val="0"/>
          <w:color w:val="auto"/>
          <w:sz w:val="24"/>
          <w:szCs w:val="24"/>
          <w:highlight w:val="none"/>
          <w:lang w:val="en-US" w:eastAsia="zh-CN"/>
        </w:rPr>
        <w:t>2.1.1-2。</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2.1.1</w:t>
      </w:r>
      <w:r>
        <w:rPr>
          <w:rFonts w:hint="default"/>
          <w:color w:val="auto"/>
          <w:highlight w:val="none"/>
        </w:rPr>
        <w:t>-2   大竹县中山矿段范围拐点坐标表（2000坐标系）</w:t>
      </w:r>
    </w:p>
    <w:tbl>
      <w:tblPr>
        <w:tblStyle w:val="17"/>
        <w:tblW w:w="0" w:type="auto"/>
        <w:jc w:val="center"/>
        <w:tblLayout w:type="fixed"/>
        <w:tblCellMar>
          <w:top w:w="0" w:type="dxa"/>
          <w:left w:w="108" w:type="dxa"/>
          <w:bottom w:w="0" w:type="dxa"/>
          <w:right w:w="108" w:type="dxa"/>
        </w:tblCellMar>
      </w:tblPr>
      <w:tblGrid>
        <w:gridCol w:w="1033"/>
        <w:gridCol w:w="1635"/>
        <w:gridCol w:w="1601"/>
        <w:gridCol w:w="947"/>
        <w:gridCol w:w="1620"/>
        <w:gridCol w:w="1601"/>
      </w:tblGrid>
      <w:tr>
        <w:tblPrEx>
          <w:tblCellMar>
            <w:top w:w="0" w:type="dxa"/>
            <w:left w:w="108" w:type="dxa"/>
            <w:bottom w:w="0" w:type="dxa"/>
            <w:right w:w="108" w:type="dxa"/>
          </w:tblCellMar>
        </w:tblPrEx>
        <w:trPr>
          <w:trHeight w:val="363" w:hRule="atLeast"/>
          <w:tblHeader/>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拐点号</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横坐标(X)</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纵坐标(Y)</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拐点号</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横坐标(X)</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纵坐标(Y)</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3384441.23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36422678.79</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11'</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3395849.21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36431564.04</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3387694.29</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36425046.97</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12'</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3394339.74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36431089.05</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3389511.74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36427438.05</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13'</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3394249.75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36431309.05</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3396103.73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36431129.06</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14'</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3393039.75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36430769.07</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3397879.75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36431643.04</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15'</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3391834.75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36430129.08</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3398802.77</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36432003.05</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16'</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3391608.74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36429598.09</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3398917.09</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36432367.22</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17'</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3388929.76</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36428334.12</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3398439.23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36432718.98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18'</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3386779.70</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36426459.12</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3397429.22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36432456.98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19'</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3385047.69</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36425185.14</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3395689.24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36431888.98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3383501.68</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36423917.15</w:t>
            </w: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荣华-堡子片区面积为20.6034km</w:t>
            </w:r>
            <w:r>
              <w:rPr>
                <w:rFonts w:hint="default"/>
                <w:color w:val="auto"/>
                <w:highlight w:val="none"/>
                <w:vertAlign w:val="superscript"/>
              </w:rPr>
              <w:t>2</w:t>
            </w:r>
            <w:r>
              <w:rPr>
                <w:rFonts w:hint="default"/>
                <w:color w:val="auto"/>
                <w:highlight w:val="none"/>
              </w:rPr>
              <w:t>，规划设置2个采矿权和1个探矿权，即荣华煤矿、堡子煤矿和堡子煤矿延伸勘探</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3384294.02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36431610.12</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3403364.91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36438681.95</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3385472.70</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36432420.20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37'</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3405716.02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36439527.70</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3385628.42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36432183.77</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38'</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3407988.13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36441357.94</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3386926.41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36432898.76</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39'</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3410310.31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36443448.04</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3386799.42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36433218.76</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3413547.36</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36445595.63</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3388679.42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36434288.76</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41'</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3413524.90</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36445640.31</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3388832.43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36434157.78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42'</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3414435.22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36446122.55</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3393739.45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36436299.78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43'</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3414087.89</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36446913.66</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3393839.31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36436108.93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44'</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3411771.18</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36445957.07</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3395304.31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36436583.93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45'</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3408074.86</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36442572.92</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3396254.31</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36436923.93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46'</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3403830.92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36440553.84</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3399024.65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36438389.43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47'</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3395869.29</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36438367.37</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3401042.33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36438656.94</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48'</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3392777.16</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36437387.69</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3401117.43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36438345.20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49'</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3387811.55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36434946.00</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3402602.83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36438447.97</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3383927.57</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36432263.34</w:t>
            </w: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平桥-华家沟片区面积为40.7740km</w:t>
            </w:r>
            <w:r>
              <w:rPr>
                <w:rFonts w:hint="default"/>
                <w:color w:val="auto"/>
                <w:highlight w:val="none"/>
                <w:vertAlign w:val="superscript"/>
              </w:rPr>
              <w:t>2</w:t>
            </w:r>
            <w:r>
              <w:rPr>
                <w:rFonts w:hint="default"/>
                <w:color w:val="auto"/>
                <w:highlight w:val="none"/>
              </w:rPr>
              <w:t>，规划设置5个采矿权，即华家沟煤矿、孔家沟煤矿、刘家沟联合煤矿、牛郎沟煤矿和平桥煤矿</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3387179.42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36447388.81</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57'</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3389249.44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36449378.83</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3387751.42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36446721.82</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58'</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3388979.44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36449228.83</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3391409.46</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36449488.83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59'</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3389069.44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36449138.83</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3390759.46</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36450238.84</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3388199.43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36448518.83</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3389969.45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36449608.83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61'</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3388399.43</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36448268.83</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3389309.44</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36449248.83</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观音片区面积为4.5872km</w:t>
            </w:r>
            <w:r>
              <w:rPr>
                <w:rFonts w:hint="default"/>
                <w:color w:val="auto"/>
                <w:highlight w:val="none"/>
                <w:vertAlign w:val="superscript"/>
              </w:rPr>
              <w:t>2</w:t>
            </w:r>
            <w:r>
              <w:rPr>
                <w:rFonts w:hint="default"/>
                <w:color w:val="auto"/>
                <w:highlight w:val="none"/>
              </w:rPr>
              <w:t>，规划设置1个采矿权，即观音煤矿</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3374506.30</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36436314.90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65'</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3380950.87</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36442101.49</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3382561.15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36441610.78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66'</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3379720.18</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36442924.56</w:t>
            </w:r>
          </w:p>
        </w:tc>
      </w:tr>
      <w:tr>
        <w:tblPrEx>
          <w:tblCellMar>
            <w:top w:w="0" w:type="dxa"/>
            <w:left w:w="108" w:type="dxa"/>
            <w:bottom w:w="0" w:type="dxa"/>
            <w:right w:w="108" w:type="dxa"/>
          </w:tblCellMar>
        </w:tblPrEx>
        <w:trPr>
          <w:trHeight w:val="363" w:hRule="atLeast"/>
          <w:jc w:val="center"/>
        </w:trPr>
        <w:tc>
          <w:tcPr>
            <w:tcW w:w="10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3381586.12</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36442822.06</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67'</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3373074.55</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36438766.34</w:t>
            </w:r>
          </w:p>
        </w:tc>
      </w:tr>
      <w:tr>
        <w:tblPrEx>
          <w:tblCellMar>
            <w:top w:w="0" w:type="dxa"/>
            <w:left w:w="108" w:type="dxa"/>
            <w:bottom w:w="0" w:type="dxa"/>
            <w:right w:w="108" w:type="dxa"/>
          </w:tblCellMar>
        </w:tblPrEx>
        <w:trPr>
          <w:trHeight w:val="363" w:hRule="atLeast"/>
          <w:jc w:val="center"/>
        </w:trPr>
        <w:tc>
          <w:tcPr>
            <w:tcW w:w="843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城门洞片区面积为24.3116km</w:t>
            </w:r>
            <w:r>
              <w:rPr>
                <w:rFonts w:hint="default"/>
                <w:color w:val="auto"/>
                <w:highlight w:val="none"/>
                <w:vertAlign w:val="superscript"/>
              </w:rPr>
              <w:t>2</w:t>
            </w:r>
            <w:r>
              <w:rPr>
                <w:rFonts w:hint="default"/>
                <w:color w:val="auto"/>
                <w:highlight w:val="none"/>
              </w:rPr>
              <w:t>，规划设置1个探矿权，即城门洞矿段勘探</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598.9pt;width:415.45pt;" o:ole="t" filled="f" o:preferrelative="t" stroked="f" coordsize="21600,21600">
            <v:path/>
            <v:fill on="f" focussize="0,0"/>
            <v:stroke on="f"/>
            <v:imagedata r:id="rId24" cropleft="22214f" cropright="23004f" cropbottom="4759f" o:title=""/>
            <o:lock v:ext="edit" aspectratio="f"/>
            <w10:wrap type="none"/>
            <w10:anchorlock/>
          </v:shape>
          <o:OLEObject Type="Embed" ProgID="AutoCAD.Drawing.19" ShapeID="_x0000_i1025" DrawAspect="Content" ObjectID="_1468075725" r:id="rId23">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图2.1.1-1 大竹县煤炭矿区矿段划分情况</w:t>
      </w:r>
    </w:p>
    <w:p>
      <w:pPr>
        <w:pStyle w:val="6"/>
        <w:bidi w:val="0"/>
        <w:rPr>
          <w:rFonts w:hint="default"/>
          <w:color w:val="auto"/>
          <w:highlight w:val="none"/>
          <w:lang w:val="en-US" w:eastAsia="zh-CN"/>
        </w:rPr>
      </w:pPr>
      <w:bookmarkStart w:id="103" w:name="_Toc27339"/>
      <w:bookmarkStart w:id="104" w:name="_Toc14757"/>
      <w:r>
        <w:rPr>
          <w:rFonts w:hint="default"/>
          <w:color w:val="auto"/>
          <w:highlight w:val="none"/>
          <w:lang w:val="en-US" w:eastAsia="zh-CN"/>
        </w:rPr>
        <w:t>2.1.2 矿区煤炭资源禀赋、开采条件</w:t>
      </w:r>
      <w:bookmarkEnd w:id="103"/>
      <w:bookmarkEnd w:id="104"/>
    </w:p>
    <w:p>
      <w:pPr>
        <w:pStyle w:val="7"/>
        <w:bidi w:val="0"/>
        <w:rPr>
          <w:rFonts w:hint="default"/>
          <w:color w:val="auto"/>
          <w:highlight w:val="none"/>
          <w:lang w:val="en-US" w:eastAsia="zh-CN"/>
        </w:rPr>
      </w:pPr>
      <w:r>
        <w:rPr>
          <w:rFonts w:hint="default"/>
          <w:color w:val="auto"/>
          <w:highlight w:val="none"/>
          <w:lang w:val="en-US" w:eastAsia="zh-CN"/>
        </w:rPr>
        <w:t>2.1.2.1 矿区煤炭资源禀赋</w:t>
      </w:r>
    </w:p>
    <w:p>
      <w:pPr>
        <w:bidi w:val="0"/>
        <w:rPr>
          <w:rFonts w:hint="default"/>
          <w:color w:val="auto"/>
          <w:highlight w:val="none"/>
          <w:lang w:val="en-US" w:eastAsia="zh-CN"/>
        </w:rPr>
      </w:pPr>
      <w:r>
        <w:rPr>
          <w:rFonts w:hint="default"/>
          <w:color w:val="auto"/>
          <w:highlight w:val="none"/>
          <w:lang w:val="en-US" w:eastAsia="zh-CN"/>
        </w:rPr>
        <w:t>1、煤层情况</w:t>
      </w:r>
    </w:p>
    <w:p>
      <w:pPr>
        <w:bidi w:val="0"/>
        <w:rPr>
          <w:rFonts w:hint="default"/>
          <w:color w:val="auto"/>
          <w:highlight w:val="none"/>
          <w:lang w:val="en-US" w:eastAsia="zh-CN"/>
        </w:rPr>
      </w:pPr>
      <w:r>
        <w:rPr>
          <w:rFonts w:hint="default"/>
          <w:color w:val="auto"/>
          <w:highlight w:val="none"/>
          <w:lang w:val="en-US" w:eastAsia="zh-CN"/>
        </w:rPr>
        <w:t>（1）华蓥山北段矿段含煤地层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本区出露最老地层为下三叠统飞仙关组，最新地层为侏罗系中统新田沟组(J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x)；钻孔揭露最老地层为下二叠统茅口组。区内含煤地层为二叠上统</w:t>
      </w:r>
      <w:r>
        <w:rPr>
          <w:rFonts w:hint="default" w:ascii="Times New Roman" w:hAnsi="Times New Roman" w:cs="Times New Roman"/>
          <w:bCs/>
          <w:color w:val="auto"/>
          <w:sz w:val="24"/>
          <w:szCs w:val="24"/>
          <w:highlight w:val="none"/>
        </w:rPr>
        <w:t>统</w:t>
      </w:r>
      <w:r>
        <w:rPr>
          <w:rFonts w:hint="default" w:ascii="Times New Roman" w:hAnsi="Times New Roman" w:cs="Times New Roman"/>
          <w:color w:val="auto"/>
          <w:sz w:val="24"/>
          <w:szCs w:val="24"/>
          <w:highlight w:val="none"/>
        </w:rPr>
        <w:t>龙潭组（P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）和三叠系上统须家河组(T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xj)。含煤地层由老至新分述如下：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①</w:t>
      </w:r>
      <w:r>
        <w:rPr>
          <w:rFonts w:hint="default" w:ascii="Times New Roman" w:hAnsi="Times New Roman" w:cs="Times New Roman"/>
          <w:i/>
          <w:iCs/>
          <w:color w:val="auto"/>
          <w:sz w:val="24"/>
          <w:szCs w:val="24"/>
          <w:highlight w:val="none"/>
        </w:rPr>
        <w:t>上二叠统龙潭组（P</w:t>
      </w:r>
      <w:r>
        <w:rPr>
          <w:rFonts w:hint="default" w:ascii="Times New Roman" w:hAnsi="Times New Roman" w:cs="Times New Roman"/>
          <w:i/>
          <w:iCs/>
          <w:color w:val="auto"/>
          <w:sz w:val="24"/>
          <w:szCs w:val="24"/>
          <w:highlight w:val="none"/>
          <w:vertAlign w:val="subscript"/>
        </w:rPr>
        <w:t>2</w:t>
      </w:r>
      <w:r>
        <w:rPr>
          <w:rFonts w:hint="default" w:ascii="Times New Roman" w:hAnsi="Times New Roman" w:cs="Times New Roman"/>
          <w:i/>
          <w:iCs/>
          <w:color w:val="auto"/>
          <w:sz w:val="24"/>
          <w:szCs w:val="24"/>
          <w:highlight w:val="none"/>
        </w:rPr>
        <w:t>l）</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为本区的主要含煤地层。岩性由灰色中厚层状石灰岩、泥质灰岩及深灰色薄～中厚层状钙质泥岩和泥岩与粉砂质泥岩互层组成，水平层理发育。下部含本区主要可采煤层（I</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煤层），夹粉砂岩、细粒砂岩，底部为铝质泥岩。与下伏地层呈假整合接触。该组地层厚125m～155m，一般厚140m，根据其岩性特征分为五段，其中第一段为含煤段，第二～五段为非含煤段。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第一段（P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上部为灰色中厚层状石灰岩及灰、深灰色薄层状泥岩；下部为深灰色薄～中厚层状泥岩、粉砂质泥岩、细粒砂岩，含煤1～3层；底部为铝质泥质，富含星散状黄铁矿晶粒或结核。该段厚15m～32m，一般厚22m。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第二段（P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灰色中～厚层状石灰岩，质硬，含燧石结核，中夹薄层泥岩。厚12m～19m。一般厚15m。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第三段（P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灰、深灰色薄层状泥岩、钙质泥岩、泥质灰岩，水平层理发育，厚7m～18m，一般厚12m。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第四段（P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灰色中厚层状石灰岩，含燧石结核，夹沥青质条带，锤击具臭味，下部夹1～2层深灰色泥岩。该段厚58m～67m，一般厚63m。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E</w:t>
      </w:r>
      <w:r>
        <w:rPr>
          <w:rFonts w:hint="default" w:ascii="Times New Roman" w:hAnsi="Times New Roman" w:cs="Times New Roman"/>
          <w:color w:val="auto"/>
          <w:sz w:val="24"/>
          <w:szCs w:val="24"/>
          <w:highlight w:val="none"/>
        </w:rPr>
        <w:t>第五段（P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顶部为深灰色泥岩、钙质泥岩；中、上部为灰色石灰岩，含少量燧石，偶夹薄层泥岩；下部为深灰色粉砂质泥岩、泥岩及灰色细粒砂岩，含黄铁矿结核，水平层理发育；该段厚12m～34m，一般厚30m。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②</w:t>
      </w:r>
      <w:r>
        <w:rPr>
          <w:rFonts w:hint="default" w:ascii="Times New Roman" w:hAnsi="Times New Roman" w:cs="Times New Roman"/>
          <w:i/>
          <w:iCs/>
          <w:color w:val="auto"/>
          <w:sz w:val="24"/>
          <w:szCs w:val="24"/>
          <w:highlight w:val="none"/>
        </w:rPr>
        <w:t>三叠系中统雷口坡组（T</w:t>
      </w:r>
      <w:r>
        <w:rPr>
          <w:rFonts w:hint="default" w:ascii="Times New Roman" w:hAnsi="Times New Roman" w:cs="Times New Roman"/>
          <w:i/>
          <w:iCs/>
          <w:color w:val="auto"/>
          <w:sz w:val="24"/>
          <w:szCs w:val="24"/>
          <w:highlight w:val="none"/>
          <w:vertAlign w:val="subscript"/>
        </w:rPr>
        <w:t>2</w:t>
      </w:r>
      <w:r>
        <w:rPr>
          <w:rFonts w:hint="default" w:ascii="Times New Roman" w:hAnsi="Times New Roman" w:cs="Times New Roman"/>
          <w:i/>
          <w:iCs/>
          <w:color w:val="auto"/>
          <w:sz w:val="24"/>
          <w:szCs w:val="24"/>
          <w:highlight w:val="none"/>
        </w:rPr>
        <w:t>l）</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上部为深灰～黑灰色中层状泥质白云岩，微晶白云岩及白云质灰岩；中部灰色中层状泥质白云岩为主，夹绿灰色及暗紫色薄层状白云质泥岩；下部以黄灰色中厚层状微晶白云岩为主。未见底。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③</w:t>
      </w:r>
      <w:r>
        <w:rPr>
          <w:rFonts w:hint="default" w:ascii="Times New Roman" w:hAnsi="Times New Roman" w:cs="Times New Roman"/>
          <w:i/>
          <w:iCs/>
          <w:color w:val="auto"/>
          <w:sz w:val="24"/>
          <w:szCs w:val="24"/>
          <w:highlight w:val="none"/>
        </w:rPr>
        <w:t>三叠系上统须家河组(T</w:t>
      </w:r>
      <w:r>
        <w:rPr>
          <w:rFonts w:hint="default" w:ascii="Times New Roman" w:hAnsi="Times New Roman" w:cs="Times New Roman"/>
          <w:i/>
          <w:iCs/>
          <w:color w:val="auto"/>
          <w:sz w:val="24"/>
          <w:szCs w:val="24"/>
          <w:highlight w:val="none"/>
          <w:vertAlign w:val="subscript"/>
        </w:rPr>
        <w:t>3</w:t>
      </w:r>
      <w:r>
        <w:rPr>
          <w:rFonts w:hint="default" w:ascii="Times New Roman" w:hAnsi="Times New Roman" w:cs="Times New Roman"/>
          <w:i/>
          <w:iCs/>
          <w:color w:val="auto"/>
          <w:sz w:val="24"/>
          <w:szCs w:val="24"/>
          <w:highlight w:val="none"/>
        </w:rPr>
        <w:t>xj)</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为区内的含煤地层之一，以假整合覆于三叠系中统雷口坡组(T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l)灰岩之上。由细～粗粒砂岩、粉砂岩、粉砂质泥岩、泥岩夹薄层泥灰岩和煤组成，为一套三角洲——河流、湖泊相沉积，旋回结构十分明显。按沉积旋回，岩性组合和含煤性，将本组地层共划分为七个岩性段，由下往上，第一、三、五、七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)为含煤段，第二、四、六段(T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)为砂岩段。在泥岩和煤层的顶底板中含丰富的植物化石，并含少量的小体瓣鳃化石及鱼化石等动物化石。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现将区内出露或揭露出的须家河组第一段至第七段地层叙述如下：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第一段(T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平均厚60m左右，岩性为灰、黄灰、深灰、黑色泥岩，粘土质泥岩、粉砂质泥岩、泥质砂岩、石英砂岩，夹煤层及炭质泥岩，含植物化石。一般含煤两层，俗称内大连、内双连。</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第二段(T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平均厚160m，岩性主要为浅灰色石英砂岩，局部夹灰色砂岩透镜体及薄层砂质泥岩，含少量植物化石及硅化木。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第三段(T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厚度变化大，35m～104m，黑灰色泥岩、炭质泥岩夹蓝灰色石英砂岩、灰质粉砂岩，含大量植物化石。一般含煤三层，俗称内砂连、双龙炭、中独连。</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第四段(T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该段为厚层状中粒长石石英砂岩，顶部为细粒砂岩，中下部夹砾石多层。该段厚16m～115m。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E</w:t>
      </w:r>
      <w:r>
        <w:rPr>
          <w:rFonts w:hint="default" w:ascii="Times New Roman" w:hAnsi="Times New Roman" w:cs="Times New Roman"/>
          <w:color w:val="auto"/>
          <w:sz w:val="24"/>
          <w:szCs w:val="24"/>
          <w:highlight w:val="none"/>
        </w:rPr>
        <w:t>第五段(T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段为本区主要含煤地层之一，俗称“中煤组”，为边滩、湖泊和沼泽相沉积，其上部为深灰色泥岩、粉砂质泥岩，夹薄层粉砂岩和泥质粉砂岩，含丰富的植物化石。中部为灰色中厚层状细～中粒长石石英砂岩，夹薄层粉砂岩和粉砂质泥岩。下部为灰、深灰色泥岩、粉砂质泥岩，夹薄层泥质粉砂岩、粉砂岩，厚25m～105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F</w:t>
      </w:r>
      <w:r>
        <w:rPr>
          <w:rFonts w:hint="default" w:ascii="Times New Roman" w:hAnsi="Times New Roman" w:cs="Times New Roman"/>
          <w:color w:val="auto"/>
          <w:sz w:val="24"/>
          <w:szCs w:val="24"/>
          <w:highlight w:val="none"/>
        </w:rPr>
        <w:t>第六段(T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该段主要为河床滞留和边滩相沉积。以灰白～浅灰色厚层状细～粗粒砂岩为主，碎屑颗粒的磨圆度和分选性均较差，底部含大量泥质包体、煤包体和菱铁质包体。上部夹薄层泥岩、泥质粉砂岩，厚51m～139m。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rPr>
        <w:t>第七段(T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为本区主要含煤段，俗称“上煤组”。为一套湖泊、沼泽和边滩相沉积，厚61m～131m。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④</w:t>
      </w:r>
      <w:r>
        <w:rPr>
          <w:rFonts w:hint="default" w:ascii="Times New Roman" w:hAnsi="Times New Roman" w:cs="Times New Roman"/>
          <w:i/>
          <w:iCs/>
          <w:color w:val="auto"/>
          <w:sz w:val="24"/>
          <w:szCs w:val="24"/>
          <w:highlight w:val="none"/>
        </w:rPr>
        <w:t>侏罗系下统珍珠冲组（J</w:t>
      </w:r>
      <w:r>
        <w:rPr>
          <w:rFonts w:hint="default" w:ascii="Times New Roman" w:hAnsi="Times New Roman" w:cs="Times New Roman"/>
          <w:i/>
          <w:iCs/>
          <w:color w:val="auto"/>
          <w:sz w:val="24"/>
          <w:szCs w:val="24"/>
          <w:highlight w:val="none"/>
          <w:vertAlign w:val="subscript"/>
        </w:rPr>
        <w:t>1</w:t>
      </w:r>
      <w:r>
        <w:rPr>
          <w:rFonts w:hint="default" w:ascii="Times New Roman" w:hAnsi="Times New Roman" w:cs="Times New Roman"/>
          <w:i/>
          <w:iCs/>
          <w:color w:val="auto"/>
          <w:sz w:val="24"/>
          <w:szCs w:val="24"/>
          <w:highlight w:val="none"/>
        </w:rPr>
        <w:t>zh）</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为灰、深灰、绿灰等杂色泥岩及粉砂质泥岩，夹2—3层灰色粉砂岩和细粒砂岩，中下部夹煤线，底部为17m左右浅灰、灰白色中粒砂岩。厚100m～160m，与下伏三叠系上统须家河组（T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i/>
          <w:color w:val="auto"/>
          <w:sz w:val="24"/>
          <w:szCs w:val="24"/>
          <w:highlight w:val="none"/>
        </w:rPr>
        <w:t>xj</w:t>
      </w:r>
      <w:r>
        <w:rPr>
          <w:rFonts w:hint="default" w:ascii="Times New Roman" w:hAnsi="Times New Roman" w:cs="Times New Roman"/>
          <w:color w:val="auto"/>
          <w:sz w:val="24"/>
          <w:szCs w:val="24"/>
          <w:highlight w:val="none"/>
        </w:rPr>
        <w:t>）地层呈整合接触。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⑤</w:t>
      </w:r>
      <w:r>
        <w:rPr>
          <w:rFonts w:hint="default" w:ascii="Times New Roman" w:hAnsi="Times New Roman" w:cs="Times New Roman"/>
          <w:i/>
          <w:iCs/>
          <w:color w:val="auto"/>
          <w:sz w:val="24"/>
          <w:szCs w:val="24"/>
          <w:highlight w:val="none"/>
        </w:rPr>
        <w:t>侏罗系下至中统自流井组（J</w:t>
      </w:r>
      <w:r>
        <w:rPr>
          <w:rFonts w:hint="default" w:ascii="Times New Roman" w:hAnsi="Times New Roman" w:cs="Times New Roman"/>
          <w:i/>
          <w:iCs/>
          <w:color w:val="auto"/>
          <w:sz w:val="24"/>
          <w:szCs w:val="24"/>
          <w:highlight w:val="none"/>
          <w:vertAlign w:val="subscript"/>
        </w:rPr>
        <w:t>1-2</w:t>
      </w:r>
      <w:r>
        <w:rPr>
          <w:rFonts w:hint="default" w:ascii="Times New Roman" w:hAnsi="Times New Roman" w:cs="Times New Roman"/>
          <w:i/>
          <w:iCs/>
          <w:color w:val="auto"/>
          <w:sz w:val="24"/>
          <w:szCs w:val="24"/>
          <w:highlight w:val="none"/>
        </w:rPr>
        <w:t>z）</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本组为一套湖泊相沉积，岩性岩相较稳定，岩石颜色较深，粒度较细，普遍含钙质，夹多层介屑灰岩、泥灰岩和石灰岩，含大量动物化石，有少量植物化石，与下伏三叠系上统须家河组（T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i/>
          <w:color w:val="auto"/>
          <w:sz w:val="24"/>
          <w:szCs w:val="24"/>
          <w:highlight w:val="none"/>
        </w:rPr>
        <w:t>xj</w:t>
      </w:r>
      <w:r>
        <w:rPr>
          <w:rFonts w:hint="default" w:ascii="Times New Roman" w:hAnsi="Times New Roman" w:cs="Times New Roman"/>
          <w:color w:val="auto"/>
          <w:sz w:val="24"/>
          <w:szCs w:val="24"/>
          <w:highlight w:val="none"/>
        </w:rPr>
        <w:t>）地层呈整合接触。厚95m～213m，一般厚210m。根据岩性及古生物特征，由老至新划分为东岳庙段、马鞍山段及大安寨段。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东岳庙段(J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color w:val="auto"/>
          <w:sz w:val="24"/>
          <w:szCs w:val="24"/>
          <w:highlight w:val="none"/>
        </w:rPr>
        <w:t>z</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上部以深灰色泥岩为主，夹薄层介屑灰岩，下部为灰色粉砂岩和泥质粉砂岩，局部夹细粒长石石英砂岩。本段含大量瓣鳃化石。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马鞍山段(J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color w:val="auto"/>
          <w:sz w:val="24"/>
          <w:szCs w:val="24"/>
          <w:highlight w:val="none"/>
        </w:rPr>
        <w:t>z</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以灰色泥岩、粉砂质泥岩为主，底部为深褐灰色粉砂质泥岩夹薄层含介屑泥质灰岩，中上部夹薄层泥质粉砂岩，上部偶见紫红色泥岩。本段含叶肢介和鱼鳞化石。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大安寨段(J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color w:val="auto"/>
          <w:sz w:val="24"/>
          <w:szCs w:val="24"/>
          <w:highlight w:val="none"/>
        </w:rPr>
        <w:t>z</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深灰色泥岩夹薄层介屑灰岩和石灰岩，上部夹中厚层状粉砂岩和泥质粉砂岩，水平层理及波状层理发育。本段含大量瓣鳃类化石。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⑥</w:t>
      </w:r>
      <w:r>
        <w:rPr>
          <w:rFonts w:hint="default" w:ascii="Times New Roman" w:hAnsi="Times New Roman" w:cs="Times New Roman"/>
          <w:i/>
          <w:iCs/>
          <w:color w:val="auto"/>
          <w:sz w:val="24"/>
          <w:szCs w:val="24"/>
          <w:highlight w:val="none"/>
        </w:rPr>
        <w:t>侏罗系中统新田沟组（J</w:t>
      </w:r>
      <w:r>
        <w:rPr>
          <w:rFonts w:hint="default" w:ascii="Times New Roman" w:hAnsi="Times New Roman" w:cs="Times New Roman"/>
          <w:i/>
          <w:iCs/>
          <w:color w:val="auto"/>
          <w:sz w:val="24"/>
          <w:szCs w:val="24"/>
          <w:highlight w:val="none"/>
          <w:vertAlign w:val="subscript"/>
        </w:rPr>
        <w:t>2</w:t>
      </w:r>
      <w:r>
        <w:rPr>
          <w:rFonts w:hint="default" w:ascii="Times New Roman" w:hAnsi="Times New Roman" w:cs="Times New Roman"/>
          <w:i/>
          <w:iCs/>
          <w:color w:val="auto"/>
          <w:sz w:val="24"/>
          <w:szCs w:val="24"/>
          <w:highlight w:val="none"/>
        </w:rPr>
        <w:t>x）</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组为河流、湖泊相沉积，厚约380m。本组上、下部为紫、灰绿色粉砂质泥岩，块状层理，不含化石；中部为灰色泥岩和粉砂岩互层，夹薄层生物屑灰岩和泥灰岩，水平层理发育，含瓣鳃化石，与下伏地层整合接触，根据岩性和化石特征由老至新分为四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第一段(J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紫、绿灰色泥岩和粉砂质泥岩，团块状结构，含较多钙质结核，中下部夹中厚层状粉砂岩和细粒石英砂岩，底部为绿灰色泥质粉砂岩。本段厚44m～49m，一般厚47m。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第二段(J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深灰色泥岩和粉砂质泥岩为主，夹薄层泥质粉砂岩、粉砂岩和细粒长石石英砂岩，砂岩和粉砂岩中白云母含量高，并常含钙质。底部为灰色泥质粉砂岩和粉砂岩，含瓣鳃化石和薄层介屑灰岩。本段厚96m～144m，一般厚105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第三段(J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灰色泥质粉砂岩，粉砂岩夹深灰色泥岩和粉砂质泥岩，中上部有薄层钙质粉砂岩，泥岩中有较多瓣鳃化石，水平层理发育。底部为厚层状细粒砂岩。本段厚85m～122m，一般厚95m。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第四段(J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紫红、灰绿色泥岩和粉砂质泥岩，含钙质结核，间夹薄层粉砂岩和细粒砂岩，不含化石。本段厚约128m。</w:t>
      </w:r>
    </w:p>
    <w:p>
      <w:pPr>
        <w:bidi w:val="0"/>
        <w:rPr>
          <w:rFonts w:hint="default"/>
          <w:color w:val="auto"/>
          <w:highlight w:val="none"/>
          <w:lang w:val="en-US" w:eastAsia="zh-CN"/>
        </w:rPr>
      </w:pPr>
      <w:r>
        <w:rPr>
          <w:rFonts w:hint="default"/>
          <w:color w:val="auto"/>
          <w:highlight w:val="none"/>
          <w:lang w:val="en-US" w:eastAsia="zh-CN"/>
        </w:rPr>
        <w:t>（2）中山明月峡矿区含煤地层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区内出露地层为三叠系中统雷口坡组（T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l）及上统须家河组（T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xj）、侏罗系上统珍珠冲组（J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zh）及侏罗系中下统自流井组（J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color w:val="auto"/>
          <w:sz w:val="24"/>
          <w:szCs w:val="24"/>
          <w:highlight w:val="none"/>
        </w:rPr>
        <w:t>z）和中统新田沟组（J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x）。现将含煤地层叙述于后：</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含煤地层为三叠系上统须家河组（T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xj），分为七个段，其中第一（T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）、三（T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）、五（T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）、七段（T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）为含煤段，主要岩性为深灰色泥岩，夹粉砂岩或厚度不等的细～中粒砂岩、含煤层及煤线。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rPr>
        <w:t>三叠系中统雷口坡组(T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l)</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以灰、棕灰色中厚层状泥灰岩为主，夹浅灰色灰岩，角砾状灰岩及白云质灰岩，并夹有少许紫红色的薄层泥岩。区内出露不全，厚度不详。</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w:t>
      </w:r>
      <w:r>
        <w:rPr>
          <w:rFonts w:hint="default" w:ascii="Times New Roman" w:hAnsi="Times New Roman" w:cs="Times New Roman"/>
          <w:bCs/>
          <w:color w:val="auto"/>
          <w:sz w:val="24"/>
          <w:szCs w:val="24"/>
          <w:highlight w:val="none"/>
        </w:rPr>
        <w:t>三叠系上统须家河组(T</w:t>
      </w:r>
      <w:r>
        <w:rPr>
          <w:rFonts w:hint="default" w:ascii="Times New Roman" w:hAnsi="Times New Roman" w:cs="Times New Roman"/>
          <w:bCs/>
          <w:color w:val="auto"/>
          <w:sz w:val="24"/>
          <w:szCs w:val="24"/>
          <w:highlight w:val="none"/>
          <w:vertAlign w:val="subscript"/>
        </w:rPr>
        <w:t>3</w:t>
      </w:r>
      <w:r>
        <w:rPr>
          <w:rFonts w:hint="default" w:ascii="Times New Roman" w:hAnsi="Times New Roman" w:cs="Times New Roman"/>
          <w:bCs/>
          <w:color w:val="auto"/>
          <w:sz w:val="24"/>
          <w:szCs w:val="24"/>
          <w:highlight w:val="none"/>
        </w:rPr>
        <w:t>xj)</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第一段（T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该层上部岩性以粘土质泥岩为主，中部为灰白色厚层状中粒长石英砂岩，下部为泥岩，炭质泥岩和粉砂岩，含煤二层，均为不可采煤层，总厚12m～58m，平均厚24m。与下伏地层雷口坡组呈整合接触。</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第二段（T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为灰白色厚层状中粒石英砂岩，含少量暗色矿物及铁质结核，风化后呈黄灰色，与下伏岩层冲刷接触。层厚107.2m～255m。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第三段（T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为灰黑、灰色泥岩、砂质泥岩、泥质粉砂岩、页岩及细粒砂岩组成，与下伏二段岩层为整合接触。层厚65m～96m，平均厚78m。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第四段（T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浅灰色、灰色厚层状中粗粒长石石英砂岩，砂岩呈次棱角状，泥质胶结。上部含泥质和较多的暗色矿物，云母碎片及煤屑，组织疏松，中部夹2～3层砾石，总厚为78m～124m，平均厚106m。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E</w:t>
      </w:r>
      <w:r>
        <w:rPr>
          <w:rFonts w:hint="default" w:ascii="Times New Roman" w:hAnsi="Times New Roman" w:cs="Times New Roman"/>
          <w:color w:val="auto"/>
          <w:sz w:val="24"/>
          <w:szCs w:val="24"/>
          <w:highlight w:val="none"/>
        </w:rPr>
        <w:t>第五段（T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本段是区内主要的含煤段，俗称“中煤组”，该段按其岩性可分为三个亚段，一、三亚段含煤，二亚段为砂岩。</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第一亚段（T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5-1</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以灰色～深灰色泥岩、砂质泥岩、粘土质泥岩为主，夹薄层状细粒砂岩，其中含煤三层，即K</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煤层。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第二亚段（T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5-2</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为浅灰、灰色中～细粒砂岩，含黑色矿物质坚硬，平均厚度约50m。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第三亚段（T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5-3</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以杂色砂质泥岩、泥质粉砂岩、粉砂岩为主，含有机岩、页岩、砂质页岩，含煤多层。该段厚60m。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F</w:t>
      </w:r>
      <w:r>
        <w:rPr>
          <w:rFonts w:hint="default" w:ascii="Times New Roman" w:hAnsi="Times New Roman" w:cs="Times New Roman"/>
          <w:color w:val="auto"/>
          <w:sz w:val="24"/>
          <w:szCs w:val="24"/>
          <w:highlight w:val="none"/>
        </w:rPr>
        <w:t>第六段（T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为灰白、浅灰色厚层状细-粗粒砂岩，局部夹薄层泥岩、泥质粉砂岩，含泥质包体、菱铁质包体、煤包体及石英燧石砾石，厚55m～150m，平均120m。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rPr>
        <w:t>第七段（T</w:t>
      </w:r>
      <w:r>
        <w:rPr>
          <w:rFonts w:hint="default" w:ascii="Times New Roman" w:hAnsi="Times New Roman" w:cs="Times New Roman"/>
          <w:color w:val="auto"/>
          <w:sz w:val="24"/>
          <w:szCs w:val="24"/>
          <w:highlight w:val="none"/>
          <w:vertAlign w:val="subscript"/>
        </w:rPr>
        <w:t>3xj</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须家河组第七段俗称“上煤组”。分为三个亚带，一、三亚带为含煤带，岩性为深灰色泥岩、粉砂岩、粉砂质泥岩。</w:t>
      </w:r>
    </w:p>
    <w:p>
      <w:pPr>
        <w:adjustRightInd w:val="0"/>
        <w:snapToGrid w:val="0"/>
        <w:spacing w:line="360" w:lineRule="auto"/>
        <w:ind w:firstLine="480" w:firstLineChars="200"/>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第一亚段(T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i/>
          <w:iCs/>
          <w:color w:val="auto"/>
          <w:sz w:val="24"/>
          <w:szCs w:val="24"/>
          <w:highlight w:val="none"/>
        </w:rPr>
        <w:t>xj</w:t>
      </w:r>
      <w:r>
        <w:rPr>
          <w:rFonts w:hint="default" w:ascii="Times New Roman" w:hAnsi="Times New Roman" w:cs="Times New Roman"/>
          <w:color w:val="auto"/>
          <w:sz w:val="24"/>
          <w:szCs w:val="24"/>
          <w:highlight w:val="none"/>
          <w:vertAlign w:val="superscript"/>
        </w:rPr>
        <w:t>7-1</w:t>
      </w:r>
      <w:r>
        <w:rPr>
          <w:rFonts w:hint="default" w:ascii="Times New Roman" w:hAnsi="Times New Roman" w:cs="Times New Roman"/>
          <w:color w:val="auto"/>
          <w:sz w:val="24"/>
          <w:szCs w:val="24"/>
          <w:highlight w:val="none"/>
        </w:rPr>
        <w:t>)以灰色、深灰色泥岩、粉砂质泥岩为主，夹薄层粉砂岩，平均厚20m。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第二亚段(T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i/>
          <w:iCs/>
          <w:color w:val="auto"/>
          <w:sz w:val="24"/>
          <w:szCs w:val="24"/>
          <w:highlight w:val="none"/>
        </w:rPr>
        <w:t>xj</w:t>
      </w:r>
      <w:r>
        <w:rPr>
          <w:rFonts w:hint="default" w:ascii="Times New Roman" w:hAnsi="Times New Roman" w:cs="Times New Roman"/>
          <w:color w:val="auto"/>
          <w:sz w:val="24"/>
          <w:szCs w:val="24"/>
          <w:highlight w:val="none"/>
          <w:vertAlign w:val="superscript"/>
        </w:rPr>
        <w:t>7-2</w:t>
      </w:r>
      <w:r>
        <w:rPr>
          <w:rFonts w:hint="default" w:ascii="Times New Roman" w:hAnsi="Times New Roman" w:cs="Times New Roman"/>
          <w:color w:val="auto"/>
          <w:sz w:val="24"/>
          <w:szCs w:val="24"/>
          <w:highlight w:val="none"/>
        </w:rPr>
        <w:t>)为灰色细～中粒砂岩，含泥质包体、菱铁质包体和煤包体，又因含大量黑色硅质岩屑，故称“芝麻砂岩”，平均厚28m。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第三亚段(T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i/>
          <w:iCs/>
          <w:color w:val="auto"/>
          <w:sz w:val="24"/>
          <w:szCs w:val="24"/>
          <w:highlight w:val="none"/>
        </w:rPr>
        <w:t>xj</w:t>
      </w:r>
      <w:r>
        <w:rPr>
          <w:rFonts w:hint="default" w:ascii="Times New Roman" w:hAnsi="Times New Roman" w:cs="Times New Roman"/>
          <w:color w:val="auto"/>
          <w:sz w:val="24"/>
          <w:szCs w:val="24"/>
          <w:highlight w:val="none"/>
          <w:vertAlign w:val="superscript"/>
        </w:rPr>
        <w:t>7-3</w:t>
      </w:r>
      <w:r>
        <w:rPr>
          <w:rFonts w:hint="default" w:ascii="Times New Roman" w:hAnsi="Times New Roman" w:cs="Times New Roman"/>
          <w:color w:val="auto"/>
          <w:sz w:val="24"/>
          <w:szCs w:val="24"/>
          <w:highlight w:val="none"/>
        </w:rPr>
        <w:t>)由灰、深灰色粉砂质泥岩、泥岩夹细粒砂岩组成，平均厚15m。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③</w:t>
      </w:r>
      <w:r>
        <w:rPr>
          <w:rFonts w:hint="default" w:ascii="Times New Roman" w:hAnsi="Times New Roman" w:cs="Times New Roman"/>
          <w:color w:val="auto"/>
          <w:sz w:val="24"/>
          <w:szCs w:val="24"/>
          <w:highlight w:val="none"/>
        </w:rPr>
        <w:t>侏罗系下统珍珠冲组(J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为灰色、绿灰色砂质泥岩、泥岩夹细砂岩、粉砂岩，上部有少量紫红色泥岩，间夹数层粉砂岩和细砂岩。下部含煤线数层，底部为厚层状细～中粒砂岩，含少量燧石砾石，该组厚度81m～163m，平均厚160m。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44"/>
          <w:sz w:val="24"/>
          <w:szCs w:val="24"/>
          <w:highlight w:val="none"/>
          <w:lang w:val="en-US" w:eastAsia="zh-CN"/>
        </w:rPr>
        <w:t>④</w:t>
      </w:r>
      <w:r>
        <w:rPr>
          <w:rFonts w:hint="default" w:ascii="Times New Roman" w:hAnsi="Times New Roman" w:cs="Times New Roman"/>
          <w:color w:val="auto"/>
          <w:sz w:val="24"/>
          <w:szCs w:val="24"/>
          <w:highlight w:val="none"/>
        </w:rPr>
        <w:t>侏罗系中、下统自流井组(J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color w:val="auto"/>
          <w:sz w:val="24"/>
          <w:szCs w:val="24"/>
          <w:highlight w:val="none"/>
        </w:rPr>
        <w:t>z)</w:t>
      </w:r>
    </w:p>
    <w:p>
      <w:pPr>
        <w:adjustRightInd w:val="0"/>
        <w:snapToGrid w:val="0"/>
        <w:spacing w:line="360" w:lineRule="auto"/>
        <w:ind w:firstLine="472" w:firstLineChars="200"/>
        <w:rPr>
          <w:rFonts w:hint="default" w:ascii="Times New Roman" w:hAnsi="Times New Roman" w:cs="Times New Roman"/>
          <w:color w:val="auto"/>
          <w:spacing w:val="-2"/>
          <w:sz w:val="24"/>
          <w:szCs w:val="24"/>
          <w:highlight w:val="none"/>
        </w:rPr>
      </w:pPr>
      <w:r>
        <w:rPr>
          <w:rFonts w:hint="default" w:ascii="Times New Roman" w:hAnsi="Times New Roman" w:cs="Times New Roman"/>
          <w:color w:val="auto"/>
          <w:spacing w:val="-2"/>
          <w:sz w:val="24"/>
          <w:szCs w:val="24"/>
          <w:highlight w:val="none"/>
        </w:rPr>
        <w:t>灰色夹紫色泥岩为主间夹粉砂岩、砂岩；上部为灰岩、钙质泥岩，</w:t>
      </w:r>
      <w:r>
        <w:rPr>
          <w:rFonts w:hint="default" w:ascii="Times New Roman" w:hAnsi="Times New Roman" w:cs="Times New Roman"/>
          <w:color w:val="auto"/>
          <w:sz w:val="24"/>
          <w:szCs w:val="24"/>
          <w:highlight w:val="none"/>
        </w:rPr>
        <w:t>总厚176.0m～232.00m，</w:t>
      </w:r>
      <w:r>
        <w:rPr>
          <w:rFonts w:hint="default" w:ascii="Times New Roman" w:hAnsi="Times New Roman" w:cs="Times New Roman"/>
          <w:color w:val="auto"/>
          <w:spacing w:val="-2"/>
          <w:sz w:val="24"/>
          <w:szCs w:val="24"/>
          <w:highlight w:val="none"/>
        </w:rPr>
        <w:t>厚度</w:t>
      </w:r>
      <w:r>
        <w:rPr>
          <w:rFonts w:hint="default" w:ascii="Times New Roman" w:hAnsi="Times New Roman" w:cs="Times New Roman"/>
          <w:color w:val="auto"/>
          <w:sz w:val="24"/>
          <w:szCs w:val="24"/>
          <w:highlight w:val="none"/>
        </w:rPr>
        <w:t>225m</w:t>
      </w:r>
      <w:r>
        <w:rPr>
          <w:rFonts w:hint="default" w:ascii="Times New Roman" w:hAnsi="Times New Roman" w:cs="Times New Roman"/>
          <w:color w:val="auto"/>
          <w:spacing w:val="-2"/>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东岳庙段(J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i/>
          <w:iCs/>
          <w:color w:val="auto"/>
          <w:sz w:val="24"/>
          <w:szCs w:val="24"/>
          <w:highlight w:val="none"/>
        </w:rPr>
        <w:t>z</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)为灰色介壳灰岩、钙质泥岩及黑色泥岩，含丰富的瓣鳃类化石。底部为粉砂岩，含少量瓣鳃化石，厚18m～52m，平均37m。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马鞍山段(J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i/>
          <w:iCs/>
          <w:color w:val="auto"/>
          <w:sz w:val="24"/>
          <w:szCs w:val="24"/>
          <w:highlight w:val="none"/>
        </w:rPr>
        <w:t>z</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)为灰色、黄灰色粉砂质泥岩夹泥质粉砂岩和粉砂岩，含较多的叶肢介化石，厚68m～165m，平均107m。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rPr>
        <w:t>大安寨段(J</w:t>
      </w:r>
      <w:r>
        <w:rPr>
          <w:rFonts w:hint="default" w:ascii="Times New Roman" w:hAnsi="Times New Roman" w:cs="Times New Roman"/>
          <w:color w:val="auto"/>
          <w:sz w:val="24"/>
          <w:szCs w:val="24"/>
          <w:highlight w:val="none"/>
          <w:vertAlign w:val="subscript"/>
        </w:rPr>
        <w:t>1-2</w:t>
      </w:r>
      <w:r>
        <w:rPr>
          <w:rFonts w:hint="default" w:ascii="Times New Roman" w:hAnsi="Times New Roman" w:cs="Times New Roman"/>
          <w:i/>
          <w:iCs/>
          <w:color w:val="auto"/>
          <w:sz w:val="24"/>
          <w:szCs w:val="24"/>
          <w:highlight w:val="none"/>
        </w:rPr>
        <w:t>z</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)顶、底为灰色、棕灰色结晶灰岩，中部为深灰色泥岩及粉砂质泥岩，含大量瓣鳃化石，厚31m～62m。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44"/>
          <w:sz w:val="24"/>
          <w:szCs w:val="24"/>
          <w:highlight w:val="none"/>
          <w:lang w:val="en-US" w:eastAsia="zh-CN"/>
        </w:rPr>
        <w:t>⑤</w:t>
      </w:r>
      <w:r>
        <w:rPr>
          <w:rFonts w:hint="default" w:ascii="Times New Roman" w:hAnsi="Times New Roman" w:cs="Times New Roman"/>
          <w:color w:val="auto"/>
          <w:sz w:val="24"/>
          <w:szCs w:val="24"/>
          <w:highlight w:val="none"/>
        </w:rPr>
        <w:t>侏罗系中统新田沟组(J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x)</w:t>
      </w:r>
    </w:p>
    <w:p>
      <w:pPr>
        <w:adjustRightInd w:val="0"/>
        <w:snapToGrid w:val="0"/>
        <w:spacing w:line="360" w:lineRule="auto"/>
        <w:ind w:firstLine="472" w:firstLineChars="200"/>
        <w:rPr>
          <w:rFonts w:hint="default" w:ascii="Times New Roman" w:hAnsi="Times New Roman" w:cs="Times New Roman"/>
          <w:color w:val="auto"/>
          <w:spacing w:val="-2"/>
          <w:sz w:val="24"/>
          <w:szCs w:val="24"/>
          <w:highlight w:val="none"/>
        </w:rPr>
      </w:pPr>
      <w:r>
        <w:rPr>
          <w:rFonts w:hint="default" w:ascii="Times New Roman" w:hAnsi="Times New Roman" w:cs="Times New Roman"/>
          <w:color w:val="auto"/>
          <w:spacing w:val="-2"/>
          <w:sz w:val="24"/>
          <w:szCs w:val="24"/>
          <w:highlight w:val="none"/>
        </w:rPr>
        <w:t>紫、灰绿色砂</w:t>
      </w:r>
      <w:r>
        <w:rPr>
          <w:rFonts w:hint="default" w:ascii="Times New Roman" w:hAnsi="Times New Roman" w:cs="Times New Roman"/>
          <w:color w:val="auto"/>
          <w:sz w:val="24"/>
          <w:szCs w:val="24"/>
          <w:highlight w:val="none"/>
        </w:rPr>
        <w:t>质泥岩为主，中部为灰色泥岩、砂质泥岩，厚350m。</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44"/>
          <w:sz w:val="24"/>
          <w:szCs w:val="24"/>
          <w:highlight w:val="none"/>
          <w:lang w:val="en-US" w:eastAsia="zh-CN"/>
        </w:rPr>
        <w:t>⑥</w:t>
      </w:r>
      <w:r>
        <w:rPr>
          <w:rFonts w:hint="default" w:ascii="Times New Roman" w:hAnsi="Times New Roman" w:cs="Times New Roman"/>
          <w:color w:val="auto"/>
          <w:sz w:val="24"/>
          <w:szCs w:val="24"/>
          <w:highlight w:val="none"/>
        </w:rPr>
        <w:t>第四系(</w:t>
      </w:r>
      <w:r>
        <w:rPr>
          <w:rFonts w:hint="default" w:ascii="Times New Roman" w:hAnsi="Times New Roman" w:cs="Times New Roman"/>
          <w:bCs/>
          <w:color w:val="auto"/>
          <w:sz w:val="24"/>
          <w:szCs w:val="24"/>
          <w:highlight w:val="none"/>
        </w:rPr>
        <w:t>Q</w:t>
      </w:r>
      <w:r>
        <w:rPr>
          <w:rFonts w:hint="default" w:ascii="Times New Roman" w:hAnsi="Times New Roman" w:cs="Times New Roman"/>
          <w:bCs/>
          <w:color w:val="auto"/>
          <w:sz w:val="24"/>
          <w:szCs w:val="24"/>
          <w:highlight w:val="none"/>
          <w:vertAlign w:val="subscript"/>
        </w:rPr>
        <w:t>4</w:t>
      </w:r>
      <w:r>
        <w:rPr>
          <w:rFonts w:hint="default" w:ascii="Times New Roman" w:hAnsi="Times New Roman"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洪冲积层（Q</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vertAlign w:val="superscript"/>
        </w:rPr>
        <w:t>pal</w:t>
      </w:r>
      <w:r>
        <w:rPr>
          <w:rFonts w:hint="default" w:ascii="Times New Roman" w:hAnsi="Times New Roman" w:cs="Times New Roman"/>
          <w:color w:val="auto"/>
          <w:sz w:val="24"/>
          <w:szCs w:val="24"/>
          <w:highlight w:val="none"/>
        </w:rPr>
        <w:t>）：岩性为砾石，细砂、淤泥等组成，砾石大小不等，呈次棱角状，磨圆度较差，洪冲积层二元结构不明显，其厚度不详；残坡积层（Q</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vertAlign w:val="superscript"/>
        </w:rPr>
        <w:t>esl</w:t>
      </w:r>
      <w:r>
        <w:rPr>
          <w:rFonts w:hint="default" w:ascii="Times New Roman" w:hAnsi="Times New Roman" w:cs="Times New Roman"/>
          <w:color w:val="auto"/>
          <w:sz w:val="24"/>
          <w:szCs w:val="24"/>
          <w:highlight w:val="none"/>
        </w:rPr>
        <w:t>）：在宽缓槽谷、低洼及山麓平缓地带分布，岩性主要为风化残积粘土、粉土、砂质粘土夹少量碎石及块石，为厚0.2m～3m。</w:t>
      </w:r>
    </w:p>
    <w:p>
      <w:pPr>
        <w:bidi w:val="0"/>
        <w:rPr>
          <w:rFonts w:hint="default"/>
          <w:color w:val="auto"/>
          <w:highlight w:val="none"/>
          <w:lang w:val="en-US" w:eastAsia="zh-CN"/>
        </w:rPr>
      </w:pPr>
      <w:r>
        <w:rPr>
          <w:rFonts w:hint="default"/>
          <w:color w:val="auto"/>
          <w:highlight w:val="none"/>
          <w:lang w:val="en-US" w:eastAsia="zh-CN"/>
        </w:rPr>
        <w:t>2、开采煤层与煤质</w:t>
      </w:r>
    </w:p>
    <w:p>
      <w:pPr>
        <w:bidi w:val="0"/>
        <w:rPr>
          <w:rFonts w:hint="default"/>
          <w:color w:val="auto"/>
          <w:highlight w:val="none"/>
          <w:lang w:val="en-US" w:eastAsia="zh-CN"/>
        </w:rPr>
      </w:pPr>
      <w:r>
        <w:rPr>
          <w:rFonts w:hint="default"/>
          <w:color w:val="auto"/>
          <w:highlight w:val="none"/>
          <w:lang w:val="en-US" w:eastAsia="zh-CN"/>
        </w:rPr>
        <w:t>（1）可采煤层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xj)为区内的含煤地层，按沉积旋回，岩性组合和含煤性，将本组地层共划分为七个岩性段，由下往上，第一、三、五、七段(T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1</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)为含煤段，第二、四、六段(T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)为砂岩段。三叠系上统须家河组(T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xj)的K</w:t>
      </w:r>
      <w:r>
        <w:rPr>
          <w:rFonts w:hint="default" w:ascii="Times New Roman" w:hAnsi="Times New Roman" w:cs="Times New Roman"/>
          <w:color w:val="auto"/>
          <w:sz w:val="24"/>
          <w:szCs w:val="24"/>
          <w:highlight w:val="none"/>
          <w:vertAlign w:val="subscript"/>
        </w:rPr>
        <w:t>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7</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8</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9</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13</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18</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27</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22</w:t>
      </w:r>
      <w:r>
        <w:rPr>
          <w:rFonts w:hint="default" w:ascii="Times New Roman" w:hAnsi="Times New Roman" w:cs="Times New Roman"/>
          <w:color w:val="auto"/>
          <w:sz w:val="24"/>
          <w:szCs w:val="24"/>
          <w:highlight w:val="none"/>
        </w:rPr>
        <w:t>、阴土、正连、硬炭、双连、三夹连、五大连、花连、内大连、内四连、乌金、外大连等煤层均为局部可采煤层。现有各矿井批准开采煤层位于三叠系上统须家河组，各煤矿开采煤层特征见表</w:t>
      </w:r>
      <w:r>
        <w:rPr>
          <w:rFonts w:hint="default" w:ascii="Times New Roman" w:hAnsi="Times New Roman" w:cs="Times New Roman"/>
          <w:color w:val="auto"/>
          <w:sz w:val="24"/>
          <w:szCs w:val="24"/>
          <w:highlight w:val="none"/>
          <w:lang w:val="en-US" w:eastAsia="zh-CN"/>
        </w:rPr>
        <w:t>2.1.3-1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sectPr>
          <w:pgSz w:w="11906" w:h="16838"/>
          <w:pgMar w:top="1440" w:right="1800" w:bottom="1440" w:left="1800" w:header="851" w:footer="992" w:gutter="0"/>
          <w:cols w:space="720" w:num="1"/>
          <w:docGrid w:type="lines" w:linePitch="312" w:charSpace="0"/>
        </w:sectPr>
      </w:pP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 xml:space="preserve">2.1.3-1 </w:t>
      </w:r>
      <w:r>
        <w:rPr>
          <w:rFonts w:hint="default"/>
          <w:color w:val="auto"/>
          <w:highlight w:val="none"/>
        </w:rPr>
        <w:t>大竹县各矿井开采煤层特征表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4"/>
        <w:gridCol w:w="1049"/>
        <w:gridCol w:w="988"/>
        <w:gridCol w:w="1701"/>
        <w:gridCol w:w="1701"/>
        <w:gridCol w:w="1984"/>
        <w:gridCol w:w="3000"/>
        <w:gridCol w:w="767"/>
        <w:gridCol w:w="884"/>
        <w:gridCol w:w="11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序号</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矿井</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煤层</w:t>
            </w:r>
          </w:p>
        </w:tc>
        <w:tc>
          <w:tcPr>
            <w:tcW w:w="1701" w:type="dxa"/>
            <w:noWrap w:val="0"/>
            <w:vAlign w:val="center"/>
          </w:tcPr>
          <w:p>
            <w:pPr>
              <w:pStyle w:val="22"/>
              <w:bidi w:val="0"/>
              <w:rPr>
                <w:rFonts w:hint="default"/>
                <w:color w:val="auto"/>
                <w:highlight w:val="none"/>
              </w:rPr>
            </w:pPr>
            <w:r>
              <w:rPr>
                <w:rFonts w:hint="default"/>
                <w:color w:val="auto"/>
                <w:highlight w:val="none"/>
              </w:rPr>
              <w:t>煤层厚度（m）</w:t>
            </w:r>
          </w:p>
        </w:tc>
        <w:tc>
          <w:tcPr>
            <w:tcW w:w="1701" w:type="dxa"/>
            <w:noWrap w:val="0"/>
            <w:vAlign w:val="center"/>
          </w:tcPr>
          <w:p>
            <w:pPr>
              <w:pStyle w:val="22"/>
              <w:bidi w:val="0"/>
              <w:rPr>
                <w:rFonts w:hint="default"/>
                <w:color w:val="auto"/>
                <w:highlight w:val="none"/>
              </w:rPr>
            </w:pPr>
            <w:r>
              <w:rPr>
                <w:rFonts w:hint="default"/>
                <w:color w:val="auto"/>
                <w:highlight w:val="none"/>
              </w:rPr>
              <w:t>煤层间距（m）</w:t>
            </w:r>
          </w:p>
        </w:tc>
        <w:tc>
          <w:tcPr>
            <w:tcW w:w="1984" w:type="dxa"/>
            <w:noWrap w:val="0"/>
            <w:vAlign w:val="center"/>
          </w:tcPr>
          <w:p>
            <w:pPr>
              <w:pStyle w:val="22"/>
              <w:bidi w:val="0"/>
              <w:rPr>
                <w:rFonts w:hint="default"/>
                <w:color w:val="auto"/>
                <w:highlight w:val="none"/>
              </w:rPr>
            </w:pPr>
            <w:r>
              <w:rPr>
                <w:rFonts w:hint="default"/>
                <w:color w:val="auto"/>
                <w:highlight w:val="none"/>
              </w:rPr>
              <w:t>煤层结构</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稳定性</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可采情况</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视密度</w:t>
            </w:r>
          </w:p>
          <w:p>
            <w:pPr>
              <w:pStyle w:val="22"/>
              <w:bidi w:val="0"/>
              <w:rPr>
                <w:rFonts w:hint="default"/>
                <w:color w:val="auto"/>
                <w:highlight w:val="none"/>
              </w:rPr>
            </w:pPr>
            <w:r>
              <w:rPr>
                <w:rFonts w:hint="default"/>
                <w:color w:val="auto"/>
                <w:highlight w:val="none"/>
              </w:rPr>
              <w:t>（t/m3）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r>
              <w:rPr>
                <w:rFonts w:hint="default"/>
                <w:color w:val="auto"/>
                <w:highlight w:val="none"/>
              </w:rPr>
              <w:t>最小～最大</w:t>
            </w:r>
          </w:p>
          <w:p>
            <w:pPr>
              <w:pStyle w:val="22"/>
              <w:bidi w:val="0"/>
              <w:rPr>
                <w:rFonts w:hint="default"/>
                <w:color w:val="auto"/>
                <w:highlight w:val="none"/>
              </w:rPr>
            </w:pPr>
            <w:r>
              <w:rPr>
                <w:rFonts w:hint="default"/>
                <w:color w:val="auto"/>
                <w:highlight w:val="none"/>
              </w:rPr>
              <w:t>平均</w:t>
            </w:r>
          </w:p>
        </w:tc>
        <w:tc>
          <w:tcPr>
            <w:tcW w:w="1701" w:type="dxa"/>
            <w:noWrap w:val="0"/>
            <w:vAlign w:val="center"/>
          </w:tcPr>
          <w:p>
            <w:pPr>
              <w:pStyle w:val="22"/>
              <w:bidi w:val="0"/>
              <w:rPr>
                <w:rFonts w:hint="default"/>
                <w:color w:val="auto"/>
                <w:highlight w:val="none"/>
              </w:rPr>
            </w:pPr>
            <w:r>
              <w:rPr>
                <w:rFonts w:hint="default"/>
                <w:color w:val="auto"/>
                <w:highlight w:val="none"/>
              </w:rPr>
              <w:t>最小～最大</w:t>
            </w:r>
          </w:p>
          <w:p>
            <w:pPr>
              <w:pStyle w:val="22"/>
              <w:bidi w:val="0"/>
              <w:rPr>
                <w:rFonts w:hint="default"/>
                <w:color w:val="auto"/>
                <w:highlight w:val="none"/>
              </w:rPr>
            </w:pPr>
            <w:r>
              <w:rPr>
                <w:rFonts w:hint="default"/>
                <w:color w:val="auto"/>
                <w:highlight w:val="none"/>
              </w:rPr>
              <w:t>平均</w:t>
            </w:r>
          </w:p>
        </w:tc>
        <w:tc>
          <w:tcPr>
            <w:tcW w:w="1984" w:type="dxa"/>
            <w:noWrap w:val="0"/>
            <w:vAlign w:val="center"/>
          </w:tcPr>
          <w:p>
            <w:pPr>
              <w:pStyle w:val="22"/>
              <w:bidi w:val="0"/>
              <w:rPr>
                <w:rFonts w:hint="default"/>
                <w:color w:val="auto"/>
                <w:highlight w:val="none"/>
              </w:rPr>
            </w:pPr>
            <w:r>
              <w:rPr>
                <w:rFonts w:hint="default"/>
                <w:color w:val="auto"/>
                <w:highlight w:val="none"/>
              </w:rPr>
              <w:t>夹矸层数</w:t>
            </w:r>
          </w:p>
          <w:p>
            <w:pPr>
              <w:pStyle w:val="22"/>
              <w:bidi w:val="0"/>
              <w:rPr>
                <w:rFonts w:hint="default"/>
                <w:color w:val="auto"/>
                <w:highlight w:val="none"/>
              </w:rPr>
            </w:pPr>
            <w:r>
              <w:rPr>
                <w:rFonts w:hint="default"/>
                <w:color w:val="auto"/>
                <w:highlight w:val="none"/>
              </w:rPr>
              <w:t>夹矸厚度（m)</w:t>
            </w: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1</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柏林煤矿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K27</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0.56～1.39</w:t>
            </w:r>
          </w:p>
          <w:p>
            <w:pPr>
              <w:pStyle w:val="22"/>
              <w:bidi w:val="0"/>
              <w:rPr>
                <w:rFonts w:hint="default"/>
                <w:color w:val="auto"/>
                <w:highlight w:val="none"/>
              </w:rPr>
            </w:pPr>
            <w:r>
              <w:rPr>
                <w:rFonts w:hint="default"/>
                <w:color w:val="auto"/>
                <w:highlight w:val="none"/>
              </w:rPr>
              <w:t>1</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w:t>
            </w:r>
          </w:p>
          <w:p>
            <w:pPr>
              <w:pStyle w:val="22"/>
              <w:bidi w:val="0"/>
              <w:rPr>
                <w:rFonts w:hint="default"/>
                <w:color w:val="auto"/>
                <w:highlight w:val="none"/>
              </w:rPr>
            </w:pPr>
            <w:r>
              <w:rPr>
                <w:rFonts w:hint="default"/>
                <w:color w:val="auto"/>
                <w:highlight w:val="none"/>
              </w:rPr>
              <w:t>0.08～0.19</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顶底板岩性为深灰色泥岩或粉砂质泥岩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不稳定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0.9</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K26</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0.04～1.85</w:t>
            </w:r>
          </w:p>
          <w:p>
            <w:pPr>
              <w:pStyle w:val="22"/>
              <w:bidi w:val="0"/>
              <w:rPr>
                <w:rFonts w:hint="default"/>
                <w:color w:val="auto"/>
                <w:highlight w:val="none"/>
              </w:rPr>
            </w:pPr>
            <w:r>
              <w:rPr>
                <w:rFonts w:hint="default"/>
                <w:color w:val="auto"/>
                <w:highlight w:val="none"/>
              </w:rPr>
              <w:t>1.45</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1～2</w:t>
            </w:r>
          </w:p>
          <w:p>
            <w:pPr>
              <w:pStyle w:val="22"/>
              <w:bidi w:val="0"/>
              <w:rPr>
                <w:rFonts w:hint="default"/>
                <w:color w:val="auto"/>
                <w:highlight w:val="none"/>
              </w:rPr>
            </w:pPr>
            <w:r>
              <w:rPr>
                <w:rFonts w:hint="default"/>
                <w:color w:val="auto"/>
                <w:highlight w:val="none"/>
              </w:rPr>
              <w:t>0.03～0.21</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粉砂岩、泥质粉砂岩及砂岩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不稳定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3.50～5.30</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K25</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0.23～0.82</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1～2</w:t>
            </w:r>
          </w:p>
          <w:p>
            <w:pPr>
              <w:pStyle w:val="22"/>
              <w:bidi w:val="0"/>
              <w:rPr>
                <w:rFonts w:hint="default"/>
                <w:color w:val="auto"/>
                <w:highlight w:val="none"/>
              </w:rPr>
            </w:pPr>
            <w:r>
              <w:rPr>
                <w:rFonts w:hint="default"/>
                <w:color w:val="auto"/>
                <w:highlight w:val="none"/>
              </w:rPr>
              <w:t>0.03～0.24</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顶、底板主要为深灰色泥岩、粉砂质泥岩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不稳定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2.54</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K24</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0.41～1.41</w:t>
            </w:r>
          </w:p>
          <w:p>
            <w:pPr>
              <w:pStyle w:val="22"/>
              <w:bidi w:val="0"/>
              <w:rPr>
                <w:rFonts w:hint="default"/>
                <w:color w:val="auto"/>
                <w:highlight w:val="none"/>
              </w:rPr>
            </w:pPr>
            <w:r>
              <w:rPr>
                <w:rFonts w:hint="default"/>
                <w:color w:val="auto"/>
                <w:highlight w:val="none"/>
              </w:rPr>
              <w:t>0.8</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2～3</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深灰、灰色泥岩、粉砂质泥岩夹泥质粉砂岩及粉砂岩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8.03</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K22</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0.13～0.63</w:t>
            </w:r>
          </w:p>
          <w:p>
            <w:pPr>
              <w:pStyle w:val="22"/>
              <w:bidi w:val="0"/>
              <w:rPr>
                <w:rFonts w:hint="default"/>
                <w:color w:val="auto"/>
                <w:highlight w:val="none"/>
              </w:rPr>
            </w:pPr>
            <w:r>
              <w:rPr>
                <w:rFonts w:hint="default"/>
                <w:color w:val="auto"/>
                <w:highlight w:val="none"/>
              </w:rPr>
              <w:t>0.41</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顶、底板为泥岩、粉砂质泥岩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84.19</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K18</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0.30～0.88</w:t>
            </w:r>
          </w:p>
          <w:p>
            <w:pPr>
              <w:pStyle w:val="22"/>
              <w:bidi w:val="0"/>
              <w:rPr>
                <w:rFonts w:hint="default"/>
                <w:color w:val="auto"/>
                <w:highlight w:val="none"/>
              </w:rPr>
            </w:pPr>
            <w:r>
              <w:rPr>
                <w:rFonts w:hint="default"/>
                <w:color w:val="auto"/>
                <w:highlight w:val="none"/>
              </w:rPr>
              <w:t>0.58</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1～2</w:t>
            </w:r>
          </w:p>
          <w:p>
            <w:pPr>
              <w:pStyle w:val="22"/>
              <w:bidi w:val="0"/>
              <w:rPr>
                <w:rFonts w:hint="default"/>
                <w:color w:val="auto"/>
                <w:highlight w:val="none"/>
              </w:rPr>
            </w:pPr>
            <w:r>
              <w:rPr>
                <w:rFonts w:hint="default"/>
                <w:color w:val="auto"/>
                <w:highlight w:val="none"/>
              </w:rPr>
              <w:t>0.01～0.05</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顶板为粉砂质泥岩，底板为泥岩或泥质粉砂岩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2</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田坝煤矿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正连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0.30～1.01</w:t>
            </w:r>
          </w:p>
          <w:p>
            <w:pPr>
              <w:pStyle w:val="22"/>
              <w:bidi w:val="0"/>
              <w:rPr>
                <w:rFonts w:hint="default"/>
                <w:color w:val="auto"/>
                <w:highlight w:val="none"/>
              </w:rPr>
            </w:pPr>
            <w:r>
              <w:rPr>
                <w:rFonts w:hint="default"/>
                <w:color w:val="auto"/>
                <w:highlight w:val="none"/>
              </w:rPr>
              <w:t>0.63</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0～4</w:t>
            </w:r>
          </w:p>
          <w:p>
            <w:pPr>
              <w:pStyle w:val="22"/>
              <w:bidi w:val="0"/>
              <w:rPr>
                <w:rFonts w:hint="default"/>
                <w:color w:val="auto"/>
                <w:highlight w:val="none"/>
              </w:rPr>
            </w:pPr>
            <w:r>
              <w:rPr>
                <w:rFonts w:hint="default"/>
                <w:color w:val="auto"/>
                <w:highlight w:val="none"/>
              </w:rPr>
              <w:t>0.02～0.22</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顶板岩性为深灰色泥岩，底板岩性为深灰色泥岩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25～40</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阴土</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0.30～0.49</w:t>
            </w:r>
          </w:p>
          <w:p>
            <w:pPr>
              <w:pStyle w:val="22"/>
              <w:bidi w:val="0"/>
              <w:rPr>
                <w:rFonts w:hint="default"/>
                <w:color w:val="auto"/>
                <w:highlight w:val="none"/>
              </w:rPr>
            </w:pPr>
            <w:r>
              <w:rPr>
                <w:rFonts w:hint="default"/>
                <w:color w:val="auto"/>
                <w:highlight w:val="none"/>
              </w:rPr>
              <w:t>0.38</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w:t>
            </w:r>
          </w:p>
          <w:p>
            <w:pPr>
              <w:pStyle w:val="22"/>
              <w:bidi w:val="0"/>
              <w:rPr>
                <w:rFonts w:hint="default"/>
                <w:color w:val="auto"/>
                <w:highlight w:val="none"/>
              </w:rPr>
            </w:pPr>
            <w:r>
              <w:rPr>
                <w:rFonts w:hint="default"/>
                <w:color w:val="auto"/>
                <w:highlight w:val="none"/>
              </w:rPr>
              <w:t>0.06～0.15</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顶底板岩性为深灰色粉砂质泥岩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r>
              <w:rPr>
                <w:rFonts w:hint="default"/>
                <w:color w:val="auto"/>
                <w:highlight w:val="none"/>
              </w:rPr>
              <w:t>30</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3</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黑滩煤矿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正连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0.30～0.39</w:t>
            </w:r>
          </w:p>
          <w:p>
            <w:pPr>
              <w:pStyle w:val="22"/>
              <w:bidi w:val="0"/>
              <w:rPr>
                <w:rFonts w:hint="default"/>
                <w:color w:val="auto"/>
                <w:highlight w:val="none"/>
              </w:rPr>
            </w:pPr>
            <w:r>
              <w:rPr>
                <w:rFonts w:hint="default"/>
                <w:color w:val="auto"/>
                <w:highlight w:val="none"/>
              </w:rPr>
              <w:t>0.34</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煤层顶、底板均为深灰色泥岩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86</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内正连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0.30～0.51</w:t>
            </w:r>
          </w:p>
          <w:p>
            <w:pPr>
              <w:pStyle w:val="22"/>
              <w:bidi w:val="0"/>
              <w:rPr>
                <w:rFonts w:hint="default"/>
                <w:color w:val="auto"/>
                <w:highlight w:val="none"/>
              </w:rPr>
            </w:pPr>
            <w:r>
              <w:rPr>
                <w:rFonts w:hint="default"/>
                <w:color w:val="auto"/>
                <w:highlight w:val="none"/>
              </w:rPr>
              <w:t>0.4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顶板岩性为深灰色泥岩，底板岩性为深灰色粉砂质泥岩、泥岩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12</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三夹连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0.31～0.38</w:t>
            </w:r>
          </w:p>
          <w:p>
            <w:pPr>
              <w:pStyle w:val="22"/>
              <w:bidi w:val="0"/>
              <w:rPr>
                <w:rFonts w:hint="default"/>
                <w:color w:val="auto"/>
                <w:highlight w:val="none"/>
              </w:rPr>
            </w:pPr>
            <w:r>
              <w:rPr>
                <w:rFonts w:hint="default"/>
                <w:color w:val="auto"/>
                <w:highlight w:val="none"/>
              </w:rPr>
              <w:t>0.34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w:t>
            </w:r>
          </w:p>
          <w:p>
            <w:pPr>
              <w:pStyle w:val="22"/>
              <w:bidi w:val="0"/>
              <w:rPr>
                <w:rFonts w:hint="default"/>
                <w:color w:val="auto"/>
                <w:highlight w:val="none"/>
              </w:rPr>
            </w:pPr>
            <w:r>
              <w:rPr>
                <w:rFonts w:hint="default"/>
                <w:color w:val="auto"/>
                <w:highlight w:val="none"/>
              </w:rPr>
              <w:t>0.10～0.19</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顶、底板岩性为深灰色泥岩、粉砂质泥岩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4</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大硐坪、大河沟煤矿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硬炭</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0.40～0.60</w:t>
            </w:r>
          </w:p>
          <w:p>
            <w:pPr>
              <w:pStyle w:val="22"/>
              <w:bidi w:val="0"/>
              <w:rPr>
                <w:rFonts w:hint="default"/>
                <w:color w:val="auto"/>
                <w:highlight w:val="none"/>
              </w:rPr>
            </w:pPr>
            <w:r>
              <w:rPr>
                <w:rFonts w:hint="default"/>
                <w:color w:val="auto"/>
                <w:highlight w:val="none"/>
              </w:rPr>
              <w:t>0.51</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0～1</w:t>
            </w:r>
          </w:p>
          <w:p>
            <w:pPr>
              <w:pStyle w:val="22"/>
              <w:bidi w:val="0"/>
              <w:rPr>
                <w:rFonts w:hint="default"/>
                <w:color w:val="auto"/>
                <w:highlight w:val="none"/>
              </w:rPr>
            </w:pPr>
            <w:r>
              <w:rPr>
                <w:rFonts w:hint="default"/>
                <w:color w:val="auto"/>
                <w:highlight w:val="none"/>
              </w:rPr>
              <w:t>0.05～0.06</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顶、底板岩性均为泥岩或粉砂质泥岩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17</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三夹连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0.43～1.55</w:t>
            </w:r>
          </w:p>
          <w:p>
            <w:pPr>
              <w:pStyle w:val="22"/>
              <w:bidi w:val="0"/>
              <w:rPr>
                <w:rFonts w:hint="default"/>
                <w:color w:val="auto"/>
                <w:highlight w:val="none"/>
              </w:rPr>
            </w:pPr>
            <w:r>
              <w:rPr>
                <w:rFonts w:hint="default"/>
                <w:color w:val="auto"/>
                <w:highlight w:val="none"/>
              </w:rPr>
              <w:t>0.86</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2～3</w:t>
            </w:r>
          </w:p>
          <w:p>
            <w:pPr>
              <w:pStyle w:val="22"/>
              <w:bidi w:val="0"/>
              <w:rPr>
                <w:rFonts w:hint="default"/>
                <w:color w:val="auto"/>
                <w:highlight w:val="none"/>
              </w:rPr>
            </w:pPr>
            <w:r>
              <w:rPr>
                <w:rFonts w:hint="default"/>
                <w:color w:val="auto"/>
                <w:highlight w:val="none"/>
              </w:rPr>
              <w:t>0.01～0.40</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顶、底板岩性均为深灰色泥岩或粉砂质泥岩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53</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双连（内夹连）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0.30～0.92</w:t>
            </w:r>
          </w:p>
          <w:p>
            <w:pPr>
              <w:pStyle w:val="22"/>
              <w:bidi w:val="0"/>
              <w:rPr>
                <w:rFonts w:hint="default"/>
                <w:color w:val="auto"/>
                <w:highlight w:val="none"/>
              </w:rPr>
            </w:pPr>
            <w:r>
              <w:rPr>
                <w:rFonts w:hint="default"/>
                <w:color w:val="auto"/>
                <w:highlight w:val="none"/>
              </w:rPr>
              <w:t>0.4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0～1</w:t>
            </w:r>
          </w:p>
          <w:p>
            <w:pPr>
              <w:pStyle w:val="22"/>
              <w:bidi w:val="0"/>
              <w:rPr>
                <w:rFonts w:hint="default"/>
                <w:color w:val="auto"/>
                <w:highlight w:val="none"/>
              </w:rPr>
            </w:pPr>
            <w:r>
              <w:rPr>
                <w:rFonts w:hint="default"/>
                <w:color w:val="auto"/>
                <w:highlight w:val="none"/>
              </w:rPr>
              <w:t>0.05～0.89</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顶、底板岩性均为泥岩或粉砂质泥岩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105</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内三夹连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0.30～0.60</w:t>
            </w:r>
          </w:p>
          <w:p>
            <w:pPr>
              <w:pStyle w:val="22"/>
              <w:bidi w:val="0"/>
              <w:rPr>
                <w:rFonts w:hint="default"/>
                <w:color w:val="auto"/>
                <w:highlight w:val="none"/>
              </w:rPr>
            </w:pPr>
            <w:r>
              <w:rPr>
                <w:rFonts w:hint="default"/>
                <w:color w:val="auto"/>
                <w:highlight w:val="none"/>
              </w:rPr>
              <w:t>0.4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层顶、底板岩性均以深灰色泥岩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84" w:type="dxa"/>
            <w:noWrap w:val="0"/>
            <w:vAlign w:val="center"/>
          </w:tcPr>
          <w:p>
            <w:pPr>
              <w:pStyle w:val="22"/>
              <w:bidi w:val="0"/>
              <w:rPr>
                <w:rFonts w:hint="default"/>
                <w:color w:val="auto"/>
                <w:highlight w:val="none"/>
              </w:rPr>
            </w:pPr>
            <w:r>
              <w:rPr>
                <w:rFonts w:hint="default"/>
                <w:color w:val="auto"/>
                <w:highlight w:val="none"/>
              </w:rPr>
              <w:t>5</w:t>
            </w:r>
          </w:p>
        </w:tc>
        <w:tc>
          <w:tcPr>
            <w:tcW w:w="1049" w:type="dxa"/>
            <w:noWrap w:val="0"/>
            <w:vAlign w:val="center"/>
          </w:tcPr>
          <w:p>
            <w:pPr>
              <w:pStyle w:val="22"/>
              <w:bidi w:val="0"/>
              <w:rPr>
                <w:rFonts w:hint="default"/>
                <w:color w:val="auto"/>
                <w:highlight w:val="none"/>
              </w:rPr>
            </w:pPr>
            <w:r>
              <w:rPr>
                <w:rFonts w:hint="default"/>
                <w:color w:val="auto"/>
                <w:highlight w:val="none"/>
              </w:rPr>
              <w:t>新桥红星煤矿</w:t>
            </w:r>
          </w:p>
        </w:tc>
        <w:tc>
          <w:tcPr>
            <w:tcW w:w="988" w:type="dxa"/>
            <w:noWrap w:val="0"/>
            <w:vAlign w:val="center"/>
          </w:tcPr>
          <w:p>
            <w:pPr>
              <w:pStyle w:val="22"/>
              <w:bidi w:val="0"/>
              <w:rPr>
                <w:rFonts w:hint="default"/>
                <w:color w:val="auto"/>
                <w:highlight w:val="none"/>
              </w:rPr>
            </w:pPr>
            <w:r>
              <w:rPr>
                <w:rFonts w:hint="default"/>
                <w:color w:val="auto"/>
                <w:highlight w:val="none"/>
              </w:rPr>
              <w:t>五大连</w:t>
            </w:r>
          </w:p>
        </w:tc>
        <w:tc>
          <w:tcPr>
            <w:tcW w:w="1701" w:type="dxa"/>
            <w:noWrap w:val="0"/>
            <w:vAlign w:val="center"/>
          </w:tcPr>
          <w:p>
            <w:pPr>
              <w:pStyle w:val="22"/>
              <w:bidi w:val="0"/>
              <w:rPr>
                <w:rFonts w:hint="default"/>
                <w:color w:val="auto"/>
                <w:highlight w:val="none"/>
              </w:rPr>
            </w:pPr>
            <w:r>
              <w:rPr>
                <w:rFonts w:hint="default"/>
                <w:color w:val="auto"/>
                <w:highlight w:val="none"/>
              </w:rPr>
              <w:t>0.70～1.68</w:t>
            </w:r>
          </w:p>
          <w:p>
            <w:pPr>
              <w:pStyle w:val="22"/>
              <w:bidi w:val="0"/>
              <w:rPr>
                <w:rFonts w:hint="default"/>
                <w:color w:val="auto"/>
                <w:highlight w:val="none"/>
              </w:rPr>
            </w:pPr>
            <w:r>
              <w:rPr>
                <w:rFonts w:hint="default"/>
                <w:color w:val="auto"/>
                <w:highlight w:val="none"/>
              </w:rPr>
              <w:t>1.29</w:t>
            </w:r>
          </w:p>
        </w:tc>
        <w:tc>
          <w:tcPr>
            <w:tcW w:w="1701" w:type="dxa"/>
            <w:noWrap w:val="0"/>
            <w:vAlign w:val="center"/>
          </w:tcPr>
          <w:p>
            <w:pPr>
              <w:pStyle w:val="22"/>
              <w:bidi w:val="0"/>
              <w:rPr>
                <w:rFonts w:hint="default"/>
                <w:color w:val="auto"/>
                <w:highlight w:val="none"/>
              </w:rPr>
            </w:pPr>
          </w:p>
        </w:tc>
        <w:tc>
          <w:tcPr>
            <w:tcW w:w="1984" w:type="dxa"/>
            <w:noWrap w:val="0"/>
            <w:vAlign w:val="center"/>
          </w:tcPr>
          <w:p>
            <w:pPr>
              <w:pStyle w:val="22"/>
              <w:bidi w:val="0"/>
              <w:rPr>
                <w:rFonts w:hint="default"/>
                <w:color w:val="auto"/>
                <w:highlight w:val="none"/>
              </w:rPr>
            </w:pPr>
            <w:r>
              <w:rPr>
                <w:rFonts w:hint="default"/>
                <w:color w:val="auto"/>
                <w:highlight w:val="none"/>
              </w:rPr>
              <w:t>2</w:t>
            </w:r>
          </w:p>
          <w:p>
            <w:pPr>
              <w:pStyle w:val="22"/>
              <w:bidi w:val="0"/>
              <w:rPr>
                <w:rFonts w:hint="default"/>
                <w:color w:val="auto"/>
                <w:highlight w:val="none"/>
              </w:rPr>
            </w:pPr>
            <w:r>
              <w:rPr>
                <w:rFonts w:hint="default"/>
                <w:color w:val="auto"/>
                <w:highlight w:val="none"/>
              </w:rPr>
              <w:t>0.05m～0.40</w:t>
            </w:r>
          </w:p>
        </w:tc>
        <w:tc>
          <w:tcPr>
            <w:tcW w:w="3000" w:type="dxa"/>
            <w:noWrap w:val="0"/>
            <w:vAlign w:val="center"/>
          </w:tcPr>
          <w:p>
            <w:pPr>
              <w:pStyle w:val="22"/>
              <w:bidi w:val="0"/>
              <w:rPr>
                <w:rFonts w:hint="default"/>
                <w:color w:val="auto"/>
                <w:highlight w:val="none"/>
              </w:rPr>
            </w:pPr>
            <w:r>
              <w:rPr>
                <w:rFonts w:hint="default"/>
                <w:color w:val="auto"/>
                <w:highlight w:val="none"/>
              </w:rPr>
              <w:t>顶板岩性为深灰色泥岩、砂质泥岩或细砂岩，底板岩性为黑色泥岩或砂质泥岩</w:t>
            </w:r>
          </w:p>
        </w:tc>
        <w:tc>
          <w:tcPr>
            <w:tcW w:w="767" w:type="dxa"/>
            <w:noWrap w:val="0"/>
            <w:vAlign w:val="center"/>
          </w:tcPr>
          <w:p>
            <w:pPr>
              <w:pStyle w:val="22"/>
              <w:bidi w:val="0"/>
              <w:rPr>
                <w:rFonts w:hint="default"/>
                <w:color w:val="auto"/>
                <w:highlight w:val="none"/>
              </w:rPr>
            </w:pPr>
            <w:r>
              <w:rPr>
                <w:rFonts w:hint="default"/>
                <w:color w:val="auto"/>
                <w:highlight w:val="none"/>
              </w:rPr>
              <w:t>较稳定</w:t>
            </w:r>
          </w:p>
        </w:tc>
        <w:tc>
          <w:tcPr>
            <w:tcW w:w="884" w:type="dxa"/>
            <w:noWrap w:val="0"/>
            <w:vAlign w:val="center"/>
          </w:tcPr>
          <w:p>
            <w:pPr>
              <w:pStyle w:val="22"/>
              <w:bidi w:val="0"/>
              <w:rPr>
                <w:rFonts w:hint="default"/>
                <w:color w:val="auto"/>
                <w:highlight w:val="none"/>
              </w:rPr>
            </w:pPr>
            <w:r>
              <w:rPr>
                <w:rFonts w:hint="default"/>
                <w:color w:val="auto"/>
                <w:highlight w:val="none"/>
              </w:rPr>
              <w:t>全区</w:t>
            </w:r>
          </w:p>
        </w:tc>
        <w:tc>
          <w:tcPr>
            <w:tcW w:w="1116" w:type="dxa"/>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6</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堡子煤矿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外大连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0.32～1.06</w:t>
            </w:r>
          </w:p>
          <w:p>
            <w:pPr>
              <w:pStyle w:val="22"/>
              <w:bidi w:val="0"/>
              <w:rPr>
                <w:rFonts w:hint="default"/>
                <w:color w:val="auto"/>
                <w:highlight w:val="none"/>
              </w:rPr>
            </w:pPr>
            <w:r>
              <w:rPr>
                <w:rFonts w:hint="default"/>
                <w:color w:val="auto"/>
                <w:highlight w:val="none"/>
              </w:rPr>
              <w:t>0.7</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顶板岩性为泥岩，底板岩性为砂质泥岩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2.9～7.0    3～4</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内大连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0.45～1.44</w:t>
            </w:r>
          </w:p>
          <w:p>
            <w:pPr>
              <w:pStyle w:val="22"/>
              <w:bidi w:val="0"/>
              <w:rPr>
                <w:rFonts w:hint="default"/>
                <w:color w:val="auto"/>
                <w:highlight w:val="none"/>
              </w:rPr>
            </w:pPr>
            <w:r>
              <w:rPr>
                <w:rFonts w:hint="default"/>
                <w:color w:val="auto"/>
                <w:highlight w:val="none"/>
              </w:rPr>
              <w:t>1</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62～105    87</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蛮碳</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0～0.95</w:t>
            </w:r>
          </w:p>
          <w:p>
            <w:pPr>
              <w:pStyle w:val="22"/>
              <w:bidi w:val="0"/>
              <w:rPr>
                <w:rFonts w:hint="default"/>
                <w:color w:val="auto"/>
                <w:highlight w:val="none"/>
              </w:rPr>
            </w:pPr>
            <w:r>
              <w:rPr>
                <w:rFonts w:hint="default"/>
                <w:color w:val="auto"/>
                <w:highlight w:val="none"/>
              </w:rPr>
              <w:t>0.7</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顶底板均为泥岩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8.2～24.0   15.6</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三夹连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0.04～1.46</w:t>
            </w:r>
          </w:p>
          <w:p>
            <w:pPr>
              <w:pStyle w:val="22"/>
              <w:bidi w:val="0"/>
              <w:rPr>
                <w:rFonts w:hint="default"/>
                <w:color w:val="auto"/>
                <w:highlight w:val="none"/>
              </w:rPr>
            </w:pPr>
            <w:r>
              <w:rPr>
                <w:rFonts w:hint="default"/>
                <w:color w:val="auto"/>
                <w:highlight w:val="none"/>
              </w:rPr>
              <w:t>0.95</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2</w:t>
            </w:r>
          </w:p>
          <w:p>
            <w:pPr>
              <w:pStyle w:val="22"/>
              <w:bidi w:val="0"/>
              <w:rPr>
                <w:rFonts w:hint="default"/>
                <w:color w:val="auto"/>
                <w:highlight w:val="none"/>
              </w:rPr>
            </w:pPr>
            <w:r>
              <w:rPr>
                <w:rFonts w:hint="default"/>
                <w:color w:val="auto"/>
                <w:highlight w:val="none"/>
              </w:rPr>
              <w:t>0.10</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顶板岩性为泥岩，局部为粉砂岩直接顶，底板岩性为泥岩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7</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荣华煤矿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正连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0.34～0.5</w:t>
            </w:r>
          </w:p>
          <w:p>
            <w:pPr>
              <w:pStyle w:val="22"/>
              <w:bidi w:val="0"/>
              <w:rPr>
                <w:rFonts w:hint="default"/>
                <w:color w:val="auto"/>
                <w:highlight w:val="none"/>
              </w:rPr>
            </w:pPr>
            <w:r>
              <w:rPr>
                <w:rFonts w:hint="default"/>
                <w:color w:val="auto"/>
                <w:highlight w:val="none"/>
              </w:rPr>
              <w:t>0.41</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顶、底板分别为泥质粉砂岩和粉砂质泥岩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17.2~23.3   20.12</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三夹连</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0.42-0.49</w:t>
            </w:r>
          </w:p>
          <w:p>
            <w:pPr>
              <w:pStyle w:val="22"/>
              <w:bidi w:val="0"/>
              <w:rPr>
                <w:rFonts w:hint="default"/>
                <w:color w:val="auto"/>
                <w:highlight w:val="none"/>
              </w:rPr>
            </w:pPr>
            <w:r>
              <w:rPr>
                <w:rFonts w:hint="default"/>
                <w:color w:val="auto"/>
                <w:highlight w:val="none"/>
              </w:rPr>
              <w:t>0.46</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2</w:t>
            </w:r>
          </w:p>
          <w:p>
            <w:pPr>
              <w:pStyle w:val="22"/>
              <w:bidi w:val="0"/>
              <w:rPr>
                <w:rFonts w:hint="default"/>
                <w:color w:val="auto"/>
                <w:highlight w:val="none"/>
              </w:rPr>
            </w:pPr>
            <w:r>
              <w:rPr>
                <w:rFonts w:hint="default"/>
                <w:color w:val="auto"/>
                <w:highlight w:val="none"/>
              </w:rPr>
              <w:t>0.07～0.71</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顶板岩性为泥质粉砂岩或粉砂质泥岩、泥岩，底板岩性为深灰色粉砂质泥岩和泥岩或硬质粘土岩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15.29～23.33  18.81</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鸡毛炭</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0.18～0.55</w:t>
            </w:r>
          </w:p>
          <w:p>
            <w:pPr>
              <w:pStyle w:val="22"/>
              <w:bidi w:val="0"/>
              <w:rPr>
                <w:rFonts w:hint="default"/>
                <w:color w:val="auto"/>
                <w:highlight w:val="none"/>
              </w:rPr>
            </w:pPr>
            <w:r>
              <w:rPr>
                <w:rFonts w:hint="default"/>
                <w:color w:val="auto"/>
                <w:highlight w:val="none"/>
              </w:rPr>
              <w:t>0.34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1层</w:t>
            </w:r>
          </w:p>
          <w:p>
            <w:pPr>
              <w:pStyle w:val="22"/>
              <w:bidi w:val="0"/>
              <w:rPr>
                <w:rFonts w:hint="default"/>
                <w:color w:val="auto"/>
                <w:highlight w:val="none"/>
              </w:rPr>
            </w:pPr>
            <w:r>
              <w:rPr>
                <w:rFonts w:hint="default"/>
                <w:color w:val="auto"/>
                <w:highlight w:val="none"/>
              </w:rPr>
              <w:t>0.03～0.06</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顶板岩性为粉砂质泥岩、粉砂岩，底板岩性为深灰色粉砂质泥岩和泥岩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8</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华家沟煤矿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K10</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0.15～0.82</w:t>
            </w:r>
          </w:p>
          <w:p>
            <w:pPr>
              <w:pStyle w:val="22"/>
              <w:bidi w:val="0"/>
              <w:rPr>
                <w:rFonts w:hint="default"/>
                <w:color w:val="auto"/>
                <w:highlight w:val="none"/>
              </w:rPr>
            </w:pPr>
            <w:r>
              <w:rPr>
                <w:rFonts w:hint="default"/>
                <w:color w:val="auto"/>
                <w:highlight w:val="none"/>
              </w:rPr>
              <w:t>0.44</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0～1</w:t>
            </w:r>
          </w:p>
          <w:p>
            <w:pPr>
              <w:pStyle w:val="22"/>
              <w:bidi w:val="0"/>
              <w:rPr>
                <w:rFonts w:hint="default"/>
                <w:color w:val="auto"/>
                <w:highlight w:val="none"/>
              </w:rPr>
            </w:pPr>
            <w:r>
              <w:rPr>
                <w:rFonts w:hint="default"/>
                <w:color w:val="auto"/>
                <w:highlight w:val="none"/>
              </w:rPr>
              <w:t>0.05～0.18</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顶板为页岩，底板为灰色薄层状砂质泥岩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5</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K9</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0.11～0.96</w:t>
            </w:r>
          </w:p>
          <w:p>
            <w:pPr>
              <w:pStyle w:val="22"/>
              <w:bidi w:val="0"/>
              <w:rPr>
                <w:rFonts w:hint="default"/>
                <w:color w:val="auto"/>
                <w:highlight w:val="none"/>
              </w:rPr>
            </w:pPr>
            <w:r>
              <w:rPr>
                <w:rFonts w:hint="default"/>
                <w:color w:val="auto"/>
                <w:highlight w:val="none"/>
              </w:rPr>
              <w:t>0.46</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顶板为页岩，底板为灰色薄层状砂质泥岩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60</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K7</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0.52～0.80</w:t>
            </w:r>
          </w:p>
          <w:p>
            <w:pPr>
              <w:pStyle w:val="22"/>
              <w:bidi w:val="0"/>
              <w:rPr>
                <w:rFonts w:hint="default"/>
                <w:color w:val="auto"/>
                <w:highlight w:val="none"/>
              </w:rPr>
            </w:pPr>
            <w:r>
              <w:rPr>
                <w:rFonts w:hint="default"/>
                <w:color w:val="auto"/>
                <w:highlight w:val="none"/>
              </w:rPr>
              <w:t>0.67</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1层</w:t>
            </w:r>
          </w:p>
          <w:p>
            <w:pPr>
              <w:pStyle w:val="22"/>
              <w:bidi w:val="0"/>
              <w:rPr>
                <w:rFonts w:hint="default"/>
                <w:color w:val="auto"/>
                <w:highlight w:val="none"/>
              </w:rPr>
            </w:pPr>
            <w:r>
              <w:rPr>
                <w:rFonts w:hint="default"/>
                <w:color w:val="auto"/>
                <w:highlight w:val="none"/>
              </w:rPr>
              <w:t>0.10～0.23</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顶板为页岩，底板为灰色薄层状砂质泥岩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1.52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9</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孔家沟煤矿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K11</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0~0.75</w:t>
            </w:r>
          </w:p>
          <w:p>
            <w:pPr>
              <w:pStyle w:val="22"/>
              <w:bidi w:val="0"/>
              <w:rPr>
                <w:rFonts w:hint="default"/>
                <w:color w:val="auto"/>
                <w:highlight w:val="none"/>
              </w:rPr>
            </w:pPr>
            <w:r>
              <w:rPr>
                <w:rFonts w:hint="default"/>
                <w:color w:val="auto"/>
                <w:highlight w:val="none"/>
              </w:rPr>
              <w:t>0.39</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0~1</w:t>
            </w:r>
          </w:p>
          <w:p>
            <w:pPr>
              <w:pStyle w:val="22"/>
              <w:bidi w:val="0"/>
              <w:rPr>
                <w:rFonts w:hint="default"/>
                <w:color w:val="auto"/>
                <w:highlight w:val="none"/>
              </w:rPr>
            </w:pPr>
            <w:r>
              <w:rPr>
                <w:rFonts w:hint="default"/>
                <w:color w:val="auto"/>
                <w:highlight w:val="none"/>
              </w:rPr>
              <w:t>0.03~0.33</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顶板主要为粉砂质泥岩，次为细砂岩及泥岩，底板为泥岩及砂质泥岩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1～15.3</w:t>
            </w:r>
          </w:p>
          <w:p>
            <w:pPr>
              <w:pStyle w:val="22"/>
              <w:bidi w:val="0"/>
              <w:rPr>
                <w:rFonts w:hint="default"/>
                <w:color w:val="auto"/>
                <w:highlight w:val="none"/>
              </w:rPr>
            </w:pPr>
            <w:r>
              <w:rPr>
                <w:rFonts w:hint="default"/>
                <w:color w:val="auto"/>
                <w:highlight w:val="none"/>
              </w:rPr>
              <w:t>9.7</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K9</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0.11~0.80</w:t>
            </w:r>
          </w:p>
          <w:p>
            <w:pPr>
              <w:pStyle w:val="22"/>
              <w:bidi w:val="0"/>
              <w:rPr>
                <w:rFonts w:hint="default"/>
                <w:color w:val="auto"/>
                <w:highlight w:val="none"/>
              </w:rPr>
            </w:pPr>
            <w:r>
              <w:rPr>
                <w:rFonts w:hint="default"/>
                <w:color w:val="auto"/>
                <w:highlight w:val="none"/>
              </w:rPr>
              <w:t>0.44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顶板岩性为泥岩及炭质泥岩，底板为砂质泥岩及泥岩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98～115</w:t>
            </w:r>
          </w:p>
          <w:p>
            <w:pPr>
              <w:pStyle w:val="22"/>
              <w:bidi w:val="0"/>
              <w:rPr>
                <w:rFonts w:hint="default"/>
                <w:color w:val="auto"/>
                <w:highlight w:val="none"/>
              </w:rPr>
            </w:pPr>
            <w:r>
              <w:rPr>
                <w:rFonts w:hint="default"/>
                <w:color w:val="auto"/>
                <w:highlight w:val="none"/>
              </w:rPr>
              <w:t>101.7</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K6</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0.32~1.09</w:t>
            </w:r>
          </w:p>
          <w:p>
            <w:pPr>
              <w:pStyle w:val="22"/>
              <w:bidi w:val="0"/>
              <w:rPr>
                <w:rFonts w:hint="default"/>
                <w:color w:val="auto"/>
                <w:highlight w:val="none"/>
              </w:rPr>
            </w:pPr>
            <w:r>
              <w:rPr>
                <w:rFonts w:hint="default"/>
                <w:color w:val="auto"/>
                <w:highlight w:val="none"/>
              </w:rPr>
              <w:t>0.61</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0~2</w:t>
            </w:r>
          </w:p>
          <w:p>
            <w:pPr>
              <w:pStyle w:val="22"/>
              <w:bidi w:val="0"/>
              <w:rPr>
                <w:rFonts w:hint="default"/>
                <w:color w:val="auto"/>
                <w:highlight w:val="none"/>
              </w:rPr>
            </w:pPr>
            <w:r>
              <w:rPr>
                <w:rFonts w:hint="default"/>
                <w:color w:val="auto"/>
                <w:highlight w:val="none"/>
              </w:rPr>
              <w:t>0.06~0.23</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顶底板岩性多为泥岩、砂质泥岩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10</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刘家沟联合煤矿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K14</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0.80～1.50</w:t>
            </w:r>
          </w:p>
          <w:p>
            <w:pPr>
              <w:pStyle w:val="22"/>
              <w:bidi w:val="0"/>
              <w:rPr>
                <w:rFonts w:hint="default"/>
                <w:color w:val="auto"/>
                <w:highlight w:val="none"/>
              </w:rPr>
            </w:pPr>
            <w:r>
              <w:rPr>
                <w:rFonts w:hint="default"/>
                <w:color w:val="auto"/>
                <w:highlight w:val="none"/>
              </w:rPr>
              <w:t>1.23</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w:t>
            </w:r>
          </w:p>
          <w:p>
            <w:pPr>
              <w:pStyle w:val="22"/>
              <w:bidi w:val="0"/>
              <w:rPr>
                <w:rFonts w:hint="default"/>
                <w:color w:val="auto"/>
                <w:highlight w:val="none"/>
              </w:rPr>
            </w:pPr>
            <w:r>
              <w:rPr>
                <w:rFonts w:hint="default"/>
                <w:color w:val="auto"/>
                <w:highlight w:val="none"/>
              </w:rPr>
              <w:t>0.12-0.30</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顶板为深灰色泥岩、粉砂质泥岩或细砂岩，底板为深灰色泥岩或粉砂质泥岩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125</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K6</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0.42～0.86</w:t>
            </w:r>
          </w:p>
          <w:p>
            <w:pPr>
              <w:pStyle w:val="22"/>
              <w:bidi w:val="0"/>
              <w:rPr>
                <w:rFonts w:hint="default"/>
                <w:color w:val="auto"/>
                <w:highlight w:val="none"/>
              </w:rPr>
            </w:pPr>
            <w:r>
              <w:rPr>
                <w:rFonts w:hint="default"/>
                <w:color w:val="auto"/>
                <w:highlight w:val="none"/>
              </w:rPr>
              <w:t>0.67</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w:t>
            </w:r>
          </w:p>
          <w:p>
            <w:pPr>
              <w:pStyle w:val="22"/>
              <w:bidi w:val="0"/>
              <w:rPr>
                <w:rFonts w:hint="default"/>
                <w:color w:val="auto"/>
                <w:highlight w:val="none"/>
              </w:rPr>
            </w:pPr>
            <w:r>
              <w:rPr>
                <w:rFonts w:hint="default"/>
                <w:color w:val="auto"/>
                <w:highlight w:val="none"/>
              </w:rPr>
              <w:t>0.12～0.15</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顶板为深灰色泥岩、粉砂质泥岩，底板为深灰色泥岩或粉砂质泥岩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49</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K4</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0.39～0.52</w:t>
            </w:r>
          </w:p>
          <w:p>
            <w:pPr>
              <w:pStyle w:val="22"/>
              <w:bidi w:val="0"/>
              <w:rPr>
                <w:rFonts w:hint="default"/>
                <w:color w:val="auto"/>
                <w:highlight w:val="none"/>
              </w:rPr>
            </w:pPr>
            <w:r>
              <w:rPr>
                <w:rFonts w:hint="default"/>
                <w:color w:val="auto"/>
                <w:highlight w:val="none"/>
              </w:rPr>
              <w:t>0.48</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顶板为深灰色泥岩及粉砂质泥岩、粉砂岩，底板为深灰色粉砂质泥岩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101</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K3</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0.70～0.83</w:t>
            </w:r>
          </w:p>
          <w:p>
            <w:pPr>
              <w:pStyle w:val="22"/>
              <w:bidi w:val="0"/>
              <w:rPr>
                <w:rFonts w:hint="default"/>
                <w:color w:val="auto"/>
                <w:highlight w:val="none"/>
              </w:rPr>
            </w:pPr>
            <w:r>
              <w:rPr>
                <w:rFonts w:hint="default"/>
                <w:color w:val="auto"/>
                <w:highlight w:val="none"/>
              </w:rPr>
              <w:t>0.76</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顶板为深灰色、灰色泥岩及粉砂质泥岩、粉砂岩，底板为深灰色泥岩、粉砂质泥岩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K2</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0.35</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顶板为深灰色泥岩，底板为深灰色泥岩、粉砂质泥岩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11</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牛郎沟煤矿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K14</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0.04～1.14</w:t>
            </w:r>
          </w:p>
          <w:p>
            <w:pPr>
              <w:pStyle w:val="22"/>
              <w:bidi w:val="0"/>
              <w:rPr>
                <w:rFonts w:hint="default"/>
                <w:color w:val="auto"/>
                <w:highlight w:val="none"/>
              </w:rPr>
            </w:pPr>
            <w:r>
              <w:rPr>
                <w:rFonts w:hint="default"/>
                <w:color w:val="auto"/>
                <w:highlight w:val="none"/>
              </w:rPr>
              <w:t>0.39</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顶、底板岩性均为灰～深灰色薄～中厚层状泥岩，局部地段为黑色薄层状炭质泥岩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36</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K13</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0.40～0.56</w:t>
            </w:r>
          </w:p>
          <w:p>
            <w:pPr>
              <w:pStyle w:val="22"/>
              <w:bidi w:val="0"/>
              <w:rPr>
                <w:rFonts w:hint="default"/>
                <w:color w:val="auto"/>
                <w:highlight w:val="none"/>
              </w:rPr>
            </w:pPr>
            <w:r>
              <w:rPr>
                <w:rFonts w:hint="default"/>
                <w:color w:val="auto"/>
                <w:highlight w:val="none"/>
              </w:rPr>
              <w:t>0.45</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顶、底板岩性均为灰至深灰色薄至中厚层状泥岩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103</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K8</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0.65～1.44</w:t>
            </w:r>
          </w:p>
          <w:p>
            <w:pPr>
              <w:pStyle w:val="22"/>
              <w:bidi w:val="0"/>
              <w:rPr>
                <w:rFonts w:hint="default"/>
                <w:color w:val="auto"/>
                <w:highlight w:val="none"/>
              </w:rPr>
            </w:pPr>
            <w:r>
              <w:rPr>
                <w:rFonts w:hint="default"/>
                <w:color w:val="auto"/>
                <w:highlight w:val="none"/>
              </w:rPr>
              <w:t>0.94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1～4</w:t>
            </w:r>
          </w:p>
          <w:p>
            <w:pPr>
              <w:pStyle w:val="22"/>
              <w:bidi w:val="0"/>
              <w:rPr>
                <w:rFonts w:hint="default"/>
                <w:color w:val="auto"/>
                <w:highlight w:val="none"/>
              </w:rPr>
            </w:pPr>
            <w:r>
              <w:rPr>
                <w:rFonts w:hint="default"/>
                <w:color w:val="auto"/>
                <w:highlight w:val="none"/>
              </w:rPr>
              <w:t>0.03～0.37</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顶、底板岩性均为灰～深灰色薄～中厚层状泥岩，顶板偶为粉砂岩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3</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K7</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0.56～1.18</w:t>
            </w:r>
          </w:p>
          <w:p>
            <w:pPr>
              <w:pStyle w:val="22"/>
              <w:bidi w:val="0"/>
              <w:rPr>
                <w:rFonts w:hint="default"/>
                <w:color w:val="auto"/>
                <w:highlight w:val="none"/>
              </w:rPr>
            </w:pPr>
            <w:r>
              <w:rPr>
                <w:rFonts w:hint="default"/>
                <w:color w:val="auto"/>
                <w:highlight w:val="none"/>
              </w:rPr>
              <w:t>0.68</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1～3</w:t>
            </w:r>
          </w:p>
          <w:p>
            <w:pPr>
              <w:pStyle w:val="22"/>
              <w:bidi w:val="0"/>
              <w:rPr>
                <w:rFonts w:hint="default"/>
                <w:color w:val="auto"/>
                <w:highlight w:val="none"/>
              </w:rPr>
            </w:pPr>
            <w:r>
              <w:rPr>
                <w:rFonts w:hint="default"/>
                <w:color w:val="auto"/>
                <w:highlight w:val="none"/>
              </w:rPr>
              <w:t>0.04～0.20</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顶、底板岩性均为灰～深灰色薄～中厚层状泥岩。局部地段顶板为炭质泥岩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12</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平桥煤矿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K16</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0.15～0.85</w:t>
            </w:r>
          </w:p>
          <w:p>
            <w:pPr>
              <w:pStyle w:val="22"/>
              <w:bidi w:val="0"/>
              <w:rPr>
                <w:rFonts w:hint="default"/>
                <w:color w:val="auto"/>
                <w:highlight w:val="none"/>
              </w:rPr>
            </w:pPr>
            <w:r>
              <w:rPr>
                <w:rFonts w:hint="default"/>
                <w:color w:val="auto"/>
                <w:highlight w:val="none"/>
              </w:rPr>
              <w:t>0.53</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顶板岩性为深灰色泥岩，底板岩性为粉砂质泥岩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1～1.6</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K15</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0.05～1.30</w:t>
            </w:r>
          </w:p>
          <w:p>
            <w:pPr>
              <w:pStyle w:val="22"/>
              <w:bidi w:val="0"/>
              <w:rPr>
                <w:rFonts w:hint="default"/>
                <w:color w:val="auto"/>
                <w:highlight w:val="none"/>
              </w:rPr>
            </w:pPr>
            <w:r>
              <w:rPr>
                <w:rFonts w:hint="default"/>
                <w:color w:val="auto"/>
                <w:highlight w:val="none"/>
              </w:rPr>
              <w:t>0.64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顶板岩性为泥岩，底板岩性为粉砂质泥岩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大部分</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26.2</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K11</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0.30～0.65</w:t>
            </w:r>
          </w:p>
          <w:p>
            <w:pPr>
              <w:pStyle w:val="22"/>
              <w:bidi w:val="0"/>
              <w:rPr>
                <w:rFonts w:hint="default"/>
                <w:color w:val="auto"/>
                <w:highlight w:val="none"/>
              </w:rPr>
            </w:pPr>
            <w:r>
              <w:rPr>
                <w:rFonts w:hint="default"/>
                <w:color w:val="auto"/>
                <w:highlight w:val="none"/>
              </w:rPr>
              <w:t>0.39</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顶、底板岩性均为深灰色泥岩，底板岩性为粉砂质泥岩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95</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K8</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0～1.28</w:t>
            </w:r>
          </w:p>
          <w:p>
            <w:pPr>
              <w:pStyle w:val="22"/>
              <w:bidi w:val="0"/>
              <w:rPr>
                <w:rFonts w:hint="default"/>
                <w:color w:val="auto"/>
                <w:highlight w:val="none"/>
              </w:rPr>
            </w:pPr>
            <w:r>
              <w:rPr>
                <w:rFonts w:hint="default"/>
                <w:color w:val="auto"/>
                <w:highlight w:val="none"/>
              </w:rPr>
              <w:t>0.77</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1～3</w:t>
            </w:r>
          </w:p>
          <w:p>
            <w:pPr>
              <w:pStyle w:val="22"/>
              <w:bidi w:val="0"/>
              <w:rPr>
                <w:rFonts w:hint="default"/>
                <w:color w:val="auto"/>
                <w:highlight w:val="none"/>
              </w:rPr>
            </w:pPr>
            <w:r>
              <w:rPr>
                <w:rFonts w:hint="default"/>
                <w:color w:val="auto"/>
                <w:highlight w:val="none"/>
              </w:rPr>
              <w:t>0.02～0.40</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182</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K2</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0.30～1.45</w:t>
            </w:r>
          </w:p>
          <w:p>
            <w:pPr>
              <w:pStyle w:val="22"/>
              <w:bidi w:val="0"/>
              <w:rPr>
                <w:rFonts w:hint="default"/>
                <w:color w:val="auto"/>
                <w:highlight w:val="none"/>
              </w:rPr>
            </w:pPr>
            <w:r>
              <w:rPr>
                <w:rFonts w:hint="default"/>
                <w:color w:val="auto"/>
                <w:highlight w:val="none"/>
              </w:rPr>
              <w:t>0.6</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0～2</w:t>
            </w:r>
          </w:p>
          <w:p>
            <w:pPr>
              <w:pStyle w:val="22"/>
              <w:bidi w:val="0"/>
              <w:rPr>
                <w:rFonts w:hint="default"/>
                <w:color w:val="auto"/>
                <w:highlight w:val="none"/>
              </w:rPr>
            </w:pPr>
            <w:r>
              <w:rPr>
                <w:rFonts w:hint="default"/>
                <w:color w:val="auto"/>
                <w:highlight w:val="none"/>
              </w:rPr>
              <w:t>0.03～0.05</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顶、底板岩性均为深灰色泥岩，底板岩性为粉砂质泥岩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restart"/>
            <w:noWrap w:val="0"/>
            <w:vAlign w:val="center"/>
          </w:tcPr>
          <w:p>
            <w:pPr>
              <w:pStyle w:val="22"/>
              <w:bidi w:val="0"/>
              <w:rPr>
                <w:rFonts w:hint="default"/>
                <w:color w:val="auto"/>
                <w:highlight w:val="none"/>
              </w:rPr>
            </w:pPr>
            <w:r>
              <w:rPr>
                <w:rFonts w:hint="default"/>
                <w:color w:val="auto"/>
                <w:highlight w:val="none"/>
              </w:rPr>
              <w:t>13</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观音煤矿</w:t>
            </w:r>
          </w:p>
        </w:tc>
        <w:tc>
          <w:tcPr>
            <w:tcW w:w="988" w:type="dxa"/>
            <w:vMerge w:val="restart"/>
            <w:noWrap w:val="0"/>
            <w:vAlign w:val="center"/>
          </w:tcPr>
          <w:p>
            <w:pPr>
              <w:pStyle w:val="22"/>
              <w:bidi w:val="0"/>
              <w:rPr>
                <w:rFonts w:hint="default"/>
                <w:color w:val="auto"/>
                <w:highlight w:val="none"/>
              </w:rPr>
            </w:pPr>
            <w:r>
              <w:rPr>
                <w:rFonts w:hint="default"/>
                <w:color w:val="auto"/>
                <w:highlight w:val="none"/>
              </w:rPr>
              <w:t>K7</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0～0.88</w:t>
            </w:r>
          </w:p>
          <w:p>
            <w:pPr>
              <w:pStyle w:val="22"/>
              <w:bidi w:val="0"/>
              <w:rPr>
                <w:rFonts w:hint="default"/>
                <w:color w:val="auto"/>
                <w:highlight w:val="none"/>
              </w:rPr>
            </w:pPr>
            <w:r>
              <w:rPr>
                <w:rFonts w:hint="default"/>
                <w:color w:val="auto"/>
                <w:highlight w:val="none"/>
              </w:rPr>
              <w:t>0.4</w:t>
            </w:r>
          </w:p>
        </w:tc>
        <w:tc>
          <w:tcPr>
            <w:tcW w:w="1701" w:type="dxa"/>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顶板有冲刷面，多为粉砂岩，底板为砂质泥岩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不稳定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1.35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K6</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0.16～0.99</w:t>
            </w:r>
          </w:p>
          <w:p>
            <w:pPr>
              <w:pStyle w:val="22"/>
              <w:bidi w:val="0"/>
              <w:rPr>
                <w:rFonts w:hint="default"/>
                <w:color w:val="auto"/>
                <w:highlight w:val="none"/>
              </w:rPr>
            </w:pPr>
            <w:r>
              <w:rPr>
                <w:rFonts w:hint="default"/>
                <w:color w:val="auto"/>
                <w:highlight w:val="none"/>
              </w:rPr>
              <w:t>0.3</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0～3</w:t>
            </w:r>
          </w:p>
          <w:p>
            <w:pPr>
              <w:pStyle w:val="22"/>
              <w:bidi w:val="0"/>
              <w:rPr>
                <w:rFonts w:hint="default"/>
                <w:color w:val="auto"/>
                <w:highlight w:val="none"/>
              </w:rPr>
            </w:pPr>
            <w:r>
              <w:rPr>
                <w:rFonts w:hint="default"/>
                <w:color w:val="auto"/>
                <w:highlight w:val="none"/>
              </w:rPr>
              <w:t>0～0.47</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顶板为灰色薄层状泥岩、粉砂岩，底板为薄层状粉砂岩、泥质粉砂岩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较稳定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局部</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50～70</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K4</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0.05～0.42</w:t>
            </w:r>
          </w:p>
          <w:p>
            <w:pPr>
              <w:pStyle w:val="22"/>
              <w:bidi w:val="0"/>
              <w:rPr>
                <w:rFonts w:hint="default"/>
                <w:color w:val="auto"/>
                <w:highlight w:val="none"/>
              </w:rPr>
            </w:pPr>
            <w:r>
              <w:rPr>
                <w:rFonts w:hint="default"/>
                <w:color w:val="auto"/>
                <w:highlight w:val="none"/>
              </w:rPr>
              <w:t>0.32</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1</w:t>
            </w:r>
          </w:p>
          <w:p>
            <w:pPr>
              <w:pStyle w:val="22"/>
              <w:bidi w:val="0"/>
              <w:rPr>
                <w:rFonts w:hint="default"/>
                <w:color w:val="auto"/>
                <w:highlight w:val="none"/>
              </w:rPr>
            </w:pPr>
            <w:r>
              <w:rPr>
                <w:rFonts w:hint="default"/>
                <w:color w:val="auto"/>
                <w:highlight w:val="none"/>
              </w:rPr>
              <w:t>0.04～0.07</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顶板为灰色薄层状细砂岩、粉砂岩，局部有泥岩伪顶，底板为薄层状粉砂岩、泥质粉砂岩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vMerge w:val="restart"/>
            <w:noWrap w:val="0"/>
            <w:vAlign w:val="center"/>
          </w:tcPr>
          <w:p>
            <w:pPr>
              <w:pStyle w:val="22"/>
              <w:bidi w:val="0"/>
              <w:rPr>
                <w:rFonts w:hint="default"/>
                <w:color w:val="auto"/>
                <w:highlight w:val="none"/>
              </w:rPr>
            </w:pPr>
            <w:r>
              <w:rPr>
                <w:rFonts w:hint="default"/>
                <w:color w:val="auto"/>
                <w:highlight w:val="none"/>
              </w:rPr>
              <w:t>2～4</w:t>
            </w: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restart"/>
            <w:noWrap w:val="0"/>
            <w:vAlign w:val="center"/>
          </w:tcPr>
          <w:p>
            <w:pPr>
              <w:pStyle w:val="22"/>
              <w:bidi w:val="0"/>
              <w:rPr>
                <w:rFonts w:hint="default"/>
                <w:color w:val="auto"/>
                <w:highlight w:val="none"/>
              </w:rPr>
            </w:pPr>
            <w:r>
              <w:rPr>
                <w:rFonts w:hint="default"/>
                <w:color w:val="auto"/>
                <w:highlight w:val="none"/>
              </w:rPr>
              <w:t>K3</w:t>
            </w:r>
          </w:p>
        </w:tc>
        <w:tc>
          <w:tcPr>
            <w:tcW w:w="1701" w:type="dxa"/>
            <w:vMerge w:val="restart"/>
            <w:noWrap w:val="0"/>
            <w:vAlign w:val="center"/>
          </w:tcPr>
          <w:p>
            <w:pPr>
              <w:pStyle w:val="22"/>
              <w:bidi w:val="0"/>
              <w:rPr>
                <w:rFonts w:hint="default"/>
                <w:color w:val="auto"/>
                <w:highlight w:val="none"/>
              </w:rPr>
            </w:pPr>
            <w:r>
              <w:rPr>
                <w:rFonts w:hint="default"/>
                <w:color w:val="auto"/>
                <w:highlight w:val="none"/>
              </w:rPr>
              <w:t>0.24～0.41</w:t>
            </w:r>
          </w:p>
          <w:p>
            <w:pPr>
              <w:pStyle w:val="22"/>
              <w:bidi w:val="0"/>
              <w:rPr>
                <w:rFonts w:hint="default"/>
                <w:color w:val="auto"/>
                <w:highlight w:val="none"/>
              </w:rPr>
            </w:pPr>
            <w:r>
              <w:rPr>
                <w:rFonts w:hint="default"/>
                <w:color w:val="auto"/>
                <w:highlight w:val="none"/>
              </w:rPr>
              <w:t>0.34</w:t>
            </w:r>
          </w:p>
        </w:tc>
        <w:tc>
          <w:tcPr>
            <w:tcW w:w="1701" w:type="dxa"/>
            <w:vMerge w:val="continue"/>
            <w:noWrap w:val="0"/>
            <w:vAlign w:val="center"/>
          </w:tcPr>
          <w:p>
            <w:pPr>
              <w:pStyle w:val="22"/>
              <w:bidi w:val="0"/>
              <w:rPr>
                <w:rFonts w:hint="default"/>
                <w:color w:val="auto"/>
                <w:highlight w:val="none"/>
              </w:rPr>
            </w:pPr>
          </w:p>
        </w:tc>
        <w:tc>
          <w:tcPr>
            <w:tcW w:w="1984" w:type="dxa"/>
            <w:vMerge w:val="restart"/>
            <w:noWrap w:val="0"/>
            <w:vAlign w:val="center"/>
          </w:tcPr>
          <w:p>
            <w:pPr>
              <w:pStyle w:val="22"/>
              <w:bidi w:val="0"/>
              <w:rPr>
                <w:rFonts w:hint="default"/>
                <w:color w:val="auto"/>
                <w:highlight w:val="none"/>
              </w:rPr>
            </w:pPr>
            <w:r>
              <w:rPr>
                <w:rFonts w:hint="default"/>
                <w:color w:val="auto"/>
                <w:highlight w:val="none"/>
              </w:rPr>
              <w:t>单一煤层</w:t>
            </w:r>
          </w:p>
        </w:tc>
        <w:tc>
          <w:tcPr>
            <w:tcW w:w="3000" w:type="dxa"/>
            <w:vMerge w:val="restart"/>
            <w:noWrap w:val="0"/>
            <w:vAlign w:val="center"/>
          </w:tcPr>
          <w:p>
            <w:pPr>
              <w:pStyle w:val="22"/>
              <w:bidi w:val="0"/>
              <w:rPr>
                <w:rFonts w:hint="default"/>
                <w:color w:val="auto"/>
                <w:highlight w:val="none"/>
              </w:rPr>
            </w:pPr>
            <w:r>
              <w:rPr>
                <w:rFonts w:hint="default"/>
                <w:color w:val="auto"/>
                <w:highlight w:val="none"/>
              </w:rPr>
              <w:t>顶板为灰色薄层状泥岩、粉砂岩，底板为灰色薄层状粉砂岩、泥质粉砂岩</w:t>
            </w:r>
          </w:p>
        </w:tc>
        <w:tc>
          <w:tcPr>
            <w:tcW w:w="767" w:type="dxa"/>
            <w:vMerge w:val="restart"/>
            <w:noWrap w:val="0"/>
            <w:vAlign w:val="center"/>
          </w:tcPr>
          <w:p>
            <w:pPr>
              <w:pStyle w:val="22"/>
              <w:bidi w:val="0"/>
              <w:rPr>
                <w:rFonts w:hint="default"/>
                <w:color w:val="auto"/>
                <w:highlight w:val="none"/>
              </w:rPr>
            </w:pPr>
            <w:r>
              <w:rPr>
                <w:rFonts w:hint="default"/>
                <w:color w:val="auto"/>
                <w:highlight w:val="none"/>
              </w:rPr>
              <w:t>不稳定</w:t>
            </w:r>
          </w:p>
        </w:tc>
        <w:tc>
          <w:tcPr>
            <w:tcW w:w="884" w:type="dxa"/>
            <w:vMerge w:val="restart"/>
            <w:noWrap w:val="0"/>
            <w:vAlign w:val="center"/>
          </w:tcPr>
          <w:p>
            <w:pPr>
              <w:pStyle w:val="22"/>
              <w:bidi w:val="0"/>
              <w:rPr>
                <w:rFonts w:hint="default"/>
                <w:color w:val="auto"/>
                <w:highlight w:val="none"/>
              </w:rPr>
            </w:pPr>
            <w:r>
              <w:rPr>
                <w:rFonts w:hint="default"/>
                <w:color w:val="auto"/>
                <w:highlight w:val="none"/>
              </w:rPr>
              <w:t>全区</w:t>
            </w:r>
          </w:p>
        </w:tc>
        <w:tc>
          <w:tcPr>
            <w:tcW w:w="1116" w:type="dxa"/>
            <w:vMerge w:val="restart"/>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84"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c>
          <w:tcPr>
            <w:tcW w:w="988" w:type="dxa"/>
            <w:vMerge w:val="continue"/>
            <w:noWrap w:val="0"/>
            <w:vAlign w:val="center"/>
          </w:tcPr>
          <w:p>
            <w:pPr>
              <w:pStyle w:val="22"/>
              <w:bidi w:val="0"/>
              <w:rPr>
                <w:rFonts w:hint="default"/>
                <w:color w:val="auto"/>
                <w:highlight w:val="none"/>
              </w:rPr>
            </w:pPr>
          </w:p>
        </w:tc>
        <w:tc>
          <w:tcPr>
            <w:tcW w:w="1701" w:type="dxa"/>
            <w:vMerge w:val="continue"/>
            <w:noWrap w:val="0"/>
            <w:vAlign w:val="center"/>
          </w:tcPr>
          <w:p>
            <w:pPr>
              <w:pStyle w:val="22"/>
              <w:bidi w:val="0"/>
              <w:rPr>
                <w:rFonts w:hint="default"/>
                <w:color w:val="auto"/>
                <w:highlight w:val="none"/>
              </w:rPr>
            </w:pPr>
          </w:p>
        </w:tc>
        <w:tc>
          <w:tcPr>
            <w:tcW w:w="1701" w:type="dxa"/>
            <w:noWrap w:val="0"/>
            <w:vAlign w:val="center"/>
          </w:tcPr>
          <w:p>
            <w:pPr>
              <w:pStyle w:val="22"/>
              <w:bidi w:val="0"/>
              <w:rPr>
                <w:rFonts w:hint="default"/>
                <w:color w:val="auto"/>
                <w:highlight w:val="none"/>
              </w:rPr>
            </w:pPr>
          </w:p>
        </w:tc>
        <w:tc>
          <w:tcPr>
            <w:tcW w:w="1984" w:type="dxa"/>
            <w:vMerge w:val="continue"/>
            <w:noWrap w:val="0"/>
            <w:vAlign w:val="center"/>
          </w:tcPr>
          <w:p>
            <w:pPr>
              <w:pStyle w:val="22"/>
              <w:bidi w:val="0"/>
              <w:rPr>
                <w:rFonts w:hint="default"/>
                <w:color w:val="auto"/>
                <w:highlight w:val="none"/>
              </w:rPr>
            </w:pPr>
          </w:p>
        </w:tc>
        <w:tc>
          <w:tcPr>
            <w:tcW w:w="3000" w:type="dxa"/>
            <w:vMerge w:val="continue"/>
            <w:noWrap w:val="0"/>
            <w:vAlign w:val="center"/>
          </w:tcPr>
          <w:p>
            <w:pPr>
              <w:pStyle w:val="22"/>
              <w:bidi w:val="0"/>
              <w:rPr>
                <w:rFonts w:hint="default"/>
                <w:color w:val="auto"/>
                <w:highlight w:val="none"/>
              </w:rPr>
            </w:pPr>
          </w:p>
        </w:tc>
        <w:tc>
          <w:tcPr>
            <w:tcW w:w="767" w:type="dxa"/>
            <w:vMerge w:val="continue"/>
            <w:noWrap w:val="0"/>
            <w:vAlign w:val="center"/>
          </w:tcPr>
          <w:p>
            <w:pPr>
              <w:pStyle w:val="22"/>
              <w:bidi w:val="0"/>
              <w:rPr>
                <w:rFonts w:hint="default"/>
                <w:color w:val="auto"/>
                <w:highlight w:val="none"/>
              </w:rPr>
            </w:pPr>
          </w:p>
        </w:tc>
        <w:tc>
          <w:tcPr>
            <w:tcW w:w="884" w:type="dxa"/>
            <w:vMerge w:val="continue"/>
            <w:noWrap w:val="0"/>
            <w:vAlign w:val="center"/>
          </w:tcPr>
          <w:p>
            <w:pPr>
              <w:pStyle w:val="22"/>
              <w:bidi w:val="0"/>
              <w:rPr>
                <w:rFonts w:hint="default"/>
                <w:color w:val="auto"/>
                <w:highlight w:val="none"/>
              </w:rPr>
            </w:pPr>
          </w:p>
        </w:tc>
        <w:tc>
          <w:tcPr>
            <w:tcW w:w="1116" w:type="dxa"/>
            <w:vMerge w:val="continue"/>
            <w:noWrap w:val="0"/>
            <w:vAlign w:val="center"/>
          </w:tcPr>
          <w:p>
            <w:pPr>
              <w:pStyle w:val="22"/>
              <w:bidi w:val="0"/>
              <w:rPr>
                <w:rFonts w:hint="default"/>
                <w:color w:val="auto"/>
                <w:highlight w:val="none"/>
              </w:rPr>
            </w:pPr>
          </w:p>
        </w:tc>
      </w:tr>
    </w:tbl>
    <w:p>
      <w:pPr>
        <w:pStyle w:val="12"/>
        <w:adjustRightInd w:val="0"/>
        <w:snapToGrid w:val="0"/>
        <w:jc w:val="center"/>
        <w:rPr>
          <w:rFonts w:hint="default" w:ascii="Times New Roman" w:hAnsi="Times New Roman"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val="0"/>
          <w:bCs w:val="0"/>
          <w:color w:val="auto"/>
          <w:sz w:val="24"/>
          <w:szCs w:val="24"/>
          <w:highlight w:val="none"/>
          <w:lang w:val="en-US" w:eastAsia="zh-CN"/>
        </w:rPr>
        <w:sectPr>
          <w:pgSz w:w="16838" w:h="11906" w:orient="landscape"/>
          <w:pgMar w:top="1800" w:right="1440" w:bottom="1800" w:left="1440" w:header="851" w:footer="992" w:gutter="0"/>
          <w:cols w:space="720" w:num="1"/>
          <w:docGrid w:type="lines" w:linePitch="312" w:charSpace="0"/>
        </w:sectPr>
      </w:pPr>
    </w:p>
    <w:p>
      <w:pPr>
        <w:bidi w:val="0"/>
        <w:rPr>
          <w:rFonts w:hint="default"/>
          <w:color w:val="auto"/>
          <w:highlight w:val="none"/>
          <w:lang w:val="en-US" w:eastAsia="zh-CN"/>
        </w:rPr>
      </w:pPr>
      <w:r>
        <w:rPr>
          <w:rFonts w:hint="default"/>
          <w:color w:val="auto"/>
          <w:highlight w:val="none"/>
          <w:lang w:val="en-US" w:eastAsia="zh-CN"/>
        </w:rPr>
        <w:t>（2）煤质</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内各煤层的物理性质和煤岩类型相近，均为黑色，条痕黑褐色，油脂～玻璃光泽，参差状和阶梯状断口，条带状结构，层状构造，内生裂隙不发育，硬度较大。煤岩组分以亮煤为主，夹少许镜煤透镜体和线理，偶见线理状丝炭。从总的煤岩宏观类型来看，各煤层均为半暗～半亮型。</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区内各矿井开采煤层煤质主要为低中-中高灰、特低-中硫、低-高热值1/3焦煤（1/3JM）、1/2中粘煤（1/2ZM），弱粘煤（RM）和气煤（QM）等。各矿井开采煤层煤质特征见表</w:t>
      </w:r>
      <w:r>
        <w:rPr>
          <w:rFonts w:hint="default" w:ascii="Times New Roman" w:hAnsi="Times New Roman" w:cs="Times New Roman"/>
          <w:color w:val="auto"/>
          <w:sz w:val="24"/>
          <w:szCs w:val="24"/>
          <w:highlight w:val="none"/>
          <w:lang w:val="en-US" w:eastAsia="zh-CN"/>
        </w:rPr>
        <w:t>2.1.3-2。</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 xml:space="preserve">2.1.3-2  </w:t>
      </w:r>
      <w:r>
        <w:rPr>
          <w:rFonts w:hint="default"/>
          <w:color w:val="auto"/>
          <w:highlight w:val="none"/>
        </w:rPr>
        <w:t>大竹县各矿井开采煤层煤质特征表</w:t>
      </w:r>
    </w:p>
    <w:tbl>
      <w:tblPr>
        <w:tblStyle w:val="17"/>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711"/>
        <w:gridCol w:w="1059"/>
        <w:gridCol w:w="1127"/>
        <w:gridCol w:w="1004"/>
        <w:gridCol w:w="1095"/>
        <w:gridCol w:w="1083"/>
        <w:gridCol w:w="183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3" w:hRule="atLeast"/>
          <w:tblHeader/>
          <w:jc w:val="center"/>
        </w:trPr>
        <w:tc>
          <w:tcPr>
            <w:tcW w:w="606" w:type="dxa"/>
            <w:noWrap w:val="0"/>
            <w:vAlign w:val="center"/>
          </w:tcPr>
          <w:p>
            <w:pPr>
              <w:pStyle w:val="22"/>
              <w:bidi w:val="0"/>
              <w:rPr>
                <w:rFonts w:hint="default"/>
                <w:color w:val="auto"/>
                <w:highlight w:val="none"/>
              </w:rPr>
            </w:pPr>
            <w:r>
              <w:rPr>
                <w:rFonts w:hint="default"/>
                <w:color w:val="auto"/>
                <w:highlight w:val="none"/>
              </w:rPr>
              <w:t>序号</w:t>
            </w:r>
          </w:p>
        </w:tc>
        <w:tc>
          <w:tcPr>
            <w:tcW w:w="711" w:type="dxa"/>
            <w:noWrap w:val="0"/>
            <w:vAlign w:val="center"/>
          </w:tcPr>
          <w:p>
            <w:pPr>
              <w:pStyle w:val="22"/>
              <w:bidi w:val="0"/>
              <w:rPr>
                <w:rFonts w:hint="default"/>
                <w:color w:val="auto"/>
                <w:highlight w:val="none"/>
              </w:rPr>
            </w:pPr>
            <w:r>
              <w:rPr>
                <w:rFonts w:hint="default"/>
                <w:color w:val="auto"/>
                <w:highlight w:val="none"/>
              </w:rPr>
              <w:t>煤矿名称</w:t>
            </w:r>
          </w:p>
        </w:tc>
        <w:tc>
          <w:tcPr>
            <w:tcW w:w="1059" w:type="dxa"/>
            <w:noWrap w:val="0"/>
            <w:vAlign w:val="center"/>
          </w:tcPr>
          <w:p>
            <w:pPr>
              <w:pStyle w:val="22"/>
              <w:bidi w:val="0"/>
              <w:rPr>
                <w:rFonts w:hint="default"/>
                <w:color w:val="auto"/>
                <w:highlight w:val="none"/>
              </w:rPr>
            </w:pPr>
            <w:r>
              <w:rPr>
                <w:rFonts w:hint="default"/>
                <w:color w:val="auto"/>
                <w:highlight w:val="none"/>
              </w:rPr>
              <w:t>煤层名称</w:t>
            </w:r>
          </w:p>
        </w:tc>
        <w:tc>
          <w:tcPr>
            <w:tcW w:w="1127" w:type="dxa"/>
            <w:noWrap w:val="0"/>
            <w:vAlign w:val="center"/>
          </w:tcPr>
          <w:p>
            <w:pPr>
              <w:pStyle w:val="22"/>
              <w:bidi w:val="0"/>
              <w:rPr>
                <w:rFonts w:hint="default"/>
                <w:color w:val="auto"/>
                <w:highlight w:val="none"/>
              </w:rPr>
            </w:pPr>
            <w:r>
              <w:rPr>
                <w:rFonts w:hint="default"/>
                <w:color w:val="auto"/>
                <w:highlight w:val="none"/>
              </w:rPr>
              <w:t>煤种</w:t>
            </w:r>
          </w:p>
        </w:tc>
        <w:tc>
          <w:tcPr>
            <w:tcW w:w="1004" w:type="dxa"/>
            <w:noWrap w:val="0"/>
            <w:vAlign w:val="center"/>
          </w:tcPr>
          <w:p>
            <w:pPr>
              <w:pStyle w:val="22"/>
              <w:bidi w:val="0"/>
              <w:rPr>
                <w:rFonts w:hint="default"/>
                <w:color w:val="auto"/>
                <w:highlight w:val="none"/>
              </w:rPr>
            </w:pPr>
            <w:r>
              <w:rPr>
                <w:rFonts w:hint="default"/>
                <w:color w:val="auto"/>
                <w:highlight w:val="none"/>
              </w:rPr>
              <w:t>灰分Ad(%)</w:t>
            </w:r>
          </w:p>
        </w:tc>
        <w:tc>
          <w:tcPr>
            <w:tcW w:w="1095" w:type="dxa"/>
            <w:noWrap w:val="0"/>
            <w:vAlign w:val="center"/>
          </w:tcPr>
          <w:p>
            <w:pPr>
              <w:pStyle w:val="22"/>
              <w:bidi w:val="0"/>
              <w:rPr>
                <w:rFonts w:hint="default"/>
                <w:color w:val="auto"/>
                <w:highlight w:val="none"/>
              </w:rPr>
            </w:pPr>
            <w:r>
              <w:rPr>
                <w:rFonts w:hint="default"/>
                <w:color w:val="auto"/>
                <w:highlight w:val="none"/>
              </w:rPr>
              <w:t>挥发分Vdaf(%)</w:t>
            </w:r>
          </w:p>
        </w:tc>
        <w:tc>
          <w:tcPr>
            <w:tcW w:w="1083" w:type="dxa"/>
            <w:noWrap w:val="0"/>
            <w:vAlign w:val="center"/>
          </w:tcPr>
          <w:p>
            <w:pPr>
              <w:pStyle w:val="22"/>
              <w:bidi w:val="0"/>
              <w:rPr>
                <w:rFonts w:hint="default"/>
                <w:color w:val="auto"/>
                <w:highlight w:val="none"/>
              </w:rPr>
            </w:pPr>
            <w:r>
              <w:rPr>
                <w:rFonts w:hint="default"/>
                <w:color w:val="auto"/>
                <w:highlight w:val="none"/>
              </w:rPr>
              <w:t>硫分St.d(%)</w:t>
            </w:r>
          </w:p>
        </w:tc>
        <w:tc>
          <w:tcPr>
            <w:tcW w:w="1837" w:type="dxa"/>
            <w:noWrap w:val="0"/>
            <w:vAlign w:val="center"/>
          </w:tcPr>
          <w:p>
            <w:pPr>
              <w:pStyle w:val="22"/>
              <w:bidi w:val="0"/>
              <w:rPr>
                <w:rFonts w:hint="default"/>
                <w:color w:val="auto"/>
                <w:highlight w:val="none"/>
              </w:rPr>
            </w:pPr>
            <w:r>
              <w:rPr>
                <w:rFonts w:hint="default"/>
                <w:color w:val="auto"/>
                <w:highlight w:val="none"/>
              </w:rPr>
              <w:t>发热量Qnet.ar(MJ/kg)</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2376" w:type="dxa"/>
            <w:gridSpan w:val="3"/>
            <w:noWrap w:val="0"/>
            <w:vAlign w:val="center"/>
          </w:tcPr>
          <w:p>
            <w:pPr>
              <w:pStyle w:val="22"/>
              <w:bidi w:val="0"/>
              <w:rPr>
                <w:rFonts w:hint="default"/>
                <w:color w:val="auto"/>
                <w:highlight w:val="none"/>
              </w:rPr>
            </w:pPr>
            <w:r>
              <w:rPr>
                <w:rFonts w:hint="default"/>
                <w:color w:val="auto"/>
                <w:highlight w:val="none"/>
              </w:rPr>
              <w:t>华蓥山北段矿区</w:t>
            </w:r>
          </w:p>
        </w:tc>
        <w:tc>
          <w:tcPr>
            <w:tcW w:w="1127" w:type="dxa"/>
            <w:noWrap w:val="0"/>
            <w:vAlign w:val="center"/>
          </w:tcPr>
          <w:p>
            <w:pPr>
              <w:pStyle w:val="22"/>
              <w:bidi w:val="0"/>
              <w:rPr>
                <w:rFonts w:hint="default"/>
                <w:color w:val="auto"/>
                <w:highlight w:val="none"/>
              </w:rPr>
            </w:pPr>
          </w:p>
        </w:tc>
        <w:tc>
          <w:tcPr>
            <w:tcW w:w="1004" w:type="dxa"/>
            <w:noWrap w:val="0"/>
            <w:vAlign w:val="center"/>
          </w:tcPr>
          <w:p>
            <w:pPr>
              <w:pStyle w:val="22"/>
              <w:bidi w:val="0"/>
              <w:rPr>
                <w:rFonts w:hint="default"/>
                <w:color w:val="auto"/>
                <w:highlight w:val="none"/>
              </w:rPr>
            </w:pPr>
          </w:p>
        </w:tc>
        <w:tc>
          <w:tcPr>
            <w:tcW w:w="1095" w:type="dxa"/>
            <w:noWrap w:val="0"/>
            <w:vAlign w:val="center"/>
          </w:tcPr>
          <w:p>
            <w:pPr>
              <w:pStyle w:val="22"/>
              <w:bidi w:val="0"/>
              <w:rPr>
                <w:rFonts w:hint="default"/>
                <w:color w:val="auto"/>
                <w:highlight w:val="none"/>
              </w:rPr>
            </w:pP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1</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林煤矿</w:t>
            </w:r>
          </w:p>
        </w:tc>
        <w:tc>
          <w:tcPr>
            <w:tcW w:w="1059" w:type="dxa"/>
            <w:noWrap w:val="0"/>
            <w:vAlign w:val="center"/>
          </w:tcPr>
          <w:p>
            <w:pPr>
              <w:pStyle w:val="22"/>
              <w:bidi w:val="0"/>
              <w:rPr>
                <w:rFonts w:hint="default"/>
                <w:color w:val="auto"/>
                <w:highlight w:val="none"/>
              </w:rPr>
            </w:pPr>
            <w:r>
              <w:rPr>
                <w:rFonts w:hint="default"/>
                <w:color w:val="auto"/>
                <w:highlight w:val="none"/>
              </w:rPr>
              <w:t>K27</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15.35</w:t>
            </w:r>
          </w:p>
        </w:tc>
        <w:tc>
          <w:tcPr>
            <w:tcW w:w="1095" w:type="dxa"/>
            <w:noWrap w:val="0"/>
            <w:vAlign w:val="center"/>
          </w:tcPr>
          <w:p>
            <w:pPr>
              <w:pStyle w:val="22"/>
              <w:bidi w:val="0"/>
              <w:rPr>
                <w:rFonts w:hint="default"/>
                <w:color w:val="auto"/>
                <w:highlight w:val="none"/>
              </w:rPr>
            </w:pPr>
            <w:r>
              <w:rPr>
                <w:rFonts w:hint="default"/>
                <w:color w:val="auto"/>
                <w:highlight w:val="none"/>
              </w:rPr>
              <w:t>26.14</w:t>
            </w:r>
          </w:p>
        </w:tc>
        <w:tc>
          <w:tcPr>
            <w:tcW w:w="1083" w:type="dxa"/>
            <w:noWrap w:val="0"/>
            <w:vAlign w:val="center"/>
          </w:tcPr>
          <w:p>
            <w:pPr>
              <w:pStyle w:val="22"/>
              <w:bidi w:val="0"/>
              <w:rPr>
                <w:rFonts w:hint="default"/>
                <w:color w:val="auto"/>
                <w:highlight w:val="none"/>
              </w:rPr>
            </w:pPr>
            <w:r>
              <w:rPr>
                <w:rFonts w:hint="default"/>
                <w:color w:val="auto"/>
                <w:highlight w:val="none"/>
              </w:rPr>
              <w:t>0.46</w:t>
            </w:r>
          </w:p>
        </w:tc>
        <w:tc>
          <w:tcPr>
            <w:tcW w:w="1837" w:type="dxa"/>
            <w:noWrap w:val="0"/>
            <w:vAlign w:val="center"/>
          </w:tcPr>
          <w:p>
            <w:pPr>
              <w:pStyle w:val="22"/>
              <w:bidi w:val="0"/>
              <w:rPr>
                <w:rFonts w:hint="default"/>
                <w:color w:val="auto"/>
                <w:highlight w:val="none"/>
              </w:rPr>
            </w:pPr>
            <w:r>
              <w:rPr>
                <w:rFonts w:hint="default"/>
                <w:color w:val="auto"/>
                <w:highlight w:val="none"/>
              </w:rPr>
              <w:t>29.29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K26</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14.44</w:t>
            </w:r>
          </w:p>
        </w:tc>
        <w:tc>
          <w:tcPr>
            <w:tcW w:w="1095" w:type="dxa"/>
            <w:noWrap w:val="0"/>
            <w:vAlign w:val="center"/>
          </w:tcPr>
          <w:p>
            <w:pPr>
              <w:pStyle w:val="22"/>
              <w:bidi w:val="0"/>
              <w:rPr>
                <w:rFonts w:hint="default"/>
                <w:color w:val="auto"/>
                <w:highlight w:val="none"/>
              </w:rPr>
            </w:pPr>
            <w:r>
              <w:rPr>
                <w:rFonts w:hint="default"/>
                <w:color w:val="auto"/>
                <w:highlight w:val="none"/>
              </w:rPr>
              <w:t>28.45</w:t>
            </w:r>
          </w:p>
        </w:tc>
        <w:tc>
          <w:tcPr>
            <w:tcW w:w="1083" w:type="dxa"/>
            <w:noWrap w:val="0"/>
            <w:vAlign w:val="center"/>
          </w:tcPr>
          <w:p>
            <w:pPr>
              <w:pStyle w:val="22"/>
              <w:bidi w:val="0"/>
              <w:rPr>
                <w:rFonts w:hint="default"/>
                <w:color w:val="auto"/>
                <w:highlight w:val="none"/>
              </w:rPr>
            </w:pPr>
            <w:r>
              <w:rPr>
                <w:rFonts w:hint="default"/>
                <w:color w:val="auto"/>
                <w:highlight w:val="none"/>
              </w:rPr>
              <w:t>0.5</w:t>
            </w:r>
          </w:p>
        </w:tc>
        <w:tc>
          <w:tcPr>
            <w:tcW w:w="1837" w:type="dxa"/>
            <w:noWrap w:val="0"/>
            <w:vAlign w:val="center"/>
          </w:tcPr>
          <w:p>
            <w:pPr>
              <w:pStyle w:val="22"/>
              <w:bidi w:val="0"/>
              <w:rPr>
                <w:rFonts w:hint="default"/>
                <w:color w:val="auto"/>
                <w:highlight w:val="none"/>
              </w:rPr>
            </w:pPr>
            <w:r>
              <w:rPr>
                <w:rFonts w:hint="default"/>
                <w:color w:val="auto"/>
                <w:highlight w:val="none"/>
              </w:rPr>
              <w:t>29.80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K25</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12.96</w:t>
            </w:r>
          </w:p>
        </w:tc>
        <w:tc>
          <w:tcPr>
            <w:tcW w:w="1095" w:type="dxa"/>
            <w:noWrap w:val="0"/>
            <w:vAlign w:val="center"/>
          </w:tcPr>
          <w:p>
            <w:pPr>
              <w:pStyle w:val="22"/>
              <w:bidi w:val="0"/>
              <w:rPr>
                <w:rFonts w:hint="default"/>
                <w:color w:val="auto"/>
                <w:highlight w:val="none"/>
              </w:rPr>
            </w:pPr>
            <w:r>
              <w:rPr>
                <w:rFonts w:hint="default"/>
                <w:color w:val="auto"/>
                <w:highlight w:val="none"/>
              </w:rPr>
              <w:t>31.47</w:t>
            </w:r>
          </w:p>
        </w:tc>
        <w:tc>
          <w:tcPr>
            <w:tcW w:w="1083" w:type="dxa"/>
            <w:noWrap w:val="0"/>
            <w:vAlign w:val="center"/>
          </w:tcPr>
          <w:p>
            <w:pPr>
              <w:pStyle w:val="22"/>
              <w:bidi w:val="0"/>
              <w:rPr>
                <w:rFonts w:hint="default"/>
                <w:color w:val="auto"/>
                <w:highlight w:val="none"/>
              </w:rPr>
            </w:pPr>
            <w:r>
              <w:rPr>
                <w:rFonts w:hint="default"/>
                <w:color w:val="auto"/>
                <w:highlight w:val="none"/>
              </w:rPr>
              <w:t>0.76</w:t>
            </w:r>
          </w:p>
        </w:tc>
        <w:tc>
          <w:tcPr>
            <w:tcW w:w="1837" w:type="dxa"/>
            <w:noWrap w:val="0"/>
            <w:vAlign w:val="center"/>
          </w:tcPr>
          <w:p>
            <w:pPr>
              <w:pStyle w:val="22"/>
              <w:bidi w:val="0"/>
              <w:rPr>
                <w:rFonts w:hint="default"/>
                <w:color w:val="auto"/>
                <w:highlight w:val="none"/>
              </w:rPr>
            </w:pPr>
            <w:r>
              <w:rPr>
                <w:rFonts w:hint="default"/>
                <w:color w:val="auto"/>
                <w:highlight w:val="none"/>
              </w:rPr>
              <w:t>30.41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K24</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11.71</w:t>
            </w:r>
          </w:p>
        </w:tc>
        <w:tc>
          <w:tcPr>
            <w:tcW w:w="1095" w:type="dxa"/>
            <w:noWrap w:val="0"/>
            <w:vAlign w:val="center"/>
          </w:tcPr>
          <w:p>
            <w:pPr>
              <w:pStyle w:val="22"/>
              <w:bidi w:val="0"/>
              <w:rPr>
                <w:rFonts w:hint="default"/>
                <w:color w:val="auto"/>
                <w:highlight w:val="none"/>
              </w:rPr>
            </w:pPr>
            <w:r>
              <w:rPr>
                <w:rFonts w:hint="default"/>
                <w:color w:val="auto"/>
                <w:highlight w:val="none"/>
              </w:rPr>
              <w:t>31.20</w:t>
            </w:r>
          </w:p>
        </w:tc>
        <w:tc>
          <w:tcPr>
            <w:tcW w:w="1083" w:type="dxa"/>
            <w:noWrap w:val="0"/>
            <w:vAlign w:val="center"/>
          </w:tcPr>
          <w:p>
            <w:pPr>
              <w:pStyle w:val="22"/>
              <w:bidi w:val="0"/>
              <w:rPr>
                <w:rFonts w:hint="default"/>
                <w:color w:val="auto"/>
                <w:highlight w:val="none"/>
              </w:rPr>
            </w:pPr>
            <w:r>
              <w:rPr>
                <w:rFonts w:hint="default"/>
                <w:color w:val="auto"/>
                <w:highlight w:val="none"/>
              </w:rPr>
              <w:t>0.61</w:t>
            </w:r>
          </w:p>
        </w:tc>
        <w:tc>
          <w:tcPr>
            <w:tcW w:w="1837" w:type="dxa"/>
            <w:noWrap w:val="0"/>
            <w:vAlign w:val="center"/>
          </w:tcPr>
          <w:p>
            <w:pPr>
              <w:pStyle w:val="22"/>
              <w:bidi w:val="0"/>
              <w:rPr>
                <w:rFonts w:hint="default"/>
                <w:color w:val="auto"/>
                <w:highlight w:val="none"/>
              </w:rPr>
            </w:pPr>
            <w:r>
              <w:rPr>
                <w:rFonts w:hint="default"/>
                <w:color w:val="auto"/>
                <w:highlight w:val="none"/>
              </w:rPr>
              <w:t>30.81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K22</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10.38</w:t>
            </w:r>
          </w:p>
        </w:tc>
        <w:tc>
          <w:tcPr>
            <w:tcW w:w="1095" w:type="dxa"/>
            <w:noWrap w:val="0"/>
            <w:vAlign w:val="center"/>
          </w:tcPr>
          <w:p>
            <w:pPr>
              <w:pStyle w:val="22"/>
              <w:bidi w:val="0"/>
              <w:rPr>
                <w:rFonts w:hint="default"/>
                <w:color w:val="auto"/>
                <w:highlight w:val="none"/>
              </w:rPr>
            </w:pPr>
            <w:r>
              <w:rPr>
                <w:rFonts w:hint="default"/>
                <w:color w:val="auto"/>
                <w:highlight w:val="none"/>
              </w:rPr>
              <w:t>29.01</w:t>
            </w:r>
          </w:p>
        </w:tc>
        <w:tc>
          <w:tcPr>
            <w:tcW w:w="1083" w:type="dxa"/>
            <w:noWrap w:val="0"/>
            <w:vAlign w:val="center"/>
          </w:tcPr>
          <w:p>
            <w:pPr>
              <w:pStyle w:val="22"/>
              <w:bidi w:val="0"/>
              <w:rPr>
                <w:rFonts w:hint="default"/>
                <w:color w:val="auto"/>
                <w:highlight w:val="none"/>
              </w:rPr>
            </w:pPr>
            <w:r>
              <w:rPr>
                <w:rFonts w:hint="default"/>
                <w:color w:val="auto"/>
                <w:highlight w:val="none"/>
              </w:rPr>
              <w:t>0.59</w:t>
            </w:r>
          </w:p>
        </w:tc>
        <w:tc>
          <w:tcPr>
            <w:tcW w:w="1837" w:type="dxa"/>
            <w:noWrap w:val="0"/>
            <w:vAlign w:val="center"/>
          </w:tcPr>
          <w:p>
            <w:pPr>
              <w:pStyle w:val="22"/>
              <w:bidi w:val="0"/>
              <w:rPr>
                <w:rFonts w:hint="default"/>
                <w:color w:val="auto"/>
                <w:highlight w:val="none"/>
              </w:rPr>
            </w:pPr>
            <w:r>
              <w:rPr>
                <w:rFonts w:hint="default"/>
                <w:color w:val="auto"/>
                <w:highlight w:val="none"/>
              </w:rPr>
              <w:t>35.85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K18</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30.78</w:t>
            </w:r>
          </w:p>
        </w:tc>
        <w:tc>
          <w:tcPr>
            <w:tcW w:w="1095" w:type="dxa"/>
            <w:noWrap w:val="0"/>
            <w:vAlign w:val="center"/>
          </w:tcPr>
          <w:p>
            <w:pPr>
              <w:pStyle w:val="22"/>
              <w:bidi w:val="0"/>
              <w:rPr>
                <w:rFonts w:hint="default"/>
                <w:color w:val="auto"/>
                <w:highlight w:val="none"/>
              </w:rPr>
            </w:pPr>
            <w:r>
              <w:rPr>
                <w:rFonts w:hint="default"/>
                <w:color w:val="auto"/>
                <w:highlight w:val="none"/>
              </w:rPr>
              <w:t>28.47</w:t>
            </w:r>
          </w:p>
        </w:tc>
        <w:tc>
          <w:tcPr>
            <w:tcW w:w="1083" w:type="dxa"/>
            <w:noWrap w:val="0"/>
            <w:vAlign w:val="center"/>
          </w:tcPr>
          <w:p>
            <w:pPr>
              <w:pStyle w:val="22"/>
              <w:bidi w:val="0"/>
              <w:rPr>
                <w:rFonts w:hint="default"/>
                <w:color w:val="auto"/>
                <w:highlight w:val="none"/>
              </w:rPr>
            </w:pPr>
            <w:r>
              <w:rPr>
                <w:rFonts w:hint="default"/>
                <w:color w:val="auto"/>
                <w:highlight w:val="none"/>
              </w:rPr>
              <w:t>0.52</w:t>
            </w:r>
          </w:p>
        </w:tc>
        <w:tc>
          <w:tcPr>
            <w:tcW w:w="1837" w:type="dxa"/>
            <w:noWrap w:val="0"/>
            <w:vAlign w:val="center"/>
          </w:tcPr>
          <w:p>
            <w:pPr>
              <w:pStyle w:val="22"/>
              <w:bidi w:val="0"/>
              <w:rPr>
                <w:rFonts w:hint="default"/>
                <w:color w:val="auto"/>
                <w:highlight w:val="none"/>
              </w:rPr>
            </w:pPr>
            <w:r>
              <w:rPr>
                <w:rFonts w:hint="default"/>
                <w:color w:val="auto"/>
                <w:highlight w:val="none"/>
              </w:rPr>
              <w:t>23.59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2</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田坝煤矿</w:t>
            </w:r>
          </w:p>
        </w:tc>
        <w:tc>
          <w:tcPr>
            <w:tcW w:w="1059" w:type="dxa"/>
            <w:noWrap w:val="0"/>
            <w:vAlign w:val="center"/>
          </w:tcPr>
          <w:p>
            <w:pPr>
              <w:pStyle w:val="22"/>
              <w:bidi w:val="0"/>
              <w:rPr>
                <w:rFonts w:hint="default"/>
                <w:color w:val="auto"/>
                <w:highlight w:val="none"/>
              </w:rPr>
            </w:pPr>
            <w:r>
              <w:rPr>
                <w:rFonts w:hint="default"/>
                <w:color w:val="auto"/>
                <w:highlight w:val="none"/>
              </w:rPr>
              <w:t>正连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28.30</w:t>
            </w:r>
          </w:p>
        </w:tc>
        <w:tc>
          <w:tcPr>
            <w:tcW w:w="1095" w:type="dxa"/>
            <w:noWrap w:val="0"/>
            <w:vAlign w:val="center"/>
          </w:tcPr>
          <w:p>
            <w:pPr>
              <w:pStyle w:val="22"/>
              <w:bidi w:val="0"/>
              <w:rPr>
                <w:rFonts w:hint="default"/>
                <w:color w:val="auto"/>
                <w:highlight w:val="none"/>
              </w:rPr>
            </w:pPr>
            <w:r>
              <w:rPr>
                <w:rFonts w:hint="default"/>
                <w:color w:val="auto"/>
                <w:highlight w:val="none"/>
              </w:rPr>
              <w:t>29.20</w:t>
            </w:r>
          </w:p>
        </w:tc>
        <w:tc>
          <w:tcPr>
            <w:tcW w:w="1083" w:type="dxa"/>
            <w:noWrap w:val="0"/>
            <w:vAlign w:val="center"/>
          </w:tcPr>
          <w:p>
            <w:pPr>
              <w:pStyle w:val="22"/>
              <w:bidi w:val="0"/>
              <w:rPr>
                <w:rFonts w:hint="default"/>
                <w:color w:val="auto"/>
                <w:highlight w:val="none"/>
              </w:rPr>
            </w:pPr>
            <w:r>
              <w:rPr>
                <w:rFonts w:hint="default"/>
                <w:color w:val="auto"/>
                <w:highlight w:val="none"/>
              </w:rPr>
              <w:t>0.45</w:t>
            </w:r>
          </w:p>
        </w:tc>
        <w:tc>
          <w:tcPr>
            <w:tcW w:w="1837" w:type="dxa"/>
            <w:noWrap w:val="0"/>
            <w:vAlign w:val="center"/>
          </w:tcPr>
          <w:p>
            <w:pPr>
              <w:pStyle w:val="22"/>
              <w:bidi w:val="0"/>
              <w:rPr>
                <w:rFonts w:hint="default"/>
                <w:color w:val="auto"/>
                <w:highlight w:val="none"/>
              </w:rPr>
            </w:pPr>
            <w:r>
              <w:rPr>
                <w:rFonts w:hint="default"/>
                <w:color w:val="auto"/>
                <w:highlight w:val="none"/>
              </w:rPr>
              <w:t>24.40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阴土</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30.70</w:t>
            </w:r>
          </w:p>
        </w:tc>
        <w:tc>
          <w:tcPr>
            <w:tcW w:w="1095" w:type="dxa"/>
            <w:noWrap w:val="0"/>
            <w:vAlign w:val="center"/>
          </w:tcPr>
          <w:p>
            <w:pPr>
              <w:pStyle w:val="22"/>
              <w:bidi w:val="0"/>
              <w:rPr>
                <w:rFonts w:hint="default"/>
                <w:color w:val="auto"/>
                <w:highlight w:val="none"/>
              </w:rPr>
            </w:pPr>
            <w:r>
              <w:rPr>
                <w:rFonts w:hint="default"/>
                <w:color w:val="auto"/>
                <w:highlight w:val="none"/>
              </w:rPr>
              <w:t>31.40</w:t>
            </w:r>
          </w:p>
        </w:tc>
        <w:tc>
          <w:tcPr>
            <w:tcW w:w="1083" w:type="dxa"/>
            <w:noWrap w:val="0"/>
            <w:vAlign w:val="center"/>
          </w:tcPr>
          <w:p>
            <w:pPr>
              <w:pStyle w:val="22"/>
              <w:bidi w:val="0"/>
              <w:rPr>
                <w:rFonts w:hint="default"/>
                <w:color w:val="auto"/>
                <w:highlight w:val="none"/>
              </w:rPr>
            </w:pPr>
            <w:r>
              <w:rPr>
                <w:rFonts w:hint="default"/>
                <w:color w:val="auto"/>
                <w:highlight w:val="none"/>
              </w:rPr>
              <w:t>0.83</w:t>
            </w:r>
          </w:p>
        </w:tc>
        <w:tc>
          <w:tcPr>
            <w:tcW w:w="1837" w:type="dxa"/>
            <w:noWrap w:val="0"/>
            <w:vAlign w:val="center"/>
          </w:tcPr>
          <w:p>
            <w:pPr>
              <w:pStyle w:val="22"/>
              <w:bidi w:val="0"/>
              <w:rPr>
                <w:rFonts w:hint="default"/>
                <w:color w:val="auto"/>
                <w:highlight w:val="none"/>
              </w:rPr>
            </w:pPr>
            <w:r>
              <w:rPr>
                <w:rFonts w:hint="default"/>
                <w:color w:val="auto"/>
                <w:highlight w:val="none"/>
              </w:rPr>
              <w:t>23.20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3</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黑滩煤矿</w:t>
            </w:r>
          </w:p>
        </w:tc>
        <w:tc>
          <w:tcPr>
            <w:tcW w:w="1059" w:type="dxa"/>
            <w:noWrap w:val="0"/>
            <w:vAlign w:val="center"/>
          </w:tcPr>
          <w:p>
            <w:pPr>
              <w:pStyle w:val="22"/>
              <w:bidi w:val="0"/>
              <w:rPr>
                <w:rFonts w:hint="default"/>
                <w:color w:val="auto"/>
                <w:highlight w:val="none"/>
              </w:rPr>
            </w:pPr>
            <w:r>
              <w:rPr>
                <w:rFonts w:hint="default"/>
                <w:color w:val="auto"/>
                <w:highlight w:val="none"/>
              </w:rPr>
              <w:t>正连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25.35</w:t>
            </w:r>
          </w:p>
        </w:tc>
        <w:tc>
          <w:tcPr>
            <w:tcW w:w="1095" w:type="dxa"/>
            <w:noWrap w:val="0"/>
            <w:vAlign w:val="center"/>
          </w:tcPr>
          <w:p>
            <w:pPr>
              <w:pStyle w:val="22"/>
              <w:bidi w:val="0"/>
              <w:rPr>
                <w:rFonts w:hint="default"/>
                <w:color w:val="auto"/>
                <w:highlight w:val="none"/>
              </w:rPr>
            </w:pPr>
            <w:r>
              <w:rPr>
                <w:rFonts w:hint="default"/>
                <w:color w:val="auto"/>
                <w:highlight w:val="none"/>
              </w:rPr>
              <w:t>33.45</w:t>
            </w:r>
          </w:p>
        </w:tc>
        <w:tc>
          <w:tcPr>
            <w:tcW w:w="1083" w:type="dxa"/>
            <w:noWrap w:val="0"/>
            <w:vAlign w:val="center"/>
          </w:tcPr>
          <w:p>
            <w:pPr>
              <w:pStyle w:val="22"/>
              <w:bidi w:val="0"/>
              <w:rPr>
                <w:rFonts w:hint="default"/>
                <w:color w:val="auto"/>
                <w:highlight w:val="none"/>
              </w:rPr>
            </w:pPr>
            <w:r>
              <w:rPr>
                <w:rFonts w:hint="default"/>
                <w:color w:val="auto"/>
                <w:highlight w:val="none"/>
              </w:rPr>
              <w:t>0.69</w:t>
            </w:r>
          </w:p>
        </w:tc>
        <w:tc>
          <w:tcPr>
            <w:tcW w:w="1837" w:type="dxa"/>
            <w:noWrap w:val="0"/>
            <w:vAlign w:val="center"/>
          </w:tcPr>
          <w:p>
            <w:pPr>
              <w:pStyle w:val="22"/>
              <w:bidi w:val="0"/>
              <w:rPr>
                <w:rFonts w:hint="default"/>
                <w:color w:val="auto"/>
                <w:highlight w:val="none"/>
              </w:rPr>
            </w:pPr>
            <w:r>
              <w:rPr>
                <w:rFonts w:hint="default"/>
                <w:color w:val="auto"/>
                <w:highlight w:val="none"/>
              </w:rPr>
              <w:t>25.40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内正连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30.96</w:t>
            </w:r>
          </w:p>
        </w:tc>
        <w:tc>
          <w:tcPr>
            <w:tcW w:w="1095" w:type="dxa"/>
            <w:noWrap w:val="0"/>
            <w:vAlign w:val="center"/>
          </w:tcPr>
          <w:p>
            <w:pPr>
              <w:pStyle w:val="22"/>
              <w:bidi w:val="0"/>
              <w:rPr>
                <w:rFonts w:hint="default"/>
                <w:color w:val="auto"/>
                <w:highlight w:val="none"/>
              </w:rPr>
            </w:pPr>
            <w:r>
              <w:rPr>
                <w:rFonts w:hint="default"/>
                <w:color w:val="auto"/>
                <w:highlight w:val="none"/>
              </w:rPr>
              <w:t>35.22</w:t>
            </w:r>
          </w:p>
        </w:tc>
        <w:tc>
          <w:tcPr>
            <w:tcW w:w="1083" w:type="dxa"/>
            <w:noWrap w:val="0"/>
            <w:vAlign w:val="center"/>
          </w:tcPr>
          <w:p>
            <w:pPr>
              <w:pStyle w:val="22"/>
              <w:bidi w:val="0"/>
              <w:rPr>
                <w:rFonts w:hint="default"/>
                <w:color w:val="auto"/>
                <w:highlight w:val="none"/>
              </w:rPr>
            </w:pPr>
            <w:r>
              <w:rPr>
                <w:rFonts w:hint="default"/>
                <w:color w:val="auto"/>
                <w:highlight w:val="none"/>
              </w:rPr>
              <w:t>1.06</w:t>
            </w:r>
          </w:p>
        </w:tc>
        <w:tc>
          <w:tcPr>
            <w:tcW w:w="1837" w:type="dxa"/>
            <w:noWrap w:val="0"/>
            <w:vAlign w:val="center"/>
          </w:tcPr>
          <w:p>
            <w:pPr>
              <w:pStyle w:val="22"/>
              <w:bidi w:val="0"/>
              <w:rPr>
                <w:rFonts w:hint="default"/>
                <w:color w:val="auto"/>
                <w:highlight w:val="none"/>
              </w:rPr>
            </w:pPr>
            <w:r>
              <w:rPr>
                <w:rFonts w:hint="default"/>
                <w:color w:val="auto"/>
                <w:highlight w:val="none"/>
              </w:rPr>
              <w:t>23.70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三夹连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29.29</w:t>
            </w:r>
          </w:p>
        </w:tc>
        <w:tc>
          <w:tcPr>
            <w:tcW w:w="1095" w:type="dxa"/>
            <w:noWrap w:val="0"/>
            <w:vAlign w:val="center"/>
          </w:tcPr>
          <w:p>
            <w:pPr>
              <w:pStyle w:val="22"/>
              <w:bidi w:val="0"/>
              <w:rPr>
                <w:rFonts w:hint="default"/>
                <w:color w:val="auto"/>
                <w:highlight w:val="none"/>
              </w:rPr>
            </w:pPr>
            <w:r>
              <w:rPr>
                <w:rFonts w:hint="default"/>
                <w:color w:val="auto"/>
                <w:highlight w:val="none"/>
              </w:rPr>
              <w:t>33.43</w:t>
            </w:r>
          </w:p>
        </w:tc>
        <w:tc>
          <w:tcPr>
            <w:tcW w:w="1083" w:type="dxa"/>
            <w:noWrap w:val="0"/>
            <w:vAlign w:val="center"/>
          </w:tcPr>
          <w:p>
            <w:pPr>
              <w:pStyle w:val="22"/>
              <w:bidi w:val="0"/>
              <w:rPr>
                <w:rFonts w:hint="default"/>
                <w:color w:val="auto"/>
                <w:highlight w:val="none"/>
              </w:rPr>
            </w:pPr>
            <w:r>
              <w:rPr>
                <w:rFonts w:hint="default"/>
                <w:color w:val="auto"/>
                <w:highlight w:val="none"/>
              </w:rPr>
              <w:t>0.81</w:t>
            </w:r>
          </w:p>
        </w:tc>
        <w:tc>
          <w:tcPr>
            <w:tcW w:w="1837" w:type="dxa"/>
            <w:noWrap w:val="0"/>
            <w:vAlign w:val="center"/>
          </w:tcPr>
          <w:p>
            <w:pPr>
              <w:pStyle w:val="22"/>
              <w:bidi w:val="0"/>
              <w:rPr>
                <w:rFonts w:hint="default"/>
                <w:color w:val="auto"/>
                <w:highlight w:val="none"/>
              </w:rPr>
            </w:pPr>
            <w:r>
              <w:rPr>
                <w:rFonts w:hint="default"/>
                <w:color w:val="auto"/>
                <w:highlight w:val="none"/>
              </w:rPr>
              <w:t>25.91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4</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大河沟煤矿</w:t>
            </w:r>
          </w:p>
        </w:tc>
        <w:tc>
          <w:tcPr>
            <w:tcW w:w="1059" w:type="dxa"/>
            <w:noWrap w:val="0"/>
            <w:vAlign w:val="center"/>
          </w:tcPr>
          <w:p>
            <w:pPr>
              <w:pStyle w:val="22"/>
              <w:bidi w:val="0"/>
              <w:rPr>
                <w:rFonts w:hint="default"/>
                <w:color w:val="auto"/>
                <w:highlight w:val="none"/>
              </w:rPr>
            </w:pPr>
            <w:r>
              <w:rPr>
                <w:rFonts w:hint="default"/>
                <w:color w:val="auto"/>
                <w:highlight w:val="none"/>
              </w:rPr>
              <w:t>三夹连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30.39</w:t>
            </w:r>
          </w:p>
        </w:tc>
        <w:tc>
          <w:tcPr>
            <w:tcW w:w="1095" w:type="dxa"/>
            <w:noWrap w:val="0"/>
            <w:vAlign w:val="center"/>
          </w:tcPr>
          <w:p>
            <w:pPr>
              <w:pStyle w:val="22"/>
              <w:bidi w:val="0"/>
              <w:rPr>
                <w:rFonts w:hint="default"/>
                <w:color w:val="auto"/>
                <w:highlight w:val="none"/>
              </w:rPr>
            </w:pPr>
            <w:r>
              <w:rPr>
                <w:rFonts w:hint="default"/>
                <w:color w:val="auto"/>
                <w:highlight w:val="none"/>
              </w:rPr>
              <w:t>32.74</w:t>
            </w:r>
          </w:p>
        </w:tc>
        <w:tc>
          <w:tcPr>
            <w:tcW w:w="1083" w:type="dxa"/>
            <w:noWrap w:val="0"/>
            <w:vAlign w:val="center"/>
          </w:tcPr>
          <w:p>
            <w:pPr>
              <w:pStyle w:val="22"/>
              <w:bidi w:val="0"/>
              <w:rPr>
                <w:rFonts w:hint="default"/>
                <w:color w:val="auto"/>
                <w:highlight w:val="none"/>
              </w:rPr>
            </w:pPr>
            <w:r>
              <w:rPr>
                <w:rFonts w:hint="default"/>
                <w:color w:val="auto"/>
                <w:highlight w:val="none"/>
              </w:rPr>
              <w:t>0.76</w:t>
            </w:r>
          </w:p>
        </w:tc>
        <w:tc>
          <w:tcPr>
            <w:tcW w:w="1837" w:type="dxa"/>
            <w:noWrap w:val="0"/>
            <w:vAlign w:val="center"/>
          </w:tcPr>
          <w:p>
            <w:pPr>
              <w:pStyle w:val="22"/>
              <w:bidi w:val="0"/>
              <w:rPr>
                <w:rFonts w:hint="default"/>
                <w:color w:val="auto"/>
                <w:highlight w:val="none"/>
              </w:rPr>
            </w:pPr>
            <w:r>
              <w:rPr>
                <w:rFonts w:hint="default"/>
                <w:color w:val="auto"/>
                <w:highlight w:val="none"/>
              </w:rPr>
              <w:t>23.72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内夹连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21.08</w:t>
            </w:r>
          </w:p>
        </w:tc>
        <w:tc>
          <w:tcPr>
            <w:tcW w:w="1095" w:type="dxa"/>
            <w:noWrap w:val="0"/>
            <w:vAlign w:val="center"/>
          </w:tcPr>
          <w:p>
            <w:pPr>
              <w:pStyle w:val="22"/>
              <w:bidi w:val="0"/>
              <w:rPr>
                <w:rFonts w:hint="default"/>
                <w:color w:val="auto"/>
                <w:highlight w:val="none"/>
              </w:rPr>
            </w:pPr>
            <w:r>
              <w:rPr>
                <w:rFonts w:hint="default"/>
                <w:color w:val="auto"/>
                <w:highlight w:val="none"/>
              </w:rPr>
              <w:t>27.75</w:t>
            </w:r>
          </w:p>
        </w:tc>
        <w:tc>
          <w:tcPr>
            <w:tcW w:w="1083" w:type="dxa"/>
            <w:noWrap w:val="0"/>
            <w:vAlign w:val="center"/>
          </w:tcPr>
          <w:p>
            <w:pPr>
              <w:pStyle w:val="22"/>
              <w:bidi w:val="0"/>
              <w:rPr>
                <w:rFonts w:hint="default"/>
                <w:color w:val="auto"/>
                <w:highlight w:val="none"/>
              </w:rPr>
            </w:pPr>
            <w:r>
              <w:rPr>
                <w:rFonts w:hint="default"/>
                <w:color w:val="auto"/>
                <w:highlight w:val="none"/>
              </w:rPr>
              <w:t>0.48</w:t>
            </w:r>
          </w:p>
        </w:tc>
        <w:tc>
          <w:tcPr>
            <w:tcW w:w="1837" w:type="dxa"/>
            <w:noWrap w:val="0"/>
            <w:vAlign w:val="center"/>
          </w:tcPr>
          <w:p>
            <w:pPr>
              <w:pStyle w:val="22"/>
              <w:bidi w:val="0"/>
              <w:rPr>
                <w:rFonts w:hint="default"/>
                <w:color w:val="auto"/>
                <w:highlight w:val="none"/>
              </w:rPr>
            </w:pPr>
            <w:r>
              <w:rPr>
                <w:rFonts w:hint="default"/>
                <w:color w:val="auto"/>
                <w:highlight w:val="none"/>
              </w:rPr>
              <w:t>27.92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内三夹连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19.65</w:t>
            </w:r>
          </w:p>
        </w:tc>
        <w:tc>
          <w:tcPr>
            <w:tcW w:w="1095" w:type="dxa"/>
            <w:noWrap w:val="0"/>
            <w:vAlign w:val="center"/>
          </w:tcPr>
          <w:p>
            <w:pPr>
              <w:pStyle w:val="22"/>
              <w:bidi w:val="0"/>
              <w:rPr>
                <w:rFonts w:hint="default"/>
                <w:color w:val="auto"/>
                <w:highlight w:val="none"/>
              </w:rPr>
            </w:pPr>
            <w:r>
              <w:rPr>
                <w:rFonts w:hint="default"/>
                <w:color w:val="auto"/>
                <w:highlight w:val="none"/>
              </w:rPr>
              <w:t>37.43</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5</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大硐坪煤矿</w:t>
            </w:r>
          </w:p>
        </w:tc>
        <w:tc>
          <w:tcPr>
            <w:tcW w:w="1059" w:type="dxa"/>
            <w:noWrap w:val="0"/>
            <w:vAlign w:val="center"/>
          </w:tcPr>
          <w:p>
            <w:pPr>
              <w:pStyle w:val="22"/>
              <w:bidi w:val="0"/>
              <w:rPr>
                <w:rFonts w:hint="default"/>
                <w:color w:val="auto"/>
                <w:highlight w:val="none"/>
              </w:rPr>
            </w:pPr>
            <w:r>
              <w:rPr>
                <w:rFonts w:hint="default"/>
                <w:color w:val="auto"/>
                <w:highlight w:val="none"/>
              </w:rPr>
              <w:t>三夹连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39.54</w:t>
            </w:r>
          </w:p>
        </w:tc>
        <w:tc>
          <w:tcPr>
            <w:tcW w:w="1095" w:type="dxa"/>
            <w:noWrap w:val="0"/>
            <w:vAlign w:val="center"/>
          </w:tcPr>
          <w:p>
            <w:pPr>
              <w:pStyle w:val="22"/>
              <w:bidi w:val="0"/>
              <w:rPr>
                <w:rFonts w:hint="default"/>
                <w:color w:val="auto"/>
                <w:highlight w:val="none"/>
              </w:rPr>
            </w:pPr>
            <w:r>
              <w:rPr>
                <w:rFonts w:hint="default"/>
                <w:color w:val="auto"/>
                <w:highlight w:val="none"/>
              </w:rPr>
              <w:t>18.72</w:t>
            </w:r>
          </w:p>
        </w:tc>
        <w:tc>
          <w:tcPr>
            <w:tcW w:w="1083" w:type="dxa"/>
            <w:noWrap w:val="0"/>
            <w:vAlign w:val="center"/>
          </w:tcPr>
          <w:p>
            <w:pPr>
              <w:pStyle w:val="22"/>
              <w:bidi w:val="0"/>
              <w:rPr>
                <w:rFonts w:hint="default"/>
                <w:color w:val="auto"/>
                <w:highlight w:val="none"/>
              </w:rPr>
            </w:pPr>
            <w:r>
              <w:rPr>
                <w:rFonts w:hint="default"/>
                <w:color w:val="auto"/>
                <w:highlight w:val="none"/>
              </w:rPr>
              <w:t>0.75</w:t>
            </w:r>
          </w:p>
        </w:tc>
        <w:tc>
          <w:tcPr>
            <w:tcW w:w="1837" w:type="dxa"/>
            <w:noWrap w:val="0"/>
            <w:vAlign w:val="center"/>
          </w:tcPr>
          <w:p>
            <w:pPr>
              <w:pStyle w:val="22"/>
              <w:bidi w:val="0"/>
              <w:rPr>
                <w:rFonts w:hint="default"/>
                <w:color w:val="auto"/>
                <w:highlight w:val="none"/>
              </w:rPr>
            </w:pPr>
            <w:r>
              <w:rPr>
                <w:rFonts w:hint="default"/>
                <w:color w:val="auto"/>
                <w:highlight w:val="none"/>
              </w:rPr>
              <w:t>15.98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内连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38.63</w:t>
            </w:r>
          </w:p>
        </w:tc>
        <w:tc>
          <w:tcPr>
            <w:tcW w:w="1095" w:type="dxa"/>
            <w:noWrap w:val="0"/>
            <w:vAlign w:val="center"/>
          </w:tcPr>
          <w:p>
            <w:pPr>
              <w:pStyle w:val="22"/>
              <w:bidi w:val="0"/>
              <w:rPr>
                <w:rFonts w:hint="default"/>
                <w:color w:val="auto"/>
                <w:highlight w:val="none"/>
              </w:rPr>
            </w:pPr>
            <w:r>
              <w:rPr>
                <w:rFonts w:hint="default"/>
                <w:color w:val="auto"/>
                <w:highlight w:val="none"/>
              </w:rPr>
              <w:t>21.38</w:t>
            </w:r>
          </w:p>
        </w:tc>
        <w:tc>
          <w:tcPr>
            <w:tcW w:w="1083" w:type="dxa"/>
            <w:noWrap w:val="0"/>
            <w:vAlign w:val="center"/>
          </w:tcPr>
          <w:p>
            <w:pPr>
              <w:pStyle w:val="22"/>
              <w:bidi w:val="0"/>
              <w:rPr>
                <w:rFonts w:hint="default"/>
                <w:color w:val="auto"/>
                <w:highlight w:val="none"/>
              </w:rPr>
            </w:pPr>
            <w:r>
              <w:rPr>
                <w:rFonts w:hint="default"/>
                <w:color w:val="auto"/>
                <w:highlight w:val="none"/>
              </w:rPr>
              <w:t>0.76</w:t>
            </w:r>
          </w:p>
        </w:tc>
        <w:tc>
          <w:tcPr>
            <w:tcW w:w="1837" w:type="dxa"/>
            <w:noWrap w:val="0"/>
            <w:vAlign w:val="center"/>
          </w:tcPr>
          <w:p>
            <w:pPr>
              <w:pStyle w:val="22"/>
              <w:bidi w:val="0"/>
              <w:rPr>
                <w:rFonts w:hint="default"/>
                <w:color w:val="auto"/>
                <w:highlight w:val="none"/>
              </w:rPr>
            </w:pPr>
            <w:r>
              <w:rPr>
                <w:rFonts w:hint="default"/>
                <w:color w:val="auto"/>
                <w:highlight w:val="none"/>
              </w:rPr>
              <w:t>20.57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硬炭</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31.49</w:t>
            </w:r>
          </w:p>
        </w:tc>
        <w:tc>
          <w:tcPr>
            <w:tcW w:w="1095" w:type="dxa"/>
            <w:noWrap w:val="0"/>
            <w:vAlign w:val="center"/>
          </w:tcPr>
          <w:p>
            <w:pPr>
              <w:pStyle w:val="22"/>
              <w:bidi w:val="0"/>
              <w:rPr>
                <w:rFonts w:hint="default"/>
                <w:color w:val="auto"/>
                <w:highlight w:val="none"/>
              </w:rPr>
            </w:pPr>
            <w:r>
              <w:rPr>
                <w:rFonts w:hint="default"/>
                <w:color w:val="auto"/>
                <w:highlight w:val="none"/>
              </w:rPr>
              <w:t>24.47</w:t>
            </w:r>
          </w:p>
        </w:tc>
        <w:tc>
          <w:tcPr>
            <w:tcW w:w="1083" w:type="dxa"/>
            <w:noWrap w:val="0"/>
            <w:vAlign w:val="center"/>
          </w:tcPr>
          <w:p>
            <w:pPr>
              <w:pStyle w:val="22"/>
              <w:bidi w:val="0"/>
              <w:rPr>
                <w:rFonts w:hint="default"/>
                <w:color w:val="auto"/>
                <w:highlight w:val="none"/>
              </w:rPr>
            </w:pPr>
            <w:r>
              <w:rPr>
                <w:rFonts w:hint="default"/>
                <w:color w:val="auto"/>
                <w:highlight w:val="none"/>
              </w:rPr>
              <w:t>1.02</w:t>
            </w:r>
          </w:p>
        </w:tc>
        <w:tc>
          <w:tcPr>
            <w:tcW w:w="1837" w:type="dxa"/>
            <w:noWrap w:val="0"/>
            <w:vAlign w:val="center"/>
          </w:tcPr>
          <w:p>
            <w:pPr>
              <w:pStyle w:val="22"/>
              <w:bidi w:val="0"/>
              <w:rPr>
                <w:rFonts w:hint="default"/>
                <w:color w:val="auto"/>
                <w:highlight w:val="none"/>
              </w:rPr>
            </w:pPr>
            <w:r>
              <w:rPr>
                <w:rFonts w:hint="default"/>
                <w:color w:val="auto"/>
                <w:highlight w:val="none"/>
              </w:rPr>
              <w:t>23.29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独连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39.71</w:t>
            </w:r>
          </w:p>
        </w:tc>
        <w:tc>
          <w:tcPr>
            <w:tcW w:w="1095" w:type="dxa"/>
            <w:noWrap w:val="0"/>
            <w:vAlign w:val="center"/>
          </w:tcPr>
          <w:p>
            <w:pPr>
              <w:pStyle w:val="22"/>
              <w:bidi w:val="0"/>
              <w:rPr>
                <w:rFonts w:hint="default"/>
                <w:color w:val="auto"/>
                <w:highlight w:val="none"/>
              </w:rPr>
            </w:pPr>
            <w:r>
              <w:rPr>
                <w:rFonts w:hint="default"/>
                <w:color w:val="auto"/>
                <w:highlight w:val="none"/>
              </w:rPr>
              <w:t>20.56</w:t>
            </w:r>
          </w:p>
        </w:tc>
        <w:tc>
          <w:tcPr>
            <w:tcW w:w="1083" w:type="dxa"/>
            <w:noWrap w:val="0"/>
            <w:vAlign w:val="center"/>
          </w:tcPr>
          <w:p>
            <w:pPr>
              <w:pStyle w:val="22"/>
              <w:bidi w:val="0"/>
              <w:rPr>
                <w:rFonts w:hint="default"/>
                <w:color w:val="auto"/>
                <w:highlight w:val="none"/>
              </w:rPr>
            </w:pPr>
            <w:r>
              <w:rPr>
                <w:rFonts w:hint="default"/>
                <w:color w:val="auto"/>
                <w:highlight w:val="none"/>
              </w:rPr>
              <w:t>0.51</w:t>
            </w:r>
          </w:p>
        </w:tc>
        <w:tc>
          <w:tcPr>
            <w:tcW w:w="1837" w:type="dxa"/>
            <w:noWrap w:val="0"/>
            <w:vAlign w:val="center"/>
          </w:tcPr>
          <w:p>
            <w:pPr>
              <w:pStyle w:val="22"/>
              <w:bidi w:val="0"/>
              <w:rPr>
                <w:rFonts w:hint="default"/>
                <w:color w:val="auto"/>
                <w:highlight w:val="none"/>
              </w:rPr>
            </w:pPr>
            <w:r>
              <w:rPr>
                <w:rFonts w:hint="default"/>
                <w:color w:val="auto"/>
                <w:highlight w:val="none"/>
              </w:rPr>
              <w:t>17.93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noWrap w:val="0"/>
            <w:vAlign w:val="center"/>
          </w:tcPr>
          <w:p>
            <w:pPr>
              <w:pStyle w:val="22"/>
              <w:bidi w:val="0"/>
              <w:rPr>
                <w:rFonts w:hint="default"/>
                <w:color w:val="auto"/>
                <w:highlight w:val="none"/>
              </w:rPr>
            </w:pPr>
            <w:r>
              <w:rPr>
                <w:rFonts w:hint="default"/>
                <w:color w:val="auto"/>
                <w:highlight w:val="none"/>
              </w:rPr>
              <w:t>6</w:t>
            </w:r>
          </w:p>
        </w:tc>
        <w:tc>
          <w:tcPr>
            <w:tcW w:w="711" w:type="dxa"/>
            <w:noWrap w:val="0"/>
            <w:vAlign w:val="center"/>
          </w:tcPr>
          <w:p>
            <w:pPr>
              <w:pStyle w:val="22"/>
              <w:bidi w:val="0"/>
              <w:rPr>
                <w:rFonts w:hint="default"/>
                <w:color w:val="auto"/>
                <w:highlight w:val="none"/>
              </w:rPr>
            </w:pPr>
            <w:r>
              <w:rPr>
                <w:rFonts w:hint="default"/>
                <w:color w:val="auto"/>
                <w:highlight w:val="none"/>
              </w:rPr>
              <w:t>新桥红星煤矿</w:t>
            </w:r>
          </w:p>
        </w:tc>
        <w:tc>
          <w:tcPr>
            <w:tcW w:w="1059" w:type="dxa"/>
            <w:noWrap w:val="0"/>
            <w:vAlign w:val="center"/>
          </w:tcPr>
          <w:p>
            <w:pPr>
              <w:pStyle w:val="22"/>
              <w:bidi w:val="0"/>
              <w:rPr>
                <w:rFonts w:hint="default"/>
                <w:color w:val="auto"/>
                <w:highlight w:val="none"/>
              </w:rPr>
            </w:pPr>
            <w:r>
              <w:rPr>
                <w:rFonts w:hint="default"/>
                <w:color w:val="auto"/>
                <w:highlight w:val="none"/>
              </w:rPr>
              <w:t>五大连</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23.17</w:t>
            </w:r>
          </w:p>
        </w:tc>
        <w:tc>
          <w:tcPr>
            <w:tcW w:w="1095" w:type="dxa"/>
            <w:noWrap w:val="0"/>
            <w:vAlign w:val="center"/>
          </w:tcPr>
          <w:p>
            <w:pPr>
              <w:pStyle w:val="22"/>
              <w:bidi w:val="0"/>
              <w:rPr>
                <w:rFonts w:hint="default"/>
                <w:color w:val="auto"/>
                <w:highlight w:val="none"/>
              </w:rPr>
            </w:pPr>
            <w:r>
              <w:rPr>
                <w:rFonts w:hint="default"/>
                <w:color w:val="auto"/>
                <w:highlight w:val="none"/>
              </w:rPr>
              <w:t>30.49</w:t>
            </w:r>
          </w:p>
        </w:tc>
        <w:tc>
          <w:tcPr>
            <w:tcW w:w="1083" w:type="dxa"/>
            <w:noWrap w:val="0"/>
            <w:vAlign w:val="center"/>
          </w:tcPr>
          <w:p>
            <w:pPr>
              <w:pStyle w:val="22"/>
              <w:bidi w:val="0"/>
              <w:rPr>
                <w:rFonts w:hint="default"/>
                <w:color w:val="auto"/>
                <w:highlight w:val="none"/>
              </w:rPr>
            </w:pPr>
            <w:r>
              <w:rPr>
                <w:rFonts w:hint="default"/>
                <w:color w:val="auto"/>
                <w:highlight w:val="none"/>
              </w:rPr>
              <w:t>0.70</w:t>
            </w:r>
          </w:p>
        </w:tc>
        <w:tc>
          <w:tcPr>
            <w:tcW w:w="1837" w:type="dxa"/>
            <w:noWrap w:val="0"/>
            <w:vAlign w:val="center"/>
          </w:tcPr>
          <w:p>
            <w:pPr>
              <w:pStyle w:val="22"/>
              <w:bidi w:val="0"/>
              <w:rPr>
                <w:rFonts w:hint="default"/>
                <w:color w:val="auto"/>
                <w:highlight w:val="none"/>
              </w:rPr>
            </w:pPr>
            <w:r>
              <w:rPr>
                <w:rFonts w:hint="default"/>
                <w:color w:val="auto"/>
                <w:highlight w:val="none"/>
              </w:rPr>
              <w:t>19.34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2376" w:type="dxa"/>
            <w:gridSpan w:val="3"/>
            <w:noWrap w:val="0"/>
            <w:vAlign w:val="center"/>
          </w:tcPr>
          <w:p>
            <w:pPr>
              <w:pStyle w:val="22"/>
              <w:bidi w:val="0"/>
              <w:rPr>
                <w:rFonts w:hint="default"/>
                <w:color w:val="auto"/>
                <w:highlight w:val="none"/>
              </w:rPr>
            </w:pPr>
            <w:r>
              <w:rPr>
                <w:rFonts w:hint="default"/>
                <w:color w:val="auto"/>
                <w:highlight w:val="none"/>
              </w:rPr>
              <w:t>中山明月峡矿区</w:t>
            </w:r>
          </w:p>
        </w:tc>
        <w:tc>
          <w:tcPr>
            <w:tcW w:w="1127" w:type="dxa"/>
            <w:noWrap w:val="0"/>
            <w:vAlign w:val="center"/>
          </w:tcPr>
          <w:p>
            <w:pPr>
              <w:pStyle w:val="22"/>
              <w:bidi w:val="0"/>
              <w:rPr>
                <w:rFonts w:hint="default"/>
                <w:color w:val="auto"/>
                <w:highlight w:val="none"/>
              </w:rPr>
            </w:pPr>
          </w:p>
        </w:tc>
        <w:tc>
          <w:tcPr>
            <w:tcW w:w="1004" w:type="dxa"/>
            <w:noWrap w:val="0"/>
            <w:vAlign w:val="center"/>
          </w:tcPr>
          <w:p>
            <w:pPr>
              <w:pStyle w:val="22"/>
              <w:bidi w:val="0"/>
              <w:rPr>
                <w:rFonts w:hint="default"/>
                <w:color w:val="auto"/>
                <w:highlight w:val="none"/>
              </w:rPr>
            </w:pPr>
          </w:p>
        </w:tc>
        <w:tc>
          <w:tcPr>
            <w:tcW w:w="1095" w:type="dxa"/>
            <w:noWrap w:val="0"/>
            <w:vAlign w:val="center"/>
          </w:tcPr>
          <w:p>
            <w:pPr>
              <w:pStyle w:val="22"/>
              <w:bidi w:val="0"/>
              <w:rPr>
                <w:rFonts w:hint="default"/>
                <w:color w:val="auto"/>
                <w:highlight w:val="none"/>
              </w:rPr>
            </w:pP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1</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堡子煤矿</w:t>
            </w:r>
          </w:p>
        </w:tc>
        <w:tc>
          <w:tcPr>
            <w:tcW w:w="1059" w:type="dxa"/>
            <w:noWrap w:val="0"/>
            <w:vAlign w:val="center"/>
          </w:tcPr>
          <w:p>
            <w:pPr>
              <w:pStyle w:val="22"/>
              <w:bidi w:val="0"/>
              <w:rPr>
                <w:rFonts w:hint="default"/>
                <w:color w:val="auto"/>
                <w:highlight w:val="none"/>
              </w:rPr>
            </w:pPr>
            <w:r>
              <w:rPr>
                <w:rFonts w:hint="default"/>
                <w:color w:val="auto"/>
                <w:highlight w:val="none"/>
              </w:rPr>
              <w:t>外大连</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15.64</w:t>
            </w:r>
          </w:p>
        </w:tc>
        <w:tc>
          <w:tcPr>
            <w:tcW w:w="1095" w:type="dxa"/>
            <w:noWrap w:val="0"/>
            <w:vAlign w:val="center"/>
          </w:tcPr>
          <w:p>
            <w:pPr>
              <w:pStyle w:val="22"/>
              <w:bidi w:val="0"/>
              <w:rPr>
                <w:rFonts w:hint="default"/>
                <w:color w:val="auto"/>
                <w:highlight w:val="none"/>
              </w:rPr>
            </w:pPr>
            <w:r>
              <w:rPr>
                <w:rFonts w:hint="default"/>
                <w:color w:val="auto"/>
                <w:highlight w:val="none"/>
              </w:rPr>
              <w:t>33.06</w:t>
            </w:r>
          </w:p>
        </w:tc>
        <w:tc>
          <w:tcPr>
            <w:tcW w:w="1083" w:type="dxa"/>
            <w:noWrap w:val="0"/>
            <w:vAlign w:val="center"/>
          </w:tcPr>
          <w:p>
            <w:pPr>
              <w:pStyle w:val="22"/>
              <w:bidi w:val="0"/>
              <w:rPr>
                <w:rFonts w:hint="default"/>
                <w:color w:val="auto"/>
                <w:highlight w:val="none"/>
              </w:rPr>
            </w:pPr>
            <w:r>
              <w:rPr>
                <w:rFonts w:hint="default"/>
                <w:color w:val="auto"/>
                <w:highlight w:val="none"/>
              </w:rPr>
              <w:t>0.60</w:t>
            </w:r>
          </w:p>
        </w:tc>
        <w:tc>
          <w:tcPr>
            <w:tcW w:w="1837" w:type="dxa"/>
            <w:noWrap w:val="0"/>
            <w:vAlign w:val="center"/>
          </w:tcPr>
          <w:p>
            <w:pPr>
              <w:pStyle w:val="22"/>
              <w:bidi w:val="0"/>
              <w:rPr>
                <w:rFonts w:hint="default"/>
                <w:color w:val="auto"/>
                <w:highlight w:val="none"/>
              </w:rPr>
            </w:pPr>
            <w:r>
              <w:rPr>
                <w:rFonts w:hint="default"/>
                <w:color w:val="auto"/>
                <w:highlight w:val="none"/>
              </w:rPr>
              <w:t>27.71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内大连</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10.29</w:t>
            </w:r>
          </w:p>
        </w:tc>
        <w:tc>
          <w:tcPr>
            <w:tcW w:w="1095" w:type="dxa"/>
            <w:noWrap w:val="0"/>
            <w:vAlign w:val="center"/>
          </w:tcPr>
          <w:p>
            <w:pPr>
              <w:pStyle w:val="22"/>
              <w:bidi w:val="0"/>
              <w:rPr>
                <w:rFonts w:hint="default"/>
                <w:color w:val="auto"/>
                <w:highlight w:val="none"/>
              </w:rPr>
            </w:pPr>
            <w:r>
              <w:rPr>
                <w:rFonts w:hint="default"/>
                <w:color w:val="auto"/>
                <w:highlight w:val="none"/>
              </w:rPr>
              <w:t>33.67</w:t>
            </w:r>
          </w:p>
        </w:tc>
        <w:tc>
          <w:tcPr>
            <w:tcW w:w="1083" w:type="dxa"/>
            <w:noWrap w:val="0"/>
            <w:vAlign w:val="center"/>
          </w:tcPr>
          <w:p>
            <w:pPr>
              <w:pStyle w:val="22"/>
              <w:bidi w:val="0"/>
              <w:rPr>
                <w:rFonts w:hint="default"/>
                <w:color w:val="auto"/>
                <w:highlight w:val="none"/>
              </w:rPr>
            </w:pPr>
            <w:r>
              <w:rPr>
                <w:rFonts w:hint="default"/>
                <w:color w:val="auto"/>
                <w:highlight w:val="none"/>
              </w:rPr>
              <w:t>0.61</w:t>
            </w:r>
          </w:p>
        </w:tc>
        <w:tc>
          <w:tcPr>
            <w:tcW w:w="1837" w:type="dxa"/>
            <w:noWrap w:val="0"/>
            <w:vAlign w:val="center"/>
          </w:tcPr>
          <w:p>
            <w:pPr>
              <w:pStyle w:val="22"/>
              <w:bidi w:val="0"/>
              <w:rPr>
                <w:rFonts w:hint="default"/>
                <w:color w:val="auto"/>
                <w:highlight w:val="none"/>
              </w:rPr>
            </w:pPr>
            <w:r>
              <w:rPr>
                <w:rFonts w:hint="default"/>
                <w:color w:val="auto"/>
                <w:highlight w:val="none"/>
              </w:rPr>
              <w:t>29.56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蛮炭</w:t>
            </w:r>
          </w:p>
        </w:tc>
        <w:tc>
          <w:tcPr>
            <w:tcW w:w="1127" w:type="dxa"/>
            <w:noWrap w:val="0"/>
            <w:vAlign w:val="center"/>
          </w:tcPr>
          <w:p>
            <w:pPr>
              <w:pStyle w:val="22"/>
              <w:bidi w:val="0"/>
              <w:rPr>
                <w:rFonts w:hint="default"/>
                <w:color w:val="auto"/>
                <w:highlight w:val="none"/>
              </w:rPr>
            </w:pPr>
            <w:r>
              <w:rPr>
                <w:rFonts w:hint="default"/>
                <w:color w:val="auto"/>
                <w:highlight w:val="none"/>
              </w:rPr>
              <w:t>1/2ZN</w:t>
            </w:r>
          </w:p>
        </w:tc>
        <w:tc>
          <w:tcPr>
            <w:tcW w:w="1004" w:type="dxa"/>
            <w:noWrap w:val="0"/>
            <w:vAlign w:val="center"/>
          </w:tcPr>
          <w:p>
            <w:pPr>
              <w:pStyle w:val="22"/>
              <w:bidi w:val="0"/>
              <w:rPr>
                <w:rFonts w:hint="default"/>
                <w:color w:val="auto"/>
                <w:highlight w:val="none"/>
              </w:rPr>
            </w:pPr>
            <w:r>
              <w:rPr>
                <w:rFonts w:hint="default"/>
                <w:color w:val="auto"/>
                <w:highlight w:val="none"/>
              </w:rPr>
              <w:t>31.48</w:t>
            </w:r>
          </w:p>
        </w:tc>
        <w:tc>
          <w:tcPr>
            <w:tcW w:w="1095" w:type="dxa"/>
            <w:noWrap w:val="0"/>
            <w:vAlign w:val="center"/>
          </w:tcPr>
          <w:p>
            <w:pPr>
              <w:pStyle w:val="22"/>
              <w:bidi w:val="0"/>
              <w:rPr>
                <w:rFonts w:hint="default"/>
                <w:color w:val="auto"/>
                <w:highlight w:val="none"/>
              </w:rPr>
            </w:pPr>
            <w:r>
              <w:rPr>
                <w:rFonts w:hint="default"/>
                <w:color w:val="auto"/>
                <w:highlight w:val="none"/>
              </w:rPr>
              <w:t>33.11</w:t>
            </w:r>
          </w:p>
        </w:tc>
        <w:tc>
          <w:tcPr>
            <w:tcW w:w="1083" w:type="dxa"/>
            <w:noWrap w:val="0"/>
            <w:vAlign w:val="center"/>
          </w:tcPr>
          <w:p>
            <w:pPr>
              <w:pStyle w:val="22"/>
              <w:bidi w:val="0"/>
              <w:rPr>
                <w:rFonts w:hint="default"/>
                <w:color w:val="auto"/>
                <w:highlight w:val="none"/>
              </w:rPr>
            </w:pPr>
            <w:r>
              <w:rPr>
                <w:rFonts w:hint="default"/>
                <w:color w:val="auto"/>
                <w:highlight w:val="none"/>
              </w:rPr>
              <w:t>0.63</w:t>
            </w:r>
          </w:p>
        </w:tc>
        <w:tc>
          <w:tcPr>
            <w:tcW w:w="1837" w:type="dxa"/>
            <w:noWrap w:val="0"/>
            <w:vAlign w:val="center"/>
          </w:tcPr>
          <w:p>
            <w:pPr>
              <w:pStyle w:val="22"/>
              <w:bidi w:val="0"/>
              <w:rPr>
                <w:rFonts w:hint="default"/>
                <w:color w:val="auto"/>
                <w:highlight w:val="none"/>
              </w:rPr>
            </w:pPr>
            <w:r>
              <w:rPr>
                <w:rFonts w:hint="default"/>
                <w:color w:val="auto"/>
                <w:highlight w:val="none"/>
              </w:rPr>
              <w:t>22.53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三夹连</w:t>
            </w:r>
          </w:p>
        </w:tc>
        <w:tc>
          <w:tcPr>
            <w:tcW w:w="1127" w:type="dxa"/>
            <w:noWrap w:val="0"/>
            <w:vAlign w:val="center"/>
          </w:tcPr>
          <w:p>
            <w:pPr>
              <w:pStyle w:val="22"/>
              <w:bidi w:val="0"/>
              <w:rPr>
                <w:rFonts w:hint="default"/>
                <w:color w:val="auto"/>
                <w:highlight w:val="none"/>
              </w:rPr>
            </w:pPr>
            <w:r>
              <w:rPr>
                <w:rFonts w:hint="default"/>
                <w:color w:val="auto"/>
                <w:highlight w:val="none"/>
              </w:rPr>
              <w:t>1/2ZN</w:t>
            </w:r>
          </w:p>
        </w:tc>
        <w:tc>
          <w:tcPr>
            <w:tcW w:w="1004" w:type="dxa"/>
            <w:noWrap w:val="0"/>
            <w:vAlign w:val="center"/>
          </w:tcPr>
          <w:p>
            <w:pPr>
              <w:pStyle w:val="22"/>
              <w:bidi w:val="0"/>
              <w:rPr>
                <w:rFonts w:hint="default"/>
                <w:color w:val="auto"/>
                <w:highlight w:val="none"/>
              </w:rPr>
            </w:pPr>
            <w:r>
              <w:rPr>
                <w:rFonts w:hint="default"/>
                <w:color w:val="auto"/>
                <w:highlight w:val="none"/>
              </w:rPr>
              <w:t>30.43</w:t>
            </w:r>
          </w:p>
        </w:tc>
        <w:tc>
          <w:tcPr>
            <w:tcW w:w="1095" w:type="dxa"/>
            <w:noWrap w:val="0"/>
            <w:vAlign w:val="center"/>
          </w:tcPr>
          <w:p>
            <w:pPr>
              <w:pStyle w:val="22"/>
              <w:bidi w:val="0"/>
              <w:rPr>
                <w:rFonts w:hint="default"/>
                <w:color w:val="auto"/>
                <w:highlight w:val="none"/>
              </w:rPr>
            </w:pPr>
            <w:r>
              <w:rPr>
                <w:rFonts w:hint="default"/>
                <w:color w:val="auto"/>
                <w:highlight w:val="none"/>
              </w:rPr>
              <w:t>33.28</w:t>
            </w:r>
          </w:p>
        </w:tc>
        <w:tc>
          <w:tcPr>
            <w:tcW w:w="1083" w:type="dxa"/>
            <w:noWrap w:val="0"/>
            <w:vAlign w:val="center"/>
          </w:tcPr>
          <w:p>
            <w:pPr>
              <w:pStyle w:val="22"/>
              <w:bidi w:val="0"/>
              <w:rPr>
                <w:rFonts w:hint="default"/>
                <w:color w:val="auto"/>
                <w:highlight w:val="none"/>
              </w:rPr>
            </w:pPr>
            <w:r>
              <w:rPr>
                <w:rFonts w:hint="default"/>
                <w:color w:val="auto"/>
                <w:highlight w:val="none"/>
              </w:rPr>
              <w:t>0.43</w:t>
            </w:r>
          </w:p>
        </w:tc>
        <w:tc>
          <w:tcPr>
            <w:tcW w:w="1837" w:type="dxa"/>
            <w:noWrap w:val="0"/>
            <w:vAlign w:val="center"/>
          </w:tcPr>
          <w:p>
            <w:pPr>
              <w:pStyle w:val="22"/>
              <w:bidi w:val="0"/>
              <w:rPr>
                <w:rFonts w:hint="default"/>
                <w:color w:val="auto"/>
                <w:highlight w:val="none"/>
              </w:rPr>
            </w:pPr>
            <w:r>
              <w:rPr>
                <w:rFonts w:hint="default"/>
                <w:color w:val="auto"/>
                <w:highlight w:val="none"/>
              </w:rPr>
              <w:t>22.40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2</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荣华煤矿</w:t>
            </w:r>
          </w:p>
        </w:tc>
        <w:tc>
          <w:tcPr>
            <w:tcW w:w="1059" w:type="dxa"/>
            <w:noWrap w:val="0"/>
            <w:vAlign w:val="center"/>
          </w:tcPr>
          <w:p>
            <w:pPr>
              <w:pStyle w:val="22"/>
              <w:bidi w:val="0"/>
              <w:rPr>
                <w:rFonts w:hint="default"/>
                <w:color w:val="auto"/>
                <w:highlight w:val="none"/>
              </w:rPr>
            </w:pPr>
            <w:r>
              <w:rPr>
                <w:rFonts w:hint="default"/>
                <w:color w:val="auto"/>
                <w:highlight w:val="none"/>
              </w:rPr>
              <w:t>正连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29.5</w:t>
            </w:r>
          </w:p>
        </w:tc>
        <w:tc>
          <w:tcPr>
            <w:tcW w:w="1095" w:type="dxa"/>
            <w:noWrap w:val="0"/>
            <w:vAlign w:val="center"/>
          </w:tcPr>
          <w:p>
            <w:pPr>
              <w:pStyle w:val="22"/>
              <w:bidi w:val="0"/>
              <w:rPr>
                <w:rFonts w:hint="default"/>
                <w:color w:val="auto"/>
                <w:highlight w:val="none"/>
              </w:rPr>
            </w:pPr>
            <w:r>
              <w:rPr>
                <w:rFonts w:hint="default"/>
                <w:color w:val="auto"/>
                <w:highlight w:val="none"/>
              </w:rPr>
              <w:t>18.45</w:t>
            </w:r>
          </w:p>
        </w:tc>
        <w:tc>
          <w:tcPr>
            <w:tcW w:w="1083" w:type="dxa"/>
            <w:noWrap w:val="0"/>
            <w:vAlign w:val="center"/>
          </w:tcPr>
          <w:p>
            <w:pPr>
              <w:pStyle w:val="22"/>
              <w:bidi w:val="0"/>
              <w:rPr>
                <w:rFonts w:hint="default"/>
                <w:color w:val="auto"/>
                <w:highlight w:val="none"/>
              </w:rPr>
            </w:pPr>
            <w:r>
              <w:rPr>
                <w:rFonts w:hint="default"/>
                <w:color w:val="auto"/>
                <w:highlight w:val="none"/>
              </w:rPr>
              <w:t>0.65</w:t>
            </w:r>
          </w:p>
        </w:tc>
        <w:tc>
          <w:tcPr>
            <w:tcW w:w="1837" w:type="dxa"/>
            <w:noWrap w:val="0"/>
            <w:vAlign w:val="center"/>
          </w:tcPr>
          <w:p>
            <w:pPr>
              <w:pStyle w:val="22"/>
              <w:bidi w:val="0"/>
              <w:rPr>
                <w:rFonts w:hint="default"/>
                <w:color w:val="auto"/>
                <w:highlight w:val="none"/>
              </w:rPr>
            </w:pPr>
            <w:r>
              <w:rPr>
                <w:rFonts w:hint="default"/>
                <w:color w:val="auto"/>
                <w:highlight w:val="none"/>
              </w:rPr>
              <w:t>9.94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三夹连</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26.35</w:t>
            </w:r>
          </w:p>
        </w:tc>
        <w:tc>
          <w:tcPr>
            <w:tcW w:w="1095" w:type="dxa"/>
            <w:noWrap w:val="0"/>
            <w:vAlign w:val="center"/>
          </w:tcPr>
          <w:p>
            <w:pPr>
              <w:pStyle w:val="22"/>
              <w:bidi w:val="0"/>
              <w:rPr>
                <w:rFonts w:hint="default"/>
                <w:color w:val="auto"/>
                <w:highlight w:val="none"/>
              </w:rPr>
            </w:pPr>
            <w:r>
              <w:rPr>
                <w:rFonts w:hint="default"/>
                <w:color w:val="auto"/>
                <w:highlight w:val="none"/>
              </w:rPr>
              <w:t>6.03</w:t>
            </w:r>
          </w:p>
        </w:tc>
        <w:tc>
          <w:tcPr>
            <w:tcW w:w="1083" w:type="dxa"/>
            <w:noWrap w:val="0"/>
            <w:vAlign w:val="center"/>
          </w:tcPr>
          <w:p>
            <w:pPr>
              <w:pStyle w:val="22"/>
              <w:bidi w:val="0"/>
              <w:rPr>
                <w:rFonts w:hint="default"/>
                <w:color w:val="auto"/>
                <w:highlight w:val="none"/>
              </w:rPr>
            </w:pPr>
            <w:r>
              <w:rPr>
                <w:rFonts w:hint="default"/>
                <w:color w:val="auto"/>
                <w:highlight w:val="none"/>
              </w:rPr>
              <w:t>1.48</w:t>
            </w:r>
          </w:p>
        </w:tc>
        <w:tc>
          <w:tcPr>
            <w:tcW w:w="1837" w:type="dxa"/>
            <w:noWrap w:val="0"/>
            <w:vAlign w:val="center"/>
          </w:tcPr>
          <w:p>
            <w:pPr>
              <w:pStyle w:val="22"/>
              <w:bidi w:val="0"/>
              <w:rPr>
                <w:rFonts w:hint="default"/>
                <w:color w:val="auto"/>
                <w:highlight w:val="none"/>
              </w:rPr>
            </w:pPr>
            <w:r>
              <w:rPr>
                <w:rFonts w:hint="default"/>
                <w:color w:val="auto"/>
                <w:highlight w:val="none"/>
              </w:rPr>
              <w:t>25.12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鸡毛炭</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29.8</w:t>
            </w:r>
          </w:p>
        </w:tc>
        <w:tc>
          <w:tcPr>
            <w:tcW w:w="1095" w:type="dxa"/>
            <w:noWrap w:val="0"/>
            <w:vAlign w:val="center"/>
          </w:tcPr>
          <w:p>
            <w:pPr>
              <w:pStyle w:val="22"/>
              <w:bidi w:val="0"/>
              <w:rPr>
                <w:rFonts w:hint="default"/>
                <w:color w:val="auto"/>
                <w:highlight w:val="none"/>
              </w:rPr>
            </w:pPr>
            <w:r>
              <w:rPr>
                <w:rFonts w:hint="default"/>
                <w:color w:val="auto"/>
                <w:highlight w:val="none"/>
              </w:rPr>
              <w:t>19.77</w:t>
            </w:r>
          </w:p>
        </w:tc>
        <w:tc>
          <w:tcPr>
            <w:tcW w:w="1083" w:type="dxa"/>
            <w:noWrap w:val="0"/>
            <w:vAlign w:val="center"/>
          </w:tcPr>
          <w:p>
            <w:pPr>
              <w:pStyle w:val="22"/>
              <w:bidi w:val="0"/>
              <w:rPr>
                <w:rFonts w:hint="default"/>
                <w:color w:val="auto"/>
                <w:highlight w:val="none"/>
              </w:rPr>
            </w:pPr>
            <w:r>
              <w:rPr>
                <w:rFonts w:hint="default"/>
                <w:color w:val="auto"/>
                <w:highlight w:val="none"/>
              </w:rPr>
              <w:t>0.67</w:t>
            </w:r>
          </w:p>
        </w:tc>
        <w:tc>
          <w:tcPr>
            <w:tcW w:w="1837" w:type="dxa"/>
            <w:noWrap w:val="0"/>
            <w:vAlign w:val="center"/>
          </w:tcPr>
          <w:p>
            <w:pPr>
              <w:pStyle w:val="22"/>
              <w:bidi w:val="0"/>
              <w:rPr>
                <w:rFonts w:hint="default"/>
                <w:color w:val="auto"/>
                <w:highlight w:val="none"/>
              </w:rPr>
            </w:pPr>
            <w:r>
              <w:rPr>
                <w:rFonts w:hint="default"/>
                <w:color w:val="auto"/>
                <w:highlight w:val="none"/>
              </w:rPr>
              <w:t>23.17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3</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华家沟煤矿</w:t>
            </w:r>
          </w:p>
        </w:tc>
        <w:tc>
          <w:tcPr>
            <w:tcW w:w="1059" w:type="dxa"/>
            <w:noWrap w:val="0"/>
            <w:vAlign w:val="center"/>
          </w:tcPr>
          <w:p>
            <w:pPr>
              <w:pStyle w:val="22"/>
              <w:bidi w:val="0"/>
              <w:rPr>
                <w:rFonts w:hint="default"/>
                <w:color w:val="auto"/>
                <w:highlight w:val="none"/>
              </w:rPr>
            </w:pPr>
            <w:r>
              <w:rPr>
                <w:rFonts w:hint="default"/>
                <w:color w:val="auto"/>
                <w:highlight w:val="none"/>
              </w:rPr>
              <w:t>K10</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16.11</w:t>
            </w:r>
          </w:p>
        </w:tc>
        <w:tc>
          <w:tcPr>
            <w:tcW w:w="1095" w:type="dxa"/>
            <w:noWrap w:val="0"/>
            <w:vAlign w:val="center"/>
          </w:tcPr>
          <w:p>
            <w:pPr>
              <w:pStyle w:val="22"/>
              <w:bidi w:val="0"/>
              <w:rPr>
                <w:rFonts w:hint="default"/>
                <w:color w:val="auto"/>
                <w:highlight w:val="none"/>
              </w:rPr>
            </w:pPr>
            <w:r>
              <w:rPr>
                <w:rFonts w:hint="default"/>
                <w:color w:val="auto"/>
                <w:highlight w:val="none"/>
              </w:rPr>
              <w:t>34.04</w:t>
            </w:r>
          </w:p>
        </w:tc>
        <w:tc>
          <w:tcPr>
            <w:tcW w:w="1083" w:type="dxa"/>
            <w:noWrap w:val="0"/>
            <w:vAlign w:val="center"/>
          </w:tcPr>
          <w:p>
            <w:pPr>
              <w:pStyle w:val="22"/>
              <w:bidi w:val="0"/>
              <w:rPr>
                <w:rFonts w:hint="default"/>
                <w:color w:val="auto"/>
                <w:highlight w:val="none"/>
              </w:rPr>
            </w:pPr>
            <w:r>
              <w:rPr>
                <w:rFonts w:hint="default"/>
                <w:color w:val="auto"/>
                <w:highlight w:val="none"/>
              </w:rPr>
              <w:t>0.75</w:t>
            </w:r>
          </w:p>
        </w:tc>
        <w:tc>
          <w:tcPr>
            <w:tcW w:w="1837" w:type="dxa"/>
            <w:noWrap w:val="0"/>
            <w:vAlign w:val="center"/>
          </w:tcPr>
          <w:p>
            <w:pPr>
              <w:pStyle w:val="22"/>
              <w:bidi w:val="0"/>
              <w:rPr>
                <w:rFonts w:hint="default"/>
                <w:color w:val="auto"/>
                <w:highlight w:val="none"/>
              </w:rPr>
            </w:pPr>
            <w:r>
              <w:rPr>
                <w:rFonts w:hint="default"/>
                <w:color w:val="auto"/>
                <w:highlight w:val="none"/>
              </w:rPr>
              <w:t>27.45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K9</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15.08</w:t>
            </w:r>
          </w:p>
        </w:tc>
        <w:tc>
          <w:tcPr>
            <w:tcW w:w="1095" w:type="dxa"/>
            <w:noWrap w:val="0"/>
            <w:vAlign w:val="center"/>
          </w:tcPr>
          <w:p>
            <w:pPr>
              <w:pStyle w:val="22"/>
              <w:bidi w:val="0"/>
              <w:rPr>
                <w:rFonts w:hint="default"/>
                <w:color w:val="auto"/>
                <w:highlight w:val="none"/>
              </w:rPr>
            </w:pPr>
            <w:r>
              <w:rPr>
                <w:rFonts w:hint="default"/>
                <w:color w:val="auto"/>
                <w:highlight w:val="none"/>
              </w:rPr>
              <w:t>35.17</w:t>
            </w:r>
          </w:p>
        </w:tc>
        <w:tc>
          <w:tcPr>
            <w:tcW w:w="1083" w:type="dxa"/>
            <w:noWrap w:val="0"/>
            <w:vAlign w:val="center"/>
          </w:tcPr>
          <w:p>
            <w:pPr>
              <w:pStyle w:val="22"/>
              <w:bidi w:val="0"/>
              <w:rPr>
                <w:rFonts w:hint="default"/>
                <w:color w:val="auto"/>
                <w:highlight w:val="none"/>
              </w:rPr>
            </w:pPr>
            <w:r>
              <w:rPr>
                <w:rFonts w:hint="default"/>
                <w:color w:val="auto"/>
                <w:highlight w:val="none"/>
              </w:rPr>
              <w:t>0.66</w:t>
            </w:r>
          </w:p>
        </w:tc>
        <w:tc>
          <w:tcPr>
            <w:tcW w:w="1837" w:type="dxa"/>
            <w:noWrap w:val="0"/>
            <w:vAlign w:val="center"/>
          </w:tcPr>
          <w:p>
            <w:pPr>
              <w:pStyle w:val="22"/>
              <w:bidi w:val="0"/>
              <w:rPr>
                <w:rFonts w:hint="default"/>
                <w:color w:val="auto"/>
                <w:highlight w:val="none"/>
              </w:rPr>
            </w:pPr>
            <w:r>
              <w:rPr>
                <w:rFonts w:hint="default"/>
                <w:color w:val="auto"/>
                <w:highlight w:val="none"/>
              </w:rPr>
              <w:t>28.38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K7</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34.42</w:t>
            </w:r>
          </w:p>
        </w:tc>
        <w:tc>
          <w:tcPr>
            <w:tcW w:w="1095" w:type="dxa"/>
            <w:noWrap w:val="0"/>
            <w:vAlign w:val="center"/>
          </w:tcPr>
          <w:p>
            <w:pPr>
              <w:pStyle w:val="22"/>
              <w:bidi w:val="0"/>
              <w:rPr>
                <w:rFonts w:hint="default"/>
                <w:color w:val="auto"/>
                <w:highlight w:val="none"/>
              </w:rPr>
            </w:pPr>
            <w:r>
              <w:rPr>
                <w:rFonts w:hint="default"/>
                <w:color w:val="auto"/>
                <w:highlight w:val="none"/>
              </w:rPr>
              <w:t>30.24</w:t>
            </w:r>
          </w:p>
        </w:tc>
        <w:tc>
          <w:tcPr>
            <w:tcW w:w="1083" w:type="dxa"/>
            <w:noWrap w:val="0"/>
            <w:vAlign w:val="center"/>
          </w:tcPr>
          <w:p>
            <w:pPr>
              <w:pStyle w:val="22"/>
              <w:bidi w:val="0"/>
              <w:rPr>
                <w:rFonts w:hint="default"/>
                <w:color w:val="auto"/>
                <w:highlight w:val="none"/>
              </w:rPr>
            </w:pPr>
            <w:r>
              <w:rPr>
                <w:rFonts w:hint="default"/>
                <w:color w:val="auto"/>
                <w:highlight w:val="none"/>
              </w:rPr>
              <w:t>0.45</w:t>
            </w:r>
          </w:p>
        </w:tc>
        <w:tc>
          <w:tcPr>
            <w:tcW w:w="1837" w:type="dxa"/>
            <w:noWrap w:val="0"/>
            <w:vAlign w:val="center"/>
          </w:tcPr>
          <w:p>
            <w:pPr>
              <w:pStyle w:val="22"/>
              <w:bidi w:val="0"/>
              <w:rPr>
                <w:rFonts w:hint="default"/>
                <w:color w:val="auto"/>
                <w:highlight w:val="none"/>
              </w:rPr>
            </w:pPr>
            <w:r>
              <w:rPr>
                <w:rFonts w:hint="default"/>
                <w:color w:val="auto"/>
                <w:highlight w:val="none"/>
              </w:rPr>
              <w:t>19.69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4</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孔家沟煤矿</w:t>
            </w:r>
          </w:p>
        </w:tc>
        <w:tc>
          <w:tcPr>
            <w:tcW w:w="1059" w:type="dxa"/>
            <w:noWrap w:val="0"/>
            <w:vAlign w:val="center"/>
          </w:tcPr>
          <w:p>
            <w:pPr>
              <w:pStyle w:val="22"/>
              <w:bidi w:val="0"/>
              <w:rPr>
                <w:rFonts w:hint="default"/>
                <w:color w:val="auto"/>
                <w:highlight w:val="none"/>
              </w:rPr>
            </w:pPr>
            <w:r>
              <w:rPr>
                <w:rFonts w:hint="default"/>
                <w:color w:val="auto"/>
                <w:highlight w:val="none"/>
              </w:rPr>
              <w:t>K11</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22.02</w:t>
            </w:r>
          </w:p>
        </w:tc>
        <w:tc>
          <w:tcPr>
            <w:tcW w:w="1095" w:type="dxa"/>
            <w:noWrap w:val="0"/>
            <w:vAlign w:val="center"/>
          </w:tcPr>
          <w:p>
            <w:pPr>
              <w:pStyle w:val="22"/>
              <w:bidi w:val="0"/>
              <w:rPr>
                <w:rFonts w:hint="default"/>
                <w:color w:val="auto"/>
                <w:highlight w:val="none"/>
              </w:rPr>
            </w:pPr>
            <w:r>
              <w:rPr>
                <w:rFonts w:hint="default"/>
                <w:color w:val="auto"/>
                <w:highlight w:val="none"/>
              </w:rPr>
              <w:t>34.06</w:t>
            </w:r>
          </w:p>
        </w:tc>
        <w:tc>
          <w:tcPr>
            <w:tcW w:w="1083" w:type="dxa"/>
            <w:noWrap w:val="0"/>
            <w:vAlign w:val="center"/>
          </w:tcPr>
          <w:p>
            <w:pPr>
              <w:pStyle w:val="22"/>
              <w:bidi w:val="0"/>
              <w:rPr>
                <w:rFonts w:hint="default"/>
                <w:color w:val="auto"/>
                <w:highlight w:val="none"/>
              </w:rPr>
            </w:pPr>
            <w:r>
              <w:rPr>
                <w:rFonts w:hint="default"/>
                <w:color w:val="auto"/>
                <w:highlight w:val="none"/>
              </w:rPr>
              <w:t>0.56</w:t>
            </w:r>
          </w:p>
        </w:tc>
        <w:tc>
          <w:tcPr>
            <w:tcW w:w="1837" w:type="dxa"/>
            <w:noWrap w:val="0"/>
            <w:vAlign w:val="center"/>
          </w:tcPr>
          <w:p>
            <w:pPr>
              <w:pStyle w:val="22"/>
              <w:bidi w:val="0"/>
              <w:rPr>
                <w:rFonts w:hint="default"/>
                <w:color w:val="auto"/>
                <w:highlight w:val="none"/>
              </w:rPr>
            </w:pPr>
            <w:r>
              <w:rPr>
                <w:rFonts w:hint="default"/>
                <w:color w:val="auto"/>
                <w:highlight w:val="none"/>
              </w:rPr>
              <w:t>26.89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K9</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21.35</w:t>
            </w:r>
          </w:p>
        </w:tc>
        <w:tc>
          <w:tcPr>
            <w:tcW w:w="1095" w:type="dxa"/>
            <w:noWrap w:val="0"/>
            <w:vAlign w:val="center"/>
          </w:tcPr>
          <w:p>
            <w:pPr>
              <w:pStyle w:val="22"/>
              <w:bidi w:val="0"/>
              <w:rPr>
                <w:rFonts w:hint="default"/>
                <w:color w:val="auto"/>
                <w:highlight w:val="none"/>
              </w:rPr>
            </w:pPr>
            <w:r>
              <w:rPr>
                <w:rFonts w:hint="default"/>
                <w:color w:val="auto"/>
                <w:highlight w:val="none"/>
              </w:rPr>
              <w:t>32.09</w:t>
            </w:r>
          </w:p>
        </w:tc>
        <w:tc>
          <w:tcPr>
            <w:tcW w:w="1083" w:type="dxa"/>
            <w:noWrap w:val="0"/>
            <w:vAlign w:val="center"/>
          </w:tcPr>
          <w:p>
            <w:pPr>
              <w:pStyle w:val="22"/>
              <w:bidi w:val="0"/>
              <w:rPr>
                <w:rFonts w:hint="default"/>
                <w:color w:val="auto"/>
                <w:highlight w:val="none"/>
              </w:rPr>
            </w:pPr>
            <w:r>
              <w:rPr>
                <w:rFonts w:hint="default"/>
                <w:color w:val="auto"/>
                <w:highlight w:val="none"/>
              </w:rPr>
              <w:t>0.46</w:t>
            </w:r>
          </w:p>
        </w:tc>
        <w:tc>
          <w:tcPr>
            <w:tcW w:w="1837" w:type="dxa"/>
            <w:noWrap w:val="0"/>
            <w:vAlign w:val="center"/>
          </w:tcPr>
          <w:p>
            <w:pPr>
              <w:pStyle w:val="22"/>
              <w:bidi w:val="0"/>
              <w:rPr>
                <w:rFonts w:hint="default"/>
                <w:color w:val="auto"/>
                <w:highlight w:val="none"/>
              </w:rPr>
            </w:pPr>
            <w:r>
              <w:rPr>
                <w:rFonts w:hint="default"/>
                <w:color w:val="auto"/>
                <w:highlight w:val="none"/>
              </w:rPr>
              <w:t>25.74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K6</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20.23</w:t>
            </w:r>
          </w:p>
        </w:tc>
        <w:tc>
          <w:tcPr>
            <w:tcW w:w="1095" w:type="dxa"/>
            <w:noWrap w:val="0"/>
            <w:vAlign w:val="center"/>
          </w:tcPr>
          <w:p>
            <w:pPr>
              <w:pStyle w:val="22"/>
              <w:bidi w:val="0"/>
              <w:rPr>
                <w:rFonts w:hint="default"/>
                <w:color w:val="auto"/>
                <w:highlight w:val="none"/>
              </w:rPr>
            </w:pPr>
            <w:r>
              <w:rPr>
                <w:rFonts w:hint="default"/>
                <w:color w:val="auto"/>
                <w:highlight w:val="none"/>
              </w:rPr>
              <w:t>37</w:t>
            </w:r>
          </w:p>
        </w:tc>
        <w:tc>
          <w:tcPr>
            <w:tcW w:w="1083" w:type="dxa"/>
            <w:noWrap w:val="0"/>
            <w:vAlign w:val="center"/>
          </w:tcPr>
          <w:p>
            <w:pPr>
              <w:pStyle w:val="22"/>
              <w:bidi w:val="0"/>
              <w:rPr>
                <w:rFonts w:hint="default"/>
                <w:color w:val="auto"/>
                <w:highlight w:val="none"/>
              </w:rPr>
            </w:pPr>
            <w:r>
              <w:rPr>
                <w:rFonts w:hint="default"/>
                <w:color w:val="auto"/>
                <w:highlight w:val="none"/>
              </w:rPr>
              <w:t>0.66</w:t>
            </w:r>
          </w:p>
        </w:tc>
        <w:tc>
          <w:tcPr>
            <w:tcW w:w="1837" w:type="dxa"/>
            <w:noWrap w:val="0"/>
            <w:vAlign w:val="center"/>
          </w:tcPr>
          <w:p>
            <w:pPr>
              <w:pStyle w:val="22"/>
              <w:bidi w:val="0"/>
              <w:rPr>
                <w:rFonts w:hint="default"/>
                <w:color w:val="auto"/>
                <w:highlight w:val="none"/>
              </w:rPr>
            </w:pPr>
            <w:r>
              <w:rPr>
                <w:rFonts w:hint="default"/>
                <w:color w:val="auto"/>
                <w:highlight w:val="none"/>
              </w:rPr>
              <w:t>23.87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5</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刘家沟联合煤矿</w:t>
            </w:r>
          </w:p>
        </w:tc>
        <w:tc>
          <w:tcPr>
            <w:tcW w:w="1059" w:type="dxa"/>
            <w:noWrap w:val="0"/>
            <w:vAlign w:val="center"/>
          </w:tcPr>
          <w:p>
            <w:pPr>
              <w:pStyle w:val="22"/>
              <w:bidi w:val="0"/>
              <w:rPr>
                <w:rFonts w:hint="default"/>
                <w:color w:val="auto"/>
                <w:highlight w:val="none"/>
              </w:rPr>
            </w:pPr>
            <w:r>
              <w:rPr>
                <w:rFonts w:hint="default"/>
                <w:color w:val="auto"/>
                <w:highlight w:val="none"/>
              </w:rPr>
              <w:t>K14</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19.98</w:t>
            </w:r>
          </w:p>
        </w:tc>
        <w:tc>
          <w:tcPr>
            <w:tcW w:w="1095" w:type="dxa"/>
            <w:noWrap w:val="0"/>
            <w:vAlign w:val="center"/>
          </w:tcPr>
          <w:p>
            <w:pPr>
              <w:pStyle w:val="22"/>
              <w:bidi w:val="0"/>
              <w:rPr>
                <w:rFonts w:hint="default"/>
                <w:color w:val="auto"/>
                <w:highlight w:val="none"/>
              </w:rPr>
            </w:pPr>
            <w:r>
              <w:rPr>
                <w:rFonts w:hint="default"/>
                <w:color w:val="auto"/>
                <w:highlight w:val="none"/>
              </w:rPr>
              <w:t>33.72</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26.13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K6</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30.54</w:t>
            </w:r>
          </w:p>
        </w:tc>
        <w:tc>
          <w:tcPr>
            <w:tcW w:w="1095" w:type="dxa"/>
            <w:noWrap w:val="0"/>
            <w:vAlign w:val="center"/>
          </w:tcPr>
          <w:p>
            <w:pPr>
              <w:pStyle w:val="22"/>
              <w:bidi w:val="0"/>
              <w:rPr>
                <w:rFonts w:hint="default"/>
                <w:color w:val="auto"/>
                <w:highlight w:val="none"/>
              </w:rPr>
            </w:pPr>
            <w:r>
              <w:rPr>
                <w:rFonts w:hint="default"/>
                <w:color w:val="auto"/>
                <w:highlight w:val="none"/>
              </w:rPr>
              <w:t>35.72</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14.48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K4</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37.87</w:t>
            </w:r>
          </w:p>
        </w:tc>
        <w:tc>
          <w:tcPr>
            <w:tcW w:w="1095" w:type="dxa"/>
            <w:noWrap w:val="0"/>
            <w:vAlign w:val="center"/>
          </w:tcPr>
          <w:p>
            <w:pPr>
              <w:pStyle w:val="22"/>
              <w:bidi w:val="0"/>
              <w:rPr>
                <w:rFonts w:hint="default"/>
                <w:color w:val="auto"/>
                <w:highlight w:val="none"/>
              </w:rPr>
            </w:pPr>
            <w:r>
              <w:rPr>
                <w:rFonts w:hint="default"/>
                <w:color w:val="auto"/>
                <w:highlight w:val="none"/>
              </w:rPr>
              <w:t>31.1</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19.64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K3</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p>
        </w:tc>
        <w:tc>
          <w:tcPr>
            <w:tcW w:w="1095" w:type="dxa"/>
            <w:noWrap w:val="0"/>
            <w:vAlign w:val="center"/>
          </w:tcPr>
          <w:p>
            <w:pPr>
              <w:pStyle w:val="22"/>
              <w:bidi w:val="0"/>
              <w:rPr>
                <w:rFonts w:hint="default"/>
                <w:color w:val="auto"/>
                <w:highlight w:val="none"/>
              </w:rPr>
            </w:pP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K2</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29.5</w:t>
            </w:r>
          </w:p>
        </w:tc>
        <w:tc>
          <w:tcPr>
            <w:tcW w:w="1095" w:type="dxa"/>
            <w:noWrap w:val="0"/>
            <w:vAlign w:val="center"/>
          </w:tcPr>
          <w:p>
            <w:pPr>
              <w:pStyle w:val="22"/>
              <w:bidi w:val="0"/>
              <w:rPr>
                <w:rFonts w:hint="default"/>
                <w:color w:val="auto"/>
                <w:highlight w:val="none"/>
              </w:rPr>
            </w:pPr>
            <w:r>
              <w:rPr>
                <w:rFonts w:hint="default"/>
                <w:color w:val="auto"/>
                <w:highlight w:val="none"/>
              </w:rPr>
              <w:t>29.75</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21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6</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牛郎沟煤矿</w:t>
            </w:r>
          </w:p>
        </w:tc>
        <w:tc>
          <w:tcPr>
            <w:tcW w:w="1059" w:type="dxa"/>
            <w:noWrap w:val="0"/>
            <w:vAlign w:val="center"/>
          </w:tcPr>
          <w:p>
            <w:pPr>
              <w:pStyle w:val="22"/>
              <w:bidi w:val="0"/>
              <w:rPr>
                <w:rFonts w:hint="default"/>
                <w:color w:val="auto"/>
                <w:highlight w:val="none"/>
              </w:rPr>
            </w:pPr>
            <w:r>
              <w:rPr>
                <w:rFonts w:hint="default"/>
                <w:color w:val="auto"/>
                <w:highlight w:val="none"/>
              </w:rPr>
              <w:t>K14</w:t>
            </w:r>
          </w:p>
        </w:tc>
        <w:tc>
          <w:tcPr>
            <w:tcW w:w="1127" w:type="dxa"/>
            <w:noWrap w:val="0"/>
            <w:vAlign w:val="center"/>
          </w:tcPr>
          <w:p>
            <w:pPr>
              <w:pStyle w:val="22"/>
              <w:bidi w:val="0"/>
              <w:rPr>
                <w:rFonts w:hint="default"/>
                <w:color w:val="auto"/>
                <w:highlight w:val="none"/>
              </w:rPr>
            </w:pPr>
            <w:r>
              <w:rPr>
                <w:rFonts w:hint="default"/>
                <w:color w:val="auto"/>
                <w:highlight w:val="none"/>
              </w:rPr>
              <w:t>RM</w:t>
            </w:r>
          </w:p>
        </w:tc>
        <w:tc>
          <w:tcPr>
            <w:tcW w:w="1004" w:type="dxa"/>
            <w:noWrap w:val="0"/>
            <w:vAlign w:val="center"/>
          </w:tcPr>
          <w:p>
            <w:pPr>
              <w:pStyle w:val="22"/>
              <w:bidi w:val="0"/>
              <w:rPr>
                <w:rFonts w:hint="default"/>
                <w:color w:val="auto"/>
                <w:highlight w:val="none"/>
              </w:rPr>
            </w:pPr>
            <w:r>
              <w:rPr>
                <w:rFonts w:hint="default"/>
                <w:color w:val="auto"/>
                <w:highlight w:val="none"/>
              </w:rPr>
              <w:t>29.99</w:t>
            </w:r>
          </w:p>
        </w:tc>
        <w:tc>
          <w:tcPr>
            <w:tcW w:w="1095" w:type="dxa"/>
            <w:noWrap w:val="0"/>
            <w:vAlign w:val="center"/>
          </w:tcPr>
          <w:p>
            <w:pPr>
              <w:pStyle w:val="22"/>
              <w:bidi w:val="0"/>
              <w:rPr>
                <w:rFonts w:hint="default"/>
                <w:color w:val="auto"/>
                <w:highlight w:val="none"/>
              </w:rPr>
            </w:pPr>
            <w:r>
              <w:rPr>
                <w:rFonts w:hint="default"/>
                <w:color w:val="auto"/>
                <w:highlight w:val="none"/>
              </w:rPr>
              <w:t>31.24</w:t>
            </w:r>
          </w:p>
        </w:tc>
        <w:tc>
          <w:tcPr>
            <w:tcW w:w="1083" w:type="dxa"/>
            <w:noWrap w:val="0"/>
            <w:vAlign w:val="center"/>
          </w:tcPr>
          <w:p>
            <w:pPr>
              <w:pStyle w:val="22"/>
              <w:bidi w:val="0"/>
              <w:rPr>
                <w:rFonts w:hint="default"/>
                <w:color w:val="auto"/>
                <w:highlight w:val="none"/>
              </w:rPr>
            </w:pPr>
            <w:r>
              <w:rPr>
                <w:rFonts w:hint="default"/>
                <w:color w:val="auto"/>
                <w:highlight w:val="none"/>
              </w:rPr>
              <w:t>0.52</w:t>
            </w:r>
          </w:p>
        </w:tc>
        <w:tc>
          <w:tcPr>
            <w:tcW w:w="1837" w:type="dxa"/>
            <w:noWrap w:val="0"/>
            <w:vAlign w:val="center"/>
          </w:tcPr>
          <w:p>
            <w:pPr>
              <w:pStyle w:val="22"/>
              <w:bidi w:val="0"/>
              <w:rPr>
                <w:rFonts w:hint="default"/>
                <w:color w:val="auto"/>
                <w:highlight w:val="none"/>
              </w:rPr>
            </w:pPr>
            <w:r>
              <w:rPr>
                <w:rFonts w:hint="default"/>
                <w:color w:val="auto"/>
                <w:highlight w:val="none"/>
              </w:rPr>
              <w:t>21.32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K13</w:t>
            </w:r>
          </w:p>
        </w:tc>
        <w:tc>
          <w:tcPr>
            <w:tcW w:w="1127" w:type="dxa"/>
            <w:noWrap w:val="0"/>
            <w:vAlign w:val="center"/>
          </w:tcPr>
          <w:p>
            <w:pPr>
              <w:pStyle w:val="22"/>
              <w:bidi w:val="0"/>
              <w:rPr>
                <w:rFonts w:hint="default"/>
                <w:color w:val="auto"/>
                <w:highlight w:val="none"/>
              </w:rPr>
            </w:pPr>
            <w:r>
              <w:rPr>
                <w:rFonts w:hint="default"/>
                <w:color w:val="auto"/>
                <w:highlight w:val="none"/>
              </w:rPr>
              <w:t>RM</w:t>
            </w:r>
          </w:p>
        </w:tc>
        <w:tc>
          <w:tcPr>
            <w:tcW w:w="1004" w:type="dxa"/>
            <w:noWrap w:val="0"/>
            <w:vAlign w:val="center"/>
          </w:tcPr>
          <w:p>
            <w:pPr>
              <w:pStyle w:val="22"/>
              <w:bidi w:val="0"/>
              <w:rPr>
                <w:rFonts w:hint="default"/>
                <w:color w:val="auto"/>
                <w:highlight w:val="none"/>
              </w:rPr>
            </w:pPr>
            <w:r>
              <w:rPr>
                <w:rFonts w:hint="default"/>
                <w:color w:val="auto"/>
                <w:highlight w:val="none"/>
              </w:rPr>
              <w:t>39.58</w:t>
            </w:r>
          </w:p>
        </w:tc>
        <w:tc>
          <w:tcPr>
            <w:tcW w:w="1095" w:type="dxa"/>
            <w:noWrap w:val="0"/>
            <w:vAlign w:val="center"/>
          </w:tcPr>
          <w:p>
            <w:pPr>
              <w:pStyle w:val="22"/>
              <w:bidi w:val="0"/>
              <w:rPr>
                <w:rFonts w:hint="default"/>
                <w:color w:val="auto"/>
                <w:highlight w:val="none"/>
              </w:rPr>
            </w:pPr>
            <w:r>
              <w:rPr>
                <w:rFonts w:hint="default"/>
                <w:color w:val="auto"/>
                <w:highlight w:val="none"/>
              </w:rPr>
              <w:t>37.67</w:t>
            </w:r>
          </w:p>
        </w:tc>
        <w:tc>
          <w:tcPr>
            <w:tcW w:w="1083" w:type="dxa"/>
            <w:noWrap w:val="0"/>
            <w:vAlign w:val="center"/>
          </w:tcPr>
          <w:p>
            <w:pPr>
              <w:pStyle w:val="22"/>
              <w:bidi w:val="0"/>
              <w:rPr>
                <w:rFonts w:hint="default"/>
                <w:color w:val="auto"/>
                <w:highlight w:val="none"/>
              </w:rPr>
            </w:pPr>
            <w:r>
              <w:rPr>
                <w:rFonts w:hint="default"/>
                <w:color w:val="auto"/>
                <w:highlight w:val="none"/>
              </w:rPr>
              <w:t>1.13</w:t>
            </w:r>
          </w:p>
        </w:tc>
        <w:tc>
          <w:tcPr>
            <w:tcW w:w="1837" w:type="dxa"/>
            <w:noWrap w:val="0"/>
            <w:vAlign w:val="center"/>
          </w:tcPr>
          <w:p>
            <w:pPr>
              <w:pStyle w:val="22"/>
              <w:bidi w:val="0"/>
              <w:rPr>
                <w:rFonts w:hint="default"/>
                <w:color w:val="auto"/>
                <w:highlight w:val="none"/>
              </w:rPr>
            </w:pPr>
            <w:r>
              <w:rPr>
                <w:rFonts w:hint="default"/>
                <w:color w:val="auto"/>
                <w:highlight w:val="none"/>
              </w:rPr>
              <w:t>17.8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K8</w:t>
            </w:r>
          </w:p>
        </w:tc>
        <w:tc>
          <w:tcPr>
            <w:tcW w:w="1127" w:type="dxa"/>
            <w:noWrap w:val="0"/>
            <w:vAlign w:val="center"/>
          </w:tcPr>
          <w:p>
            <w:pPr>
              <w:pStyle w:val="22"/>
              <w:bidi w:val="0"/>
              <w:rPr>
                <w:rFonts w:hint="default"/>
                <w:color w:val="auto"/>
                <w:highlight w:val="none"/>
              </w:rPr>
            </w:pPr>
            <w:r>
              <w:rPr>
                <w:rFonts w:hint="default"/>
                <w:color w:val="auto"/>
                <w:highlight w:val="none"/>
              </w:rPr>
              <w:t>RM</w:t>
            </w:r>
          </w:p>
        </w:tc>
        <w:tc>
          <w:tcPr>
            <w:tcW w:w="1004" w:type="dxa"/>
            <w:noWrap w:val="0"/>
            <w:vAlign w:val="center"/>
          </w:tcPr>
          <w:p>
            <w:pPr>
              <w:pStyle w:val="22"/>
              <w:bidi w:val="0"/>
              <w:rPr>
                <w:rFonts w:hint="default"/>
                <w:color w:val="auto"/>
                <w:highlight w:val="none"/>
              </w:rPr>
            </w:pPr>
            <w:r>
              <w:rPr>
                <w:rFonts w:hint="default"/>
                <w:color w:val="auto"/>
                <w:highlight w:val="none"/>
              </w:rPr>
              <w:t>33.53</w:t>
            </w:r>
          </w:p>
        </w:tc>
        <w:tc>
          <w:tcPr>
            <w:tcW w:w="1095" w:type="dxa"/>
            <w:noWrap w:val="0"/>
            <w:vAlign w:val="center"/>
          </w:tcPr>
          <w:p>
            <w:pPr>
              <w:pStyle w:val="22"/>
              <w:bidi w:val="0"/>
              <w:rPr>
                <w:rFonts w:hint="default"/>
                <w:color w:val="auto"/>
                <w:highlight w:val="none"/>
              </w:rPr>
            </w:pPr>
            <w:r>
              <w:rPr>
                <w:rFonts w:hint="default"/>
                <w:color w:val="auto"/>
                <w:highlight w:val="none"/>
              </w:rPr>
              <w:t>41.5</w:t>
            </w:r>
          </w:p>
        </w:tc>
        <w:tc>
          <w:tcPr>
            <w:tcW w:w="1083" w:type="dxa"/>
            <w:noWrap w:val="0"/>
            <w:vAlign w:val="center"/>
          </w:tcPr>
          <w:p>
            <w:pPr>
              <w:pStyle w:val="22"/>
              <w:bidi w:val="0"/>
              <w:rPr>
                <w:rFonts w:hint="default"/>
                <w:color w:val="auto"/>
                <w:highlight w:val="none"/>
              </w:rPr>
            </w:pPr>
            <w:r>
              <w:rPr>
                <w:rFonts w:hint="default"/>
                <w:color w:val="auto"/>
                <w:highlight w:val="none"/>
              </w:rPr>
              <w:t>0.29</w:t>
            </w:r>
          </w:p>
        </w:tc>
        <w:tc>
          <w:tcPr>
            <w:tcW w:w="1837" w:type="dxa"/>
            <w:noWrap w:val="0"/>
            <w:vAlign w:val="center"/>
          </w:tcPr>
          <w:p>
            <w:pPr>
              <w:pStyle w:val="22"/>
              <w:bidi w:val="0"/>
              <w:rPr>
                <w:rFonts w:hint="default"/>
                <w:color w:val="auto"/>
                <w:highlight w:val="none"/>
              </w:rPr>
            </w:pPr>
            <w:r>
              <w:rPr>
                <w:rFonts w:hint="default"/>
                <w:color w:val="auto"/>
                <w:highlight w:val="none"/>
              </w:rPr>
              <w:t>12.51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K7</w:t>
            </w:r>
          </w:p>
        </w:tc>
        <w:tc>
          <w:tcPr>
            <w:tcW w:w="1127" w:type="dxa"/>
            <w:noWrap w:val="0"/>
            <w:vAlign w:val="center"/>
          </w:tcPr>
          <w:p>
            <w:pPr>
              <w:pStyle w:val="22"/>
              <w:bidi w:val="0"/>
              <w:rPr>
                <w:rFonts w:hint="default"/>
                <w:color w:val="auto"/>
                <w:highlight w:val="none"/>
              </w:rPr>
            </w:pPr>
            <w:r>
              <w:rPr>
                <w:rFonts w:hint="default"/>
                <w:color w:val="auto"/>
                <w:highlight w:val="none"/>
              </w:rPr>
              <w:t>RM</w:t>
            </w:r>
          </w:p>
        </w:tc>
        <w:tc>
          <w:tcPr>
            <w:tcW w:w="1004" w:type="dxa"/>
            <w:noWrap w:val="0"/>
            <w:vAlign w:val="center"/>
          </w:tcPr>
          <w:p>
            <w:pPr>
              <w:pStyle w:val="22"/>
              <w:bidi w:val="0"/>
              <w:rPr>
                <w:rFonts w:hint="default"/>
                <w:color w:val="auto"/>
                <w:highlight w:val="none"/>
              </w:rPr>
            </w:pPr>
            <w:r>
              <w:rPr>
                <w:rFonts w:hint="default"/>
                <w:color w:val="auto"/>
                <w:highlight w:val="none"/>
              </w:rPr>
              <w:t>35.25</w:t>
            </w:r>
          </w:p>
        </w:tc>
        <w:tc>
          <w:tcPr>
            <w:tcW w:w="1095" w:type="dxa"/>
            <w:noWrap w:val="0"/>
            <w:vAlign w:val="center"/>
          </w:tcPr>
          <w:p>
            <w:pPr>
              <w:pStyle w:val="22"/>
              <w:bidi w:val="0"/>
              <w:rPr>
                <w:rFonts w:hint="default"/>
                <w:color w:val="auto"/>
                <w:highlight w:val="none"/>
              </w:rPr>
            </w:pPr>
            <w:r>
              <w:rPr>
                <w:rFonts w:hint="default"/>
                <w:color w:val="auto"/>
                <w:highlight w:val="none"/>
              </w:rPr>
              <w:t>38.18</w:t>
            </w:r>
          </w:p>
        </w:tc>
        <w:tc>
          <w:tcPr>
            <w:tcW w:w="1083" w:type="dxa"/>
            <w:noWrap w:val="0"/>
            <w:vAlign w:val="center"/>
          </w:tcPr>
          <w:p>
            <w:pPr>
              <w:pStyle w:val="22"/>
              <w:bidi w:val="0"/>
              <w:rPr>
                <w:rFonts w:hint="default"/>
                <w:color w:val="auto"/>
                <w:highlight w:val="none"/>
              </w:rPr>
            </w:pPr>
            <w:r>
              <w:rPr>
                <w:rFonts w:hint="default"/>
                <w:color w:val="auto"/>
                <w:highlight w:val="none"/>
              </w:rPr>
              <w:t>0.35</w:t>
            </w:r>
          </w:p>
        </w:tc>
        <w:tc>
          <w:tcPr>
            <w:tcW w:w="1837" w:type="dxa"/>
            <w:noWrap w:val="0"/>
            <w:vAlign w:val="center"/>
          </w:tcPr>
          <w:p>
            <w:pPr>
              <w:pStyle w:val="22"/>
              <w:bidi w:val="0"/>
              <w:rPr>
                <w:rFonts w:hint="default"/>
                <w:color w:val="auto"/>
                <w:highlight w:val="none"/>
              </w:rPr>
            </w:pPr>
            <w:r>
              <w:rPr>
                <w:rFonts w:hint="default"/>
                <w:color w:val="auto"/>
                <w:highlight w:val="none"/>
              </w:rPr>
              <w:t>15.35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7</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平桥煤矿</w:t>
            </w:r>
          </w:p>
        </w:tc>
        <w:tc>
          <w:tcPr>
            <w:tcW w:w="1059" w:type="dxa"/>
            <w:noWrap w:val="0"/>
            <w:vAlign w:val="center"/>
          </w:tcPr>
          <w:p>
            <w:pPr>
              <w:pStyle w:val="22"/>
              <w:bidi w:val="0"/>
              <w:rPr>
                <w:rFonts w:hint="default"/>
                <w:color w:val="auto"/>
                <w:highlight w:val="none"/>
              </w:rPr>
            </w:pPr>
            <w:r>
              <w:rPr>
                <w:rFonts w:hint="default"/>
                <w:color w:val="auto"/>
                <w:highlight w:val="none"/>
              </w:rPr>
              <w:t>K16</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22.9</w:t>
            </w:r>
          </w:p>
        </w:tc>
        <w:tc>
          <w:tcPr>
            <w:tcW w:w="1095" w:type="dxa"/>
            <w:noWrap w:val="0"/>
            <w:vAlign w:val="center"/>
          </w:tcPr>
          <w:p>
            <w:pPr>
              <w:pStyle w:val="22"/>
              <w:bidi w:val="0"/>
              <w:rPr>
                <w:rFonts w:hint="default"/>
                <w:color w:val="auto"/>
                <w:highlight w:val="none"/>
              </w:rPr>
            </w:pPr>
            <w:r>
              <w:rPr>
                <w:rFonts w:hint="default"/>
                <w:color w:val="auto"/>
                <w:highlight w:val="none"/>
              </w:rPr>
              <w:t>29.75</w:t>
            </w:r>
          </w:p>
        </w:tc>
        <w:tc>
          <w:tcPr>
            <w:tcW w:w="1083" w:type="dxa"/>
            <w:noWrap w:val="0"/>
            <w:vAlign w:val="center"/>
          </w:tcPr>
          <w:p>
            <w:pPr>
              <w:pStyle w:val="22"/>
              <w:bidi w:val="0"/>
              <w:rPr>
                <w:rFonts w:hint="default"/>
                <w:color w:val="auto"/>
                <w:highlight w:val="none"/>
              </w:rPr>
            </w:pPr>
            <w:r>
              <w:rPr>
                <w:rFonts w:hint="default"/>
                <w:color w:val="auto"/>
                <w:highlight w:val="none"/>
              </w:rPr>
              <w:t>0.79</w:t>
            </w:r>
          </w:p>
        </w:tc>
        <w:tc>
          <w:tcPr>
            <w:tcW w:w="1837" w:type="dxa"/>
            <w:noWrap w:val="0"/>
            <w:vAlign w:val="center"/>
          </w:tcPr>
          <w:p>
            <w:pPr>
              <w:pStyle w:val="22"/>
              <w:bidi w:val="0"/>
              <w:rPr>
                <w:rFonts w:hint="default"/>
                <w:color w:val="auto"/>
                <w:highlight w:val="none"/>
              </w:rPr>
            </w:pPr>
            <w:r>
              <w:rPr>
                <w:rFonts w:hint="default"/>
                <w:color w:val="auto"/>
                <w:highlight w:val="none"/>
              </w:rPr>
              <w:t>23.8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K15</w:t>
            </w:r>
          </w:p>
        </w:tc>
        <w:tc>
          <w:tcPr>
            <w:tcW w:w="1127" w:type="dxa"/>
            <w:noWrap w:val="0"/>
            <w:vAlign w:val="center"/>
          </w:tcPr>
          <w:p>
            <w:pPr>
              <w:pStyle w:val="22"/>
              <w:bidi w:val="0"/>
              <w:rPr>
                <w:rFonts w:hint="default"/>
                <w:color w:val="auto"/>
                <w:highlight w:val="none"/>
              </w:rPr>
            </w:pPr>
            <w:r>
              <w:rPr>
                <w:rFonts w:hint="default"/>
                <w:color w:val="auto"/>
                <w:highlight w:val="none"/>
              </w:rPr>
              <w:t>QM</w:t>
            </w:r>
          </w:p>
        </w:tc>
        <w:tc>
          <w:tcPr>
            <w:tcW w:w="1004" w:type="dxa"/>
            <w:noWrap w:val="0"/>
            <w:vAlign w:val="center"/>
          </w:tcPr>
          <w:p>
            <w:pPr>
              <w:pStyle w:val="22"/>
              <w:bidi w:val="0"/>
              <w:rPr>
                <w:rFonts w:hint="default"/>
                <w:color w:val="auto"/>
                <w:highlight w:val="none"/>
              </w:rPr>
            </w:pPr>
            <w:r>
              <w:rPr>
                <w:rFonts w:hint="default"/>
                <w:color w:val="auto"/>
                <w:highlight w:val="none"/>
              </w:rPr>
              <w:t>26.9</w:t>
            </w:r>
          </w:p>
        </w:tc>
        <w:tc>
          <w:tcPr>
            <w:tcW w:w="1095" w:type="dxa"/>
            <w:noWrap w:val="0"/>
            <w:vAlign w:val="center"/>
          </w:tcPr>
          <w:p>
            <w:pPr>
              <w:pStyle w:val="22"/>
              <w:bidi w:val="0"/>
              <w:rPr>
                <w:rFonts w:hint="default"/>
                <w:color w:val="auto"/>
                <w:highlight w:val="none"/>
              </w:rPr>
            </w:pPr>
            <w:r>
              <w:rPr>
                <w:rFonts w:hint="default"/>
                <w:color w:val="auto"/>
                <w:highlight w:val="none"/>
              </w:rPr>
              <w:t>26.1</w:t>
            </w:r>
          </w:p>
        </w:tc>
        <w:tc>
          <w:tcPr>
            <w:tcW w:w="1083" w:type="dxa"/>
            <w:noWrap w:val="0"/>
            <w:vAlign w:val="center"/>
          </w:tcPr>
          <w:p>
            <w:pPr>
              <w:pStyle w:val="22"/>
              <w:bidi w:val="0"/>
              <w:rPr>
                <w:rFonts w:hint="default"/>
                <w:color w:val="auto"/>
                <w:highlight w:val="none"/>
              </w:rPr>
            </w:pPr>
            <w:r>
              <w:rPr>
                <w:rFonts w:hint="default"/>
                <w:color w:val="auto"/>
                <w:highlight w:val="none"/>
              </w:rPr>
              <w:t>0.56</w:t>
            </w:r>
          </w:p>
        </w:tc>
        <w:tc>
          <w:tcPr>
            <w:tcW w:w="1837" w:type="dxa"/>
            <w:noWrap w:val="0"/>
            <w:vAlign w:val="center"/>
          </w:tcPr>
          <w:p>
            <w:pPr>
              <w:pStyle w:val="22"/>
              <w:bidi w:val="0"/>
              <w:rPr>
                <w:rFonts w:hint="default"/>
                <w:color w:val="auto"/>
                <w:highlight w:val="none"/>
              </w:rPr>
            </w:pPr>
            <w:r>
              <w:rPr>
                <w:rFonts w:hint="default"/>
                <w:color w:val="auto"/>
                <w:highlight w:val="none"/>
              </w:rPr>
              <w:t>24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K11</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28.3</w:t>
            </w:r>
          </w:p>
        </w:tc>
        <w:tc>
          <w:tcPr>
            <w:tcW w:w="1095" w:type="dxa"/>
            <w:noWrap w:val="0"/>
            <w:vAlign w:val="center"/>
          </w:tcPr>
          <w:p>
            <w:pPr>
              <w:pStyle w:val="22"/>
              <w:bidi w:val="0"/>
              <w:rPr>
                <w:rFonts w:hint="default"/>
                <w:color w:val="auto"/>
                <w:highlight w:val="none"/>
              </w:rPr>
            </w:pPr>
            <w:r>
              <w:rPr>
                <w:rFonts w:hint="default"/>
                <w:color w:val="auto"/>
                <w:highlight w:val="none"/>
              </w:rPr>
              <w:t>23.5～38.6</w:t>
            </w:r>
          </w:p>
        </w:tc>
        <w:tc>
          <w:tcPr>
            <w:tcW w:w="1083" w:type="dxa"/>
            <w:noWrap w:val="0"/>
            <w:vAlign w:val="center"/>
          </w:tcPr>
          <w:p>
            <w:pPr>
              <w:pStyle w:val="22"/>
              <w:bidi w:val="0"/>
              <w:rPr>
                <w:rFonts w:hint="default"/>
                <w:color w:val="auto"/>
                <w:highlight w:val="none"/>
              </w:rPr>
            </w:pPr>
            <w:r>
              <w:rPr>
                <w:rFonts w:hint="default"/>
                <w:color w:val="auto"/>
                <w:highlight w:val="none"/>
              </w:rPr>
              <w:t>0.61</w:t>
            </w:r>
          </w:p>
        </w:tc>
        <w:tc>
          <w:tcPr>
            <w:tcW w:w="1837" w:type="dxa"/>
            <w:noWrap w:val="0"/>
            <w:vAlign w:val="center"/>
          </w:tcPr>
          <w:p>
            <w:pPr>
              <w:pStyle w:val="22"/>
              <w:bidi w:val="0"/>
              <w:rPr>
                <w:rFonts w:hint="default"/>
                <w:color w:val="auto"/>
                <w:highlight w:val="none"/>
              </w:rPr>
            </w:pPr>
            <w:r>
              <w:rPr>
                <w:rFonts w:hint="default"/>
                <w:color w:val="auto"/>
                <w:highlight w:val="none"/>
              </w:rPr>
              <w:t>22.9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K8</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28.1</w:t>
            </w:r>
          </w:p>
        </w:tc>
        <w:tc>
          <w:tcPr>
            <w:tcW w:w="1095" w:type="dxa"/>
            <w:noWrap w:val="0"/>
            <w:vAlign w:val="center"/>
          </w:tcPr>
          <w:p>
            <w:pPr>
              <w:pStyle w:val="22"/>
              <w:bidi w:val="0"/>
              <w:rPr>
                <w:rFonts w:hint="default"/>
                <w:color w:val="auto"/>
                <w:highlight w:val="none"/>
              </w:rPr>
            </w:pPr>
            <w:r>
              <w:rPr>
                <w:rFonts w:hint="default"/>
                <w:color w:val="auto"/>
                <w:highlight w:val="none"/>
              </w:rPr>
              <w:t>39.9</w:t>
            </w:r>
          </w:p>
        </w:tc>
        <w:tc>
          <w:tcPr>
            <w:tcW w:w="1083" w:type="dxa"/>
            <w:noWrap w:val="0"/>
            <w:vAlign w:val="center"/>
          </w:tcPr>
          <w:p>
            <w:pPr>
              <w:pStyle w:val="22"/>
              <w:bidi w:val="0"/>
              <w:rPr>
                <w:rFonts w:hint="default"/>
                <w:color w:val="auto"/>
                <w:highlight w:val="none"/>
              </w:rPr>
            </w:pPr>
            <w:r>
              <w:rPr>
                <w:rFonts w:hint="default"/>
                <w:color w:val="auto"/>
                <w:highlight w:val="none"/>
              </w:rPr>
              <w:t>0.52</w:t>
            </w:r>
          </w:p>
        </w:tc>
        <w:tc>
          <w:tcPr>
            <w:tcW w:w="1837" w:type="dxa"/>
            <w:noWrap w:val="0"/>
            <w:vAlign w:val="center"/>
          </w:tcPr>
          <w:p>
            <w:pPr>
              <w:pStyle w:val="22"/>
              <w:bidi w:val="0"/>
              <w:rPr>
                <w:rFonts w:hint="default"/>
                <w:color w:val="auto"/>
                <w:highlight w:val="none"/>
              </w:rPr>
            </w:pPr>
            <w:r>
              <w:rPr>
                <w:rFonts w:hint="default"/>
                <w:color w:val="auto"/>
                <w:highlight w:val="none"/>
              </w:rPr>
              <w:t>25.5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K2</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32.1</w:t>
            </w:r>
          </w:p>
        </w:tc>
        <w:tc>
          <w:tcPr>
            <w:tcW w:w="1095" w:type="dxa"/>
            <w:noWrap w:val="0"/>
            <w:vAlign w:val="center"/>
          </w:tcPr>
          <w:p>
            <w:pPr>
              <w:pStyle w:val="22"/>
              <w:bidi w:val="0"/>
              <w:rPr>
                <w:rFonts w:hint="default"/>
                <w:color w:val="auto"/>
                <w:highlight w:val="none"/>
              </w:rPr>
            </w:pPr>
            <w:r>
              <w:rPr>
                <w:rFonts w:hint="default"/>
                <w:color w:val="auto"/>
                <w:highlight w:val="none"/>
              </w:rPr>
              <w:t>25.9～39.3</w:t>
            </w:r>
          </w:p>
        </w:tc>
        <w:tc>
          <w:tcPr>
            <w:tcW w:w="1083" w:type="dxa"/>
            <w:noWrap w:val="0"/>
            <w:vAlign w:val="center"/>
          </w:tcPr>
          <w:p>
            <w:pPr>
              <w:pStyle w:val="22"/>
              <w:bidi w:val="0"/>
              <w:rPr>
                <w:rFonts w:hint="default"/>
                <w:color w:val="auto"/>
                <w:highlight w:val="none"/>
              </w:rPr>
            </w:pPr>
            <w:r>
              <w:rPr>
                <w:rFonts w:hint="default"/>
                <w:color w:val="auto"/>
                <w:highlight w:val="none"/>
              </w:rPr>
              <w:t>0.45</w:t>
            </w:r>
          </w:p>
        </w:tc>
        <w:tc>
          <w:tcPr>
            <w:tcW w:w="1837" w:type="dxa"/>
            <w:noWrap w:val="0"/>
            <w:vAlign w:val="center"/>
          </w:tcPr>
          <w:p>
            <w:pPr>
              <w:pStyle w:val="22"/>
              <w:bidi w:val="0"/>
              <w:rPr>
                <w:rFonts w:hint="default"/>
                <w:color w:val="auto"/>
                <w:highlight w:val="none"/>
              </w:rPr>
            </w:pPr>
            <w:r>
              <w:rPr>
                <w:rFonts w:hint="default"/>
                <w:color w:val="auto"/>
                <w:highlight w:val="none"/>
              </w:rPr>
              <w:t>20.4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restart"/>
            <w:noWrap w:val="0"/>
            <w:vAlign w:val="center"/>
          </w:tcPr>
          <w:p>
            <w:pPr>
              <w:pStyle w:val="22"/>
              <w:bidi w:val="0"/>
              <w:rPr>
                <w:rFonts w:hint="default"/>
                <w:color w:val="auto"/>
                <w:highlight w:val="none"/>
              </w:rPr>
            </w:pPr>
            <w:r>
              <w:rPr>
                <w:rFonts w:hint="default"/>
                <w:color w:val="auto"/>
                <w:highlight w:val="none"/>
              </w:rPr>
              <w:t>8</w:t>
            </w:r>
          </w:p>
        </w:tc>
        <w:tc>
          <w:tcPr>
            <w:tcW w:w="711" w:type="dxa"/>
            <w:vMerge w:val="restart"/>
            <w:noWrap w:val="0"/>
            <w:vAlign w:val="center"/>
          </w:tcPr>
          <w:p>
            <w:pPr>
              <w:pStyle w:val="22"/>
              <w:bidi w:val="0"/>
              <w:rPr>
                <w:rFonts w:hint="default"/>
                <w:color w:val="auto"/>
                <w:highlight w:val="none"/>
              </w:rPr>
            </w:pPr>
            <w:r>
              <w:rPr>
                <w:rFonts w:hint="default"/>
                <w:color w:val="auto"/>
                <w:highlight w:val="none"/>
              </w:rPr>
              <w:t>观音煤矿</w:t>
            </w:r>
          </w:p>
        </w:tc>
        <w:tc>
          <w:tcPr>
            <w:tcW w:w="1059" w:type="dxa"/>
            <w:noWrap w:val="0"/>
            <w:vAlign w:val="center"/>
          </w:tcPr>
          <w:p>
            <w:pPr>
              <w:pStyle w:val="22"/>
              <w:bidi w:val="0"/>
              <w:rPr>
                <w:rFonts w:hint="default"/>
                <w:color w:val="auto"/>
                <w:highlight w:val="none"/>
              </w:rPr>
            </w:pPr>
            <w:r>
              <w:rPr>
                <w:rFonts w:hint="default"/>
                <w:color w:val="auto"/>
                <w:highlight w:val="none"/>
              </w:rPr>
              <w:t>K7</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22.2</w:t>
            </w:r>
          </w:p>
        </w:tc>
        <w:tc>
          <w:tcPr>
            <w:tcW w:w="1095" w:type="dxa"/>
            <w:noWrap w:val="0"/>
            <w:vAlign w:val="center"/>
          </w:tcPr>
          <w:p>
            <w:pPr>
              <w:pStyle w:val="22"/>
              <w:bidi w:val="0"/>
              <w:rPr>
                <w:rFonts w:hint="default"/>
                <w:color w:val="auto"/>
                <w:highlight w:val="none"/>
              </w:rPr>
            </w:pPr>
            <w:r>
              <w:rPr>
                <w:rFonts w:hint="default"/>
                <w:color w:val="auto"/>
                <w:highlight w:val="none"/>
              </w:rPr>
              <w:t>33.8</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25～25.5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K6</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37.2</w:t>
            </w:r>
          </w:p>
        </w:tc>
        <w:tc>
          <w:tcPr>
            <w:tcW w:w="1095" w:type="dxa"/>
            <w:noWrap w:val="0"/>
            <w:vAlign w:val="center"/>
          </w:tcPr>
          <w:p>
            <w:pPr>
              <w:pStyle w:val="22"/>
              <w:bidi w:val="0"/>
              <w:rPr>
                <w:rFonts w:hint="default"/>
                <w:color w:val="auto"/>
                <w:highlight w:val="none"/>
              </w:rPr>
            </w:pPr>
            <w:r>
              <w:rPr>
                <w:rFonts w:hint="default"/>
                <w:color w:val="auto"/>
                <w:highlight w:val="none"/>
              </w:rPr>
              <w:t>33.9</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13.3～13.4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06" w:type="dxa"/>
            <w:vMerge w:val="continue"/>
            <w:noWrap w:val="0"/>
            <w:vAlign w:val="center"/>
          </w:tcPr>
          <w:p>
            <w:pPr>
              <w:pStyle w:val="22"/>
              <w:bidi w:val="0"/>
              <w:rPr>
                <w:rFonts w:hint="default"/>
                <w:color w:val="auto"/>
                <w:highlight w:val="none"/>
              </w:rPr>
            </w:pPr>
          </w:p>
        </w:tc>
        <w:tc>
          <w:tcPr>
            <w:tcW w:w="711" w:type="dxa"/>
            <w:vMerge w:val="continue"/>
            <w:noWrap w:val="0"/>
            <w:vAlign w:val="center"/>
          </w:tcPr>
          <w:p>
            <w:pPr>
              <w:pStyle w:val="22"/>
              <w:bidi w:val="0"/>
              <w:rPr>
                <w:rFonts w:hint="default"/>
                <w:color w:val="auto"/>
                <w:highlight w:val="none"/>
              </w:rPr>
            </w:pPr>
          </w:p>
        </w:tc>
        <w:tc>
          <w:tcPr>
            <w:tcW w:w="1059" w:type="dxa"/>
            <w:noWrap w:val="0"/>
            <w:vAlign w:val="center"/>
          </w:tcPr>
          <w:p>
            <w:pPr>
              <w:pStyle w:val="22"/>
              <w:bidi w:val="0"/>
              <w:rPr>
                <w:rFonts w:hint="default"/>
                <w:color w:val="auto"/>
                <w:highlight w:val="none"/>
              </w:rPr>
            </w:pPr>
            <w:r>
              <w:rPr>
                <w:rFonts w:hint="default"/>
                <w:color w:val="auto"/>
                <w:highlight w:val="none"/>
              </w:rPr>
              <w:t>K3</w:t>
            </w:r>
          </w:p>
        </w:tc>
        <w:tc>
          <w:tcPr>
            <w:tcW w:w="1127" w:type="dxa"/>
            <w:noWrap w:val="0"/>
            <w:vAlign w:val="center"/>
          </w:tcPr>
          <w:p>
            <w:pPr>
              <w:pStyle w:val="22"/>
              <w:bidi w:val="0"/>
              <w:rPr>
                <w:rFonts w:hint="default"/>
                <w:color w:val="auto"/>
                <w:highlight w:val="none"/>
              </w:rPr>
            </w:pPr>
            <w:r>
              <w:rPr>
                <w:rFonts w:hint="default"/>
                <w:color w:val="auto"/>
                <w:highlight w:val="none"/>
              </w:rPr>
              <w:t>1/3JM</w:t>
            </w:r>
          </w:p>
        </w:tc>
        <w:tc>
          <w:tcPr>
            <w:tcW w:w="1004" w:type="dxa"/>
            <w:noWrap w:val="0"/>
            <w:vAlign w:val="center"/>
          </w:tcPr>
          <w:p>
            <w:pPr>
              <w:pStyle w:val="22"/>
              <w:bidi w:val="0"/>
              <w:rPr>
                <w:rFonts w:hint="default"/>
                <w:color w:val="auto"/>
                <w:highlight w:val="none"/>
              </w:rPr>
            </w:pPr>
            <w:r>
              <w:rPr>
                <w:rFonts w:hint="default"/>
                <w:color w:val="auto"/>
                <w:highlight w:val="none"/>
              </w:rPr>
              <w:t>12.8</w:t>
            </w:r>
          </w:p>
        </w:tc>
        <w:tc>
          <w:tcPr>
            <w:tcW w:w="1095" w:type="dxa"/>
            <w:noWrap w:val="0"/>
            <w:vAlign w:val="center"/>
          </w:tcPr>
          <w:p>
            <w:pPr>
              <w:pStyle w:val="22"/>
              <w:bidi w:val="0"/>
              <w:rPr>
                <w:rFonts w:hint="default"/>
                <w:color w:val="auto"/>
                <w:highlight w:val="none"/>
              </w:rPr>
            </w:pPr>
            <w:r>
              <w:rPr>
                <w:rFonts w:hint="default"/>
                <w:color w:val="auto"/>
                <w:highlight w:val="none"/>
              </w:rPr>
              <w:t>29.9</w:t>
            </w:r>
          </w:p>
        </w:tc>
        <w:tc>
          <w:tcPr>
            <w:tcW w:w="1083" w:type="dxa"/>
            <w:noWrap w:val="0"/>
            <w:vAlign w:val="center"/>
          </w:tcPr>
          <w:p>
            <w:pPr>
              <w:pStyle w:val="22"/>
              <w:bidi w:val="0"/>
              <w:rPr>
                <w:rFonts w:hint="default"/>
                <w:color w:val="auto"/>
                <w:highlight w:val="none"/>
              </w:rPr>
            </w:pPr>
          </w:p>
        </w:tc>
        <w:tc>
          <w:tcPr>
            <w:tcW w:w="1837" w:type="dxa"/>
            <w:noWrap w:val="0"/>
            <w:vAlign w:val="center"/>
          </w:tcPr>
          <w:p>
            <w:pPr>
              <w:pStyle w:val="22"/>
              <w:bidi w:val="0"/>
              <w:rPr>
                <w:rFonts w:hint="default"/>
                <w:color w:val="auto"/>
                <w:highlight w:val="none"/>
              </w:rPr>
            </w:pPr>
            <w:r>
              <w:rPr>
                <w:rFonts w:hint="default"/>
                <w:color w:val="auto"/>
                <w:highlight w:val="none"/>
              </w:rPr>
              <w:t>21.3～21.9</w:t>
            </w:r>
          </w:p>
        </w:tc>
      </w:tr>
    </w:tbl>
    <w:p>
      <w:pPr>
        <w:bidi w:val="0"/>
        <w:rPr>
          <w:rFonts w:hint="default"/>
          <w:color w:val="auto"/>
          <w:highlight w:val="none"/>
          <w:lang w:val="en-US" w:eastAsia="zh-CN"/>
        </w:rPr>
      </w:pPr>
      <w:r>
        <w:rPr>
          <w:rFonts w:hint="default"/>
          <w:color w:val="auto"/>
          <w:highlight w:val="none"/>
          <w:lang w:val="en-US" w:eastAsia="zh-CN"/>
        </w:rPr>
        <w:t>3、煤炭资源量</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矿井储量核实报告和年度储量年报，在现有采矿许可证或规划拟设矿权范围内各矿井保有资源量总计5106.4万吨，其中探明的资源量为59万吨，控制的资源量为3556.97万吨，推断的资源量为1490.43万吨。其中华蓥山北段矿区内各矿井保有资源量总计2410.62万吨，其中探明的资源量为59.00万吨，控制的资源量为1758.95万吨，推断的资源量为592.67万吨；中山明月峡矿区内各矿井保有资源量总计2695.78万吨，其中控制的资源量为1798.02万吨，推断的资源量为897.76万吨。</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各矿井保有资源量详见表2.1.2-3。</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 xml:space="preserve">2.1.2-3  </w:t>
      </w:r>
      <w:r>
        <w:rPr>
          <w:rFonts w:hint="default"/>
          <w:color w:val="auto"/>
          <w:highlight w:val="none"/>
        </w:rPr>
        <w:t>大竹县各矿井保有资源量汇总表（万吨）</w:t>
      </w:r>
    </w:p>
    <w:tbl>
      <w:tblPr>
        <w:tblStyle w:val="17"/>
        <w:tblW w:w="0" w:type="auto"/>
        <w:tblInd w:w="98" w:type="dxa"/>
        <w:tblLayout w:type="fixed"/>
        <w:tblCellMar>
          <w:top w:w="0" w:type="dxa"/>
          <w:left w:w="108" w:type="dxa"/>
          <w:bottom w:w="0" w:type="dxa"/>
          <w:right w:w="108" w:type="dxa"/>
        </w:tblCellMar>
      </w:tblPr>
      <w:tblGrid>
        <w:gridCol w:w="749"/>
        <w:gridCol w:w="749"/>
        <w:gridCol w:w="1394"/>
        <w:gridCol w:w="1251"/>
        <w:gridCol w:w="875"/>
        <w:gridCol w:w="1067"/>
        <w:gridCol w:w="1067"/>
        <w:gridCol w:w="1068"/>
      </w:tblGrid>
      <w:tr>
        <w:tblPrEx>
          <w:tblCellMar>
            <w:top w:w="0" w:type="dxa"/>
            <w:left w:w="108" w:type="dxa"/>
            <w:bottom w:w="0" w:type="dxa"/>
            <w:right w:w="108" w:type="dxa"/>
          </w:tblCellMar>
        </w:tblPrEx>
        <w:trPr>
          <w:trHeight w:val="555" w:hRule="atLeast"/>
          <w:tblHeader/>
        </w:trPr>
        <w:tc>
          <w:tcPr>
            <w:tcW w:w="749"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序号</w:t>
            </w:r>
          </w:p>
        </w:tc>
        <w:tc>
          <w:tcPr>
            <w:tcW w:w="749"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矿井名称</w:t>
            </w: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计算范围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煤层</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探明的资源量</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控制的资源量</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推断的资源量</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合计</w:t>
            </w:r>
          </w:p>
        </w:tc>
      </w:tr>
      <w:tr>
        <w:tblPrEx>
          <w:tblCellMar>
            <w:top w:w="0" w:type="dxa"/>
            <w:left w:w="108" w:type="dxa"/>
            <w:bottom w:w="0" w:type="dxa"/>
            <w:right w:w="108" w:type="dxa"/>
          </w:tblCellMar>
        </w:tblPrEx>
        <w:trPr>
          <w:trHeight w:val="310" w:hRule="atLeast"/>
        </w:trPr>
        <w:tc>
          <w:tcPr>
            <w:tcW w:w="2892" w:type="dxa"/>
            <w:gridSpan w:val="3"/>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华蓥山北段矿区</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59.00</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1758.95</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592.67</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2410.62</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1</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柏林煤矿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K27</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62.83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70.03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0</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123.67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0.00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123.67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K25</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0</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123.98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0.00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123.98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K24</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9.94</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260.09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0.00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270.03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K22</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0</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49.60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2.25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51.85 </w:t>
            </w:r>
          </w:p>
        </w:tc>
      </w:tr>
      <w:tr>
        <w:tblPrEx>
          <w:tblCellMar>
            <w:top w:w="0" w:type="dxa"/>
            <w:left w:w="108" w:type="dxa"/>
            <w:bottom w:w="0" w:type="dxa"/>
            <w:right w:w="108" w:type="dxa"/>
          </w:tblCellMar>
        </w:tblPrEx>
        <w:trPr>
          <w:trHeight w:val="32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K18</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49.06</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92.08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101.02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242.16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59.00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712.25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110.47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881.72 </w:t>
            </w:r>
          </w:p>
        </w:tc>
      </w:tr>
      <w:tr>
        <w:tblPrEx>
          <w:tblCellMar>
            <w:top w:w="0" w:type="dxa"/>
            <w:left w:w="108" w:type="dxa"/>
            <w:bottom w:w="0" w:type="dxa"/>
            <w:right w:w="108" w:type="dxa"/>
          </w:tblCellMar>
        </w:tblPrEx>
        <w:trPr>
          <w:trHeight w:val="31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2</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田坝煤矿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平面内、标高内</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正连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141.10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18.70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159.80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阴土</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99.10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114.90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240.20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34.50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274.70 </w:t>
            </w:r>
          </w:p>
        </w:tc>
      </w:tr>
      <w:tr>
        <w:tblPrEx>
          <w:tblCellMar>
            <w:top w:w="0" w:type="dxa"/>
            <w:left w:w="108" w:type="dxa"/>
            <w:bottom w:w="0" w:type="dxa"/>
            <w:right w:w="108" w:type="dxa"/>
          </w:tblCellMar>
        </w:tblPrEx>
        <w:trPr>
          <w:trHeight w:val="48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3</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黑滩煤矿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平面内、标高内（+489m～+200m）</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正连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39.40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39.40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内正连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42.40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424.00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63.90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74.70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145.70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156.50 </w:t>
            </w:r>
          </w:p>
        </w:tc>
      </w:tr>
      <w:tr>
        <w:tblPrEx>
          <w:tblCellMar>
            <w:top w:w="0" w:type="dxa"/>
            <w:left w:w="108" w:type="dxa"/>
            <w:bottom w:w="0" w:type="dxa"/>
            <w:right w:w="108" w:type="dxa"/>
          </w:tblCellMar>
        </w:tblPrEx>
        <w:trPr>
          <w:trHeight w:val="31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平面内、标高外（+200m～-60m）</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正连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43.80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43.80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内正连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25.20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56.30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81.50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20.40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53.20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73.60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45.60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153.30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198.90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合计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191.30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164.10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355.40 </w:t>
            </w:r>
          </w:p>
        </w:tc>
      </w:tr>
      <w:tr>
        <w:tblPrEx>
          <w:tblCellMar>
            <w:top w:w="0" w:type="dxa"/>
            <w:left w:w="108" w:type="dxa"/>
            <w:bottom w:w="0" w:type="dxa"/>
            <w:right w:w="108" w:type="dxa"/>
          </w:tblCellMar>
        </w:tblPrEx>
        <w:trPr>
          <w:trHeight w:val="31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4</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大河沟煤矿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147.24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147.24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内夹连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102.00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102.00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内三夹连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49.80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24.80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74.60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299.04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24.80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323.84 </w:t>
            </w:r>
          </w:p>
        </w:tc>
      </w:tr>
      <w:tr>
        <w:tblPrEx>
          <w:tblCellMar>
            <w:top w:w="0" w:type="dxa"/>
            <w:left w:w="108" w:type="dxa"/>
            <w:bottom w:w="0" w:type="dxa"/>
            <w:right w:w="108" w:type="dxa"/>
          </w:tblCellMar>
        </w:tblPrEx>
        <w:trPr>
          <w:trHeight w:val="31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5</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大硐坪煤矿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11.44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28.20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39.64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内连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17.72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28.60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46.32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硬炭</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24.00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37.10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61.10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独连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23.20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34.40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57.60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76.36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128.30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204.66 </w:t>
            </w:r>
          </w:p>
        </w:tc>
      </w:tr>
      <w:tr>
        <w:tblPrEx>
          <w:tblCellMar>
            <w:top w:w="0" w:type="dxa"/>
            <w:left w:w="108" w:type="dxa"/>
            <w:bottom w:w="0" w:type="dxa"/>
            <w:right w:w="108" w:type="dxa"/>
          </w:tblCellMar>
        </w:tblPrEx>
        <w:trPr>
          <w:trHeight w:val="31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6</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新桥红星煤矿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采矿权范围内</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五大连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154.60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162.80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154.60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162.80 </w:t>
            </w:r>
          </w:p>
        </w:tc>
      </w:tr>
      <w:tr>
        <w:tblPrEx>
          <w:tblCellMar>
            <w:top w:w="0" w:type="dxa"/>
            <w:left w:w="108" w:type="dxa"/>
            <w:bottom w:w="0" w:type="dxa"/>
            <w:right w:w="108" w:type="dxa"/>
          </w:tblCellMar>
        </w:tblPrEx>
        <w:trPr>
          <w:trHeight w:val="31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增扩范围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五大连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85.20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122.30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207.50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85.20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122.30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207.50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合计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239.80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130.50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370.30 </w:t>
            </w:r>
          </w:p>
        </w:tc>
      </w:tr>
      <w:tr>
        <w:tblPrEx>
          <w:tblCellMar>
            <w:top w:w="0" w:type="dxa"/>
            <w:left w:w="108" w:type="dxa"/>
            <w:bottom w:w="0" w:type="dxa"/>
            <w:right w:w="108" w:type="dxa"/>
          </w:tblCellMar>
        </w:tblPrEx>
        <w:trPr>
          <w:trHeight w:val="310" w:hRule="atLeast"/>
        </w:trPr>
        <w:tc>
          <w:tcPr>
            <w:tcW w:w="2892" w:type="dxa"/>
            <w:gridSpan w:val="3"/>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中山明月峡矿区</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1798.02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897.76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2695.78 </w:t>
            </w:r>
          </w:p>
        </w:tc>
      </w:tr>
      <w:tr>
        <w:tblPrEx>
          <w:tblCellMar>
            <w:top w:w="0" w:type="dxa"/>
            <w:left w:w="108" w:type="dxa"/>
            <w:bottom w:w="0" w:type="dxa"/>
            <w:right w:w="108" w:type="dxa"/>
          </w:tblCellMar>
        </w:tblPrEx>
        <w:trPr>
          <w:trHeight w:val="31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1</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堡子煤矿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外大连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43.60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2.10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45.70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内大连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79.40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3.10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82.50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蛮碳</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88.10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90.70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54.30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4.00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58.30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265.40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277.20 </w:t>
            </w:r>
          </w:p>
        </w:tc>
      </w:tr>
      <w:tr>
        <w:tblPrEx>
          <w:tblCellMar>
            <w:top w:w="0" w:type="dxa"/>
            <w:left w:w="108" w:type="dxa"/>
            <w:bottom w:w="0" w:type="dxa"/>
            <w:right w:w="108" w:type="dxa"/>
          </w:tblCellMar>
        </w:tblPrEx>
        <w:trPr>
          <w:trHeight w:val="31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2</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荣华煤矿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正连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99.00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108.30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三夹连</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127.90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52.20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180.10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鸡毛炭</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0.00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71.70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71.70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226.90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133.20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360.10 </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3</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华家沟煤矿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平面内、标高内</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K9</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61.80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3.90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65.70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K10</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55.30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59.10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117.10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7.70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124.80 </w:t>
            </w:r>
          </w:p>
        </w:tc>
      </w:tr>
      <w:tr>
        <w:tblPrEx>
          <w:tblCellMar>
            <w:top w:w="0" w:type="dxa"/>
            <w:left w:w="108" w:type="dxa"/>
            <w:bottom w:w="0" w:type="dxa"/>
            <w:right w:w="108" w:type="dxa"/>
          </w:tblCellMar>
        </w:tblPrEx>
        <w:trPr>
          <w:trHeight w:val="35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平面内、标高外</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K9</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37.70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69.90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K10</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66.20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66.20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37.70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98.40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136.10 </w:t>
            </w:r>
          </w:p>
        </w:tc>
      </w:tr>
      <w:tr>
        <w:tblPrEx>
          <w:tblCellMar>
            <w:top w:w="0" w:type="dxa"/>
            <w:left w:w="108" w:type="dxa"/>
            <w:bottom w:w="0" w:type="dxa"/>
            <w:right w:w="108" w:type="dxa"/>
          </w:tblCellMar>
        </w:tblPrEx>
        <w:trPr>
          <w:trHeight w:val="35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增扩范围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K7</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36.60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133.80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170.40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36.60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133.80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170.40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合计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191.40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239.90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431.30 </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4</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孔家沟煤矿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K11</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26.30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K9</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151.20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65.50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216.70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16.18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66.00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227.80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336.90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133.90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470.80 </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5</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刘家沟联合煤矿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平面内、标高内</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K14</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67.65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67.65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54.72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28.45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83.17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K4</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45.76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45.76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K3</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65.76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51.87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117.63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46.54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46.54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233.89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126.86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360.75 </w:t>
            </w:r>
          </w:p>
        </w:tc>
      </w:tr>
      <w:tr>
        <w:tblPrEx>
          <w:tblCellMar>
            <w:top w:w="0" w:type="dxa"/>
            <w:left w:w="108" w:type="dxa"/>
            <w:bottom w:w="0" w:type="dxa"/>
            <w:right w:w="108" w:type="dxa"/>
          </w:tblCellMar>
        </w:tblPrEx>
        <w:trPr>
          <w:trHeight w:val="35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平面内、标高外</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K14</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32.08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32.08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32.08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32.08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合计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233.89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158.94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392.83 </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6</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牛郎沟煤矿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K7</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69.40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7.10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76.50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K8</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87.60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43.40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131.00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K13</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15.50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42.30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K14</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36.90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48.20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220.70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77.30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298.00 </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7</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平桥煤矿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平桥采矿权范围内</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6.40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22.40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K8</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15.30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11.40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26.70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K11</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42.60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15.40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58.00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K15</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56.50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56.50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32.70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163.10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33.20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196.30 </w:t>
            </w:r>
          </w:p>
        </w:tc>
      </w:tr>
      <w:tr>
        <w:tblPrEx>
          <w:tblCellMar>
            <w:top w:w="0" w:type="dxa"/>
            <w:left w:w="108" w:type="dxa"/>
            <w:bottom w:w="0" w:type="dxa"/>
            <w:right w:w="108" w:type="dxa"/>
          </w:tblCellMar>
        </w:tblPrEx>
        <w:trPr>
          <w:trHeight w:val="35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陈家河矿权范围内</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K8</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20.80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29.60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K11</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18.60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19.80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38.40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K15</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16.80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23.90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40.70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9.80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5.80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15.60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54.00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70.30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124.30 </w:t>
            </w:r>
          </w:p>
        </w:tc>
      </w:tr>
      <w:tr>
        <w:tblPrEx>
          <w:tblCellMar>
            <w:top w:w="0" w:type="dxa"/>
            <w:left w:w="108" w:type="dxa"/>
            <w:bottom w:w="0" w:type="dxa"/>
            <w:right w:w="108" w:type="dxa"/>
          </w:tblCellMar>
        </w:tblPrEx>
        <w:trPr>
          <w:trHeight w:val="350"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增扩范围</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K2</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K8</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K11</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K15</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2.10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2.10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K16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1.70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4.80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4.80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合计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221.90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103.50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325.40 </w:t>
            </w:r>
          </w:p>
        </w:tc>
      </w:tr>
      <w:tr>
        <w:tblPrEx>
          <w:tblCellMar>
            <w:top w:w="0" w:type="dxa"/>
            <w:left w:w="108" w:type="dxa"/>
            <w:bottom w:w="0" w:type="dxa"/>
            <w:right w:w="108" w:type="dxa"/>
          </w:tblCellMar>
        </w:tblPrEx>
        <w:trPr>
          <w:trHeight w:val="350" w:hRule="atLeast"/>
        </w:trPr>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8</w:t>
            </w:r>
          </w:p>
        </w:tc>
        <w:tc>
          <w:tcPr>
            <w:tcW w:w="749"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观音煤矿</w:t>
            </w:r>
          </w:p>
        </w:tc>
        <w:tc>
          <w:tcPr>
            <w:tcW w:w="139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现有矿权</w:t>
            </w: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K3</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33.70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18.44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52.14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K4</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34.26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0.00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34.26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K6</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32.97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12.04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45.01 </w:t>
            </w:r>
          </w:p>
        </w:tc>
      </w:tr>
      <w:tr>
        <w:tblPrEx>
          <w:tblCellMar>
            <w:top w:w="0" w:type="dxa"/>
            <w:left w:w="108" w:type="dxa"/>
            <w:bottom w:w="0" w:type="dxa"/>
            <w:right w:w="108" w:type="dxa"/>
          </w:tblCellMar>
        </w:tblPrEx>
        <w:trPr>
          <w:trHeight w:val="33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K7</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0.00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8.74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8.74 </w:t>
            </w:r>
          </w:p>
        </w:tc>
      </w:tr>
      <w:tr>
        <w:tblPrEx>
          <w:tblCellMar>
            <w:top w:w="0" w:type="dxa"/>
            <w:left w:w="108" w:type="dxa"/>
            <w:bottom w:w="0" w:type="dxa"/>
            <w:right w:w="108" w:type="dxa"/>
          </w:tblCellMar>
        </w:tblPrEx>
        <w:trPr>
          <w:trHeight w:val="295" w:hRule="atLeast"/>
        </w:trPr>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749"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小计</w:t>
            </w: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100.93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39.22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140.15 </w:t>
            </w:r>
          </w:p>
        </w:tc>
      </w:tr>
      <w:tr>
        <w:tblPrEx>
          <w:tblCellMar>
            <w:top w:w="0" w:type="dxa"/>
            <w:left w:w="108" w:type="dxa"/>
            <w:bottom w:w="0" w:type="dxa"/>
            <w:right w:w="108" w:type="dxa"/>
          </w:tblCellMar>
        </w:tblPrEx>
        <w:trPr>
          <w:trHeight w:val="295" w:hRule="atLeast"/>
        </w:trPr>
        <w:tc>
          <w:tcPr>
            <w:tcW w:w="749"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总计</w:t>
            </w:r>
          </w:p>
        </w:tc>
        <w:tc>
          <w:tcPr>
            <w:tcW w:w="749"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394"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1251"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p>
        </w:tc>
        <w:tc>
          <w:tcPr>
            <w:tcW w:w="875"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59.00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3556.97 </w:t>
            </w:r>
          </w:p>
        </w:tc>
        <w:tc>
          <w:tcPr>
            <w:tcW w:w="1067"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1490.43 </w:t>
            </w:r>
          </w:p>
        </w:tc>
        <w:tc>
          <w:tcPr>
            <w:tcW w:w="1068" w:type="dxa"/>
            <w:tcBorders>
              <w:top w:val="single" w:color="000000" w:sz="8" w:space="0"/>
              <w:left w:val="single" w:color="000000" w:sz="8" w:space="0"/>
              <w:bottom w:val="single" w:color="000000" w:sz="8" w:space="0"/>
              <w:right w:val="single" w:color="000000" w:sz="8" w:space="0"/>
            </w:tcBorders>
            <w:noWrap w:val="0"/>
            <w:vAlign w:val="center"/>
          </w:tcPr>
          <w:p>
            <w:pPr>
              <w:pStyle w:val="22"/>
              <w:bidi w:val="0"/>
              <w:rPr>
                <w:rFonts w:hint="default"/>
                <w:color w:val="auto"/>
                <w:highlight w:val="none"/>
              </w:rPr>
            </w:pPr>
            <w:r>
              <w:rPr>
                <w:rFonts w:hint="default"/>
                <w:color w:val="auto"/>
                <w:highlight w:val="none"/>
              </w:rPr>
              <w:t xml:space="preserve">5106.40 </w:t>
            </w:r>
          </w:p>
        </w:tc>
      </w:tr>
    </w:tbl>
    <w:p>
      <w:pPr>
        <w:bidi w:val="0"/>
        <w:rPr>
          <w:rFonts w:hint="default"/>
          <w:color w:val="auto"/>
          <w:highlight w:val="none"/>
          <w:lang w:val="en-US" w:eastAsia="zh-CN"/>
        </w:rPr>
      </w:pPr>
      <w:r>
        <w:rPr>
          <w:rFonts w:hint="default"/>
          <w:color w:val="auto"/>
          <w:highlight w:val="none"/>
          <w:lang w:val="en-US" w:eastAsia="zh-CN"/>
        </w:rPr>
        <w:t>4、其他有益矿产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根据区内各矿井提交的《矿井储量核实报告》、《矿井年度储量报告》等地质报告，各矿井无达到工业价值的其他有益矿产。</w:t>
      </w:r>
    </w:p>
    <w:p>
      <w:pPr>
        <w:pStyle w:val="7"/>
        <w:bidi w:val="0"/>
        <w:rPr>
          <w:rFonts w:hint="default"/>
          <w:color w:val="auto"/>
          <w:highlight w:val="none"/>
          <w:lang w:val="en-US" w:eastAsia="zh-CN"/>
        </w:rPr>
      </w:pPr>
      <w:r>
        <w:rPr>
          <w:rFonts w:hint="default"/>
          <w:color w:val="auto"/>
          <w:highlight w:val="none"/>
          <w:lang w:val="en-US" w:eastAsia="zh-CN"/>
        </w:rPr>
        <w:t>2.1.2.2 开采条件</w:t>
      </w:r>
    </w:p>
    <w:p>
      <w:pPr>
        <w:bidi w:val="0"/>
        <w:rPr>
          <w:rFonts w:hint="default"/>
          <w:color w:val="auto"/>
          <w:highlight w:val="none"/>
          <w:lang w:val="en-US" w:eastAsia="zh-CN"/>
        </w:rPr>
      </w:pPr>
      <w:r>
        <w:rPr>
          <w:rFonts w:hint="default"/>
          <w:color w:val="auto"/>
          <w:highlight w:val="none"/>
          <w:lang w:val="en-US" w:eastAsia="zh-CN"/>
        </w:rPr>
        <w:t>1、水文地质条件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水文地质特征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由西山(华蓥山背斜山脉)、中山(铜锣峡背斜山脉)、东山(明月峡背斜山脉)构成“三山两槽”的平行岭谷地形，由北东、南西向平行排列。三山之间为宽阔的槽谷，西槽(俗称山前)宽约18km；东槽(俗称山后)宽12km左右。海拔高程：西山较高，一般在+1000m左右，主峰万里坪高+1196.2m。东山、中山较低，一般为+900m左右。槽内丘陵起伏，一般为+400m左右，少数山丘达+500m～+600m。由于受横谷切割，多形成“V”字形沟谷，密布全区，区内无水库等大型地表水体，大气降水后地表径流条件较好，溪沟水流量较小，溪沟水对浅部矿坑充水有一定的影响。</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（2）含、隔水层特征</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本区含水层有灰岩岩溶含水层（中三叠统雷口坡组(T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)至上二迭统长兴组(P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c</w:t>
      </w:r>
      <w:r>
        <w:rPr>
          <w:rFonts w:hint="default" w:ascii="Times New Roman" w:hAnsi="Times New Roman" w:cs="Times New Roman"/>
          <w:color w:val="auto"/>
          <w:sz w:val="24"/>
          <w:szCs w:val="24"/>
          <w:highlight w:val="none"/>
        </w:rPr>
        <w:t>)）、三叠系上统须家河组(T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 )砂岩含水层。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rPr>
        <w:t>灰岩岩溶含水层：矿区出露地层为中三叠统雷口坡组(T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)至上二迭统长兴组(P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c</w:t>
      </w:r>
      <w:r>
        <w:rPr>
          <w:rFonts w:hint="default" w:ascii="Times New Roman" w:hAnsi="Times New Roman" w:cs="Times New Roman"/>
          <w:color w:val="auto"/>
          <w:sz w:val="24"/>
          <w:szCs w:val="24"/>
          <w:highlight w:val="none"/>
        </w:rPr>
        <w:t>)，钻孔揭露最老地层为下二迭统茅口组(P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m</w:t>
      </w:r>
      <w:r>
        <w:rPr>
          <w:rFonts w:hint="default" w:ascii="Times New Roman" w:hAnsi="Times New Roman" w:cs="Times New Roman"/>
          <w:color w:val="auto"/>
          <w:sz w:val="24"/>
          <w:szCs w:val="24"/>
          <w:highlight w:val="none"/>
        </w:rPr>
        <w:t>)。岩性主要为碳酸盐岩，碎屑岩次之。以岩性和岩溶裂隙(充水空间)发育程度的不同为依据划分含水层和隔水层。其中：中三叠统雷口坡组(T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)、下三叠统嘉陵江组(T</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j</w:t>
      </w:r>
      <w:r>
        <w:rPr>
          <w:rFonts w:hint="default" w:ascii="Times New Roman" w:hAnsi="Times New Roman" w:cs="Times New Roman"/>
          <w:color w:val="auto"/>
          <w:sz w:val="24"/>
          <w:szCs w:val="24"/>
          <w:highlight w:val="none"/>
        </w:rPr>
        <w:t>)、飞仙关组(T</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f</w:t>
      </w:r>
      <w:r>
        <w:rPr>
          <w:rFonts w:hint="default" w:ascii="Times New Roman" w:hAnsi="Times New Roman" w:cs="Times New Roman"/>
          <w:color w:val="auto"/>
          <w:sz w:val="24"/>
          <w:szCs w:val="24"/>
          <w:highlight w:val="none"/>
        </w:rPr>
        <w:t>)、上二迭统长兴组(P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c</w:t>
      </w:r>
      <w:r>
        <w:rPr>
          <w:rFonts w:hint="default" w:ascii="Times New Roman" w:hAnsi="Times New Roman" w:cs="Times New Roman"/>
          <w:color w:val="auto"/>
          <w:sz w:val="24"/>
          <w:szCs w:val="24"/>
          <w:highlight w:val="none"/>
        </w:rPr>
        <w:t>)、龙潭组(P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)和下二迭统茅口组(P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m</w:t>
      </w:r>
      <w:r>
        <w:rPr>
          <w:rFonts w:hint="default" w:ascii="Times New Roman" w:hAnsi="Times New Roman" w:cs="Times New Roman"/>
          <w:color w:val="auto"/>
          <w:sz w:val="24"/>
          <w:szCs w:val="24"/>
          <w:highlight w:val="none"/>
        </w:rPr>
        <w:t>)等各地层中的灰岩，为碳酸盐类岩石，具可溶性，其岩溶裂隙、溶洞不同程度相对发育，具良好的充水空间，为岩溶含水层。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rPr>
        <w:t>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 )砂岩含水层：本区以砂岩裂隙含水层为主，对煤层开拓有充分影响的含水层共4层，分布在T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zh地层中，含水层平均总厚度为92m，占该段地层平均总厚度的23.6%。各含水层之间都有大于10m的隔水层相隔。相互之间不发生水力联系。</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直接对矿井充水的含水层共有4层：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第一号含水层由三叠系上统须家河组第五段二亚段(T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5-2</w:t>
      </w:r>
      <w:r>
        <w:rPr>
          <w:rFonts w:hint="default" w:ascii="Times New Roman" w:hAnsi="Times New Roman" w:cs="Times New Roman"/>
          <w:color w:val="auto"/>
          <w:sz w:val="24"/>
          <w:szCs w:val="24"/>
          <w:highlight w:val="none"/>
        </w:rPr>
        <w:t>)的细～中粒砂岩组成。矿井巷道揭露初期水大，后期水量大大减少。可见该层富水性较弱。</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第二号含水层由T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和T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5-3</w:t>
      </w:r>
      <w:r>
        <w:rPr>
          <w:rFonts w:hint="default" w:ascii="Times New Roman" w:hAnsi="Times New Roman" w:cs="Times New Roman"/>
          <w:color w:val="auto"/>
          <w:sz w:val="24"/>
          <w:szCs w:val="24"/>
          <w:highlight w:val="none"/>
        </w:rPr>
        <w:t>顶部的细～中粒砂岩组成。一般仅对中煤组煤层开采有充水影响，通过抽、放水试验观测，该层富水性弱，深部比浅部更弱。</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第三号含水层由T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7-2</w:t>
      </w:r>
      <w:r>
        <w:rPr>
          <w:rFonts w:hint="default" w:ascii="Times New Roman" w:hAnsi="Times New Roman" w:cs="Times New Roman"/>
          <w:color w:val="auto"/>
          <w:sz w:val="24"/>
          <w:szCs w:val="24"/>
          <w:highlight w:val="none"/>
        </w:rPr>
        <w:t>的细～中粒砂岩组成。位于上煤组煤层之上2.43m～36.34m，一般9.8m。具有随深度增加该富水层相应减薄的规律。矿井揭露在此层一般都干枯无水，属富水性极弱的含水层。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第四号含水层由J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zh底部及T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7-3</w:t>
      </w:r>
      <w:r>
        <w:rPr>
          <w:rFonts w:hint="default" w:ascii="Times New Roman" w:hAnsi="Times New Roman" w:cs="Times New Roman"/>
          <w:color w:val="auto"/>
          <w:sz w:val="24"/>
          <w:szCs w:val="24"/>
          <w:highlight w:val="none"/>
        </w:rPr>
        <w:t>顶部的细粒砂岩组成。</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分布在T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zh地层中。各含水层之间都有大于10m的隔水层相隔。相互之间不发生水力联系。</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（3）地表水</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区内无大江大河，仅有东柳河、铜钵河、东河、黄滩河(西河)四条小河及竹溪河、柳城溪、兴隆河、清水河、八渡乡、上白水河、下白水河七条小溪(40km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以上)，全属长江水系，均发源于大竹县。</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（4）地下水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在天然状态下，受降水和地表水补给的三叠系上统须家河组第六段</w:t>
      </w:r>
      <w:r>
        <w:rPr>
          <w:rFonts w:hint="default" w:ascii="Times New Roman" w:hAnsi="Times New Roman" w:cs="Times New Roman"/>
          <w:color w:val="auto"/>
          <w:kern w:val="0"/>
          <w:sz w:val="24"/>
          <w:szCs w:val="24"/>
          <w:highlight w:val="none"/>
        </w:rPr>
        <w:t>(T</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i/>
          <w:color w:val="auto"/>
          <w:kern w:val="0"/>
          <w:sz w:val="24"/>
          <w:szCs w:val="24"/>
          <w:highlight w:val="none"/>
        </w:rPr>
        <w:t xml:space="preserve">xj </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、第七段二亚段</w:t>
      </w:r>
      <w:r>
        <w:rPr>
          <w:rFonts w:hint="default" w:ascii="Times New Roman" w:hAnsi="Times New Roman" w:cs="Times New Roman"/>
          <w:color w:val="auto"/>
          <w:kern w:val="0"/>
          <w:sz w:val="24"/>
          <w:szCs w:val="24"/>
          <w:highlight w:val="none"/>
        </w:rPr>
        <w:t>(T</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i/>
          <w:color w:val="auto"/>
          <w:kern w:val="0"/>
          <w:sz w:val="24"/>
          <w:szCs w:val="24"/>
          <w:highlight w:val="none"/>
        </w:rPr>
        <w:t xml:space="preserve">xj </w:t>
      </w:r>
      <w:r>
        <w:rPr>
          <w:rFonts w:hint="default" w:ascii="Times New Roman" w:hAnsi="Times New Roman" w:cs="Times New Roman"/>
          <w:color w:val="auto"/>
          <w:kern w:val="0"/>
          <w:sz w:val="24"/>
          <w:szCs w:val="24"/>
          <w:highlight w:val="none"/>
          <w:vertAlign w:val="superscript"/>
        </w:rPr>
        <w:t>7-2</w:t>
      </w:r>
      <w:r>
        <w:rPr>
          <w:rFonts w:hint="default" w:ascii="Times New Roman" w:hAnsi="Times New Roman" w:cs="Times New Roman"/>
          <w:color w:val="auto"/>
          <w:kern w:val="0"/>
          <w:sz w:val="24"/>
          <w:szCs w:val="24"/>
          <w:highlight w:val="none"/>
        </w:rPr>
        <w:t>)、侏罗系下统珍珠冲组</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color w:val="auto"/>
          <w:sz w:val="24"/>
          <w:szCs w:val="24"/>
          <w:highlight w:val="none"/>
        </w:rPr>
        <w:t>zh</w:t>
      </w:r>
      <w:r>
        <w:rPr>
          <w:rFonts w:hint="default" w:ascii="Times New Roman" w:hAnsi="Times New Roman" w:cs="Times New Roman"/>
          <w:color w:val="auto"/>
          <w:sz w:val="24"/>
          <w:szCs w:val="24"/>
          <w:highlight w:val="none"/>
        </w:rPr>
        <w:t>)底部</w:t>
      </w:r>
      <w:r>
        <w:rPr>
          <w:rFonts w:hint="default" w:ascii="Times New Roman" w:hAnsi="Times New Roman" w:cs="Times New Roman"/>
          <w:color w:val="auto"/>
          <w:kern w:val="0"/>
          <w:sz w:val="24"/>
          <w:szCs w:val="24"/>
          <w:highlight w:val="none"/>
        </w:rPr>
        <w:t>裂隙水在斜坡坡坎处浸出或流出，裂隙水补给地表水。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煤矿硐室是一个地下水人工流场，矿井井巷系统成为良好的地下集水廊道。开采煤层的导水裂隙进入顶板三叠系上统须家河组第六段</w:t>
      </w:r>
      <w:r>
        <w:rPr>
          <w:rFonts w:hint="default" w:ascii="Times New Roman" w:hAnsi="Times New Roman" w:cs="Times New Roman"/>
          <w:color w:val="auto"/>
          <w:kern w:val="0"/>
          <w:sz w:val="24"/>
          <w:szCs w:val="24"/>
          <w:highlight w:val="none"/>
        </w:rPr>
        <w:t>(T</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i/>
          <w:color w:val="auto"/>
          <w:kern w:val="0"/>
          <w:sz w:val="24"/>
          <w:szCs w:val="24"/>
          <w:highlight w:val="none"/>
        </w:rPr>
        <w:t>x</w:t>
      </w:r>
      <w:r>
        <w:rPr>
          <w:rFonts w:hint="default" w:ascii="Times New Roman" w:hAnsi="Times New Roman" w:cs="Times New Roman"/>
          <w:iCs/>
          <w:color w:val="auto"/>
          <w:kern w:val="0"/>
          <w:sz w:val="24"/>
          <w:szCs w:val="24"/>
          <w:highlight w:val="none"/>
        </w:rPr>
        <w:t>j</w:t>
      </w:r>
      <w:r>
        <w:rPr>
          <w:rFonts w:hint="default" w:ascii="Times New Roman" w:hAnsi="Times New Roman" w:cs="Times New Roman"/>
          <w:color w:val="auto"/>
          <w:kern w:val="0"/>
          <w:sz w:val="24"/>
          <w:szCs w:val="24"/>
          <w:highlight w:val="none"/>
          <w:vertAlign w:val="superscript"/>
        </w:rPr>
        <w:t>6</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、第七段二亚段</w:t>
      </w:r>
      <w:r>
        <w:rPr>
          <w:rFonts w:hint="default" w:ascii="Times New Roman" w:hAnsi="Times New Roman" w:cs="Times New Roman"/>
          <w:color w:val="auto"/>
          <w:kern w:val="0"/>
          <w:sz w:val="24"/>
          <w:szCs w:val="24"/>
          <w:highlight w:val="none"/>
        </w:rPr>
        <w:t>(T</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i/>
          <w:color w:val="auto"/>
          <w:kern w:val="0"/>
          <w:sz w:val="24"/>
          <w:szCs w:val="24"/>
          <w:highlight w:val="none"/>
        </w:rPr>
        <w:t xml:space="preserve">xj </w:t>
      </w:r>
      <w:r>
        <w:rPr>
          <w:rFonts w:hint="default" w:ascii="Times New Roman" w:hAnsi="Times New Roman" w:cs="Times New Roman"/>
          <w:color w:val="auto"/>
          <w:kern w:val="0"/>
          <w:sz w:val="24"/>
          <w:szCs w:val="24"/>
          <w:highlight w:val="none"/>
          <w:vertAlign w:val="superscript"/>
        </w:rPr>
        <w:t>7-2</w:t>
      </w:r>
      <w:r>
        <w:rPr>
          <w:rFonts w:hint="default" w:ascii="Times New Roman" w:hAnsi="Times New Roman" w:cs="Times New Roman"/>
          <w:color w:val="auto"/>
          <w:kern w:val="0"/>
          <w:sz w:val="24"/>
          <w:szCs w:val="24"/>
          <w:highlight w:val="none"/>
        </w:rPr>
        <w:t>)、侏罗系下统珍珠冲组</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color w:val="auto"/>
          <w:sz w:val="24"/>
          <w:szCs w:val="24"/>
          <w:highlight w:val="none"/>
        </w:rPr>
        <w:t>zh</w:t>
      </w:r>
      <w:r>
        <w:rPr>
          <w:rFonts w:hint="default" w:ascii="Times New Roman" w:hAnsi="Times New Roman" w:cs="Times New Roman"/>
          <w:color w:val="auto"/>
          <w:sz w:val="24"/>
          <w:szCs w:val="24"/>
          <w:highlight w:val="none"/>
        </w:rPr>
        <w:t>)底部砂岩裂隙含水层</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其</w:t>
      </w:r>
      <w:r>
        <w:rPr>
          <w:rFonts w:hint="default" w:ascii="Times New Roman" w:hAnsi="Times New Roman" w:cs="Times New Roman"/>
          <w:color w:val="auto"/>
          <w:kern w:val="0"/>
          <w:sz w:val="24"/>
          <w:szCs w:val="24"/>
          <w:highlight w:val="none"/>
        </w:rPr>
        <w:t>裂隙水在水压、重力等作用下</w:t>
      </w:r>
      <w:r>
        <w:rPr>
          <w:rFonts w:hint="default" w:ascii="Times New Roman" w:hAnsi="Times New Roman" w:cs="Times New Roman"/>
          <w:color w:val="auto"/>
          <w:sz w:val="24"/>
          <w:szCs w:val="24"/>
          <w:highlight w:val="none"/>
        </w:rPr>
        <w:t>不断汇入矿井成为矿井水，矿井水经人工抽排又补给地表溪沟水，构成井工采矿状态下的地下水人工流场。原裂隙水天然流场被逐渐改造，新的裂隙水人工流场逐步形成，并随着井巷的延伸(深)采掘，裂隙水补给矿井水的通道会加大，补给作用将增强。</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（5）断层水</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矿区各煤矿构造简单，断层不发育，各煤矿范围地表未发现大的断层，在矿井开采过程中，没有揭露对煤层开采有影响的断层。但在以后的采掘活动中有可能揭露隐伏断层。在未来揭露断层时，要注意断层水，由于断层的影响，连续煤层的断开和错位，认真分析断层的另一盘的煤层与断层一盘的含水层导通的可能性，做好揭露断层时防治水工作。</w:t>
      </w:r>
    </w:p>
    <w:p>
      <w:pPr>
        <w:bidi w:val="0"/>
        <w:rPr>
          <w:rFonts w:hint="default"/>
          <w:color w:val="auto"/>
          <w:highlight w:val="none"/>
          <w:lang w:val="en-US" w:eastAsia="zh-CN"/>
        </w:rPr>
      </w:pPr>
      <w:r>
        <w:rPr>
          <w:rFonts w:hint="default"/>
          <w:color w:val="auto"/>
          <w:highlight w:val="none"/>
          <w:lang w:val="en-US" w:eastAsia="zh-CN"/>
        </w:rPr>
        <w:t>2、煤尘爆炸、煤层自燃发火倾向和瓦斯</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瓦斯</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由于矿区地表起伏较大，煤层瓦斯封闭条件不同，各矿井各煤层瓦斯含量不尽相同。根据柏林煤矿2020年矿井瓦斯等级测定报告，矿井绝对瓦斯涌出量22.895m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/min，矿井相对瓦斯涌出量27.166m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/t，采面最大绝对瓦斯涌出量3.677m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/min，掘面最大绝对瓦斯涌出量0.551m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/min，为高瓦斯矿井。根据其余各矿井的瓦斯等级鉴定报告和煤层瓦斯参数测定报告，区内其余煤矿均为低瓦斯矿井。</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煤尘爆炸性</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根据各矿井煤尘爆炸性鉴定报告，</w:t>
      </w:r>
      <w:r>
        <w:rPr>
          <w:rFonts w:hint="default" w:ascii="Times New Roman" w:hAnsi="Times New Roman" w:cs="Times New Roman"/>
          <w:color w:val="auto"/>
          <w:sz w:val="24"/>
          <w:szCs w:val="24"/>
          <w:highlight w:val="none"/>
        </w:rPr>
        <w:t>柏林煤矿、田坝煤矿、</w:t>
      </w:r>
      <w:r>
        <w:rPr>
          <w:rFonts w:hint="default" w:ascii="Times New Roman" w:hAnsi="Times New Roman" w:cs="Times New Roman"/>
          <w:bCs/>
          <w:color w:val="auto"/>
          <w:sz w:val="24"/>
          <w:szCs w:val="24"/>
          <w:highlight w:val="none"/>
        </w:rPr>
        <w:t>刘家沟联合煤矿、牛郎沟煤矿所采煤层均有煤尘爆炸危险性，其余煤矿所采煤层均无煤尘爆炸危险性。</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3</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煤的自燃倾向性</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根据各矿井煤层自燃倾向性鉴定报告，区内各矿井所采煤层均为Ⅲ类不易自燃煤层。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各矿井开采条件如下：</w:t>
      </w:r>
    </w:p>
    <w:p>
      <w:pPr>
        <w:pStyle w:val="22"/>
        <w:bidi w:val="0"/>
        <w:rPr>
          <w:rFonts w:hint="default"/>
          <w:color w:val="auto"/>
          <w:highlight w:val="none"/>
          <w:lang w:val="en-US"/>
        </w:rPr>
      </w:pPr>
      <w:r>
        <w:rPr>
          <w:rFonts w:hint="default"/>
          <w:color w:val="auto"/>
          <w:highlight w:val="none"/>
          <w:lang w:val="en-US"/>
        </w:rPr>
        <w:t>表</w:t>
      </w:r>
      <w:r>
        <w:rPr>
          <w:rFonts w:hint="default"/>
          <w:color w:val="auto"/>
          <w:highlight w:val="none"/>
          <w:lang w:val="en-US" w:eastAsia="zh-CN"/>
        </w:rPr>
        <w:t>2.1.2-4</w:t>
      </w:r>
      <w:r>
        <w:rPr>
          <w:rFonts w:hint="default"/>
          <w:color w:val="auto"/>
          <w:highlight w:val="none"/>
          <w:lang w:val="en-US"/>
        </w:rPr>
        <w:t xml:space="preserve">                 各矿井开采技术条件表</w:t>
      </w:r>
    </w:p>
    <w:tbl>
      <w:tblPr>
        <w:tblStyle w:val="17"/>
        <w:tblW w:w="0" w:type="auto"/>
        <w:jc w:val="center"/>
        <w:tblLayout w:type="fixed"/>
        <w:tblCellMar>
          <w:top w:w="0" w:type="dxa"/>
          <w:left w:w="108" w:type="dxa"/>
          <w:bottom w:w="0" w:type="dxa"/>
          <w:right w:w="108" w:type="dxa"/>
        </w:tblCellMar>
      </w:tblPr>
      <w:tblGrid>
        <w:gridCol w:w="657"/>
        <w:gridCol w:w="1861"/>
        <w:gridCol w:w="1418"/>
        <w:gridCol w:w="1516"/>
        <w:gridCol w:w="1559"/>
        <w:gridCol w:w="1511"/>
      </w:tblGrid>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顺序</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名称</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矿井瓦斯等级</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煤层自燃倾向性</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煤尘爆炸性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水文地质类型</w:t>
            </w:r>
          </w:p>
        </w:tc>
      </w:tr>
      <w:tr>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华蓥山北段矿区</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柏林煤矿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高瓦斯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有爆炸性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田坝煤矿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有爆炸性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黑滩煤矿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大河沟煤矿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大硐坪煤矿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新桥红星煤矿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中山明月峡矿区</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堡子煤矿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复杂</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荣华煤矿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复杂</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华家沟煤矿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孔家沟煤矿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刘家沟联合煤矿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有爆炸性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简单</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牛郎沟煤矿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有爆炸性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平桥煤矿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r>
        <w:tblPrEx>
          <w:tblCellMar>
            <w:top w:w="0" w:type="dxa"/>
            <w:left w:w="108" w:type="dxa"/>
            <w:bottom w:w="0" w:type="dxa"/>
            <w:right w:w="108" w:type="dxa"/>
          </w:tblCellMar>
        </w:tblPrEx>
        <w:trPr>
          <w:trHeight w:val="454" w:hRule="atLeast"/>
          <w:jc w:val="center"/>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观音煤矿</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低瓦斯</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Ⅲ类不易自燃</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无爆炸性</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中等</w:t>
            </w:r>
          </w:p>
        </w:tc>
      </w:tr>
    </w:tbl>
    <w:p>
      <w:pPr>
        <w:pStyle w:val="6"/>
        <w:bidi w:val="0"/>
        <w:rPr>
          <w:rFonts w:hint="default"/>
          <w:color w:val="auto"/>
          <w:highlight w:val="none"/>
          <w:lang w:val="en-US" w:eastAsia="zh-CN"/>
        </w:rPr>
      </w:pPr>
      <w:bookmarkStart w:id="105" w:name="_Toc16762"/>
      <w:bookmarkStart w:id="106" w:name="_Toc15345"/>
      <w:r>
        <w:rPr>
          <w:rFonts w:hint="default"/>
          <w:color w:val="auto"/>
          <w:highlight w:val="none"/>
          <w:lang w:val="en-US" w:eastAsia="zh-CN"/>
        </w:rPr>
        <w:t>2.1.3 矿区开发历史与现状</w:t>
      </w:r>
      <w:bookmarkEnd w:id="105"/>
      <w:bookmarkEnd w:id="106"/>
    </w:p>
    <w:p>
      <w:pPr>
        <w:pStyle w:val="7"/>
        <w:bidi w:val="0"/>
        <w:rPr>
          <w:rFonts w:hint="default"/>
          <w:color w:val="auto"/>
          <w:highlight w:val="none"/>
          <w:lang w:val="en-US" w:eastAsia="zh-CN"/>
        </w:rPr>
      </w:pPr>
      <w:r>
        <w:rPr>
          <w:rFonts w:hint="default"/>
          <w:color w:val="auto"/>
          <w:highlight w:val="none"/>
          <w:lang w:val="en-US" w:eastAsia="zh-CN"/>
        </w:rPr>
        <w:t>2.1.3.1 矿区开发历史</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的煤炭工业，从1958年到1979年属发展高潮，特别是1974年至1975年，由于社队企业小煤窑的发展较快，全县达300多个煤矿，1994年发展到368个煤矿；从1970年末到2003年间曾多次清理、整顿、整合，到2006年全县保留了86个煤矿；2007年资源整合后剩余45个煤矿，生产规模378万吨/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目前大竹县仅剩余14个煤矿。大竹县近年主要关闭煤矿见表</w:t>
      </w:r>
      <w:r>
        <w:rPr>
          <w:rFonts w:hint="default" w:ascii="Times New Roman" w:hAnsi="Times New Roman" w:cs="Times New Roman"/>
          <w:color w:val="auto"/>
          <w:sz w:val="24"/>
          <w:szCs w:val="24"/>
          <w:highlight w:val="none"/>
          <w:lang w:val="en-US" w:eastAsia="zh-CN"/>
        </w:rPr>
        <w:t>2.1.3</w:t>
      </w:r>
      <w:r>
        <w:rPr>
          <w:rFonts w:hint="default" w:ascii="Times New Roman" w:hAnsi="Times New Roman" w:cs="Times New Roman"/>
          <w:color w:val="auto"/>
          <w:sz w:val="24"/>
          <w:szCs w:val="24"/>
          <w:highlight w:val="none"/>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sectPr>
          <w:pgSz w:w="11906" w:h="16838"/>
          <w:pgMar w:top="1440" w:right="1800" w:bottom="1440" w:left="1800" w:header="851" w:footer="992" w:gutter="0"/>
          <w:cols w:space="720" w:num="1"/>
          <w:docGrid w:type="lines" w:linePitch="312" w:charSpace="0"/>
        </w:sectPr>
      </w:pP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2.1.3-1</w:t>
      </w:r>
      <w:r>
        <w:rPr>
          <w:rFonts w:hint="default"/>
          <w:color w:val="auto"/>
          <w:highlight w:val="none"/>
        </w:rPr>
        <w:t xml:space="preserve">                                      大竹县近年主要关闭煤矿情况表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969"/>
        <w:gridCol w:w="1338"/>
        <w:gridCol w:w="1033"/>
        <w:gridCol w:w="1200"/>
        <w:gridCol w:w="2767"/>
        <w:gridCol w:w="944"/>
        <w:gridCol w:w="900"/>
        <w:gridCol w:w="1034"/>
        <w:gridCol w:w="900"/>
        <w:gridCol w:w="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93" w:type="dxa"/>
            <w:vMerge w:val="restart"/>
            <w:noWrap w:val="0"/>
            <w:vAlign w:val="center"/>
          </w:tcPr>
          <w:p>
            <w:pPr>
              <w:pStyle w:val="22"/>
              <w:bidi w:val="0"/>
              <w:rPr>
                <w:rFonts w:hint="default"/>
                <w:color w:val="auto"/>
                <w:highlight w:val="none"/>
              </w:rPr>
            </w:pPr>
            <w:r>
              <w:rPr>
                <w:rFonts w:hint="default"/>
                <w:color w:val="auto"/>
                <w:highlight w:val="none"/>
              </w:rPr>
              <w:t>序号</w:t>
            </w:r>
          </w:p>
        </w:tc>
        <w:tc>
          <w:tcPr>
            <w:tcW w:w="2969" w:type="dxa"/>
            <w:vMerge w:val="restart"/>
            <w:noWrap w:val="0"/>
            <w:vAlign w:val="center"/>
          </w:tcPr>
          <w:p>
            <w:pPr>
              <w:pStyle w:val="22"/>
              <w:bidi w:val="0"/>
              <w:rPr>
                <w:rFonts w:hint="default"/>
                <w:color w:val="auto"/>
                <w:highlight w:val="none"/>
              </w:rPr>
            </w:pPr>
            <w:r>
              <w:rPr>
                <w:rFonts w:hint="default"/>
                <w:color w:val="auto"/>
                <w:highlight w:val="none"/>
              </w:rPr>
              <w:t>矿井名称</w:t>
            </w:r>
          </w:p>
        </w:tc>
        <w:tc>
          <w:tcPr>
            <w:tcW w:w="1338" w:type="dxa"/>
            <w:vMerge w:val="restart"/>
            <w:noWrap w:val="0"/>
            <w:vAlign w:val="center"/>
          </w:tcPr>
          <w:p>
            <w:pPr>
              <w:pStyle w:val="22"/>
              <w:bidi w:val="0"/>
              <w:rPr>
                <w:rFonts w:hint="default"/>
                <w:color w:val="auto"/>
                <w:highlight w:val="none"/>
              </w:rPr>
            </w:pPr>
            <w:r>
              <w:rPr>
                <w:rFonts w:hint="default"/>
                <w:color w:val="auto"/>
                <w:highlight w:val="none"/>
              </w:rPr>
              <w:t>位置</w:t>
            </w:r>
          </w:p>
        </w:tc>
        <w:tc>
          <w:tcPr>
            <w:tcW w:w="1033" w:type="dxa"/>
            <w:vMerge w:val="restart"/>
            <w:noWrap w:val="0"/>
            <w:vAlign w:val="center"/>
          </w:tcPr>
          <w:p>
            <w:pPr>
              <w:pStyle w:val="22"/>
              <w:bidi w:val="0"/>
              <w:rPr>
                <w:rFonts w:hint="default"/>
                <w:color w:val="auto"/>
                <w:highlight w:val="none"/>
              </w:rPr>
            </w:pPr>
            <w:r>
              <w:rPr>
                <w:rFonts w:hint="default"/>
                <w:color w:val="auto"/>
                <w:highlight w:val="none"/>
              </w:rPr>
              <w:t>矿权面积(km2)</w:t>
            </w:r>
          </w:p>
        </w:tc>
        <w:tc>
          <w:tcPr>
            <w:tcW w:w="1200" w:type="dxa"/>
            <w:vMerge w:val="restart"/>
            <w:noWrap w:val="0"/>
            <w:vAlign w:val="center"/>
          </w:tcPr>
          <w:p>
            <w:pPr>
              <w:pStyle w:val="22"/>
              <w:bidi w:val="0"/>
              <w:rPr>
                <w:rFonts w:hint="default"/>
                <w:color w:val="auto"/>
                <w:highlight w:val="none"/>
              </w:rPr>
            </w:pPr>
            <w:r>
              <w:rPr>
                <w:rFonts w:hint="default"/>
                <w:color w:val="auto"/>
                <w:highlight w:val="none"/>
              </w:rPr>
              <w:t>开采标高</w:t>
            </w:r>
          </w:p>
          <w:p>
            <w:pPr>
              <w:pStyle w:val="22"/>
              <w:bidi w:val="0"/>
              <w:rPr>
                <w:rFonts w:hint="default"/>
                <w:color w:val="auto"/>
                <w:highlight w:val="none"/>
              </w:rPr>
            </w:pPr>
            <w:r>
              <w:rPr>
                <w:rFonts w:hint="default"/>
                <w:color w:val="auto"/>
                <w:highlight w:val="none"/>
              </w:rPr>
              <w:t>（m）</w:t>
            </w:r>
          </w:p>
        </w:tc>
        <w:tc>
          <w:tcPr>
            <w:tcW w:w="2767" w:type="dxa"/>
            <w:vMerge w:val="restart"/>
            <w:noWrap w:val="0"/>
            <w:vAlign w:val="center"/>
          </w:tcPr>
          <w:p>
            <w:pPr>
              <w:pStyle w:val="22"/>
              <w:bidi w:val="0"/>
              <w:rPr>
                <w:rFonts w:hint="default"/>
                <w:color w:val="auto"/>
                <w:highlight w:val="none"/>
              </w:rPr>
            </w:pPr>
            <w:r>
              <w:rPr>
                <w:rFonts w:hint="default"/>
                <w:color w:val="auto"/>
                <w:highlight w:val="none"/>
              </w:rPr>
              <w:t>开采煤层</w:t>
            </w:r>
          </w:p>
        </w:tc>
        <w:tc>
          <w:tcPr>
            <w:tcW w:w="944" w:type="dxa"/>
            <w:vMerge w:val="restart"/>
            <w:noWrap w:val="0"/>
            <w:vAlign w:val="center"/>
          </w:tcPr>
          <w:p>
            <w:pPr>
              <w:pStyle w:val="22"/>
              <w:bidi w:val="0"/>
              <w:rPr>
                <w:rFonts w:hint="default"/>
                <w:color w:val="auto"/>
                <w:highlight w:val="none"/>
              </w:rPr>
            </w:pPr>
            <w:r>
              <w:rPr>
                <w:rFonts w:hint="default"/>
                <w:color w:val="auto"/>
                <w:highlight w:val="none"/>
              </w:rPr>
              <w:t>生产能力（万吨/年）</w:t>
            </w:r>
          </w:p>
        </w:tc>
        <w:tc>
          <w:tcPr>
            <w:tcW w:w="1934" w:type="dxa"/>
            <w:gridSpan w:val="2"/>
            <w:noWrap w:val="0"/>
            <w:vAlign w:val="center"/>
          </w:tcPr>
          <w:p>
            <w:pPr>
              <w:pStyle w:val="22"/>
              <w:bidi w:val="0"/>
              <w:rPr>
                <w:rFonts w:hint="default"/>
                <w:color w:val="auto"/>
                <w:highlight w:val="none"/>
              </w:rPr>
            </w:pPr>
            <w:r>
              <w:rPr>
                <w:rFonts w:hint="default"/>
                <w:color w:val="auto"/>
                <w:highlight w:val="none"/>
              </w:rPr>
              <w:t>关闭原因</w:t>
            </w:r>
          </w:p>
        </w:tc>
        <w:tc>
          <w:tcPr>
            <w:tcW w:w="900" w:type="dxa"/>
            <w:vMerge w:val="restart"/>
            <w:noWrap w:val="0"/>
            <w:vAlign w:val="center"/>
          </w:tcPr>
          <w:p>
            <w:pPr>
              <w:pStyle w:val="22"/>
              <w:bidi w:val="0"/>
              <w:rPr>
                <w:rFonts w:hint="default"/>
                <w:color w:val="auto"/>
                <w:highlight w:val="none"/>
              </w:rPr>
            </w:pPr>
            <w:r>
              <w:rPr>
                <w:rFonts w:hint="default"/>
                <w:color w:val="auto"/>
                <w:highlight w:val="none"/>
              </w:rPr>
              <w:t>关闭时间</w:t>
            </w:r>
          </w:p>
        </w:tc>
        <w:tc>
          <w:tcPr>
            <w:tcW w:w="482" w:type="dxa"/>
            <w:vMerge w:val="restart"/>
            <w:noWrap w:val="0"/>
            <w:vAlign w:val="center"/>
          </w:tcPr>
          <w:p>
            <w:pPr>
              <w:pStyle w:val="22"/>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93" w:type="dxa"/>
            <w:vMerge w:val="continue"/>
            <w:noWrap w:val="0"/>
            <w:vAlign w:val="center"/>
          </w:tcPr>
          <w:p>
            <w:pPr>
              <w:pStyle w:val="22"/>
              <w:bidi w:val="0"/>
              <w:rPr>
                <w:rFonts w:hint="default"/>
                <w:color w:val="auto"/>
                <w:highlight w:val="none"/>
              </w:rPr>
            </w:pPr>
          </w:p>
        </w:tc>
        <w:tc>
          <w:tcPr>
            <w:tcW w:w="2969" w:type="dxa"/>
            <w:vMerge w:val="continue"/>
            <w:noWrap w:val="0"/>
            <w:vAlign w:val="center"/>
          </w:tcPr>
          <w:p>
            <w:pPr>
              <w:pStyle w:val="22"/>
              <w:bidi w:val="0"/>
              <w:rPr>
                <w:rFonts w:hint="default"/>
                <w:color w:val="auto"/>
                <w:highlight w:val="none"/>
              </w:rPr>
            </w:pPr>
          </w:p>
        </w:tc>
        <w:tc>
          <w:tcPr>
            <w:tcW w:w="1338" w:type="dxa"/>
            <w:vMerge w:val="continue"/>
            <w:noWrap w:val="0"/>
            <w:vAlign w:val="center"/>
          </w:tcPr>
          <w:p>
            <w:pPr>
              <w:pStyle w:val="22"/>
              <w:bidi w:val="0"/>
              <w:rPr>
                <w:rFonts w:hint="default"/>
                <w:color w:val="auto"/>
                <w:highlight w:val="none"/>
              </w:rPr>
            </w:pPr>
          </w:p>
        </w:tc>
        <w:tc>
          <w:tcPr>
            <w:tcW w:w="1033" w:type="dxa"/>
            <w:vMerge w:val="continue"/>
            <w:noWrap w:val="0"/>
            <w:vAlign w:val="center"/>
          </w:tcPr>
          <w:p>
            <w:pPr>
              <w:pStyle w:val="22"/>
              <w:bidi w:val="0"/>
              <w:rPr>
                <w:rFonts w:hint="default"/>
                <w:color w:val="auto"/>
                <w:highlight w:val="none"/>
              </w:rPr>
            </w:pPr>
          </w:p>
        </w:tc>
        <w:tc>
          <w:tcPr>
            <w:tcW w:w="1200" w:type="dxa"/>
            <w:vMerge w:val="continue"/>
            <w:noWrap w:val="0"/>
            <w:vAlign w:val="center"/>
          </w:tcPr>
          <w:p>
            <w:pPr>
              <w:pStyle w:val="22"/>
              <w:bidi w:val="0"/>
              <w:rPr>
                <w:rFonts w:hint="default"/>
                <w:color w:val="auto"/>
                <w:highlight w:val="none"/>
              </w:rPr>
            </w:pPr>
          </w:p>
        </w:tc>
        <w:tc>
          <w:tcPr>
            <w:tcW w:w="2767" w:type="dxa"/>
            <w:vMerge w:val="continue"/>
            <w:noWrap w:val="0"/>
            <w:vAlign w:val="center"/>
          </w:tcPr>
          <w:p>
            <w:pPr>
              <w:pStyle w:val="22"/>
              <w:bidi w:val="0"/>
              <w:rPr>
                <w:rFonts w:hint="default"/>
                <w:color w:val="auto"/>
                <w:highlight w:val="none"/>
              </w:rPr>
            </w:pPr>
          </w:p>
        </w:tc>
        <w:tc>
          <w:tcPr>
            <w:tcW w:w="944" w:type="dxa"/>
            <w:vMerge w:val="continue"/>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政策性关闭</w:t>
            </w:r>
          </w:p>
        </w:tc>
        <w:tc>
          <w:tcPr>
            <w:tcW w:w="1034" w:type="dxa"/>
            <w:noWrap w:val="0"/>
            <w:vAlign w:val="center"/>
          </w:tcPr>
          <w:p>
            <w:pPr>
              <w:pStyle w:val="22"/>
              <w:bidi w:val="0"/>
              <w:rPr>
                <w:rFonts w:hint="default"/>
                <w:color w:val="auto"/>
                <w:highlight w:val="none"/>
              </w:rPr>
            </w:pPr>
            <w:r>
              <w:rPr>
                <w:rFonts w:hint="default"/>
                <w:color w:val="auto"/>
                <w:highlight w:val="none"/>
              </w:rPr>
              <w:t>资源枯竭关闭</w:t>
            </w:r>
          </w:p>
        </w:tc>
        <w:tc>
          <w:tcPr>
            <w:tcW w:w="900" w:type="dxa"/>
            <w:vMerge w:val="continue"/>
            <w:noWrap w:val="0"/>
            <w:vAlign w:val="center"/>
          </w:tcPr>
          <w:p>
            <w:pPr>
              <w:pStyle w:val="22"/>
              <w:bidi w:val="0"/>
              <w:rPr>
                <w:rFonts w:hint="default"/>
                <w:color w:val="auto"/>
                <w:highlight w:val="none"/>
              </w:rPr>
            </w:pPr>
          </w:p>
        </w:tc>
        <w:tc>
          <w:tcPr>
            <w:tcW w:w="482"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w:t>
            </w:r>
          </w:p>
        </w:tc>
        <w:tc>
          <w:tcPr>
            <w:tcW w:w="2969" w:type="dxa"/>
            <w:noWrap w:val="0"/>
            <w:vAlign w:val="center"/>
          </w:tcPr>
          <w:p>
            <w:pPr>
              <w:pStyle w:val="22"/>
              <w:bidi w:val="0"/>
              <w:rPr>
                <w:rFonts w:hint="default"/>
                <w:color w:val="auto"/>
                <w:highlight w:val="none"/>
              </w:rPr>
            </w:pPr>
            <w:r>
              <w:rPr>
                <w:rFonts w:hint="default"/>
                <w:color w:val="auto"/>
                <w:highlight w:val="none"/>
              </w:rPr>
              <w:t>大竹县民主乡大河煤矿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0.7773</w:t>
            </w:r>
          </w:p>
        </w:tc>
        <w:tc>
          <w:tcPr>
            <w:tcW w:w="1200" w:type="dxa"/>
            <w:noWrap w:val="0"/>
            <w:vAlign w:val="center"/>
          </w:tcPr>
          <w:p>
            <w:pPr>
              <w:pStyle w:val="22"/>
              <w:bidi w:val="0"/>
              <w:rPr>
                <w:rFonts w:hint="default"/>
                <w:color w:val="auto"/>
                <w:highlight w:val="none"/>
              </w:rPr>
            </w:pPr>
            <w:r>
              <w:rPr>
                <w:rFonts w:hint="default"/>
                <w:color w:val="auto"/>
                <w:highlight w:val="none"/>
              </w:rPr>
              <w:t>878/763</w:t>
            </w:r>
          </w:p>
        </w:tc>
        <w:tc>
          <w:tcPr>
            <w:tcW w:w="2767" w:type="dxa"/>
            <w:noWrap w:val="0"/>
            <w:vAlign w:val="center"/>
          </w:tcPr>
          <w:p>
            <w:pPr>
              <w:pStyle w:val="22"/>
              <w:bidi w:val="0"/>
              <w:rPr>
                <w:rFonts w:hint="default"/>
                <w:color w:val="auto"/>
                <w:highlight w:val="none"/>
              </w:rPr>
            </w:pPr>
            <w:r>
              <w:rPr>
                <w:rFonts w:hint="default"/>
                <w:color w:val="auto"/>
                <w:highlight w:val="none"/>
              </w:rPr>
              <w:t>内双连</w:t>
            </w:r>
          </w:p>
        </w:tc>
        <w:tc>
          <w:tcPr>
            <w:tcW w:w="944" w:type="dxa"/>
            <w:noWrap w:val="0"/>
            <w:vAlign w:val="center"/>
          </w:tcPr>
          <w:p>
            <w:pPr>
              <w:pStyle w:val="22"/>
              <w:bidi w:val="0"/>
              <w:rPr>
                <w:rFonts w:hint="default"/>
                <w:color w:val="auto"/>
                <w:highlight w:val="none"/>
              </w:rPr>
            </w:pPr>
            <w:r>
              <w:rPr>
                <w:rFonts w:hint="default"/>
                <w:color w:val="auto"/>
                <w:highlight w:val="none"/>
              </w:rPr>
              <w:t>6</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w:t>
            </w:r>
          </w:p>
        </w:tc>
        <w:tc>
          <w:tcPr>
            <w:tcW w:w="2969" w:type="dxa"/>
            <w:noWrap w:val="0"/>
            <w:vAlign w:val="center"/>
          </w:tcPr>
          <w:p>
            <w:pPr>
              <w:pStyle w:val="22"/>
              <w:bidi w:val="0"/>
              <w:rPr>
                <w:rFonts w:hint="default"/>
                <w:color w:val="auto"/>
                <w:highlight w:val="none"/>
              </w:rPr>
            </w:pPr>
            <w:r>
              <w:rPr>
                <w:rFonts w:hint="default"/>
                <w:color w:val="auto"/>
                <w:highlight w:val="none"/>
              </w:rPr>
              <w:t>大竹县柏家乡五煤厂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1.0047</w:t>
            </w:r>
          </w:p>
        </w:tc>
        <w:tc>
          <w:tcPr>
            <w:tcW w:w="1200" w:type="dxa"/>
            <w:noWrap w:val="0"/>
            <w:vAlign w:val="center"/>
          </w:tcPr>
          <w:p>
            <w:pPr>
              <w:pStyle w:val="22"/>
              <w:bidi w:val="0"/>
              <w:rPr>
                <w:rFonts w:hint="default"/>
                <w:color w:val="auto"/>
                <w:highlight w:val="none"/>
              </w:rPr>
            </w:pPr>
            <w:r>
              <w:rPr>
                <w:rFonts w:hint="default"/>
                <w:color w:val="auto"/>
                <w:highlight w:val="none"/>
              </w:rPr>
              <w:t>860/650</w:t>
            </w:r>
          </w:p>
        </w:tc>
        <w:tc>
          <w:tcPr>
            <w:tcW w:w="2767" w:type="dxa"/>
            <w:noWrap w:val="0"/>
            <w:vAlign w:val="center"/>
          </w:tcPr>
          <w:p>
            <w:pPr>
              <w:pStyle w:val="22"/>
              <w:bidi w:val="0"/>
              <w:rPr>
                <w:rFonts w:hint="default"/>
                <w:color w:val="auto"/>
                <w:highlight w:val="none"/>
              </w:rPr>
            </w:pPr>
            <w:r>
              <w:rPr>
                <w:rFonts w:hint="default"/>
                <w:color w:val="auto"/>
                <w:highlight w:val="none"/>
              </w:rPr>
              <w:t>K16、K18</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w:t>
            </w:r>
          </w:p>
        </w:tc>
        <w:tc>
          <w:tcPr>
            <w:tcW w:w="2969" w:type="dxa"/>
            <w:noWrap w:val="0"/>
            <w:vAlign w:val="center"/>
          </w:tcPr>
          <w:p>
            <w:pPr>
              <w:pStyle w:val="22"/>
              <w:bidi w:val="0"/>
              <w:rPr>
                <w:rFonts w:hint="default"/>
                <w:color w:val="auto"/>
                <w:highlight w:val="none"/>
              </w:rPr>
            </w:pPr>
            <w:r>
              <w:rPr>
                <w:rFonts w:hint="default"/>
                <w:color w:val="auto"/>
                <w:highlight w:val="none"/>
              </w:rPr>
              <w:t>大竹县田坝筲箕湾联办煤矿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0.3132</w:t>
            </w:r>
          </w:p>
        </w:tc>
        <w:tc>
          <w:tcPr>
            <w:tcW w:w="1200" w:type="dxa"/>
            <w:noWrap w:val="0"/>
            <w:vAlign w:val="center"/>
          </w:tcPr>
          <w:p>
            <w:pPr>
              <w:pStyle w:val="22"/>
              <w:bidi w:val="0"/>
              <w:rPr>
                <w:rFonts w:hint="default"/>
                <w:color w:val="auto"/>
                <w:highlight w:val="none"/>
              </w:rPr>
            </w:pPr>
            <w:r>
              <w:rPr>
                <w:rFonts w:hint="default"/>
                <w:color w:val="auto"/>
                <w:highlight w:val="none"/>
              </w:rPr>
              <w:t>915/880</w:t>
            </w:r>
          </w:p>
        </w:tc>
        <w:tc>
          <w:tcPr>
            <w:tcW w:w="2767" w:type="dxa"/>
            <w:noWrap w:val="0"/>
            <w:vAlign w:val="center"/>
          </w:tcPr>
          <w:p>
            <w:pPr>
              <w:pStyle w:val="22"/>
              <w:bidi w:val="0"/>
              <w:rPr>
                <w:rFonts w:hint="default"/>
                <w:color w:val="auto"/>
                <w:highlight w:val="none"/>
              </w:rPr>
            </w:pPr>
            <w:r>
              <w:rPr>
                <w:rFonts w:hint="default"/>
                <w:color w:val="auto"/>
                <w:highlight w:val="none"/>
              </w:rPr>
              <w:t>内正连、底连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w:t>
            </w:r>
          </w:p>
        </w:tc>
        <w:tc>
          <w:tcPr>
            <w:tcW w:w="2969" w:type="dxa"/>
            <w:noWrap w:val="0"/>
            <w:vAlign w:val="center"/>
          </w:tcPr>
          <w:p>
            <w:pPr>
              <w:pStyle w:val="22"/>
              <w:bidi w:val="0"/>
              <w:rPr>
                <w:rFonts w:hint="default"/>
                <w:color w:val="auto"/>
                <w:highlight w:val="none"/>
              </w:rPr>
            </w:pPr>
            <w:r>
              <w:rPr>
                <w:rFonts w:hint="default"/>
                <w:color w:val="auto"/>
                <w:highlight w:val="none"/>
              </w:rPr>
              <w:t>大竹县福利煤厂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0.2328</w:t>
            </w:r>
          </w:p>
        </w:tc>
        <w:tc>
          <w:tcPr>
            <w:tcW w:w="1200" w:type="dxa"/>
            <w:noWrap w:val="0"/>
            <w:vAlign w:val="center"/>
          </w:tcPr>
          <w:p>
            <w:pPr>
              <w:pStyle w:val="22"/>
              <w:bidi w:val="0"/>
              <w:rPr>
                <w:rFonts w:hint="default"/>
                <w:color w:val="auto"/>
                <w:highlight w:val="none"/>
              </w:rPr>
            </w:pPr>
            <w:r>
              <w:rPr>
                <w:rFonts w:hint="default"/>
                <w:color w:val="auto"/>
                <w:highlight w:val="none"/>
              </w:rPr>
              <w:t>940/890</w:t>
            </w:r>
          </w:p>
        </w:tc>
        <w:tc>
          <w:tcPr>
            <w:tcW w:w="2767" w:type="dxa"/>
            <w:noWrap w:val="0"/>
            <w:vAlign w:val="center"/>
          </w:tcPr>
          <w:p>
            <w:pPr>
              <w:pStyle w:val="22"/>
              <w:bidi w:val="0"/>
              <w:rPr>
                <w:rFonts w:hint="default"/>
                <w:color w:val="auto"/>
                <w:highlight w:val="none"/>
              </w:rPr>
            </w:pPr>
            <w:r>
              <w:rPr>
                <w:rFonts w:hint="default"/>
                <w:color w:val="auto"/>
                <w:highlight w:val="none"/>
              </w:rPr>
              <w:t>内双连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w:t>
            </w:r>
          </w:p>
        </w:tc>
        <w:tc>
          <w:tcPr>
            <w:tcW w:w="2969" w:type="dxa"/>
            <w:noWrap w:val="0"/>
            <w:vAlign w:val="center"/>
          </w:tcPr>
          <w:p>
            <w:pPr>
              <w:pStyle w:val="22"/>
              <w:bidi w:val="0"/>
              <w:rPr>
                <w:rFonts w:hint="default"/>
                <w:color w:val="auto"/>
                <w:highlight w:val="none"/>
              </w:rPr>
            </w:pPr>
            <w:r>
              <w:rPr>
                <w:rFonts w:hint="default"/>
                <w:color w:val="auto"/>
                <w:highlight w:val="none"/>
              </w:rPr>
              <w:t>大竹县清水乡铁厂沟二煤厂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0.2503</w:t>
            </w:r>
          </w:p>
        </w:tc>
        <w:tc>
          <w:tcPr>
            <w:tcW w:w="1200" w:type="dxa"/>
            <w:noWrap w:val="0"/>
            <w:vAlign w:val="center"/>
          </w:tcPr>
          <w:p>
            <w:pPr>
              <w:pStyle w:val="22"/>
              <w:bidi w:val="0"/>
              <w:rPr>
                <w:rFonts w:hint="default"/>
                <w:color w:val="auto"/>
                <w:highlight w:val="none"/>
              </w:rPr>
            </w:pPr>
            <w:r>
              <w:rPr>
                <w:rFonts w:hint="default"/>
                <w:color w:val="auto"/>
                <w:highlight w:val="none"/>
              </w:rPr>
              <w:t>835/770</w:t>
            </w:r>
          </w:p>
        </w:tc>
        <w:tc>
          <w:tcPr>
            <w:tcW w:w="2767" w:type="dxa"/>
            <w:noWrap w:val="0"/>
            <w:vAlign w:val="center"/>
          </w:tcPr>
          <w:p>
            <w:pPr>
              <w:pStyle w:val="22"/>
              <w:bidi w:val="0"/>
              <w:rPr>
                <w:rFonts w:hint="default"/>
                <w:color w:val="auto"/>
                <w:highlight w:val="none"/>
              </w:rPr>
            </w:pPr>
            <w:r>
              <w:rPr>
                <w:rFonts w:hint="default"/>
                <w:color w:val="auto"/>
                <w:highlight w:val="none"/>
              </w:rPr>
              <w:t>三夹连、内连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6</w:t>
            </w:r>
          </w:p>
        </w:tc>
        <w:tc>
          <w:tcPr>
            <w:tcW w:w="2969" w:type="dxa"/>
            <w:noWrap w:val="0"/>
            <w:vAlign w:val="center"/>
          </w:tcPr>
          <w:p>
            <w:pPr>
              <w:pStyle w:val="22"/>
              <w:bidi w:val="0"/>
              <w:rPr>
                <w:rFonts w:hint="default"/>
                <w:color w:val="auto"/>
                <w:highlight w:val="none"/>
              </w:rPr>
            </w:pPr>
            <w:r>
              <w:rPr>
                <w:rFonts w:hint="default"/>
                <w:color w:val="auto"/>
                <w:highlight w:val="none"/>
              </w:rPr>
              <w:t>大竹县蓥清联营煤矿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0.4944</w:t>
            </w:r>
          </w:p>
        </w:tc>
        <w:tc>
          <w:tcPr>
            <w:tcW w:w="1200" w:type="dxa"/>
            <w:noWrap w:val="0"/>
            <w:vAlign w:val="center"/>
          </w:tcPr>
          <w:p>
            <w:pPr>
              <w:pStyle w:val="22"/>
              <w:bidi w:val="0"/>
              <w:rPr>
                <w:rFonts w:hint="default"/>
                <w:color w:val="auto"/>
                <w:highlight w:val="none"/>
              </w:rPr>
            </w:pPr>
            <w:r>
              <w:rPr>
                <w:rFonts w:hint="default"/>
                <w:color w:val="auto"/>
                <w:highlight w:val="none"/>
              </w:rPr>
              <w:t>585/535</w:t>
            </w:r>
          </w:p>
        </w:tc>
        <w:tc>
          <w:tcPr>
            <w:tcW w:w="2767" w:type="dxa"/>
            <w:noWrap w:val="0"/>
            <w:vAlign w:val="center"/>
          </w:tcPr>
          <w:p>
            <w:pPr>
              <w:pStyle w:val="22"/>
              <w:bidi w:val="0"/>
              <w:rPr>
                <w:rFonts w:hint="default"/>
                <w:color w:val="auto"/>
                <w:highlight w:val="none"/>
              </w:rPr>
            </w:pPr>
            <w:r>
              <w:rPr>
                <w:rFonts w:hint="default"/>
                <w:color w:val="auto"/>
                <w:highlight w:val="none"/>
              </w:rPr>
              <w:t>泡独连，硬独连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7</w:t>
            </w:r>
          </w:p>
        </w:tc>
        <w:tc>
          <w:tcPr>
            <w:tcW w:w="2969" w:type="dxa"/>
            <w:noWrap w:val="0"/>
            <w:vAlign w:val="center"/>
          </w:tcPr>
          <w:p>
            <w:pPr>
              <w:pStyle w:val="22"/>
              <w:bidi w:val="0"/>
              <w:rPr>
                <w:rFonts w:hint="default"/>
                <w:color w:val="auto"/>
                <w:highlight w:val="none"/>
              </w:rPr>
            </w:pPr>
            <w:r>
              <w:rPr>
                <w:rFonts w:hint="default"/>
                <w:color w:val="auto"/>
                <w:highlight w:val="none"/>
              </w:rPr>
              <w:t>大竹县小枫树煤矿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0.5457</w:t>
            </w:r>
          </w:p>
        </w:tc>
        <w:tc>
          <w:tcPr>
            <w:tcW w:w="1200" w:type="dxa"/>
            <w:noWrap w:val="0"/>
            <w:vAlign w:val="center"/>
          </w:tcPr>
          <w:p>
            <w:pPr>
              <w:pStyle w:val="22"/>
              <w:bidi w:val="0"/>
              <w:rPr>
                <w:rFonts w:hint="default"/>
                <w:color w:val="auto"/>
                <w:highlight w:val="none"/>
              </w:rPr>
            </w:pPr>
            <w:r>
              <w:rPr>
                <w:rFonts w:hint="default"/>
                <w:color w:val="auto"/>
                <w:highlight w:val="none"/>
              </w:rPr>
              <w:t>740/650</w:t>
            </w:r>
          </w:p>
        </w:tc>
        <w:tc>
          <w:tcPr>
            <w:tcW w:w="2767" w:type="dxa"/>
            <w:noWrap w:val="0"/>
            <w:vAlign w:val="center"/>
          </w:tcPr>
          <w:p>
            <w:pPr>
              <w:pStyle w:val="22"/>
              <w:bidi w:val="0"/>
              <w:rPr>
                <w:rFonts w:hint="default"/>
                <w:color w:val="auto"/>
                <w:highlight w:val="none"/>
              </w:rPr>
            </w:pPr>
            <w:r>
              <w:rPr>
                <w:rFonts w:hint="default"/>
                <w:color w:val="auto"/>
                <w:highlight w:val="none"/>
              </w:rPr>
              <w:t>三夹连、内连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8</w:t>
            </w:r>
          </w:p>
        </w:tc>
        <w:tc>
          <w:tcPr>
            <w:tcW w:w="2969" w:type="dxa"/>
            <w:noWrap w:val="0"/>
            <w:vAlign w:val="center"/>
          </w:tcPr>
          <w:p>
            <w:pPr>
              <w:pStyle w:val="22"/>
              <w:bidi w:val="0"/>
              <w:rPr>
                <w:rFonts w:hint="default"/>
                <w:color w:val="auto"/>
                <w:highlight w:val="none"/>
              </w:rPr>
            </w:pPr>
            <w:r>
              <w:rPr>
                <w:rFonts w:hint="default"/>
                <w:color w:val="auto"/>
                <w:highlight w:val="none"/>
              </w:rPr>
              <w:t>大竹县大枫树矿业有限责任公司黑水河煤矿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0.41</w:t>
            </w:r>
          </w:p>
        </w:tc>
        <w:tc>
          <w:tcPr>
            <w:tcW w:w="1200" w:type="dxa"/>
            <w:noWrap w:val="0"/>
            <w:vAlign w:val="center"/>
          </w:tcPr>
          <w:p>
            <w:pPr>
              <w:pStyle w:val="22"/>
              <w:bidi w:val="0"/>
              <w:rPr>
                <w:rFonts w:hint="default"/>
                <w:color w:val="auto"/>
                <w:highlight w:val="none"/>
              </w:rPr>
            </w:pPr>
            <w:r>
              <w:rPr>
                <w:rFonts w:hint="default"/>
                <w:color w:val="auto"/>
                <w:highlight w:val="none"/>
              </w:rPr>
              <w:t>580/459</w:t>
            </w:r>
          </w:p>
        </w:tc>
        <w:tc>
          <w:tcPr>
            <w:tcW w:w="2767" w:type="dxa"/>
            <w:noWrap w:val="0"/>
            <w:vAlign w:val="center"/>
          </w:tcPr>
          <w:p>
            <w:pPr>
              <w:pStyle w:val="22"/>
              <w:bidi w:val="0"/>
              <w:rPr>
                <w:rFonts w:hint="default"/>
                <w:color w:val="auto"/>
                <w:highlight w:val="none"/>
              </w:rPr>
            </w:pPr>
            <w:r>
              <w:rPr>
                <w:rFonts w:hint="default"/>
                <w:color w:val="auto"/>
                <w:highlight w:val="none"/>
              </w:rPr>
              <w:t>三夹连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9</w:t>
            </w:r>
          </w:p>
        </w:tc>
        <w:tc>
          <w:tcPr>
            <w:tcW w:w="2969" w:type="dxa"/>
            <w:noWrap w:val="0"/>
            <w:vAlign w:val="center"/>
          </w:tcPr>
          <w:p>
            <w:pPr>
              <w:pStyle w:val="22"/>
              <w:bidi w:val="0"/>
              <w:rPr>
                <w:rFonts w:hint="default"/>
                <w:color w:val="auto"/>
                <w:highlight w:val="none"/>
              </w:rPr>
            </w:pPr>
            <w:r>
              <w:rPr>
                <w:rFonts w:hint="default"/>
                <w:color w:val="auto"/>
                <w:highlight w:val="none"/>
              </w:rPr>
              <w:t>大竹县中华油坊沟联合煤厂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0.1351</w:t>
            </w:r>
          </w:p>
        </w:tc>
        <w:tc>
          <w:tcPr>
            <w:tcW w:w="1200" w:type="dxa"/>
            <w:noWrap w:val="0"/>
            <w:vAlign w:val="center"/>
          </w:tcPr>
          <w:p>
            <w:pPr>
              <w:pStyle w:val="22"/>
              <w:bidi w:val="0"/>
              <w:rPr>
                <w:rFonts w:hint="default"/>
                <w:color w:val="auto"/>
                <w:highlight w:val="none"/>
              </w:rPr>
            </w:pPr>
            <w:r>
              <w:rPr>
                <w:rFonts w:hint="default"/>
                <w:color w:val="auto"/>
                <w:highlight w:val="none"/>
              </w:rPr>
              <w:t>489/455</w:t>
            </w:r>
          </w:p>
        </w:tc>
        <w:tc>
          <w:tcPr>
            <w:tcW w:w="2767" w:type="dxa"/>
            <w:noWrap w:val="0"/>
            <w:vAlign w:val="center"/>
          </w:tcPr>
          <w:p>
            <w:pPr>
              <w:pStyle w:val="22"/>
              <w:bidi w:val="0"/>
              <w:rPr>
                <w:rFonts w:hint="default"/>
                <w:color w:val="auto"/>
                <w:highlight w:val="none"/>
              </w:rPr>
            </w:pPr>
            <w:r>
              <w:rPr>
                <w:rFonts w:hint="default"/>
                <w:color w:val="auto"/>
                <w:highlight w:val="none"/>
              </w:rPr>
              <w:t>三夹连、内正连</w:t>
            </w:r>
          </w:p>
        </w:tc>
        <w:tc>
          <w:tcPr>
            <w:tcW w:w="944" w:type="dxa"/>
            <w:noWrap w:val="0"/>
            <w:vAlign w:val="center"/>
          </w:tcPr>
          <w:p>
            <w:pPr>
              <w:pStyle w:val="22"/>
              <w:bidi w:val="0"/>
              <w:rPr>
                <w:rFonts w:hint="default"/>
                <w:color w:val="auto"/>
                <w:highlight w:val="none"/>
              </w:rPr>
            </w:pPr>
            <w:r>
              <w:rPr>
                <w:rFonts w:hint="default"/>
                <w:color w:val="auto"/>
                <w:highlight w:val="none"/>
              </w:rPr>
              <w:t>2</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10</w:t>
            </w:r>
          </w:p>
        </w:tc>
        <w:tc>
          <w:tcPr>
            <w:tcW w:w="2969" w:type="dxa"/>
            <w:noWrap w:val="0"/>
            <w:vAlign w:val="center"/>
          </w:tcPr>
          <w:p>
            <w:pPr>
              <w:pStyle w:val="22"/>
              <w:bidi w:val="0"/>
              <w:rPr>
                <w:rFonts w:hint="default"/>
                <w:color w:val="auto"/>
                <w:highlight w:val="none"/>
              </w:rPr>
            </w:pPr>
            <w:r>
              <w:rPr>
                <w:rFonts w:hint="default"/>
                <w:color w:val="auto"/>
                <w:highlight w:val="none"/>
              </w:rPr>
              <w:t>大竹县柏林镇柏树村聂家湾煤厂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0.1869</w:t>
            </w:r>
          </w:p>
        </w:tc>
        <w:tc>
          <w:tcPr>
            <w:tcW w:w="1200" w:type="dxa"/>
            <w:noWrap w:val="0"/>
            <w:vAlign w:val="center"/>
          </w:tcPr>
          <w:p>
            <w:pPr>
              <w:pStyle w:val="22"/>
              <w:bidi w:val="0"/>
              <w:rPr>
                <w:rFonts w:hint="default"/>
                <w:color w:val="auto"/>
                <w:highlight w:val="none"/>
              </w:rPr>
            </w:pPr>
            <w:r>
              <w:rPr>
                <w:rFonts w:hint="default"/>
                <w:color w:val="auto"/>
                <w:highlight w:val="none"/>
              </w:rPr>
              <w:t>790/745</w:t>
            </w:r>
          </w:p>
        </w:tc>
        <w:tc>
          <w:tcPr>
            <w:tcW w:w="2767" w:type="dxa"/>
            <w:noWrap w:val="0"/>
            <w:vAlign w:val="center"/>
          </w:tcPr>
          <w:p>
            <w:pPr>
              <w:pStyle w:val="22"/>
              <w:bidi w:val="0"/>
              <w:rPr>
                <w:rFonts w:hint="default"/>
                <w:color w:val="auto"/>
                <w:highlight w:val="none"/>
              </w:rPr>
            </w:pPr>
            <w:r>
              <w:rPr>
                <w:rFonts w:hint="default"/>
                <w:color w:val="auto"/>
                <w:highlight w:val="none"/>
              </w:rPr>
              <w:t>K16</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11</w:t>
            </w:r>
          </w:p>
        </w:tc>
        <w:tc>
          <w:tcPr>
            <w:tcW w:w="2969" w:type="dxa"/>
            <w:noWrap w:val="0"/>
            <w:vAlign w:val="center"/>
          </w:tcPr>
          <w:p>
            <w:pPr>
              <w:pStyle w:val="22"/>
              <w:bidi w:val="0"/>
              <w:rPr>
                <w:rFonts w:hint="default"/>
                <w:color w:val="auto"/>
                <w:highlight w:val="none"/>
              </w:rPr>
            </w:pPr>
            <w:r>
              <w:rPr>
                <w:rFonts w:hint="default"/>
                <w:color w:val="auto"/>
                <w:highlight w:val="none"/>
              </w:rPr>
              <w:t>大竹县柏林镇柏树村二工区煤厂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0.0865</w:t>
            </w:r>
          </w:p>
        </w:tc>
        <w:tc>
          <w:tcPr>
            <w:tcW w:w="1200" w:type="dxa"/>
            <w:noWrap w:val="0"/>
            <w:vAlign w:val="center"/>
          </w:tcPr>
          <w:p>
            <w:pPr>
              <w:pStyle w:val="22"/>
              <w:bidi w:val="0"/>
              <w:rPr>
                <w:rFonts w:hint="default"/>
                <w:color w:val="auto"/>
                <w:highlight w:val="none"/>
              </w:rPr>
            </w:pPr>
            <w:r>
              <w:rPr>
                <w:rFonts w:hint="default"/>
                <w:color w:val="auto"/>
                <w:highlight w:val="none"/>
              </w:rPr>
              <w:t>466/430</w:t>
            </w:r>
          </w:p>
        </w:tc>
        <w:tc>
          <w:tcPr>
            <w:tcW w:w="2767" w:type="dxa"/>
            <w:noWrap w:val="0"/>
            <w:vAlign w:val="center"/>
          </w:tcPr>
          <w:p>
            <w:pPr>
              <w:pStyle w:val="22"/>
              <w:bidi w:val="0"/>
              <w:rPr>
                <w:rFonts w:hint="default"/>
                <w:color w:val="auto"/>
                <w:highlight w:val="none"/>
              </w:rPr>
            </w:pPr>
            <w:r>
              <w:rPr>
                <w:rFonts w:hint="default"/>
                <w:color w:val="auto"/>
                <w:highlight w:val="none"/>
              </w:rPr>
              <w:t>K22</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12</w:t>
            </w:r>
          </w:p>
        </w:tc>
        <w:tc>
          <w:tcPr>
            <w:tcW w:w="2969" w:type="dxa"/>
            <w:noWrap w:val="0"/>
            <w:vAlign w:val="center"/>
          </w:tcPr>
          <w:p>
            <w:pPr>
              <w:pStyle w:val="22"/>
              <w:bidi w:val="0"/>
              <w:rPr>
                <w:rFonts w:hint="default"/>
                <w:color w:val="auto"/>
                <w:highlight w:val="none"/>
              </w:rPr>
            </w:pPr>
            <w:r>
              <w:rPr>
                <w:rFonts w:hint="default"/>
                <w:color w:val="auto"/>
                <w:highlight w:val="none"/>
              </w:rPr>
              <w:t>大竹县清河乡二马门煤矿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0.4836</w:t>
            </w:r>
          </w:p>
        </w:tc>
        <w:tc>
          <w:tcPr>
            <w:tcW w:w="1200" w:type="dxa"/>
            <w:noWrap w:val="0"/>
            <w:vAlign w:val="center"/>
          </w:tcPr>
          <w:p>
            <w:pPr>
              <w:pStyle w:val="22"/>
              <w:bidi w:val="0"/>
              <w:rPr>
                <w:rFonts w:hint="default"/>
                <w:color w:val="auto"/>
                <w:highlight w:val="none"/>
              </w:rPr>
            </w:pPr>
            <w:r>
              <w:rPr>
                <w:rFonts w:hint="default"/>
                <w:color w:val="auto"/>
                <w:highlight w:val="none"/>
              </w:rPr>
              <w:t>500/282</w:t>
            </w:r>
          </w:p>
        </w:tc>
        <w:tc>
          <w:tcPr>
            <w:tcW w:w="2767" w:type="dxa"/>
            <w:noWrap w:val="0"/>
            <w:vAlign w:val="center"/>
          </w:tcPr>
          <w:p>
            <w:pPr>
              <w:pStyle w:val="22"/>
              <w:bidi w:val="0"/>
              <w:rPr>
                <w:rFonts w:hint="default"/>
                <w:color w:val="auto"/>
                <w:highlight w:val="none"/>
              </w:rPr>
            </w:pPr>
            <w:r>
              <w:rPr>
                <w:rFonts w:hint="default"/>
                <w:color w:val="auto"/>
                <w:highlight w:val="none"/>
              </w:rPr>
              <w:t>K22、K24</w:t>
            </w:r>
          </w:p>
        </w:tc>
        <w:tc>
          <w:tcPr>
            <w:tcW w:w="944" w:type="dxa"/>
            <w:noWrap w:val="0"/>
            <w:vAlign w:val="center"/>
          </w:tcPr>
          <w:p>
            <w:pPr>
              <w:pStyle w:val="22"/>
              <w:bidi w:val="0"/>
              <w:rPr>
                <w:rFonts w:hint="default"/>
                <w:color w:val="auto"/>
                <w:highlight w:val="none"/>
              </w:rPr>
            </w:pPr>
            <w:r>
              <w:rPr>
                <w:rFonts w:hint="default"/>
                <w:color w:val="auto"/>
                <w:highlight w:val="none"/>
              </w:rPr>
              <w:t>2</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13</w:t>
            </w:r>
          </w:p>
        </w:tc>
        <w:tc>
          <w:tcPr>
            <w:tcW w:w="2969" w:type="dxa"/>
            <w:noWrap w:val="0"/>
            <w:vAlign w:val="center"/>
          </w:tcPr>
          <w:p>
            <w:pPr>
              <w:pStyle w:val="22"/>
              <w:bidi w:val="0"/>
              <w:rPr>
                <w:rFonts w:hint="default"/>
                <w:color w:val="auto"/>
                <w:highlight w:val="none"/>
              </w:rPr>
            </w:pPr>
            <w:r>
              <w:rPr>
                <w:rFonts w:hint="default"/>
                <w:color w:val="auto"/>
                <w:highlight w:val="none"/>
              </w:rPr>
              <w:t>大竹县清河镇一煤矿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1.065</w:t>
            </w:r>
          </w:p>
        </w:tc>
        <w:tc>
          <w:tcPr>
            <w:tcW w:w="1200" w:type="dxa"/>
            <w:noWrap w:val="0"/>
            <w:vAlign w:val="center"/>
          </w:tcPr>
          <w:p>
            <w:pPr>
              <w:pStyle w:val="22"/>
              <w:bidi w:val="0"/>
              <w:rPr>
                <w:rFonts w:hint="default"/>
                <w:color w:val="auto"/>
                <w:highlight w:val="none"/>
              </w:rPr>
            </w:pPr>
            <w:r>
              <w:rPr>
                <w:rFonts w:hint="default"/>
                <w:color w:val="auto"/>
                <w:highlight w:val="none"/>
              </w:rPr>
              <w:t>500/310</w:t>
            </w:r>
          </w:p>
        </w:tc>
        <w:tc>
          <w:tcPr>
            <w:tcW w:w="2767" w:type="dxa"/>
            <w:noWrap w:val="0"/>
            <w:vAlign w:val="center"/>
          </w:tcPr>
          <w:p>
            <w:pPr>
              <w:pStyle w:val="22"/>
              <w:bidi w:val="0"/>
              <w:rPr>
                <w:rFonts w:hint="default"/>
                <w:color w:val="auto"/>
                <w:highlight w:val="none"/>
              </w:rPr>
            </w:pPr>
            <w:r>
              <w:rPr>
                <w:rFonts w:hint="default"/>
                <w:color w:val="auto"/>
                <w:highlight w:val="none"/>
              </w:rPr>
              <w:t>K22、K24、K25、K16</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2008</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14</w:t>
            </w:r>
          </w:p>
        </w:tc>
        <w:tc>
          <w:tcPr>
            <w:tcW w:w="2969" w:type="dxa"/>
            <w:noWrap w:val="0"/>
            <w:vAlign w:val="center"/>
          </w:tcPr>
          <w:p>
            <w:pPr>
              <w:pStyle w:val="22"/>
              <w:bidi w:val="0"/>
              <w:rPr>
                <w:rFonts w:hint="default"/>
                <w:color w:val="auto"/>
                <w:highlight w:val="none"/>
              </w:rPr>
            </w:pPr>
            <w:r>
              <w:rPr>
                <w:rFonts w:hint="default"/>
                <w:color w:val="auto"/>
                <w:highlight w:val="none"/>
              </w:rPr>
              <w:t>大竹县清河戌佛煤厂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0.0865</w:t>
            </w:r>
          </w:p>
        </w:tc>
        <w:tc>
          <w:tcPr>
            <w:tcW w:w="1200" w:type="dxa"/>
            <w:noWrap w:val="0"/>
            <w:vAlign w:val="center"/>
          </w:tcPr>
          <w:p>
            <w:pPr>
              <w:pStyle w:val="22"/>
              <w:bidi w:val="0"/>
              <w:rPr>
                <w:rFonts w:hint="default"/>
                <w:color w:val="auto"/>
                <w:highlight w:val="none"/>
              </w:rPr>
            </w:pPr>
            <w:r>
              <w:rPr>
                <w:rFonts w:hint="default"/>
                <w:color w:val="auto"/>
                <w:highlight w:val="none"/>
              </w:rPr>
              <w:t>565/450</w:t>
            </w:r>
          </w:p>
        </w:tc>
        <w:tc>
          <w:tcPr>
            <w:tcW w:w="2767" w:type="dxa"/>
            <w:noWrap w:val="0"/>
            <w:vAlign w:val="center"/>
          </w:tcPr>
          <w:p>
            <w:pPr>
              <w:pStyle w:val="22"/>
              <w:bidi w:val="0"/>
              <w:rPr>
                <w:rFonts w:hint="default"/>
                <w:color w:val="auto"/>
                <w:highlight w:val="none"/>
              </w:rPr>
            </w:pPr>
            <w:r>
              <w:rPr>
                <w:rFonts w:hint="default"/>
                <w:color w:val="auto"/>
                <w:highlight w:val="none"/>
              </w:rPr>
              <w:t>K22</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15</w:t>
            </w:r>
          </w:p>
        </w:tc>
        <w:tc>
          <w:tcPr>
            <w:tcW w:w="2969" w:type="dxa"/>
            <w:noWrap w:val="0"/>
            <w:vAlign w:val="center"/>
          </w:tcPr>
          <w:p>
            <w:pPr>
              <w:pStyle w:val="22"/>
              <w:bidi w:val="0"/>
              <w:rPr>
                <w:rFonts w:hint="default"/>
                <w:color w:val="auto"/>
                <w:highlight w:val="none"/>
              </w:rPr>
            </w:pPr>
            <w:r>
              <w:rPr>
                <w:rFonts w:hint="default"/>
                <w:color w:val="auto"/>
                <w:highlight w:val="none"/>
              </w:rPr>
              <w:t>大竹县清河银庄煤厂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0.5334</w:t>
            </w:r>
          </w:p>
        </w:tc>
        <w:tc>
          <w:tcPr>
            <w:tcW w:w="1200" w:type="dxa"/>
            <w:noWrap w:val="0"/>
            <w:vAlign w:val="center"/>
          </w:tcPr>
          <w:p>
            <w:pPr>
              <w:pStyle w:val="22"/>
              <w:bidi w:val="0"/>
              <w:rPr>
                <w:rFonts w:hint="default"/>
                <w:color w:val="auto"/>
                <w:highlight w:val="none"/>
              </w:rPr>
            </w:pPr>
            <w:r>
              <w:rPr>
                <w:rFonts w:hint="default"/>
                <w:color w:val="auto"/>
                <w:highlight w:val="none"/>
              </w:rPr>
              <w:t>500/310</w:t>
            </w:r>
          </w:p>
        </w:tc>
        <w:tc>
          <w:tcPr>
            <w:tcW w:w="2767" w:type="dxa"/>
            <w:noWrap w:val="0"/>
            <w:vAlign w:val="center"/>
          </w:tcPr>
          <w:p>
            <w:pPr>
              <w:pStyle w:val="22"/>
              <w:bidi w:val="0"/>
              <w:rPr>
                <w:rFonts w:hint="default"/>
                <w:color w:val="auto"/>
                <w:highlight w:val="none"/>
              </w:rPr>
            </w:pPr>
            <w:r>
              <w:rPr>
                <w:rFonts w:hint="default"/>
                <w:color w:val="auto"/>
                <w:highlight w:val="none"/>
              </w:rPr>
              <w:t>K15、K16</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16</w:t>
            </w:r>
          </w:p>
        </w:tc>
        <w:tc>
          <w:tcPr>
            <w:tcW w:w="2969" w:type="dxa"/>
            <w:noWrap w:val="0"/>
            <w:vAlign w:val="center"/>
          </w:tcPr>
          <w:p>
            <w:pPr>
              <w:pStyle w:val="22"/>
              <w:bidi w:val="0"/>
              <w:rPr>
                <w:rFonts w:hint="default"/>
                <w:color w:val="auto"/>
                <w:highlight w:val="none"/>
              </w:rPr>
            </w:pPr>
            <w:r>
              <w:rPr>
                <w:rFonts w:hint="default"/>
                <w:color w:val="auto"/>
                <w:highlight w:val="none"/>
              </w:rPr>
              <w:t>大竹县清河区洞子沟煤矿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0.6607</w:t>
            </w:r>
          </w:p>
        </w:tc>
        <w:tc>
          <w:tcPr>
            <w:tcW w:w="1200" w:type="dxa"/>
            <w:noWrap w:val="0"/>
            <w:vAlign w:val="center"/>
          </w:tcPr>
          <w:p>
            <w:pPr>
              <w:pStyle w:val="22"/>
              <w:bidi w:val="0"/>
              <w:rPr>
                <w:rFonts w:hint="default"/>
                <w:color w:val="auto"/>
                <w:highlight w:val="none"/>
              </w:rPr>
            </w:pPr>
            <w:r>
              <w:rPr>
                <w:rFonts w:hint="default"/>
                <w:color w:val="auto"/>
                <w:highlight w:val="none"/>
              </w:rPr>
              <w:t>875/813</w:t>
            </w:r>
          </w:p>
        </w:tc>
        <w:tc>
          <w:tcPr>
            <w:tcW w:w="2767" w:type="dxa"/>
            <w:noWrap w:val="0"/>
            <w:vAlign w:val="center"/>
          </w:tcPr>
          <w:p>
            <w:pPr>
              <w:pStyle w:val="22"/>
              <w:bidi w:val="0"/>
              <w:rPr>
                <w:rFonts w:hint="default"/>
                <w:color w:val="auto"/>
                <w:highlight w:val="none"/>
              </w:rPr>
            </w:pPr>
            <w:r>
              <w:rPr>
                <w:rFonts w:hint="default"/>
                <w:color w:val="auto"/>
                <w:highlight w:val="none"/>
              </w:rPr>
              <w:t>正连、底连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17</w:t>
            </w:r>
          </w:p>
        </w:tc>
        <w:tc>
          <w:tcPr>
            <w:tcW w:w="2969" w:type="dxa"/>
            <w:noWrap w:val="0"/>
            <w:vAlign w:val="center"/>
          </w:tcPr>
          <w:p>
            <w:pPr>
              <w:pStyle w:val="22"/>
              <w:bidi w:val="0"/>
              <w:rPr>
                <w:rFonts w:hint="default"/>
                <w:color w:val="auto"/>
                <w:highlight w:val="none"/>
              </w:rPr>
            </w:pPr>
            <w:r>
              <w:rPr>
                <w:rFonts w:hint="default"/>
                <w:color w:val="auto"/>
                <w:highlight w:val="none"/>
              </w:rPr>
              <w:t>大竹县清河王家山煤厂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0.5565</w:t>
            </w:r>
          </w:p>
        </w:tc>
        <w:tc>
          <w:tcPr>
            <w:tcW w:w="1200" w:type="dxa"/>
            <w:noWrap w:val="0"/>
            <w:vAlign w:val="center"/>
          </w:tcPr>
          <w:p>
            <w:pPr>
              <w:pStyle w:val="22"/>
              <w:bidi w:val="0"/>
              <w:rPr>
                <w:rFonts w:hint="default"/>
                <w:color w:val="auto"/>
                <w:highlight w:val="none"/>
              </w:rPr>
            </w:pPr>
            <w:r>
              <w:rPr>
                <w:rFonts w:hint="default"/>
                <w:color w:val="auto"/>
                <w:highlight w:val="none"/>
              </w:rPr>
              <w:t>940/870</w:t>
            </w:r>
          </w:p>
        </w:tc>
        <w:tc>
          <w:tcPr>
            <w:tcW w:w="2767" w:type="dxa"/>
            <w:noWrap w:val="0"/>
            <w:vAlign w:val="center"/>
          </w:tcPr>
          <w:p>
            <w:pPr>
              <w:pStyle w:val="22"/>
              <w:bidi w:val="0"/>
              <w:rPr>
                <w:rFonts w:hint="default"/>
                <w:color w:val="auto"/>
                <w:highlight w:val="none"/>
              </w:rPr>
            </w:pPr>
            <w:r>
              <w:rPr>
                <w:rFonts w:hint="default"/>
                <w:color w:val="auto"/>
                <w:highlight w:val="none"/>
              </w:rPr>
              <w:t>K8</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18</w:t>
            </w:r>
          </w:p>
        </w:tc>
        <w:tc>
          <w:tcPr>
            <w:tcW w:w="2969" w:type="dxa"/>
            <w:noWrap w:val="0"/>
            <w:vAlign w:val="center"/>
          </w:tcPr>
          <w:p>
            <w:pPr>
              <w:pStyle w:val="22"/>
              <w:bidi w:val="0"/>
              <w:rPr>
                <w:rFonts w:hint="default"/>
                <w:color w:val="auto"/>
                <w:highlight w:val="none"/>
              </w:rPr>
            </w:pPr>
            <w:r>
              <w:rPr>
                <w:rFonts w:hint="default"/>
                <w:color w:val="auto"/>
                <w:highlight w:val="none"/>
              </w:rPr>
              <w:t>大竹县华清联营煤矿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0.5365</w:t>
            </w:r>
          </w:p>
        </w:tc>
        <w:tc>
          <w:tcPr>
            <w:tcW w:w="1200" w:type="dxa"/>
            <w:noWrap w:val="0"/>
            <w:vAlign w:val="center"/>
          </w:tcPr>
          <w:p>
            <w:pPr>
              <w:pStyle w:val="22"/>
              <w:bidi w:val="0"/>
              <w:rPr>
                <w:rFonts w:hint="default"/>
                <w:color w:val="auto"/>
                <w:highlight w:val="none"/>
              </w:rPr>
            </w:pPr>
            <w:r>
              <w:rPr>
                <w:rFonts w:hint="default"/>
                <w:color w:val="auto"/>
                <w:highlight w:val="none"/>
              </w:rPr>
              <w:t>690/637</w:t>
            </w:r>
          </w:p>
        </w:tc>
        <w:tc>
          <w:tcPr>
            <w:tcW w:w="2767" w:type="dxa"/>
            <w:noWrap w:val="0"/>
            <w:vAlign w:val="center"/>
          </w:tcPr>
          <w:p>
            <w:pPr>
              <w:pStyle w:val="22"/>
              <w:bidi w:val="0"/>
              <w:rPr>
                <w:rFonts w:hint="default"/>
                <w:color w:val="auto"/>
                <w:highlight w:val="none"/>
              </w:rPr>
            </w:pPr>
            <w:r>
              <w:rPr>
                <w:rFonts w:hint="default"/>
                <w:color w:val="auto"/>
                <w:highlight w:val="none"/>
              </w:rPr>
              <w:t>内夹连、双连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19</w:t>
            </w:r>
          </w:p>
        </w:tc>
        <w:tc>
          <w:tcPr>
            <w:tcW w:w="2969" w:type="dxa"/>
            <w:noWrap w:val="0"/>
            <w:vAlign w:val="center"/>
          </w:tcPr>
          <w:p>
            <w:pPr>
              <w:pStyle w:val="22"/>
              <w:bidi w:val="0"/>
              <w:rPr>
                <w:rFonts w:hint="default"/>
                <w:color w:val="auto"/>
                <w:highlight w:val="none"/>
              </w:rPr>
            </w:pPr>
            <w:r>
              <w:rPr>
                <w:rFonts w:hint="default"/>
                <w:color w:val="auto"/>
                <w:highlight w:val="none"/>
              </w:rPr>
              <w:t>大竹县田坝乡高口滩煤矿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0.4169</w:t>
            </w:r>
          </w:p>
        </w:tc>
        <w:tc>
          <w:tcPr>
            <w:tcW w:w="1200" w:type="dxa"/>
            <w:noWrap w:val="0"/>
            <w:vAlign w:val="center"/>
          </w:tcPr>
          <w:p>
            <w:pPr>
              <w:pStyle w:val="22"/>
              <w:bidi w:val="0"/>
              <w:rPr>
                <w:rFonts w:hint="default"/>
                <w:color w:val="auto"/>
                <w:highlight w:val="none"/>
              </w:rPr>
            </w:pPr>
            <w:r>
              <w:rPr>
                <w:rFonts w:hint="default"/>
                <w:color w:val="auto"/>
                <w:highlight w:val="none"/>
              </w:rPr>
              <w:t>428/383</w:t>
            </w:r>
          </w:p>
        </w:tc>
        <w:tc>
          <w:tcPr>
            <w:tcW w:w="2767" w:type="dxa"/>
            <w:noWrap w:val="0"/>
            <w:vAlign w:val="center"/>
          </w:tcPr>
          <w:p>
            <w:pPr>
              <w:pStyle w:val="22"/>
              <w:bidi w:val="0"/>
              <w:rPr>
                <w:rFonts w:hint="default"/>
                <w:color w:val="auto"/>
                <w:highlight w:val="none"/>
              </w:rPr>
            </w:pPr>
            <w:r>
              <w:rPr>
                <w:rFonts w:hint="default"/>
                <w:color w:val="auto"/>
                <w:highlight w:val="none"/>
              </w:rPr>
              <w:t>正连、阴土</w:t>
            </w:r>
          </w:p>
        </w:tc>
        <w:tc>
          <w:tcPr>
            <w:tcW w:w="944" w:type="dxa"/>
            <w:noWrap w:val="0"/>
            <w:vAlign w:val="center"/>
          </w:tcPr>
          <w:p>
            <w:pPr>
              <w:pStyle w:val="22"/>
              <w:bidi w:val="0"/>
              <w:rPr>
                <w:rFonts w:hint="default"/>
                <w:color w:val="auto"/>
                <w:highlight w:val="none"/>
              </w:rPr>
            </w:pPr>
            <w:r>
              <w:rPr>
                <w:rFonts w:hint="default"/>
                <w:color w:val="auto"/>
                <w:highlight w:val="none"/>
              </w:rPr>
              <w:t>2</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20</w:t>
            </w:r>
          </w:p>
        </w:tc>
        <w:tc>
          <w:tcPr>
            <w:tcW w:w="2969" w:type="dxa"/>
            <w:noWrap w:val="0"/>
            <w:vAlign w:val="center"/>
          </w:tcPr>
          <w:p>
            <w:pPr>
              <w:pStyle w:val="22"/>
              <w:bidi w:val="0"/>
              <w:rPr>
                <w:rFonts w:hint="default"/>
                <w:color w:val="auto"/>
                <w:highlight w:val="none"/>
              </w:rPr>
            </w:pPr>
            <w:r>
              <w:rPr>
                <w:rFonts w:hint="default"/>
                <w:color w:val="auto"/>
                <w:highlight w:val="none"/>
              </w:rPr>
              <w:t>大竹县川主乡煤矿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0.6919</w:t>
            </w:r>
          </w:p>
        </w:tc>
        <w:tc>
          <w:tcPr>
            <w:tcW w:w="1200" w:type="dxa"/>
            <w:noWrap w:val="0"/>
            <w:vAlign w:val="center"/>
          </w:tcPr>
          <w:p>
            <w:pPr>
              <w:pStyle w:val="22"/>
              <w:bidi w:val="0"/>
              <w:rPr>
                <w:rFonts w:hint="default"/>
                <w:color w:val="auto"/>
                <w:highlight w:val="none"/>
              </w:rPr>
            </w:pPr>
            <w:r>
              <w:rPr>
                <w:rFonts w:hint="default"/>
                <w:color w:val="auto"/>
                <w:highlight w:val="none"/>
              </w:rPr>
              <w:t>560/485</w:t>
            </w:r>
          </w:p>
        </w:tc>
        <w:tc>
          <w:tcPr>
            <w:tcW w:w="2767" w:type="dxa"/>
            <w:noWrap w:val="0"/>
            <w:vAlign w:val="center"/>
          </w:tcPr>
          <w:p>
            <w:pPr>
              <w:pStyle w:val="22"/>
              <w:bidi w:val="0"/>
              <w:rPr>
                <w:rFonts w:hint="default"/>
                <w:color w:val="auto"/>
                <w:highlight w:val="none"/>
              </w:rPr>
            </w:pPr>
            <w:r>
              <w:rPr>
                <w:rFonts w:hint="default"/>
                <w:color w:val="auto"/>
                <w:highlight w:val="none"/>
              </w:rPr>
              <w:t>三夹连、双连、硬炭</w:t>
            </w:r>
          </w:p>
        </w:tc>
        <w:tc>
          <w:tcPr>
            <w:tcW w:w="944" w:type="dxa"/>
            <w:noWrap w:val="0"/>
            <w:vAlign w:val="center"/>
          </w:tcPr>
          <w:p>
            <w:pPr>
              <w:pStyle w:val="22"/>
              <w:bidi w:val="0"/>
              <w:rPr>
                <w:rFonts w:hint="default"/>
                <w:color w:val="auto"/>
                <w:highlight w:val="none"/>
              </w:rPr>
            </w:pPr>
            <w:r>
              <w:rPr>
                <w:rFonts w:hint="default"/>
                <w:color w:val="auto"/>
                <w:highlight w:val="none"/>
              </w:rPr>
              <w:t>2</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21</w:t>
            </w:r>
          </w:p>
        </w:tc>
        <w:tc>
          <w:tcPr>
            <w:tcW w:w="2969" w:type="dxa"/>
            <w:noWrap w:val="0"/>
            <w:vAlign w:val="center"/>
          </w:tcPr>
          <w:p>
            <w:pPr>
              <w:pStyle w:val="22"/>
              <w:bidi w:val="0"/>
              <w:rPr>
                <w:rFonts w:hint="default"/>
                <w:color w:val="auto"/>
                <w:highlight w:val="none"/>
              </w:rPr>
            </w:pPr>
            <w:r>
              <w:rPr>
                <w:rFonts w:hint="default"/>
                <w:color w:val="auto"/>
                <w:highlight w:val="none"/>
              </w:rPr>
              <w:t>大竹县柏家乡马安村大岩煤厂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1.219</w:t>
            </w:r>
          </w:p>
        </w:tc>
        <w:tc>
          <w:tcPr>
            <w:tcW w:w="1200" w:type="dxa"/>
            <w:noWrap w:val="0"/>
            <w:vAlign w:val="center"/>
          </w:tcPr>
          <w:p>
            <w:pPr>
              <w:pStyle w:val="22"/>
              <w:bidi w:val="0"/>
              <w:rPr>
                <w:rFonts w:hint="default"/>
                <w:color w:val="auto"/>
                <w:highlight w:val="none"/>
              </w:rPr>
            </w:pPr>
            <w:r>
              <w:rPr>
                <w:rFonts w:hint="default"/>
                <w:color w:val="auto"/>
                <w:highlight w:val="none"/>
              </w:rPr>
              <w:t>787/725</w:t>
            </w:r>
          </w:p>
        </w:tc>
        <w:tc>
          <w:tcPr>
            <w:tcW w:w="2767" w:type="dxa"/>
            <w:noWrap w:val="0"/>
            <w:vAlign w:val="center"/>
          </w:tcPr>
          <w:p>
            <w:pPr>
              <w:pStyle w:val="22"/>
              <w:bidi w:val="0"/>
              <w:rPr>
                <w:rFonts w:hint="default"/>
                <w:color w:val="auto"/>
                <w:highlight w:val="none"/>
              </w:rPr>
            </w:pPr>
            <w:r>
              <w:rPr>
                <w:rFonts w:hint="default"/>
                <w:color w:val="auto"/>
                <w:highlight w:val="none"/>
              </w:rPr>
              <w:t>K17</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22</w:t>
            </w:r>
          </w:p>
        </w:tc>
        <w:tc>
          <w:tcPr>
            <w:tcW w:w="2969" w:type="dxa"/>
            <w:noWrap w:val="0"/>
            <w:vAlign w:val="center"/>
          </w:tcPr>
          <w:p>
            <w:pPr>
              <w:pStyle w:val="22"/>
              <w:bidi w:val="0"/>
              <w:rPr>
                <w:rFonts w:hint="default"/>
                <w:color w:val="auto"/>
                <w:highlight w:val="none"/>
              </w:rPr>
            </w:pPr>
            <w:r>
              <w:rPr>
                <w:rFonts w:hint="default"/>
                <w:color w:val="auto"/>
                <w:highlight w:val="none"/>
              </w:rPr>
              <w:t>大竹县民主乡二煤厂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0.247</w:t>
            </w:r>
          </w:p>
        </w:tc>
        <w:tc>
          <w:tcPr>
            <w:tcW w:w="1200" w:type="dxa"/>
            <w:noWrap w:val="0"/>
            <w:vAlign w:val="center"/>
          </w:tcPr>
          <w:p>
            <w:pPr>
              <w:pStyle w:val="22"/>
              <w:bidi w:val="0"/>
              <w:rPr>
                <w:rFonts w:hint="default"/>
                <w:color w:val="auto"/>
                <w:highlight w:val="none"/>
              </w:rPr>
            </w:pPr>
            <w:r>
              <w:rPr>
                <w:rFonts w:hint="default"/>
                <w:color w:val="auto"/>
                <w:highlight w:val="none"/>
              </w:rPr>
              <w:t>626/570</w:t>
            </w:r>
          </w:p>
        </w:tc>
        <w:tc>
          <w:tcPr>
            <w:tcW w:w="2767" w:type="dxa"/>
            <w:noWrap w:val="0"/>
            <w:vAlign w:val="center"/>
          </w:tcPr>
          <w:p>
            <w:pPr>
              <w:pStyle w:val="22"/>
              <w:bidi w:val="0"/>
              <w:rPr>
                <w:rFonts w:hint="default"/>
                <w:color w:val="auto"/>
                <w:highlight w:val="none"/>
              </w:rPr>
            </w:pPr>
            <w:r>
              <w:rPr>
                <w:rFonts w:hint="default"/>
                <w:color w:val="auto"/>
                <w:highlight w:val="none"/>
              </w:rPr>
              <w:t>三夹连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23</w:t>
            </w:r>
          </w:p>
        </w:tc>
        <w:tc>
          <w:tcPr>
            <w:tcW w:w="2969" w:type="dxa"/>
            <w:noWrap w:val="0"/>
            <w:vAlign w:val="center"/>
          </w:tcPr>
          <w:p>
            <w:pPr>
              <w:pStyle w:val="22"/>
              <w:bidi w:val="0"/>
              <w:rPr>
                <w:rFonts w:hint="default"/>
                <w:color w:val="auto"/>
                <w:highlight w:val="none"/>
              </w:rPr>
            </w:pPr>
            <w:r>
              <w:rPr>
                <w:rFonts w:hint="default"/>
                <w:color w:val="auto"/>
                <w:highlight w:val="none"/>
              </w:rPr>
              <w:t>大竹县县城西乡马龙村一煤厂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0.3144</w:t>
            </w:r>
          </w:p>
        </w:tc>
        <w:tc>
          <w:tcPr>
            <w:tcW w:w="1200" w:type="dxa"/>
            <w:noWrap w:val="0"/>
            <w:vAlign w:val="center"/>
          </w:tcPr>
          <w:p>
            <w:pPr>
              <w:pStyle w:val="22"/>
              <w:bidi w:val="0"/>
              <w:rPr>
                <w:rFonts w:hint="default"/>
                <w:color w:val="auto"/>
                <w:highlight w:val="none"/>
              </w:rPr>
            </w:pPr>
            <w:r>
              <w:rPr>
                <w:rFonts w:hint="default"/>
                <w:color w:val="auto"/>
                <w:highlight w:val="none"/>
              </w:rPr>
              <w:t>640/560</w:t>
            </w:r>
          </w:p>
        </w:tc>
        <w:tc>
          <w:tcPr>
            <w:tcW w:w="2767" w:type="dxa"/>
            <w:noWrap w:val="0"/>
            <w:vAlign w:val="center"/>
          </w:tcPr>
          <w:p>
            <w:pPr>
              <w:pStyle w:val="22"/>
              <w:bidi w:val="0"/>
              <w:rPr>
                <w:rFonts w:hint="default"/>
                <w:color w:val="auto"/>
                <w:highlight w:val="none"/>
              </w:rPr>
            </w:pPr>
            <w:r>
              <w:rPr>
                <w:rFonts w:hint="default"/>
                <w:color w:val="auto"/>
                <w:highlight w:val="none"/>
              </w:rPr>
              <w:t>硬炭</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24</w:t>
            </w:r>
          </w:p>
        </w:tc>
        <w:tc>
          <w:tcPr>
            <w:tcW w:w="2969" w:type="dxa"/>
            <w:noWrap w:val="0"/>
            <w:vAlign w:val="center"/>
          </w:tcPr>
          <w:p>
            <w:pPr>
              <w:pStyle w:val="22"/>
              <w:bidi w:val="0"/>
              <w:rPr>
                <w:rFonts w:hint="default"/>
                <w:color w:val="auto"/>
                <w:highlight w:val="none"/>
              </w:rPr>
            </w:pPr>
            <w:r>
              <w:rPr>
                <w:rFonts w:hint="default"/>
                <w:color w:val="auto"/>
                <w:highlight w:val="none"/>
              </w:rPr>
              <w:t>大竹县杨家区茶盘岩煤矿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0.3286</w:t>
            </w:r>
          </w:p>
        </w:tc>
        <w:tc>
          <w:tcPr>
            <w:tcW w:w="1200" w:type="dxa"/>
            <w:noWrap w:val="0"/>
            <w:vAlign w:val="center"/>
          </w:tcPr>
          <w:p>
            <w:pPr>
              <w:pStyle w:val="22"/>
              <w:bidi w:val="0"/>
              <w:rPr>
                <w:rFonts w:hint="default"/>
                <w:color w:val="auto"/>
                <w:highlight w:val="none"/>
              </w:rPr>
            </w:pPr>
            <w:r>
              <w:rPr>
                <w:rFonts w:hint="default"/>
                <w:color w:val="auto"/>
                <w:highlight w:val="none"/>
              </w:rPr>
              <w:t>718/625</w:t>
            </w:r>
          </w:p>
        </w:tc>
        <w:tc>
          <w:tcPr>
            <w:tcW w:w="2767" w:type="dxa"/>
            <w:noWrap w:val="0"/>
            <w:vAlign w:val="center"/>
          </w:tcPr>
          <w:p>
            <w:pPr>
              <w:pStyle w:val="22"/>
              <w:bidi w:val="0"/>
              <w:rPr>
                <w:rFonts w:hint="default"/>
                <w:color w:val="auto"/>
                <w:highlight w:val="none"/>
              </w:rPr>
            </w:pPr>
            <w:r>
              <w:rPr>
                <w:rFonts w:hint="default"/>
                <w:color w:val="auto"/>
                <w:highlight w:val="none"/>
              </w:rPr>
              <w:t>正连</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25</w:t>
            </w:r>
          </w:p>
        </w:tc>
        <w:tc>
          <w:tcPr>
            <w:tcW w:w="2969" w:type="dxa"/>
            <w:noWrap w:val="0"/>
            <w:vAlign w:val="center"/>
          </w:tcPr>
          <w:p>
            <w:pPr>
              <w:pStyle w:val="22"/>
              <w:bidi w:val="0"/>
              <w:rPr>
                <w:rFonts w:hint="default"/>
                <w:color w:val="auto"/>
                <w:highlight w:val="none"/>
              </w:rPr>
            </w:pPr>
            <w:r>
              <w:rPr>
                <w:rFonts w:hint="default"/>
                <w:color w:val="auto"/>
                <w:highlight w:val="none"/>
              </w:rPr>
              <w:t>达州地区团坝煤矿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4.47</w:t>
            </w:r>
          </w:p>
        </w:tc>
        <w:tc>
          <w:tcPr>
            <w:tcW w:w="1200" w:type="dxa"/>
            <w:noWrap w:val="0"/>
            <w:vAlign w:val="center"/>
          </w:tcPr>
          <w:p>
            <w:pPr>
              <w:pStyle w:val="22"/>
              <w:bidi w:val="0"/>
              <w:rPr>
                <w:rFonts w:hint="default"/>
                <w:color w:val="auto"/>
                <w:highlight w:val="none"/>
              </w:rPr>
            </w:pPr>
            <w:r>
              <w:rPr>
                <w:rFonts w:hint="default"/>
                <w:color w:val="auto"/>
                <w:highlight w:val="none"/>
              </w:rPr>
              <w:t>460/0</w:t>
            </w:r>
          </w:p>
        </w:tc>
        <w:tc>
          <w:tcPr>
            <w:tcW w:w="2767" w:type="dxa"/>
            <w:noWrap w:val="0"/>
            <w:vAlign w:val="center"/>
          </w:tcPr>
          <w:p>
            <w:pPr>
              <w:pStyle w:val="22"/>
              <w:bidi w:val="0"/>
              <w:rPr>
                <w:rFonts w:hint="default"/>
                <w:color w:val="auto"/>
                <w:highlight w:val="none"/>
              </w:rPr>
            </w:pPr>
            <w:r>
              <w:rPr>
                <w:rFonts w:hint="default"/>
                <w:color w:val="auto"/>
                <w:highlight w:val="none"/>
              </w:rPr>
              <w:t>外大连、内大连、蛮炭、四夹连、三连子、夹子连、泡炭、背影</w:t>
            </w:r>
          </w:p>
        </w:tc>
        <w:tc>
          <w:tcPr>
            <w:tcW w:w="944" w:type="dxa"/>
            <w:noWrap w:val="0"/>
            <w:vAlign w:val="center"/>
          </w:tcPr>
          <w:p>
            <w:pPr>
              <w:pStyle w:val="22"/>
              <w:bidi w:val="0"/>
              <w:rPr>
                <w:rFonts w:hint="default"/>
                <w:color w:val="auto"/>
                <w:highlight w:val="none"/>
              </w:rPr>
            </w:pPr>
            <w:r>
              <w:rPr>
                <w:rFonts w:hint="default"/>
                <w:color w:val="auto"/>
                <w:highlight w:val="none"/>
              </w:rPr>
              <w:t>21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2015</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26</w:t>
            </w:r>
          </w:p>
        </w:tc>
        <w:tc>
          <w:tcPr>
            <w:tcW w:w="2969" w:type="dxa"/>
            <w:noWrap w:val="0"/>
            <w:vAlign w:val="center"/>
          </w:tcPr>
          <w:p>
            <w:pPr>
              <w:pStyle w:val="22"/>
              <w:bidi w:val="0"/>
              <w:rPr>
                <w:rFonts w:hint="default"/>
                <w:color w:val="auto"/>
                <w:highlight w:val="none"/>
              </w:rPr>
            </w:pPr>
            <w:r>
              <w:rPr>
                <w:rFonts w:hint="default"/>
                <w:color w:val="auto"/>
                <w:highlight w:val="none"/>
              </w:rPr>
              <w:t>大竹县栗家村上茶园煤厂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0.1877</w:t>
            </w:r>
          </w:p>
        </w:tc>
        <w:tc>
          <w:tcPr>
            <w:tcW w:w="1200" w:type="dxa"/>
            <w:noWrap w:val="0"/>
            <w:vAlign w:val="center"/>
          </w:tcPr>
          <w:p>
            <w:pPr>
              <w:pStyle w:val="22"/>
              <w:bidi w:val="0"/>
              <w:rPr>
                <w:rFonts w:hint="default"/>
                <w:color w:val="auto"/>
                <w:highlight w:val="none"/>
              </w:rPr>
            </w:pPr>
            <w:r>
              <w:rPr>
                <w:rFonts w:hint="default"/>
                <w:color w:val="auto"/>
                <w:highlight w:val="none"/>
              </w:rPr>
              <w:t>760/705</w:t>
            </w:r>
          </w:p>
        </w:tc>
        <w:tc>
          <w:tcPr>
            <w:tcW w:w="2767" w:type="dxa"/>
            <w:noWrap w:val="0"/>
            <w:vAlign w:val="center"/>
          </w:tcPr>
          <w:p>
            <w:pPr>
              <w:pStyle w:val="22"/>
              <w:bidi w:val="0"/>
              <w:rPr>
                <w:rFonts w:hint="default"/>
                <w:color w:val="auto"/>
                <w:highlight w:val="none"/>
              </w:rPr>
            </w:pPr>
            <w:r>
              <w:rPr>
                <w:rFonts w:hint="default"/>
                <w:color w:val="auto"/>
                <w:highlight w:val="none"/>
              </w:rPr>
              <w:t>K18</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27</w:t>
            </w:r>
          </w:p>
        </w:tc>
        <w:tc>
          <w:tcPr>
            <w:tcW w:w="2969" w:type="dxa"/>
            <w:noWrap w:val="0"/>
            <w:vAlign w:val="center"/>
          </w:tcPr>
          <w:p>
            <w:pPr>
              <w:pStyle w:val="22"/>
              <w:bidi w:val="0"/>
              <w:rPr>
                <w:rFonts w:hint="default"/>
                <w:color w:val="auto"/>
                <w:highlight w:val="none"/>
              </w:rPr>
            </w:pPr>
            <w:r>
              <w:rPr>
                <w:rFonts w:hint="default"/>
                <w:color w:val="auto"/>
                <w:highlight w:val="none"/>
              </w:rPr>
              <w:t>大竹县柏林镇161煤矿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0.4149</w:t>
            </w:r>
          </w:p>
        </w:tc>
        <w:tc>
          <w:tcPr>
            <w:tcW w:w="1200" w:type="dxa"/>
            <w:noWrap w:val="0"/>
            <w:vAlign w:val="center"/>
          </w:tcPr>
          <w:p>
            <w:pPr>
              <w:pStyle w:val="22"/>
              <w:bidi w:val="0"/>
              <w:rPr>
                <w:rFonts w:hint="default"/>
                <w:color w:val="auto"/>
                <w:highlight w:val="none"/>
              </w:rPr>
            </w:pPr>
            <w:r>
              <w:rPr>
                <w:rFonts w:hint="default"/>
                <w:color w:val="auto"/>
                <w:highlight w:val="none"/>
              </w:rPr>
              <w:t>457/310</w:t>
            </w:r>
          </w:p>
        </w:tc>
        <w:tc>
          <w:tcPr>
            <w:tcW w:w="2767" w:type="dxa"/>
            <w:noWrap w:val="0"/>
            <w:vAlign w:val="center"/>
          </w:tcPr>
          <w:p>
            <w:pPr>
              <w:pStyle w:val="22"/>
              <w:bidi w:val="0"/>
              <w:rPr>
                <w:rFonts w:hint="default"/>
                <w:color w:val="auto"/>
                <w:highlight w:val="none"/>
              </w:rPr>
            </w:pPr>
            <w:r>
              <w:rPr>
                <w:rFonts w:hint="default"/>
                <w:color w:val="auto"/>
                <w:highlight w:val="none"/>
              </w:rPr>
              <w:t>K16</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28</w:t>
            </w:r>
          </w:p>
        </w:tc>
        <w:tc>
          <w:tcPr>
            <w:tcW w:w="2969" w:type="dxa"/>
            <w:noWrap w:val="0"/>
            <w:vAlign w:val="center"/>
          </w:tcPr>
          <w:p>
            <w:pPr>
              <w:pStyle w:val="22"/>
              <w:bidi w:val="0"/>
              <w:rPr>
                <w:rFonts w:hint="default"/>
                <w:color w:val="auto"/>
                <w:highlight w:val="none"/>
              </w:rPr>
            </w:pPr>
            <w:r>
              <w:rPr>
                <w:rFonts w:hint="default"/>
                <w:color w:val="auto"/>
                <w:highlight w:val="none"/>
              </w:rPr>
              <w:t>大竹县牌坊乡石马门一煤厂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2.013</w:t>
            </w:r>
          </w:p>
        </w:tc>
        <w:tc>
          <w:tcPr>
            <w:tcW w:w="1200" w:type="dxa"/>
            <w:noWrap w:val="0"/>
            <w:vAlign w:val="center"/>
          </w:tcPr>
          <w:p>
            <w:pPr>
              <w:pStyle w:val="22"/>
              <w:bidi w:val="0"/>
              <w:rPr>
                <w:rFonts w:hint="default"/>
                <w:color w:val="auto"/>
                <w:highlight w:val="none"/>
              </w:rPr>
            </w:pPr>
            <w:r>
              <w:rPr>
                <w:rFonts w:hint="default"/>
                <w:color w:val="auto"/>
                <w:highlight w:val="none"/>
              </w:rPr>
              <w:t>500/200</w:t>
            </w:r>
          </w:p>
        </w:tc>
        <w:tc>
          <w:tcPr>
            <w:tcW w:w="2767" w:type="dxa"/>
            <w:noWrap w:val="0"/>
            <w:vAlign w:val="center"/>
          </w:tcPr>
          <w:p>
            <w:pPr>
              <w:pStyle w:val="22"/>
              <w:bidi w:val="0"/>
              <w:rPr>
                <w:rFonts w:hint="default"/>
                <w:color w:val="auto"/>
                <w:highlight w:val="none"/>
              </w:rPr>
            </w:pPr>
            <w:r>
              <w:rPr>
                <w:rFonts w:hint="default"/>
                <w:color w:val="auto"/>
                <w:highlight w:val="none"/>
              </w:rPr>
              <w:t>五大连、大独连</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29</w:t>
            </w:r>
          </w:p>
        </w:tc>
        <w:tc>
          <w:tcPr>
            <w:tcW w:w="2969" w:type="dxa"/>
            <w:noWrap w:val="0"/>
            <w:vAlign w:val="center"/>
          </w:tcPr>
          <w:p>
            <w:pPr>
              <w:pStyle w:val="22"/>
              <w:bidi w:val="0"/>
              <w:rPr>
                <w:rFonts w:hint="default"/>
                <w:color w:val="auto"/>
                <w:highlight w:val="none"/>
              </w:rPr>
            </w:pPr>
            <w:r>
              <w:rPr>
                <w:rFonts w:hint="default"/>
                <w:color w:val="auto"/>
                <w:highlight w:val="none"/>
              </w:rPr>
              <w:t>大竹县泰安煤业有限公司欧家煤矿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0.7275</w:t>
            </w:r>
          </w:p>
        </w:tc>
        <w:tc>
          <w:tcPr>
            <w:tcW w:w="1200" w:type="dxa"/>
            <w:noWrap w:val="0"/>
            <w:vAlign w:val="center"/>
          </w:tcPr>
          <w:p>
            <w:pPr>
              <w:pStyle w:val="22"/>
              <w:bidi w:val="0"/>
              <w:rPr>
                <w:rFonts w:hint="default"/>
                <w:color w:val="auto"/>
                <w:highlight w:val="none"/>
              </w:rPr>
            </w:pPr>
            <w:r>
              <w:rPr>
                <w:rFonts w:hint="default"/>
                <w:color w:val="auto"/>
                <w:highlight w:val="none"/>
              </w:rPr>
              <w:t>473/0</w:t>
            </w:r>
          </w:p>
        </w:tc>
        <w:tc>
          <w:tcPr>
            <w:tcW w:w="2767" w:type="dxa"/>
            <w:noWrap w:val="0"/>
            <w:vAlign w:val="center"/>
          </w:tcPr>
          <w:p>
            <w:pPr>
              <w:pStyle w:val="22"/>
              <w:bidi w:val="0"/>
              <w:rPr>
                <w:rFonts w:hint="default"/>
                <w:color w:val="auto"/>
                <w:highlight w:val="none"/>
              </w:rPr>
            </w:pPr>
            <w:r>
              <w:rPr>
                <w:rFonts w:hint="default"/>
                <w:color w:val="auto"/>
                <w:highlight w:val="none"/>
              </w:rPr>
              <w:t>四夹连、独连</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30</w:t>
            </w:r>
          </w:p>
        </w:tc>
        <w:tc>
          <w:tcPr>
            <w:tcW w:w="2969" w:type="dxa"/>
            <w:noWrap w:val="0"/>
            <w:vAlign w:val="center"/>
          </w:tcPr>
          <w:p>
            <w:pPr>
              <w:pStyle w:val="22"/>
              <w:bidi w:val="0"/>
              <w:rPr>
                <w:rFonts w:hint="default"/>
                <w:color w:val="auto"/>
                <w:highlight w:val="none"/>
              </w:rPr>
            </w:pPr>
            <w:r>
              <w:rPr>
                <w:rFonts w:hint="default"/>
                <w:color w:val="auto"/>
                <w:highlight w:val="none"/>
              </w:rPr>
              <w:t>大竹县黄家乡红花山联办煤矿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1.7481</w:t>
            </w:r>
          </w:p>
        </w:tc>
        <w:tc>
          <w:tcPr>
            <w:tcW w:w="1200" w:type="dxa"/>
            <w:noWrap w:val="0"/>
            <w:vAlign w:val="center"/>
          </w:tcPr>
          <w:p>
            <w:pPr>
              <w:pStyle w:val="22"/>
              <w:bidi w:val="0"/>
              <w:rPr>
                <w:rFonts w:hint="default"/>
                <w:color w:val="auto"/>
                <w:highlight w:val="none"/>
              </w:rPr>
            </w:pPr>
            <w:r>
              <w:rPr>
                <w:rFonts w:hint="default"/>
                <w:color w:val="auto"/>
                <w:highlight w:val="none"/>
              </w:rPr>
              <w:t>473/0</w:t>
            </w:r>
          </w:p>
        </w:tc>
        <w:tc>
          <w:tcPr>
            <w:tcW w:w="2767" w:type="dxa"/>
            <w:noWrap w:val="0"/>
            <w:vAlign w:val="center"/>
          </w:tcPr>
          <w:p>
            <w:pPr>
              <w:pStyle w:val="22"/>
              <w:bidi w:val="0"/>
              <w:rPr>
                <w:rFonts w:hint="default"/>
                <w:color w:val="auto"/>
                <w:highlight w:val="none"/>
              </w:rPr>
            </w:pPr>
            <w:r>
              <w:rPr>
                <w:rFonts w:hint="default"/>
                <w:color w:val="auto"/>
                <w:highlight w:val="none"/>
              </w:rPr>
              <w:t>双连、内正连</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31</w:t>
            </w:r>
          </w:p>
        </w:tc>
        <w:tc>
          <w:tcPr>
            <w:tcW w:w="2969" w:type="dxa"/>
            <w:noWrap w:val="0"/>
            <w:vAlign w:val="center"/>
          </w:tcPr>
          <w:p>
            <w:pPr>
              <w:pStyle w:val="22"/>
              <w:bidi w:val="0"/>
              <w:rPr>
                <w:rFonts w:hint="default"/>
                <w:color w:val="auto"/>
                <w:highlight w:val="none"/>
              </w:rPr>
            </w:pPr>
            <w:r>
              <w:rPr>
                <w:rFonts w:hint="default"/>
                <w:color w:val="auto"/>
                <w:highlight w:val="none"/>
              </w:rPr>
              <w:t>大竹县隆源煤业有限公司桂花煤矿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2.3888</w:t>
            </w:r>
          </w:p>
        </w:tc>
        <w:tc>
          <w:tcPr>
            <w:tcW w:w="1200" w:type="dxa"/>
            <w:noWrap w:val="0"/>
            <w:vAlign w:val="center"/>
          </w:tcPr>
          <w:p>
            <w:pPr>
              <w:pStyle w:val="22"/>
              <w:bidi w:val="0"/>
              <w:rPr>
                <w:rFonts w:hint="default"/>
                <w:color w:val="auto"/>
                <w:highlight w:val="none"/>
              </w:rPr>
            </w:pPr>
            <w:r>
              <w:rPr>
                <w:rFonts w:hint="default"/>
                <w:color w:val="auto"/>
                <w:highlight w:val="none"/>
              </w:rPr>
              <w:t>387/0</w:t>
            </w:r>
          </w:p>
        </w:tc>
        <w:tc>
          <w:tcPr>
            <w:tcW w:w="2767" w:type="dxa"/>
            <w:noWrap w:val="0"/>
            <w:vAlign w:val="center"/>
          </w:tcPr>
          <w:p>
            <w:pPr>
              <w:pStyle w:val="22"/>
              <w:bidi w:val="0"/>
              <w:rPr>
                <w:rFonts w:hint="default"/>
                <w:color w:val="auto"/>
                <w:highlight w:val="none"/>
              </w:rPr>
            </w:pPr>
            <w:r>
              <w:rPr>
                <w:rFonts w:hint="default"/>
                <w:color w:val="auto"/>
                <w:highlight w:val="none"/>
              </w:rPr>
              <w:t>内正连、三夹连</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32</w:t>
            </w:r>
          </w:p>
        </w:tc>
        <w:tc>
          <w:tcPr>
            <w:tcW w:w="2969" w:type="dxa"/>
            <w:noWrap w:val="0"/>
            <w:vAlign w:val="center"/>
          </w:tcPr>
          <w:p>
            <w:pPr>
              <w:pStyle w:val="22"/>
              <w:bidi w:val="0"/>
              <w:rPr>
                <w:rFonts w:hint="default"/>
                <w:color w:val="auto"/>
                <w:highlight w:val="none"/>
              </w:rPr>
            </w:pPr>
            <w:r>
              <w:rPr>
                <w:rFonts w:hint="default"/>
                <w:color w:val="auto"/>
                <w:highlight w:val="none"/>
              </w:rPr>
              <w:t>大竹县红旗煤业有限责任公司城西煤矿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7.802</w:t>
            </w:r>
          </w:p>
        </w:tc>
        <w:tc>
          <w:tcPr>
            <w:tcW w:w="1200" w:type="dxa"/>
            <w:noWrap w:val="0"/>
            <w:vAlign w:val="center"/>
          </w:tcPr>
          <w:p>
            <w:pPr>
              <w:pStyle w:val="22"/>
              <w:bidi w:val="0"/>
              <w:rPr>
                <w:rFonts w:hint="default"/>
                <w:color w:val="auto"/>
                <w:highlight w:val="none"/>
              </w:rPr>
            </w:pPr>
            <w:r>
              <w:rPr>
                <w:rFonts w:hint="default"/>
                <w:color w:val="auto"/>
                <w:highlight w:val="none"/>
              </w:rPr>
              <w:t>480/0</w:t>
            </w:r>
          </w:p>
        </w:tc>
        <w:tc>
          <w:tcPr>
            <w:tcW w:w="2767" w:type="dxa"/>
            <w:noWrap w:val="0"/>
            <w:vAlign w:val="center"/>
          </w:tcPr>
          <w:p>
            <w:pPr>
              <w:pStyle w:val="22"/>
              <w:bidi w:val="0"/>
              <w:rPr>
                <w:rFonts w:hint="default"/>
                <w:color w:val="auto"/>
                <w:highlight w:val="none"/>
              </w:rPr>
            </w:pPr>
            <w:r>
              <w:rPr>
                <w:rFonts w:hint="default"/>
                <w:color w:val="auto"/>
                <w:highlight w:val="none"/>
              </w:rPr>
              <w:t>双连、硬炭、三夹连</w:t>
            </w:r>
          </w:p>
        </w:tc>
        <w:tc>
          <w:tcPr>
            <w:tcW w:w="944" w:type="dxa"/>
            <w:noWrap w:val="0"/>
            <w:vAlign w:val="center"/>
          </w:tcPr>
          <w:p>
            <w:pPr>
              <w:pStyle w:val="22"/>
              <w:bidi w:val="0"/>
              <w:rPr>
                <w:rFonts w:hint="default"/>
                <w:color w:val="auto"/>
                <w:highlight w:val="none"/>
              </w:rPr>
            </w:pPr>
            <w:r>
              <w:rPr>
                <w:rFonts w:hint="default"/>
                <w:color w:val="auto"/>
                <w:highlight w:val="none"/>
              </w:rPr>
              <w:t>6</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2021</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33</w:t>
            </w:r>
          </w:p>
        </w:tc>
        <w:tc>
          <w:tcPr>
            <w:tcW w:w="2969" w:type="dxa"/>
            <w:noWrap w:val="0"/>
            <w:vAlign w:val="center"/>
          </w:tcPr>
          <w:p>
            <w:pPr>
              <w:pStyle w:val="22"/>
              <w:bidi w:val="0"/>
              <w:rPr>
                <w:rFonts w:hint="default"/>
                <w:color w:val="auto"/>
                <w:highlight w:val="none"/>
              </w:rPr>
            </w:pPr>
            <w:r>
              <w:rPr>
                <w:rFonts w:hint="default"/>
                <w:color w:val="auto"/>
                <w:highlight w:val="none"/>
              </w:rPr>
              <w:t>大竹县大枫树矿业有限责任公司大枫树煤矿</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3.8182</w:t>
            </w:r>
          </w:p>
        </w:tc>
        <w:tc>
          <w:tcPr>
            <w:tcW w:w="1200" w:type="dxa"/>
            <w:noWrap w:val="0"/>
            <w:vAlign w:val="center"/>
          </w:tcPr>
          <w:p>
            <w:pPr>
              <w:pStyle w:val="22"/>
              <w:bidi w:val="0"/>
              <w:rPr>
                <w:rFonts w:hint="default"/>
                <w:color w:val="auto"/>
                <w:highlight w:val="none"/>
              </w:rPr>
            </w:pPr>
            <w:r>
              <w:rPr>
                <w:rFonts w:hint="default"/>
                <w:color w:val="auto"/>
                <w:highlight w:val="none"/>
              </w:rPr>
              <w:t>580/100</w:t>
            </w:r>
          </w:p>
        </w:tc>
        <w:tc>
          <w:tcPr>
            <w:tcW w:w="2767" w:type="dxa"/>
            <w:noWrap w:val="0"/>
            <w:vAlign w:val="center"/>
          </w:tcPr>
          <w:p>
            <w:pPr>
              <w:pStyle w:val="22"/>
              <w:bidi w:val="0"/>
              <w:rPr>
                <w:rFonts w:hint="default"/>
                <w:color w:val="auto"/>
                <w:highlight w:val="none"/>
              </w:rPr>
            </w:pPr>
            <w:r>
              <w:rPr>
                <w:rFonts w:hint="default"/>
                <w:color w:val="auto"/>
                <w:highlight w:val="none"/>
              </w:rPr>
              <w:t>五大连、三夹连</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2021</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34</w:t>
            </w:r>
          </w:p>
        </w:tc>
        <w:tc>
          <w:tcPr>
            <w:tcW w:w="2969" w:type="dxa"/>
            <w:noWrap w:val="0"/>
            <w:vAlign w:val="center"/>
          </w:tcPr>
          <w:p>
            <w:pPr>
              <w:pStyle w:val="22"/>
              <w:bidi w:val="0"/>
              <w:rPr>
                <w:rFonts w:hint="default"/>
                <w:color w:val="auto"/>
                <w:highlight w:val="none"/>
              </w:rPr>
            </w:pPr>
            <w:r>
              <w:rPr>
                <w:rFonts w:hint="default"/>
                <w:color w:val="auto"/>
                <w:highlight w:val="none"/>
              </w:rPr>
              <w:t>大竹县牌坊乡石马门一煤厂</w:t>
            </w:r>
          </w:p>
        </w:tc>
        <w:tc>
          <w:tcPr>
            <w:tcW w:w="1338" w:type="dxa"/>
            <w:noWrap w:val="0"/>
            <w:vAlign w:val="center"/>
          </w:tcPr>
          <w:p>
            <w:pPr>
              <w:pStyle w:val="22"/>
              <w:bidi w:val="0"/>
              <w:rPr>
                <w:rFonts w:hint="default"/>
                <w:color w:val="auto"/>
                <w:highlight w:val="none"/>
              </w:rPr>
            </w:pPr>
            <w:r>
              <w:rPr>
                <w:rFonts w:hint="default"/>
                <w:color w:val="auto"/>
                <w:highlight w:val="none"/>
              </w:rPr>
              <w:t>华蓥山北段</w:t>
            </w:r>
          </w:p>
        </w:tc>
        <w:tc>
          <w:tcPr>
            <w:tcW w:w="1033" w:type="dxa"/>
            <w:noWrap w:val="0"/>
            <w:vAlign w:val="center"/>
          </w:tcPr>
          <w:p>
            <w:pPr>
              <w:pStyle w:val="22"/>
              <w:bidi w:val="0"/>
              <w:rPr>
                <w:rFonts w:hint="default"/>
                <w:color w:val="auto"/>
                <w:highlight w:val="none"/>
              </w:rPr>
            </w:pPr>
            <w:r>
              <w:rPr>
                <w:rFonts w:hint="default"/>
                <w:color w:val="auto"/>
                <w:highlight w:val="none"/>
              </w:rPr>
              <w:t>2.013</w:t>
            </w:r>
          </w:p>
        </w:tc>
        <w:tc>
          <w:tcPr>
            <w:tcW w:w="1200" w:type="dxa"/>
            <w:noWrap w:val="0"/>
            <w:vAlign w:val="center"/>
          </w:tcPr>
          <w:p>
            <w:pPr>
              <w:pStyle w:val="22"/>
              <w:bidi w:val="0"/>
              <w:rPr>
                <w:rFonts w:hint="default"/>
                <w:color w:val="auto"/>
                <w:highlight w:val="none"/>
              </w:rPr>
            </w:pPr>
            <w:r>
              <w:rPr>
                <w:rFonts w:hint="default"/>
                <w:color w:val="auto"/>
                <w:highlight w:val="none"/>
              </w:rPr>
              <w:t>500/200</w:t>
            </w:r>
          </w:p>
        </w:tc>
        <w:tc>
          <w:tcPr>
            <w:tcW w:w="2767" w:type="dxa"/>
            <w:noWrap w:val="0"/>
            <w:vAlign w:val="center"/>
          </w:tcPr>
          <w:p>
            <w:pPr>
              <w:pStyle w:val="22"/>
              <w:bidi w:val="0"/>
              <w:rPr>
                <w:rFonts w:hint="default"/>
                <w:color w:val="auto"/>
                <w:highlight w:val="none"/>
              </w:rPr>
            </w:pPr>
            <w:r>
              <w:rPr>
                <w:rFonts w:hint="default"/>
                <w:color w:val="auto"/>
                <w:highlight w:val="none"/>
              </w:rPr>
              <w:t>五大连、大独连</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2021</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35</w:t>
            </w:r>
          </w:p>
        </w:tc>
        <w:tc>
          <w:tcPr>
            <w:tcW w:w="2969" w:type="dxa"/>
            <w:noWrap w:val="0"/>
            <w:vAlign w:val="center"/>
          </w:tcPr>
          <w:p>
            <w:pPr>
              <w:pStyle w:val="22"/>
              <w:bidi w:val="0"/>
              <w:rPr>
                <w:rFonts w:hint="default"/>
                <w:color w:val="auto"/>
                <w:highlight w:val="none"/>
              </w:rPr>
            </w:pPr>
            <w:r>
              <w:rPr>
                <w:rFonts w:hint="default"/>
                <w:color w:val="auto"/>
                <w:highlight w:val="none"/>
              </w:rPr>
              <w:t>大竹县五仓煤矿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1.1077</w:t>
            </w:r>
          </w:p>
        </w:tc>
        <w:tc>
          <w:tcPr>
            <w:tcW w:w="1200" w:type="dxa"/>
            <w:noWrap w:val="0"/>
            <w:vAlign w:val="center"/>
          </w:tcPr>
          <w:p>
            <w:pPr>
              <w:pStyle w:val="22"/>
              <w:bidi w:val="0"/>
              <w:rPr>
                <w:rFonts w:hint="default"/>
                <w:color w:val="auto"/>
                <w:highlight w:val="none"/>
              </w:rPr>
            </w:pPr>
            <w:r>
              <w:rPr>
                <w:rFonts w:hint="default"/>
                <w:color w:val="auto"/>
                <w:highlight w:val="none"/>
              </w:rPr>
              <w:t>350/0</w:t>
            </w:r>
          </w:p>
        </w:tc>
        <w:tc>
          <w:tcPr>
            <w:tcW w:w="2767" w:type="dxa"/>
            <w:noWrap w:val="0"/>
            <w:vAlign w:val="center"/>
          </w:tcPr>
          <w:p>
            <w:pPr>
              <w:pStyle w:val="22"/>
              <w:bidi w:val="0"/>
              <w:rPr>
                <w:rFonts w:hint="default"/>
                <w:color w:val="auto"/>
                <w:highlight w:val="none"/>
              </w:rPr>
            </w:pPr>
            <w:r>
              <w:rPr>
                <w:rFonts w:hint="default"/>
                <w:color w:val="auto"/>
                <w:highlight w:val="none"/>
              </w:rPr>
              <w:t>正连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36</w:t>
            </w:r>
          </w:p>
        </w:tc>
        <w:tc>
          <w:tcPr>
            <w:tcW w:w="2969" w:type="dxa"/>
            <w:noWrap w:val="0"/>
            <w:vAlign w:val="center"/>
          </w:tcPr>
          <w:p>
            <w:pPr>
              <w:pStyle w:val="22"/>
              <w:bidi w:val="0"/>
              <w:rPr>
                <w:rFonts w:hint="default"/>
                <w:color w:val="auto"/>
                <w:highlight w:val="none"/>
              </w:rPr>
            </w:pPr>
            <w:r>
              <w:rPr>
                <w:rFonts w:hint="default"/>
                <w:color w:val="auto"/>
                <w:highlight w:val="none"/>
              </w:rPr>
              <w:t>大竹县曾家沟煤矿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1.1414</w:t>
            </w:r>
          </w:p>
        </w:tc>
        <w:tc>
          <w:tcPr>
            <w:tcW w:w="1200" w:type="dxa"/>
            <w:noWrap w:val="0"/>
            <w:vAlign w:val="center"/>
          </w:tcPr>
          <w:p>
            <w:pPr>
              <w:pStyle w:val="22"/>
              <w:bidi w:val="0"/>
              <w:rPr>
                <w:rFonts w:hint="default"/>
                <w:color w:val="auto"/>
                <w:highlight w:val="none"/>
              </w:rPr>
            </w:pPr>
            <w:r>
              <w:rPr>
                <w:rFonts w:hint="default"/>
                <w:color w:val="auto"/>
                <w:highlight w:val="none"/>
              </w:rPr>
              <w:t>420/270</w:t>
            </w:r>
          </w:p>
        </w:tc>
        <w:tc>
          <w:tcPr>
            <w:tcW w:w="2767" w:type="dxa"/>
            <w:noWrap w:val="0"/>
            <w:vAlign w:val="center"/>
          </w:tcPr>
          <w:p>
            <w:pPr>
              <w:pStyle w:val="22"/>
              <w:bidi w:val="0"/>
              <w:rPr>
                <w:rFonts w:hint="default"/>
                <w:color w:val="auto"/>
                <w:highlight w:val="none"/>
              </w:rPr>
            </w:pPr>
            <w:r>
              <w:rPr>
                <w:rFonts w:hint="default"/>
                <w:color w:val="auto"/>
                <w:highlight w:val="none"/>
              </w:rPr>
              <w:t>三夹连、四夹连，内、外大连</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37</w:t>
            </w:r>
          </w:p>
        </w:tc>
        <w:tc>
          <w:tcPr>
            <w:tcW w:w="2969" w:type="dxa"/>
            <w:noWrap w:val="0"/>
            <w:vAlign w:val="center"/>
          </w:tcPr>
          <w:p>
            <w:pPr>
              <w:pStyle w:val="22"/>
              <w:bidi w:val="0"/>
              <w:rPr>
                <w:rFonts w:hint="default"/>
                <w:color w:val="auto"/>
                <w:highlight w:val="none"/>
              </w:rPr>
            </w:pPr>
            <w:r>
              <w:rPr>
                <w:rFonts w:hint="default"/>
                <w:color w:val="auto"/>
                <w:highlight w:val="none"/>
              </w:rPr>
              <w:t>大竹县滑炭沟大河村煤厂</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0.0647</w:t>
            </w:r>
          </w:p>
        </w:tc>
        <w:tc>
          <w:tcPr>
            <w:tcW w:w="1200" w:type="dxa"/>
            <w:noWrap w:val="0"/>
            <w:vAlign w:val="center"/>
          </w:tcPr>
          <w:p>
            <w:pPr>
              <w:pStyle w:val="22"/>
              <w:bidi w:val="0"/>
              <w:rPr>
                <w:rFonts w:hint="default"/>
                <w:color w:val="auto"/>
                <w:highlight w:val="none"/>
              </w:rPr>
            </w:pPr>
            <w:r>
              <w:rPr>
                <w:rFonts w:hint="default"/>
                <w:color w:val="auto"/>
                <w:highlight w:val="none"/>
              </w:rPr>
              <w:t>460/430</w:t>
            </w:r>
          </w:p>
        </w:tc>
        <w:tc>
          <w:tcPr>
            <w:tcW w:w="2767" w:type="dxa"/>
            <w:noWrap w:val="0"/>
            <w:vAlign w:val="center"/>
          </w:tcPr>
          <w:p>
            <w:pPr>
              <w:pStyle w:val="22"/>
              <w:bidi w:val="0"/>
              <w:rPr>
                <w:rFonts w:hint="default"/>
                <w:color w:val="auto"/>
                <w:highlight w:val="none"/>
              </w:rPr>
            </w:pPr>
            <w:r>
              <w:rPr>
                <w:rFonts w:hint="default"/>
                <w:color w:val="auto"/>
                <w:highlight w:val="none"/>
              </w:rPr>
              <w:t>双连</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38</w:t>
            </w:r>
          </w:p>
        </w:tc>
        <w:tc>
          <w:tcPr>
            <w:tcW w:w="2969" w:type="dxa"/>
            <w:noWrap w:val="0"/>
            <w:vAlign w:val="center"/>
          </w:tcPr>
          <w:p>
            <w:pPr>
              <w:pStyle w:val="22"/>
              <w:bidi w:val="0"/>
              <w:rPr>
                <w:rFonts w:hint="default"/>
                <w:color w:val="auto"/>
                <w:highlight w:val="none"/>
              </w:rPr>
            </w:pPr>
            <w:r>
              <w:rPr>
                <w:rFonts w:hint="default"/>
                <w:color w:val="auto"/>
                <w:highlight w:val="none"/>
              </w:rPr>
              <w:t>重庆市东印煤矿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0.563</w:t>
            </w:r>
          </w:p>
        </w:tc>
        <w:tc>
          <w:tcPr>
            <w:tcW w:w="1200" w:type="dxa"/>
            <w:noWrap w:val="0"/>
            <w:vAlign w:val="center"/>
          </w:tcPr>
          <w:p>
            <w:pPr>
              <w:pStyle w:val="22"/>
              <w:bidi w:val="0"/>
              <w:rPr>
                <w:rFonts w:hint="default"/>
                <w:color w:val="auto"/>
                <w:highlight w:val="none"/>
              </w:rPr>
            </w:pPr>
            <w:r>
              <w:rPr>
                <w:rFonts w:hint="default"/>
                <w:color w:val="auto"/>
                <w:highlight w:val="none"/>
              </w:rPr>
              <w:t>380/280</w:t>
            </w:r>
          </w:p>
        </w:tc>
        <w:tc>
          <w:tcPr>
            <w:tcW w:w="2767" w:type="dxa"/>
            <w:noWrap w:val="0"/>
            <w:vAlign w:val="center"/>
          </w:tcPr>
          <w:p>
            <w:pPr>
              <w:pStyle w:val="22"/>
              <w:bidi w:val="0"/>
              <w:rPr>
                <w:rFonts w:hint="default"/>
                <w:color w:val="auto"/>
                <w:highlight w:val="none"/>
              </w:rPr>
            </w:pPr>
            <w:r>
              <w:rPr>
                <w:rFonts w:hint="default"/>
                <w:color w:val="auto"/>
                <w:highlight w:val="none"/>
              </w:rPr>
              <w:t>K2</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39</w:t>
            </w:r>
          </w:p>
        </w:tc>
        <w:tc>
          <w:tcPr>
            <w:tcW w:w="2969" w:type="dxa"/>
            <w:noWrap w:val="0"/>
            <w:vAlign w:val="center"/>
          </w:tcPr>
          <w:p>
            <w:pPr>
              <w:pStyle w:val="22"/>
              <w:bidi w:val="0"/>
              <w:rPr>
                <w:rFonts w:hint="default"/>
                <w:color w:val="auto"/>
                <w:highlight w:val="none"/>
              </w:rPr>
            </w:pPr>
            <w:r>
              <w:rPr>
                <w:rFonts w:hint="default"/>
                <w:color w:val="auto"/>
                <w:highlight w:val="none"/>
              </w:rPr>
              <w:t>大竹县朝阳乡坠石岩煤厂</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0.1396</w:t>
            </w:r>
          </w:p>
        </w:tc>
        <w:tc>
          <w:tcPr>
            <w:tcW w:w="1200" w:type="dxa"/>
            <w:noWrap w:val="0"/>
            <w:vAlign w:val="center"/>
          </w:tcPr>
          <w:p>
            <w:pPr>
              <w:pStyle w:val="22"/>
              <w:bidi w:val="0"/>
              <w:rPr>
                <w:rFonts w:hint="default"/>
                <w:color w:val="auto"/>
                <w:highlight w:val="none"/>
              </w:rPr>
            </w:pPr>
            <w:r>
              <w:rPr>
                <w:rFonts w:hint="default"/>
                <w:color w:val="auto"/>
                <w:highlight w:val="none"/>
              </w:rPr>
              <w:t>480/350</w:t>
            </w:r>
          </w:p>
        </w:tc>
        <w:tc>
          <w:tcPr>
            <w:tcW w:w="2767" w:type="dxa"/>
            <w:noWrap w:val="0"/>
            <w:vAlign w:val="center"/>
          </w:tcPr>
          <w:p>
            <w:pPr>
              <w:pStyle w:val="22"/>
              <w:bidi w:val="0"/>
              <w:rPr>
                <w:rFonts w:hint="default"/>
                <w:color w:val="auto"/>
                <w:highlight w:val="none"/>
              </w:rPr>
            </w:pPr>
            <w:r>
              <w:rPr>
                <w:rFonts w:hint="default"/>
                <w:color w:val="auto"/>
                <w:highlight w:val="none"/>
              </w:rPr>
              <w:t>夹子连、外泡槽、正连、三夹连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2008</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40</w:t>
            </w:r>
          </w:p>
        </w:tc>
        <w:tc>
          <w:tcPr>
            <w:tcW w:w="2969" w:type="dxa"/>
            <w:noWrap w:val="0"/>
            <w:vAlign w:val="center"/>
          </w:tcPr>
          <w:p>
            <w:pPr>
              <w:pStyle w:val="22"/>
              <w:bidi w:val="0"/>
              <w:rPr>
                <w:rFonts w:hint="default"/>
                <w:color w:val="auto"/>
                <w:highlight w:val="none"/>
              </w:rPr>
            </w:pPr>
            <w:r>
              <w:rPr>
                <w:rFonts w:hint="default"/>
                <w:color w:val="auto"/>
                <w:highlight w:val="none"/>
              </w:rPr>
              <w:t>大竹县金鸡煤矿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0.3074</w:t>
            </w:r>
          </w:p>
        </w:tc>
        <w:tc>
          <w:tcPr>
            <w:tcW w:w="1200" w:type="dxa"/>
            <w:noWrap w:val="0"/>
            <w:vAlign w:val="center"/>
          </w:tcPr>
          <w:p>
            <w:pPr>
              <w:pStyle w:val="22"/>
              <w:bidi w:val="0"/>
              <w:rPr>
                <w:rFonts w:hint="default"/>
                <w:color w:val="auto"/>
                <w:highlight w:val="none"/>
              </w:rPr>
            </w:pPr>
            <w:r>
              <w:rPr>
                <w:rFonts w:hint="default"/>
                <w:color w:val="auto"/>
                <w:highlight w:val="none"/>
              </w:rPr>
              <w:t>235/100</w:t>
            </w:r>
          </w:p>
        </w:tc>
        <w:tc>
          <w:tcPr>
            <w:tcW w:w="2767" w:type="dxa"/>
            <w:noWrap w:val="0"/>
            <w:vAlign w:val="center"/>
          </w:tcPr>
          <w:p>
            <w:pPr>
              <w:pStyle w:val="22"/>
              <w:bidi w:val="0"/>
              <w:rPr>
                <w:rFonts w:hint="default"/>
                <w:color w:val="auto"/>
                <w:highlight w:val="none"/>
              </w:rPr>
            </w:pPr>
            <w:r>
              <w:rPr>
                <w:rFonts w:hint="default"/>
                <w:color w:val="auto"/>
                <w:highlight w:val="none"/>
              </w:rPr>
              <w:t>正连、正二连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41</w:t>
            </w:r>
          </w:p>
        </w:tc>
        <w:tc>
          <w:tcPr>
            <w:tcW w:w="2969" w:type="dxa"/>
            <w:noWrap w:val="0"/>
            <w:vAlign w:val="center"/>
          </w:tcPr>
          <w:p>
            <w:pPr>
              <w:pStyle w:val="22"/>
              <w:bidi w:val="0"/>
              <w:rPr>
                <w:rFonts w:hint="default"/>
                <w:color w:val="auto"/>
                <w:highlight w:val="none"/>
              </w:rPr>
            </w:pPr>
            <w:r>
              <w:rPr>
                <w:rFonts w:hint="default"/>
                <w:color w:val="auto"/>
                <w:highlight w:val="none"/>
              </w:rPr>
              <w:t>大竹县金龙煤矿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0.178</w:t>
            </w:r>
          </w:p>
        </w:tc>
        <w:tc>
          <w:tcPr>
            <w:tcW w:w="1200" w:type="dxa"/>
            <w:noWrap w:val="0"/>
            <w:vAlign w:val="center"/>
          </w:tcPr>
          <w:p>
            <w:pPr>
              <w:pStyle w:val="22"/>
              <w:bidi w:val="0"/>
              <w:rPr>
                <w:rFonts w:hint="default"/>
                <w:color w:val="auto"/>
                <w:highlight w:val="none"/>
              </w:rPr>
            </w:pPr>
            <w:r>
              <w:rPr>
                <w:rFonts w:hint="default"/>
                <w:color w:val="auto"/>
                <w:highlight w:val="none"/>
              </w:rPr>
              <w:t>400/300</w:t>
            </w:r>
          </w:p>
        </w:tc>
        <w:tc>
          <w:tcPr>
            <w:tcW w:w="2767" w:type="dxa"/>
            <w:noWrap w:val="0"/>
            <w:vAlign w:val="center"/>
          </w:tcPr>
          <w:p>
            <w:pPr>
              <w:pStyle w:val="22"/>
              <w:bidi w:val="0"/>
              <w:rPr>
                <w:rFonts w:hint="default"/>
                <w:color w:val="auto"/>
                <w:highlight w:val="none"/>
              </w:rPr>
            </w:pPr>
            <w:r>
              <w:rPr>
                <w:rFonts w:hint="default"/>
                <w:color w:val="auto"/>
                <w:highlight w:val="none"/>
              </w:rPr>
              <w:t>外大连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42</w:t>
            </w:r>
          </w:p>
        </w:tc>
        <w:tc>
          <w:tcPr>
            <w:tcW w:w="2969" w:type="dxa"/>
            <w:noWrap w:val="0"/>
            <w:vAlign w:val="center"/>
          </w:tcPr>
          <w:p>
            <w:pPr>
              <w:pStyle w:val="22"/>
              <w:bidi w:val="0"/>
              <w:rPr>
                <w:rFonts w:hint="default"/>
                <w:color w:val="auto"/>
                <w:highlight w:val="none"/>
              </w:rPr>
            </w:pPr>
            <w:r>
              <w:rPr>
                <w:rFonts w:hint="default"/>
                <w:color w:val="auto"/>
                <w:highlight w:val="none"/>
              </w:rPr>
              <w:t>大竹县童家乡盐井沟煤矿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0.0071</w:t>
            </w:r>
          </w:p>
        </w:tc>
        <w:tc>
          <w:tcPr>
            <w:tcW w:w="1200" w:type="dxa"/>
            <w:noWrap w:val="0"/>
            <w:vAlign w:val="center"/>
          </w:tcPr>
          <w:p>
            <w:pPr>
              <w:pStyle w:val="22"/>
              <w:bidi w:val="0"/>
              <w:rPr>
                <w:rFonts w:hint="default"/>
                <w:color w:val="auto"/>
                <w:highlight w:val="none"/>
              </w:rPr>
            </w:pPr>
            <w:r>
              <w:rPr>
                <w:rFonts w:hint="default"/>
                <w:color w:val="auto"/>
                <w:highlight w:val="none"/>
              </w:rPr>
              <w:t>565/460</w:t>
            </w:r>
          </w:p>
        </w:tc>
        <w:tc>
          <w:tcPr>
            <w:tcW w:w="2767" w:type="dxa"/>
            <w:noWrap w:val="0"/>
            <w:vAlign w:val="center"/>
          </w:tcPr>
          <w:p>
            <w:pPr>
              <w:pStyle w:val="22"/>
              <w:bidi w:val="0"/>
              <w:rPr>
                <w:rFonts w:hint="default"/>
                <w:color w:val="auto"/>
                <w:highlight w:val="none"/>
              </w:rPr>
            </w:pPr>
            <w:r>
              <w:rPr>
                <w:rFonts w:hint="default"/>
                <w:color w:val="auto"/>
                <w:highlight w:val="none"/>
              </w:rPr>
              <w:t>K2</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43</w:t>
            </w:r>
          </w:p>
        </w:tc>
        <w:tc>
          <w:tcPr>
            <w:tcW w:w="2969" w:type="dxa"/>
            <w:noWrap w:val="0"/>
            <w:vAlign w:val="center"/>
          </w:tcPr>
          <w:p>
            <w:pPr>
              <w:pStyle w:val="22"/>
              <w:bidi w:val="0"/>
              <w:rPr>
                <w:rFonts w:hint="default"/>
                <w:color w:val="auto"/>
                <w:highlight w:val="none"/>
              </w:rPr>
            </w:pPr>
            <w:r>
              <w:rPr>
                <w:rFonts w:hint="default"/>
                <w:color w:val="auto"/>
                <w:highlight w:val="none"/>
              </w:rPr>
              <w:t>大竹县团坝曾家沟煤矿（黄泥磅分厂）</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0.8411</w:t>
            </w:r>
          </w:p>
        </w:tc>
        <w:tc>
          <w:tcPr>
            <w:tcW w:w="1200" w:type="dxa"/>
            <w:noWrap w:val="0"/>
            <w:vAlign w:val="center"/>
          </w:tcPr>
          <w:p>
            <w:pPr>
              <w:pStyle w:val="22"/>
              <w:bidi w:val="0"/>
              <w:rPr>
                <w:rFonts w:hint="default"/>
                <w:color w:val="auto"/>
                <w:highlight w:val="none"/>
              </w:rPr>
            </w:pPr>
            <w:r>
              <w:rPr>
                <w:rFonts w:hint="default"/>
                <w:color w:val="auto"/>
                <w:highlight w:val="none"/>
              </w:rPr>
              <w:t>540/270</w:t>
            </w:r>
          </w:p>
        </w:tc>
        <w:tc>
          <w:tcPr>
            <w:tcW w:w="2767" w:type="dxa"/>
            <w:noWrap w:val="0"/>
            <w:vAlign w:val="center"/>
          </w:tcPr>
          <w:p>
            <w:pPr>
              <w:pStyle w:val="22"/>
              <w:bidi w:val="0"/>
              <w:rPr>
                <w:rFonts w:hint="default"/>
                <w:color w:val="auto"/>
                <w:highlight w:val="none"/>
              </w:rPr>
            </w:pPr>
            <w:r>
              <w:rPr>
                <w:rFonts w:hint="default"/>
                <w:color w:val="auto"/>
                <w:highlight w:val="none"/>
              </w:rPr>
              <w:t>四夹连</w:t>
            </w:r>
          </w:p>
        </w:tc>
        <w:tc>
          <w:tcPr>
            <w:tcW w:w="944" w:type="dxa"/>
            <w:noWrap w:val="0"/>
            <w:vAlign w:val="center"/>
          </w:tcPr>
          <w:p>
            <w:pPr>
              <w:pStyle w:val="22"/>
              <w:bidi w:val="0"/>
              <w:rPr>
                <w:rFonts w:hint="default"/>
                <w:color w:val="auto"/>
                <w:highlight w:val="none"/>
              </w:rPr>
            </w:pPr>
            <w:r>
              <w:rPr>
                <w:rFonts w:hint="default"/>
                <w:color w:val="auto"/>
                <w:highlight w:val="none"/>
              </w:rPr>
              <w:t>1</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44</w:t>
            </w:r>
          </w:p>
        </w:tc>
        <w:tc>
          <w:tcPr>
            <w:tcW w:w="2969" w:type="dxa"/>
            <w:noWrap w:val="0"/>
            <w:vAlign w:val="center"/>
          </w:tcPr>
          <w:p>
            <w:pPr>
              <w:pStyle w:val="22"/>
              <w:bidi w:val="0"/>
              <w:rPr>
                <w:rFonts w:hint="default"/>
                <w:color w:val="auto"/>
                <w:highlight w:val="none"/>
              </w:rPr>
            </w:pPr>
            <w:r>
              <w:rPr>
                <w:rFonts w:hint="default"/>
                <w:color w:val="auto"/>
                <w:highlight w:val="none"/>
              </w:rPr>
              <w:t>大竹县八渡乡秦家沟煤矿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0.4678</w:t>
            </w:r>
          </w:p>
        </w:tc>
        <w:tc>
          <w:tcPr>
            <w:tcW w:w="1200" w:type="dxa"/>
            <w:noWrap w:val="0"/>
            <w:vAlign w:val="center"/>
          </w:tcPr>
          <w:p>
            <w:pPr>
              <w:pStyle w:val="22"/>
              <w:bidi w:val="0"/>
              <w:rPr>
                <w:rFonts w:hint="default"/>
                <w:color w:val="auto"/>
                <w:highlight w:val="none"/>
              </w:rPr>
            </w:pPr>
            <w:r>
              <w:rPr>
                <w:rFonts w:hint="default"/>
                <w:color w:val="auto"/>
                <w:highlight w:val="none"/>
              </w:rPr>
              <w:t>526/460</w:t>
            </w:r>
          </w:p>
        </w:tc>
        <w:tc>
          <w:tcPr>
            <w:tcW w:w="2767" w:type="dxa"/>
            <w:noWrap w:val="0"/>
            <w:vAlign w:val="center"/>
          </w:tcPr>
          <w:p>
            <w:pPr>
              <w:pStyle w:val="22"/>
              <w:bidi w:val="0"/>
              <w:rPr>
                <w:rFonts w:hint="default"/>
                <w:color w:val="auto"/>
                <w:highlight w:val="none"/>
              </w:rPr>
            </w:pPr>
            <w:r>
              <w:rPr>
                <w:rFonts w:hint="default"/>
                <w:color w:val="auto"/>
                <w:highlight w:val="none"/>
              </w:rPr>
              <w:t>K7、K6、K6-1</w:t>
            </w:r>
          </w:p>
        </w:tc>
        <w:tc>
          <w:tcPr>
            <w:tcW w:w="944" w:type="dxa"/>
            <w:noWrap w:val="0"/>
            <w:vAlign w:val="center"/>
          </w:tcPr>
          <w:p>
            <w:pPr>
              <w:pStyle w:val="22"/>
              <w:bidi w:val="0"/>
              <w:rPr>
                <w:rFonts w:hint="default"/>
                <w:color w:val="auto"/>
                <w:highlight w:val="none"/>
              </w:rPr>
            </w:pPr>
            <w:r>
              <w:rPr>
                <w:rFonts w:hint="default"/>
                <w:color w:val="auto"/>
                <w:highlight w:val="none"/>
              </w:rPr>
              <w:t>6</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45</w:t>
            </w:r>
          </w:p>
        </w:tc>
        <w:tc>
          <w:tcPr>
            <w:tcW w:w="2969" w:type="dxa"/>
            <w:noWrap w:val="0"/>
            <w:vAlign w:val="center"/>
          </w:tcPr>
          <w:p>
            <w:pPr>
              <w:pStyle w:val="22"/>
              <w:bidi w:val="0"/>
              <w:rPr>
                <w:rFonts w:hint="default"/>
                <w:color w:val="auto"/>
                <w:highlight w:val="none"/>
              </w:rPr>
            </w:pPr>
            <w:r>
              <w:rPr>
                <w:rFonts w:hint="default"/>
                <w:color w:val="auto"/>
                <w:highlight w:val="none"/>
              </w:rPr>
              <w:t>达州市林峰实业有限责任公司（八发煤矿）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0.8632</w:t>
            </w:r>
          </w:p>
        </w:tc>
        <w:tc>
          <w:tcPr>
            <w:tcW w:w="1200" w:type="dxa"/>
            <w:noWrap w:val="0"/>
            <w:vAlign w:val="center"/>
          </w:tcPr>
          <w:p>
            <w:pPr>
              <w:pStyle w:val="22"/>
              <w:bidi w:val="0"/>
              <w:rPr>
                <w:rFonts w:hint="default"/>
                <w:color w:val="auto"/>
                <w:highlight w:val="none"/>
              </w:rPr>
            </w:pPr>
            <w:r>
              <w:rPr>
                <w:rFonts w:hint="default"/>
                <w:color w:val="auto"/>
                <w:highlight w:val="none"/>
              </w:rPr>
              <w:t>480/200</w:t>
            </w:r>
          </w:p>
        </w:tc>
        <w:tc>
          <w:tcPr>
            <w:tcW w:w="2767" w:type="dxa"/>
            <w:noWrap w:val="0"/>
            <w:vAlign w:val="center"/>
          </w:tcPr>
          <w:p>
            <w:pPr>
              <w:pStyle w:val="22"/>
              <w:bidi w:val="0"/>
              <w:rPr>
                <w:rFonts w:hint="default"/>
                <w:color w:val="auto"/>
                <w:highlight w:val="none"/>
              </w:rPr>
            </w:pPr>
            <w:r>
              <w:rPr>
                <w:rFonts w:hint="default"/>
                <w:color w:val="auto"/>
                <w:highlight w:val="none"/>
              </w:rPr>
              <w:t>K7</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2013</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46</w:t>
            </w:r>
          </w:p>
        </w:tc>
        <w:tc>
          <w:tcPr>
            <w:tcW w:w="2969" w:type="dxa"/>
            <w:noWrap w:val="0"/>
            <w:vAlign w:val="center"/>
          </w:tcPr>
          <w:p>
            <w:pPr>
              <w:pStyle w:val="22"/>
              <w:bidi w:val="0"/>
              <w:rPr>
                <w:rFonts w:hint="default"/>
                <w:color w:val="auto"/>
                <w:highlight w:val="none"/>
              </w:rPr>
            </w:pPr>
            <w:r>
              <w:rPr>
                <w:rFonts w:hint="default"/>
                <w:color w:val="auto"/>
                <w:highlight w:val="none"/>
              </w:rPr>
              <w:t>大竹县乌木乡芭蕉湾煤厂</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0.4006</w:t>
            </w:r>
          </w:p>
        </w:tc>
        <w:tc>
          <w:tcPr>
            <w:tcW w:w="1200" w:type="dxa"/>
            <w:noWrap w:val="0"/>
            <w:vAlign w:val="center"/>
          </w:tcPr>
          <w:p>
            <w:pPr>
              <w:pStyle w:val="22"/>
              <w:bidi w:val="0"/>
              <w:rPr>
                <w:rFonts w:hint="default"/>
                <w:color w:val="auto"/>
                <w:highlight w:val="none"/>
              </w:rPr>
            </w:pPr>
            <w:r>
              <w:rPr>
                <w:rFonts w:hint="default"/>
                <w:color w:val="auto"/>
                <w:highlight w:val="none"/>
              </w:rPr>
              <w:t>551/383</w:t>
            </w:r>
          </w:p>
        </w:tc>
        <w:tc>
          <w:tcPr>
            <w:tcW w:w="2767" w:type="dxa"/>
            <w:noWrap w:val="0"/>
            <w:vAlign w:val="center"/>
          </w:tcPr>
          <w:p>
            <w:pPr>
              <w:pStyle w:val="22"/>
              <w:bidi w:val="0"/>
              <w:rPr>
                <w:rFonts w:hint="default"/>
                <w:color w:val="auto"/>
                <w:highlight w:val="none"/>
              </w:rPr>
            </w:pPr>
            <w:r>
              <w:rPr>
                <w:rFonts w:hint="default"/>
                <w:color w:val="auto"/>
                <w:highlight w:val="none"/>
              </w:rPr>
              <w:t>三夹连、内大连、蛮碳</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2014</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47</w:t>
            </w:r>
          </w:p>
        </w:tc>
        <w:tc>
          <w:tcPr>
            <w:tcW w:w="2969" w:type="dxa"/>
            <w:noWrap w:val="0"/>
            <w:vAlign w:val="center"/>
          </w:tcPr>
          <w:p>
            <w:pPr>
              <w:pStyle w:val="22"/>
              <w:bidi w:val="0"/>
              <w:rPr>
                <w:rFonts w:hint="default"/>
                <w:color w:val="auto"/>
                <w:highlight w:val="none"/>
              </w:rPr>
            </w:pPr>
            <w:r>
              <w:rPr>
                <w:rFonts w:hint="default"/>
                <w:color w:val="auto"/>
                <w:highlight w:val="none"/>
              </w:rPr>
              <w:t>大竹县黄滩煤矿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0.3866</w:t>
            </w:r>
          </w:p>
        </w:tc>
        <w:tc>
          <w:tcPr>
            <w:tcW w:w="1200" w:type="dxa"/>
            <w:noWrap w:val="0"/>
            <w:vAlign w:val="center"/>
          </w:tcPr>
          <w:p>
            <w:pPr>
              <w:pStyle w:val="22"/>
              <w:bidi w:val="0"/>
              <w:rPr>
                <w:rFonts w:hint="default"/>
                <w:color w:val="auto"/>
                <w:highlight w:val="none"/>
              </w:rPr>
            </w:pPr>
            <w:r>
              <w:rPr>
                <w:rFonts w:hint="default"/>
                <w:color w:val="auto"/>
                <w:highlight w:val="none"/>
              </w:rPr>
              <w:t>400/300</w:t>
            </w:r>
          </w:p>
        </w:tc>
        <w:tc>
          <w:tcPr>
            <w:tcW w:w="2767" w:type="dxa"/>
            <w:noWrap w:val="0"/>
            <w:vAlign w:val="center"/>
          </w:tcPr>
          <w:p>
            <w:pPr>
              <w:pStyle w:val="22"/>
              <w:bidi w:val="0"/>
              <w:rPr>
                <w:rFonts w:hint="default"/>
                <w:color w:val="auto"/>
                <w:highlight w:val="none"/>
              </w:rPr>
            </w:pPr>
            <w:r>
              <w:rPr>
                <w:rFonts w:hint="default"/>
                <w:color w:val="auto"/>
                <w:highlight w:val="none"/>
              </w:rPr>
              <w:t>内三夹连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2014</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48</w:t>
            </w:r>
          </w:p>
        </w:tc>
        <w:tc>
          <w:tcPr>
            <w:tcW w:w="2969" w:type="dxa"/>
            <w:noWrap w:val="0"/>
            <w:vAlign w:val="center"/>
          </w:tcPr>
          <w:p>
            <w:pPr>
              <w:pStyle w:val="22"/>
              <w:bidi w:val="0"/>
              <w:rPr>
                <w:rFonts w:hint="default"/>
                <w:color w:val="auto"/>
                <w:highlight w:val="none"/>
              </w:rPr>
            </w:pPr>
            <w:r>
              <w:rPr>
                <w:rFonts w:hint="default"/>
                <w:color w:val="auto"/>
                <w:highlight w:val="none"/>
              </w:rPr>
              <w:t>大竹县中和乡宝尔石煤矿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0.4688</w:t>
            </w:r>
          </w:p>
        </w:tc>
        <w:tc>
          <w:tcPr>
            <w:tcW w:w="1200" w:type="dxa"/>
            <w:noWrap w:val="0"/>
            <w:vAlign w:val="center"/>
          </w:tcPr>
          <w:p>
            <w:pPr>
              <w:pStyle w:val="22"/>
              <w:bidi w:val="0"/>
              <w:rPr>
                <w:rFonts w:hint="default"/>
                <w:color w:val="auto"/>
                <w:highlight w:val="none"/>
              </w:rPr>
            </w:pPr>
            <w:r>
              <w:rPr>
                <w:rFonts w:hint="default"/>
                <w:color w:val="auto"/>
                <w:highlight w:val="none"/>
              </w:rPr>
              <w:t>635/590</w:t>
            </w:r>
          </w:p>
        </w:tc>
        <w:tc>
          <w:tcPr>
            <w:tcW w:w="2767" w:type="dxa"/>
            <w:noWrap w:val="0"/>
            <w:vAlign w:val="center"/>
          </w:tcPr>
          <w:p>
            <w:pPr>
              <w:pStyle w:val="22"/>
              <w:bidi w:val="0"/>
              <w:rPr>
                <w:rFonts w:hint="default"/>
                <w:color w:val="auto"/>
                <w:highlight w:val="none"/>
              </w:rPr>
            </w:pPr>
            <w:r>
              <w:rPr>
                <w:rFonts w:hint="default"/>
                <w:color w:val="auto"/>
                <w:highlight w:val="none"/>
              </w:rPr>
              <w:t>K8、K11、K15</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2014</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49</w:t>
            </w:r>
          </w:p>
        </w:tc>
        <w:tc>
          <w:tcPr>
            <w:tcW w:w="2969" w:type="dxa"/>
            <w:noWrap w:val="0"/>
            <w:vAlign w:val="center"/>
          </w:tcPr>
          <w:p>
            <w:pPr>
              <w:pStyle w:val="22"/>
              <w:bidi w:val="0"/>
              <w:rPr>
                <w:rFonts w:hint="default"/>
                <w:color w:val="auto"/>
                <w:highlight w:val="none"/>
              </w:rPr>
            </w:pPr>
            <w:r>
              <w:rPr>
                <w:rFonts w:hint="default"/>
                <w:color w:val="auto"/>
                <w:highlight w:val="none"/>
              </w:rPr>
              <w:t>大竹县天城乡九龙煤矿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0.8047</w:t>
            </w:r>
          </w:p>
        </w:tc>
        <w:tc>
          <w:tcPr>
            <w:tcW w:w="1200" w:type="dxa"/>
            <w:noWrap w:val="0"/>
            <w:vAlign w:val="center"/>
          </w:tcPr>
          <w:p>
            <w:pPr>
              <w:pStyle w:val="22"/>
              <w:bidi w:val="0"/>
              <w:rPr>
                <w:rFonts w:hint="default"/>
                <w:color w:val="auto"/>
                <w:highlight w:val="none"/>
              </w:rPr>
            </w:pPr>
            <w:r>
              <w:rPr>
                <w:rFonts w:hint="default"/>
                <w:color w:val="auto"/>
                <w:highlight w:val="none"/>
              </w:rPr>
              <w:t>690/400</w:t>
            </w:r>
          </w:p>
        </w:tc>
        <w:tc>
          <w:tcPr>
            <w:tcW w:w="2767" w:type="dxa"/>
            <w:noWrap w:val="0"/>
            <w:vAlign w:val="center"/>
          </w:tcPr>
          <w:p>
            <w:pPr>
              <w:pStyle w:val="22"/>
              <w:bidi w:val="0"/>
              <w:rPr>
                <w:rFonts w:hint="default"/>
                <w:color w:val="auto"/>
                <w:highlight w:val="none"/>
              </w:rPr>
            </w:pPr>
            <w:r>
              <w:rPr>
                <w:rFonts w:hint="default"/>
                <w:color w:val="auto"/>
                <w:highlight w:val="none"/>
              </w:rPr>
              <w:t>七连子</w:t>
            </w:r>
          </w:p>
        </w:tc>
        <w:tc>
          <w:tcPr>
            <w:tcW w:w="944" w:type="dxa"/>
            <w:noWrap w:val="0"/>
            <w:vAlign w:val="center"/>
          </w:tcPr>
          <w:p>
            <w:pPr>
              <w:pStyle w:val="22"/>
              <w:bidi w:val="0"/>
              <w:rPr>
                <w:rFonts w:hint="default"/>
                <w:color w:val="auto"/>
                <w:highlight w:val="none"/>
              </w:rPr>
            </w:pPr>
            <w:r>
              <w:rPr>
                <w:rFonts w:hint="default"/>
                <w:color w:val="auto"/>
                <w:highlight w:val="none"/>
              </w:rPr>
              <w:t>6</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2014</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50</w:t>
            </w:r>
          </w:p>
        </w:tc>
        <w:tc>
          <w:tcPr>
            <w:tcW w:w="2969" w:type="dxa"/>
            <w:noWrap w:val="0"/>
            <w:vAlign w:val="center"/>
          </w:tcPr>
          <w:p>
            <w:pPr>
              <w:pStyle w:val="22"/>
              <w:bidi w:val="0"/>
              <w:rPr>
                <w:rFonts w:hint="default"/>
                <w:color w:val="auto"/>
                <w:highlight w:val="none"/>
              </w:rPr>
            </w:pPr>
            <w:r>
              <w:rPr>
                <w:rFonts w:hint="default"/>
                <w:color w:val="auto"/>
                <w:highlight w:val="none"/>
              </w:rPr>
              <w:t>大竹县石子区城门洞联办煤矿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1.0099</w:t>
            </w:r>
          </w:p>
        </w:tc>
        <w:tc>
          <w:tcPr>
            <w:tcW w:w="1200" w:type="dxa"/>
            <w:noWrap w:val="0"/>
            <w:vAlign w:val="center"/>
          </w:tcPr>
          <w:p>
            <w:pPr>
              <w:pStyle w:val="22"/>
              <w:bidi w:val="0"/>
              <w:rPr>
                <w:rFonts w:hint="default"/>
                <w:color w:val="auto"/>
                <w:highlight w:val="none"/>
              </w:rPr>
            </w:pPr>
            <w:r>
              <w:rPr>
                <w:rFonts w:hint="default"/>
                <w:color w:val="auto"/>
                <w:highlight w:val="none"/>
              </w:rPr>
              <w:t>718/560</w:t>
            </w:r>
          </w:p>
        </w:tc>
        <w:tc>
          <w:tcPr>
            <w:tcW w:w="2767" w:type="dxa"/>
            <w:noWrap w:val="0"/>
            <w:vAlign w:val="center"/>
          </w:tcPr>
          <w:p>
            <w:pPr>
              <w:pStyle w:val="22"/>
              <w:bidi w:val="0"/>
              <w:rPr>
                <w:rFonts w:hint="default"/>
                <w:color w:val="auto"/>
                <w:highlight w:val="none"/>
              </w:rPr>
            </w:pPr>
            <w:r>
              <w:rPr>
                <w:rFonts w:hint="default"/>
                <w:color w:val="auto"/>
                <w:highlight w:val="none"/>
              </w:rPr>
              <w:t>正连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2014</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51</w:t>
            </w:r>
          </w:p>
        </w:tc>
        <w:tc>
          <w:tcPr>
            <w:tcW w:w="2969" w:type="dxa"/>
            <w:noWrap w:val="0"/>
            <w:vAlign w:val="center"/>
          </w:tcPr>
          <w:p>
            <w:pPr>
              <w:pStyle w:val="22"/>
              <w:bidi w:val="0"/>
              <w:rPr>
                <w:rFonts w:hint="default"/>
                <w:color w:val="auto"/>
                <w:highlight w:val="none"/>
              </w:rPr>
            </w:pPr>
            <w:r>
              <w:rPr>
                <w:rFonts w:hint="default"/>
                <w:color w:val="auto"/>
                <w:highlight w:val="none"/>
              </w:rPr>
              <w:t>大竹县安吉乡清塘坝煤矿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3.434</w:t>
            </w:r>
          </w:p>
        </w:tc>
        <w:tc>
          <w:tcPr>
            <w:tcW w:w="1200" w:type="dxa"/>
            <w:noWrap w:val="0"/>
            <w:vAlign w:val="center"/>
          </w:tcPr>
          <w:p>
            <w:pPr>
              <w:pStyle w:val="22"/>
              <w:bidi w:val="0"/>
              <w:rPr>
                <w:rFonts w:hint="default"/>
                <w:color w:val="auto"/>
                <w:highlight w:val="none"/>
              </w:rPr>
            </w:pPr>
          </w:p>
        </w:tc>
        <w:tc>
          <w:tcPr>
            <w:tcW w:w="2767" w:type="dxa"/>
            <w:noWrap w:val="0"/>
            <w:vAlign w:val="center"/>
          </w:tcPr>
          <w:p>
            <w:pPr>
              <w:pStyle w:val="22"/>
              <w:bidi w:val="0"/>
              <w:rPr>
                <w:rFonts w:hint="default"/>
                <w:color w:val="auto"/>
                <w:highlight w:val="none"/>
              </w:rPr>
            </w:pPr>
            <w:r>
              <w:rPr>
                <w:rFonts w:hint="default"/>
                <w:color w:val="auto"/>
                <w:highlight w:val="none"/>
              </w:rPr>
              <w:t>K4、K7</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2014</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52</w:t>
            </w:r>
          </w:p>
        </w:tc>
        <w:tc>
          <w:tcPr>
            <w:tcW w:w="2969" w:type="dxa"/>
            <w:noWrap w:val="0"/>
            <w:vAlign w:val="center"/>
          </w:tcPr>
          <w:p>
            <w:pPr>
              <w:pStyle w:val="22"/>
              <w:bidi w:val="0"/>
              <w:rPr>
                <w:rFonts w:hint="default"/>
                <w:color w:val="auto"/>
                <w:highlight w:val="none"/>
              </w:rPr>
            </w:pPr>
            <w:r>
              <w:rPr>
                <w:rFonts w:hint="default"/>
                <w:color w:val="auto"/>
                <w:highlight w:val="none"/>
              </w:rPr>
              <w:t>大竹县月华乡硝水泗煤矿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0.2336</w:t>
            </w:r>
          </w:p>
        </w:tc>
        <w:tc>
          <w:tcPr>
            <w:tcW w:w="1200" w:type="dxa"/>
            <w:noWrap w:val="0"/>
            <w:vAlign w:val="center"/>
          </w:tcPr>
          <w:p>
            <w:pPr>
              <w:pStyle w:val="22"/>
              <w:bidi w:val="0"/>
              <w:rPr>
                <w:rFonts w:hint="default"/>
                <w:color w:val="auto"/>
                <w:highlight w:val="none"/>
              </w:rPr>
            </w:pPr>
            <w:r>
              <w:rPr>
                <w:rFonts w:hint="default"/>
                <w:color w:val="auto"/>
                <w:highlight w:val="none"/>
              </w:rPr>
              <w:t>460/282</w:t>
            </w:r>
          </w:p>
        </w:tc>
        <w:tc>
          <w:tcPr>
            <w:tcW w:w="2767" w:type="dxa"/>
            <w:noWrap w:val="0"/>
            <w:vAlign w:val="center"/>
          </w:tcPr>
          <w:p>
            <w:pPr>
              <w:pStyle w:val="22"/>
              <w:bidi w:val="0"/>
              <w:rPr>
                <w:rFonts w:hint="default"/>
                <w:color w:val="auto"/>
                <w:highlight w:val="none"/>
              </w:rPr>
            </w:pPr>
            <w:r>
              <w:rPr>
                <w:rFonts w:hint="default"/>
                <w:color w:val="auto"/>
                <w:highlight w:val="none"/>
              </w:rPr>
              <w:t>K7、K8</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53</w:t>
            </w:r>
          </w:p>
        </w:tc>
        <w:tc>
          <w:tcPr>
            <w:tcW w:w="2969" w:type="dxa"/>
            <w:noWrap w:val="0"/>
            <w:vAlign w:val="center"/>
          </w:tcPr>
          <w:p>
            <w:pPr>
              <w:pStyle w:val="22"/>
              <w:bidi w:val="0"/>
              <w:rPr>
                <w:rFonts w:hint="default"/>
                <w:color w:val="auto"/>
                <w:highlight w:val="none"/>
              </w:rPr>
            </w:pPr>
            <w:r>
              <w:rPr>
                <w:rFonts w:hint="default"/>
                <w:color w:val="auto"/>
                <w:highlight w:val="none"/>
              </w:rPr>
              <w:t>大竹县石桥铺煤矿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0.7936</w:t>
            </w:r>
          </w:p>
        </w:tc>
        <w:tc>
          <w:tcPr>
            <w:tcW w:w="1200" w:type="dxa"/>
            <w:noWrap w:val="0"/>
            <w:vAlign w:val="center"/>
          </w:tcPr>
          <w:p>
            <w:pPr>
              <w:pStyle w:val="22"/>
              <w:bidi w:val="0"/>
              <w:rPr>
                <w:rFonts w:hint="default"/>
                <w:color w:val="auto"/>
                <w:highlight w:val="none"/>
              </w:rPr>
            </w:pPr>
            <w:r>
              <w:rPr>
                <w:rFonts w:hint="default"/>
                <w:color w:val="auto"/>
                <w:highlight w:val="none"/>
              </w:rPr>
              <w:t>478/333</w:t>
            </w:r>
          </w:p>
        </w:tc>
        <w:tc>
          <w:tcPr>
            <w:tcW w:w="2767" w:type="dxa"/>
            <w:noWrap w:val="0"/>
            <w:vAlign w:val="center"/>
          </w:tcPr>
          <w:p>
            <w:pPr>
              <w:pStyle w:val="22"/>
              <w:bidi w:val="0"/>
              <w:rPr>
                <w:rFonts w:hint="default"/>
                <w:color w:val="auto"/>
                <w:highlight w:val="none"/>
              </w:rPr>
            </w:pPr>
            <w:r>
              <w:rPr>
                <w:rFonts w:hint="default"/>
                <w:color w:val="auto"/>
                <w:highlight w:val="none"/>
              </w:rPr>
              <w:t>二连子、三夹连</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54</w:t>
            </w:r>
          </w:p>
        </w:tc>
        <w:tc>
          <w:tcPr>
            <w:tcW w:w="2969" w:type="dxa"/>
            <w:noWrap w:val="0"/>
            <w:vAlign w:val="center"/>
          </w:tcPr>
          <w:p>
            <w:pPr>
              <w:pStyle w:val="22"/>
              <w:bidi w:val="0"/>
              <w:rPr>
                <w:rFonts w:hint="default"/>
                <w:color w:val="auto"/>
                <w:highlight w:val="none"/>
              </w:rPr>
            </w:pPr>
            <w:r>
              <w:rPr>
                <w:rFonts w:hint="default"/>
                <w:color w:val="auto"/>
                <w:highlight w:val="none"/>
              </w:rPr>
              <w:t>大竹县中和乡陈家河煤矿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0.3991</w:t>
            </w:r>
          </w:p>
        </w:tc>
        <w:tc>
          <w:tcPr>
            <w:tcW w:w="1200" w:type="dxa"/>
            <w:noWrap w:val="0"/>
            <w:vAlign w:val="center"/>
          </w:tcPr>
          <w:p>
            <w:pPr>
              <w:pStyle w:val="22"/>
              <w:bidi w:val="0"/>
              <w:rPr>
                <w:rFonts w:hint="default"/>
                <w:color w:val="auto"/>
                <w:highlight w:val="none"/>
              </w:rPr>
            </w:pPr>
            <w:r>
              <w:rPr>
                <w:rFonts w:hint="default"/>
                <w:color w:val="auto"/>
                <w:highlight w:val="none"/>
              </w:rPr>
              <w:t>480/300</w:t>
            </w:r>
          </w:p>
        </w:tc>
        <w:tc>
          <w:tcPr>
            <w:tcW w:w="2767" w:type="dxa"/>
            <w:noWrap w:val="0"/>
            <w:vAlign w:val="center"/>
          </w:tcPr>
          <w:p>
            <w:pPr>
              <w:pStyle w:val="22"/>
              <w:bidi w:val="0"/>
              <w:rPr>
                <w:rFonts w:hint="default"/>
                <w:color w:val="auto"/>
                <w:highlight w:val="none"/>
              </w:rPr>
            </w:pPr>
            <w:r>
              <w:rPr>
                <w:rFonts w:hint="default"/>
                <w:color w:val="auto"/>
                <w:highlight w:val="none"/>
              </w:rPr>
              <w:t>K15、K11、K8</w:t>
            </w:r>
          </w:p>
        </w:tc>
        <w:tc>
          <w:tcPr>
            <w:tcW w:w="944" w:type="dxa"/>
            <w:noWrap w:val="0"/>
            <w:vAlign w:val="center"/>
          </w:tcPr>
          <w:p>
            <w:pPr>
              <w:pStyle w:val="22"/>
              <w:bidi w:val="0"/>
              <w:rPr>
                <w:rFonts w:hint="default"/>
                <w:color w:val="auto"/>
                <w:highlight w:val="none"/>
              </w:rPr>
            </w:pPr>
            <w:r>
              <w:rPr>
                <w:rFonts w:hint="default"/>
                <w:color w:val="auto"/>
                <w:highlight w:val="none"/>
              </w:rPr>
              <w:t>3</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55</w:t>
            </w:r>
          </w:p>
        </w:tc>
        <w:tc>
          <w:tcPr>
            <w:tcW w:w="2969" w:type="dxa"/>
            <w:noWrap w:val="0"/>
            <w:vAlign w:val="center"/>
          </w:tcPr>
          <w:p>
            <w:pPr>
              <w:pStyle w:val="22"/>
              <w:bidi w:val="0"/>
              <w:rPr>
                <w:rFonts w:hint="default"/>
                <w:color w:val="auto"/>
                <w:highlight w:val="none"/>
              </w:rPr>
            </w:pPr>
            <w:r>
              <w:rPr>
                <w:rFonts w:hint="default"/>
                <w:color w:val="auto"/>
                <w:highlight w:val="none"/>
              </w:rPr>
              <w:t>大竹县花岩煤业有限责任公司花岩煤矿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1.3323</w:t>
            </w:r>
          </w:p>
        </w:tc>
        <w:tc>
          <w:tcPr>
            <w:tcW w:w="1200" w:type="dxa"/>
            <w:noWrap w:val="0"/>
            <w:vAlign w:val="center"/>
          </w:tcPr>
          <w:p>
            <w:pPr>
              <w:pStyle w:val="22"/>
              <w:bidi w:val="0"/>
              <w:rPr>
                <w:rFonts w:hint="default"/>
                <w:color w:val="auto"/>
                <w:highlight w:val="none"/>
              </w:rPr>
            </w:pPr>
            <w:r>
              <w:rPr>
                <w:rFonts w:hint="default"/>
                <w:color w:val="auto"/>
                <w:highlight w:val="none"/>
              </w:rPr>
              <w:t>510/360</w:t>
            </w:r>
          </w:p>
        </w:tc>
        <w:tc>
          <w:tcPr>
            <w:tcW w:w="2767" w:type="dxa"/>
            <w:noWrap w:val="0"/>
            <w:vAlign w:val="center"/>
          </w:tcPr>
          <w:p>
            <w:pPr>
              <w:pStyle w:val="22"/>
              <w:bidi w:val="0"/>
              <w:rPr>
                <w:rFonts w:hint="default"/>
                <w:color w:val="auto"/>
                <w:highlight w:val="none"/>
              </w:rPr>
            </w:pPr>
            <w:r>
              <w:rPr>
                <w:rFonts w:hint="default"/>
                <w:color w:val="auto"/>
                <w:highlight w:val="none"/>
              </w:rPr>
              <w:t>K7、K6、K5</w:t>
            </w:r>
          </w:p>
        </w:tc>
        <w:tc>
          <w:tcPr>
            <w:tcW w:w="944" w:type="dxa"/>
            <w:noWrap w:val="0"/>
            <w:vAlign w:val="center"/>
          </w:tcPr>
          <w:p>
            <w:pPr>
              <w:pStyle w:val="22"/>
              <w:bidi w:val="0"/>
              <w:rPr>
                <w:rFonts w:hint="default"/>
                <w:color w:val="auto"/>
                <w:highlight w:val="none"/>
              </w:rPr>
            </w:pPr>
            <w:r>
              <w:rPr>
                <w:rFonts w:hint="default"/>
                <w:color w:val="auto"/>
                <w:highlight w:val="none"/>
              </w:rPr>
              <w:t>6</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56</w:t>
            </w:r>
          </w:p>
        </w:tc>
        <w:tc>
          <w:tcPr>
            <w:tcW w:w="2969" w:type="dxa"/>
            <w:noWrap w:val="0"/>
            <w:vAlign w:val="center"/>
          </w:tcPr>
          <w:p>
            <w:pPr>
              <w:pStyle w:val="22"/>
              <w:bidi w:val="0"/>
              <w:rPr>
                <w:rFonts w:hint="default"/>
                <w:color w:val="auto"/>
                <w:highlight w:val="none"/>
              </w:rPr>
            </w:pPr>
            <w:r>
              <w:rPr>
                <w:rFonts w:hint="default"/>
                <w:color w:val="auto"/>
                <w:highlight w:val="none"/>
              </w:rPr>
              <w:t>大竹县西河芋子沟煤矿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0.5374</w:t>
            </w:r>
          </w:p>
        </w:tc>
        <w:tc>
          <w:tcPr>
            <w:tcW w:w="1200" w:type="dxa"/>
            <w:noWrap w:val="0"/>
            <w:vAlign w:val="center"/>
          </w:tcPr>
          <w:p>
            <w:pPr>
              <w:pStyle w:val="22"/>
              <w:bidi w:val="0"/>
              <w:rPr>
                <w:rFonts w:hint="default"/>
                <w:color w:val="auto"/>
                <w:highlight w:val="none"/>
              </w:rPr>
            </w:pPr>
            <w:r>
              <w:rPr>
                <w:rFonts w:hint="default"/>
                <w:color w:val="auto"/>
                <w:highlight w:val="none"/>
              </w:rPr>
              <w:t>530/320</w:t>
            </w:r>
          </w:p>
        </w:tc>
        <w:tc>
          <w:tcPr>
            <w:tcW w:w="2767" w:type="dxa"/>
            <w:noWrap w:val="0"/>
            <w:vAlign w:val="center"/>
          </w:tcPr>
          <w:p>
            <w:pPr>
              <w:pStyle w:val="22"/>
              <w:bidi w:val="0"/>
              <w:rPr>
                <w:rFonts w:hint="default"/>
                <w:color w:val="auto"/>
                <w:highlight w:val="none"/>
              </w:rPr>
            </w:pPr>
            <w:r>
              <w:rPr>
                <w:rFonts w:hint="default"/>
                <w:color w:val="auto"/>
                <w:highlight w:val="none"/>
              </w:rPr>
              <w:t>K14、K13、K5、K4</w:t>
            </w:r>
          </w:p>
        </w:tc>
        <w:tc>
          <w:tcPr>
            <w:tcW w:w="944" w:type="dxa"/>
            <w:noWrap w:val="0"/>
            <w:vAlign w:val="center"/>
          </w:tcPr>
          <w:p>
            <w:pPr>
              <w:pStyle w:val="22"/>
              <w:bidi w:val="0"/>
              <w:rPr>
                <w:rFonts w:hint="default"/>
                <w:color w:val="auto"/>
                <w:highlight w:val="none"/>
              </w:rPr>
            </w:pPr>
            <w:r>
              <w:rPr>
                <w:rFonts w:hint="default"/>
                <w:color w:val="auto"/>
                <w:highlight w:val="none"/>
              </w:rPr>
              <w:t>6</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57</w:t>
            </w:r>
          </w:p>
        </w:tc>
        <w:tc>
          <w:tcPr>
            <w:tcW w:w="2969" w:type="dxa"/>
            <w:noWrap w:val="0"/>
            <w:vAlign w:val="center"/>
          </w:tcPr>
          <w:p>
            <w:pPr>
              <w:pStyle w:val="22"/>
              <w:bidi w:val="0"/>
              <w:rPr>
                <w:rFonts w:hint="default"/>
                <w:color w:val="auto"/>
                <w:highlight w:val="none"/>
              </w:rPr>
            </w:pPr>
            <w:r>
              <w:rPr>
                <w:rFonts w:hint="default"/>
                <w:color w:val="auto"/>
                <w:highlight w:val="none"/>
              </w:rPr>
              <w:t>大竹县贺家湾煤矿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2.2851</w:t>
            </w:r>
          </w:p>
        </w:tc>
        <w:tc>
          <w:tcPr>
            <w:tcW w:w="1200" w:type="dxa"/>
            <w:noWrap w:val="0"/>
            <w:vAlign w:val="center"/>
          </w:tcPr>
          <w:p>
            <w:pPr>
              <w:pStyle w:val="22"/>
              <w:bidi w:val="0"/>
              <w:rPr>
                <w:rFonts w:hint="default"/>
                <w:color w:val="auto"/>
                <w:highlight w:val="none"/>
              </w:rPr>
            </w:pPr>
            <w:r>
              <w:rPr>
                <w:rFonts w:hint="default"/>
                <w:color w:val="auto"/>
                <w:highlight w:val="none"/>
              </w:rPr>
              <w:t>826/300</w:t>
            </w:r>
          </w:p>
        </w:tc>
        <w:tc>
          <w:tcPr>
            <w:tcW w:w="2767" w:type="dxa"/>
            <w:noWrap w:val="0"/>
            <w:vAlign w:val="center"/>
          </w:tcPr>
          <w:p>
            <w:pPr>
              <w:pStyle w:val="22"/>
              <w:bidi w:val="0"/>
              <w:rPr>
                <w:rFonts w:hint="default"/>
                <w:color w:val="auto"/>
                <w:highlight w:val="none"/>
              </w:rPr>
            </w:pPr>
            <w:r>
              <w:rPr>
                <w:rFonts w:hint="default"/>
                <w:color w:val="auto"/>
                <w:highlight w:val="none"/>
              </w:rPr>
              <w:t>K6-1、K7</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2017</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58</w:t>
            </w:r>
          </w:p>
        </w:tc>
        <w:tc>
          <w:tcPr>
            <w:tcW w:w="2969" w:type="dxa"/>
            <w:noWrap w:val="0"/>
            <w:vAlign w:val="center"/>
          </w:tcPr>
          <w:p>
            <w:pPr>
              <w:pStyle w:val="22"/>
              <w:bidi w:val="0"/>
              <w:rPr>
                <w:rFonts w:hint="default"/>
                <w:color w:val="auto"/>
                <w:highlight w:val="none"/>
              </w:rPr>
            </w:pPr>
            <w:r>
              <w:rPr>
                <w:rFonts w:hint="default"/>
                <w:color w:val="auto"/>
                <w:highlight w:val="none"/>
              </w:rPr>
              <w:t>大竹县肖家沟煤矿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1.1983</w:t>
            </w:r>
          </w:p>
        </w:tc>
        <w:tc>
          <w:tcPr>
            <w:tcW w:w="1200" w:type="dxa"/>
            <w:noWrap w:val="0"/>
            <w:vAlign w:val="center"/>
          </w:tcPr>
          <w:p>
            <w:pPr>
              <w:pStyle w:val="22"/>
              <w:bidi w:val="0"/>
              <w:rPr>
                <w:rFonts w:hint="default"/>
                <w:color w:val="auto"/>
                <w:highlight w:val="none"/>
              </w:rPr>
            </w:pPr>
            <w:r>
              <w:rPr>
                <w:rFonts w:hint="default"/>
                <w:color w:val="auto"/>
                <w:highlight w:val="none"/>
              </w:rPr>
              <w:t>750/400</w:t>
            </w:r>
          </w:p>
        </w:tc>
        <w:tc>
          <w:tcPr>
            <w:tcW w:w="2767" w:type="dxa"/>
            <w:noWrap w:val="0"/>
            <w:vAlign w:val="center"/>
          </w:tcPr>
          <w:p>
            <w:pPr>
              <w:pStyle w:val="22"/>
              <w:bidi w:val="0"/>
              <w:rPr>
                <w:rFonts w:hint="default"/>
                <w:color w:val="auto"/>
                <w:highlight w:val="none"/>
              </w:rPr>
            </w:pPr>
            <w:r>
              <w:rPr>
                <w:rFonts w:hint="default"/>
                <w:color w:val="auto"/>
                <w:highlight w:val="none"/>
              </w:rPr>
              <w:t>K10、K8、K6、K4</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59</w:t>
            </w:r>
          </w:p>
        </w:tc>
        <w:tc>
          <w:tcPr>
            <w:tcW w:w="2969" w:type="dxa"/>
            <w:noWrap w:val="0"/>
            <w:vAlign w:val="center"/>
          </w:tcPr>
          <w:p>
            <w:pPr>
              <w:pStyle w:val="22"/>
              <w:bidi w:val="0"/>
              <w:rPr>
                <w:rFonts w:hint="default"/>
                <w:color w:val="auto"/>
                <w:highlight w:val="none"/>
              </w:rPr>
            </w:pPr>
            <w:r>
              <w:rPr>
                <w:rFonts w:hint="default"/>
                <w:color w:val="auto"/>
                <w:highlight w:val="none"/>
              </w:rPr>
              <w:t>达州市元亨能源有限责任公司（大竹县榆邻煤矿）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0.3534</w:t>
            </w:r>
          </w:p>
        </w:tc>
        <w:tc>
          <w:tcPr>
            <w:tcW w:w="1200" w:type="dxa"/>
            <w:noWrap w:val="0"/>
            <w:vAlign w:val="center"/>
          </w:tcPr>
          <w:p>
            <w:pPr>
              <w:pStyle w:val="22"/>
              <w:bidi w:val="0"/>
              <w:rPr>
                <w:rFonts w:hint="default"/>
                <w:color w:val="auto"/>
                <w:highlight w:val="none"/>
              </w:rPr>
            </w:pPr>
            <w:r>
              <w:rPr>
                <w:rFonts w:hint="default"/>
                <w:color w:val="auto"/>
                <w:highlight w:val="none"/>
              </w:rPr>
              <w:t>462/183</w:t>
            </w:r>
          </w:p>
        </w:tc>
        <w:tc>
          <w:tcPr>
            <w:tcW w:w="2767" w:type="dxa"/>
            <w:noWrap w:val="0"/>
            <w:vAlign w:val="center"/>
          </w:tcPr>
          <w:p>
            <w:pPr>
              <w:pStyle w:val="22"/>
              <w:bidi w:val="0"/>
              <w:rPr>
                <w:rFonts w:hint="default"/>
                <w:color w:val="auto"/>
                <w:highlight w:val="none"/>
              </w:rPr>
            </w:pPr>
            <w:r>
              <w:rPr>
                <w:rFonts w:hint="default"/>
                <w:color w:val="auto"/>
                <w:highlight w:val="none"/>
              </w:rPr>
              <w:t>K2、K4、K5</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3" w:type="dxa"/>
            <w:noWrap w:val="0"/>
            <w:vAlign w:val="center"/>
          </w:tcPr>
          <w:p>
            <w:pPr>
              <w:pStyle w:val="22"/>
              <w:bidi w:val="0"/>
              <w:rPr>
                <w:rFonts w:hint="default"/>
                <w:color w:val="auto"/>
                <w:highlight w:val="none"/>
              </w:rPr>
            </w:pPr>
            <w:r>
              <w:rPr>
                <w:rFonts w:hint="default"/>
                <w:color w:val="auto"/>
                <w:highlight w:val="none"/>
              </w:rPr>
              <w:t>60</w:t>
            </w:r>
          </w:p>
        </w:tc>
        <w:tc>
          <w:tcPr>
            <w:tcW w:w="2969" w:type="dxa"/>
            <w:noWrap w:val="0"/>
            <w:vAlign w:val="center"/>
          </w:tcPr>
          <w:p>
            <w:pPr>
              <w:pStyle w:val="22"/>
              <w:bidi w:val="0"/>
              <w:rPr>
                <w:rFonts w:hint="default"/>
                <w:color w:val="auto"/>
                <w:highlight w:val="none"/>
              </w:rPr>
            </w:pPr>
            <w:r>
              <w:rPr>
                <w:rFonts w:hint="default"/>
                <w:color w:val="auto"/>
                <w:highlight w:val="none"/>
              </w:rPr>
              <w:t>大竹县久通煤业有限公司麂子坝煤矿</w:t>
            </w:r>
          </w:p>
        </w:tc>
        <w:tc>
          <w:tcPr>
            <w:tcW w:w="1338" w:type="dxa"/>
            <w:noWrap w:val="0"/>
            <w:vAlign w:val="center"/>
          </w:tcPr>
          <w:p>
            <w:pPr>
              <w:pStyle w:val="22"/>
              <w:bidi w:val="0"/>
              <w:rPr>
                <w:rFonts w:hint="default"/>
                <w:color w:val="auto"/>
                <w:highlight w:val="none"/>
              </w:rPr>
            </w:pPr>
            <w:r>
              <w:rPr>
                <w:rFonts w:hint="default"/>
                <w:color w:val="auto"/>
                <w:highlight w:val="none"/>
              </w:rPr>
              <w:t>中山明月峡</w:t>
            </w:r>
          </w:p>
        </w:tc>
        <w:tc>
          <w:tcPr>
            <w:tcW w:w="1033" w:type="dxa"/>
            <w:noWrap w:val="0"/>
            <w:vAlign w:val="center"/>
          </w:tcPr>
          <w:p>
            <w:pPr>
              <w:pStyle w:val="22"/>
              <w:bidi w:val="0"/>
              <w:rPr>
                <w:rFonts w:hint="default"/>
                <w:color w:val="auto"/>
                <w:highlight w:val="none"/>
              </w:rPr>
            </w:pPr>
            <w:r>
              <w:rPr>
                <w:rFonts w:hint="default"/>
                <w:color w:val="auto"/>
                <w:highlight w:val="none"/>
              </w:rPr>
              <w:t>3.1146</w:t>
            </w:r>
          </w:p>
        </w:tc>
        <w:tc>
          <w:tcPr>
            <w:tcW w:w="1200" w:type="dxa"/>
            <w:noWrap w:val="0"/>
            <w:vAlign w:val="center"/>
          </w:tcPr>
          <w:p>
            <w:pPr>
              <w:pStyle w:val="22"/>
              <w:bidi w:val="0"/>
              <w:rPr>
                <w:rFonts w:hint="default"/>
                <w:color w:val="auto"/>
                <w:highlight w:val="none"/>
              </w:rPr>
            </w:pPr>
            <w:r>
              <w:rPr>
                <w:rFonts w:hint="default"/>
                <w:color w:val="auto"/>
                <w:highlight w:val="none"/>
              </w:rPr>
              <w:t>403/-100</w:t>
            </w:r>
          </w:p>
        </w:tc>
        <w:tc>
          <w:tcPr>
            <w:tcW w:w="2767" w:type="dxa"/>
            <w:noWrap w:val="0"/>
            <w:vAlign w:val="center"/>
          </w:tcPr>
          <w:p>
            <w:pPr>
              <w:pStyle w:val="22"/>
              <w:bidi w:val="0"/>
              <w:rPr>
                <w:rFonts w:hint="default"/>
                <w:color w:val="auto"/>
                <w:highlight w:val="none"/>
              </w:rPr>
            </w:pPr>
            <w:r>
              <w:rPr>
                <w:rFonts w:hint="default"/>
                <w:color w:val="auto"/>
                <w:highlight w:val="none"/>
              </w:rPr>
              <w:t>K4、K2</w:t>
            </w:r>
          </w:p>
        </w:tc>
        <w:tc>
          <w:tcPr>
            <w:tcW w:w="944" w:type="dxa"/>
            <w:noWrap w:val="0"/>
            <w:vAlign w:val="center"/>
          </w:tcPr>
          <w:p>
            <w:pPr>
              <w:pStyle w:val="22"/>
              <w:bidi w:val="0"/>
              <w:rPr>
                <w:rFonts w:hint="default"/>
                <w:color w:val="auto"/>
                <w:highlight w:val="none"/>
              </w:rPr>
            </w:pPr>
            <w:r>
              <w:rPr>
                <w:rFonts w:hint="default"/>
                <w:color w:val="auto"/>
                <w:highlight w:val="none"/>
              </w:rPr>
              <w:t>9</w:t>
            </w:r>
          </w:p>
        </w:tc>
        <w:tc>
          <w:tcPr>
            <w:tcW w:w="900" w:type="dxa"/>
            <w:noWrap w:val="0"/>
            <w:vAlign w:val="center"/>
          </w:tcPr>
          <w:p>
            <w:pPr>
              <w:pStyle w:val="22"/>
              <w:bidi w:val="0"/>
              <w:rPr>
                <w:rFonts w:hint="default"/>
                <w:color w:val="auto"/>
                <w:highlight w:val="none"/>
              </w:rPr>
            </w:pPr>
            <w:r>
              <w:rPr>
                <w:rFonts w:hint="default"/>
                <w:color w:val="auto"/>
                <w:highlight w:val="none"/>
              </w:rPr>
              <w:t>√</w:t>
            </w: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r>
              <w:rPr>
                <w:rFonts w:hint="default"/>
                <w:color w:val="auto"/>
                <w:highlight w:val="none"/>
              </w:rPr>
              <w:t>2020</w:t>
            </w:r>
          </w:p>
        </w:tc>
        <w:tc>
          <w:tcPr>
            <w:tcW w:w="48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62" w:type="dxa"/>
            <w:gridSpan w:val="2"/>
            <w:noWrap w:val="0"/>
            <w:vAlign w:val="center"/>
          </w:tcPr>
          <w:p>
            <w:pPr>
              <w:pStyle w:val="22"/>
              <w:bidi w:val="0"/>
              <w:rPr>
                <w:rFonts w:hint="default"/>
                <w:color w:val="auto"/>
                <w:highlight w:val="none"/>
              </w:rPr>
            </w:pPr>
            <w:r>
              <w:rPr>
                <w:rFonts w:hint="default"/>
                <w:color w:val="auto"/>
                <w:highlight w:val="none"/>
              </w:rPr>
              <w:t>合计</w:t>
            </w:r>
          </w:p>
        </w:tc>
        <w:tc>
          <w:tcPr>
            <w:tcW w:w="1338" w:type="dxa"/>
            <w:noWrap w:val="0"/>
            <w:vAlign w:val="top"/>
          </w:tcPr>
          <w:p>
            <w:pPr>
              <w:pStyle w:val="22"/>
              <w:bidi w:val="0"/>
              <w:rPr>
                <w:rFonts w:hint="default"/>
                <w:color w:val="auto"/>
                <w:highlight w:val="none"/>
              </w:rPr>
            </w:pPr>
          </w:p>
        </w:tc>
        <w:tc>
          <w:tcPr>
            <w:tcW w:w="1033" w:type="dxa"/>
            <w:noWrap w:val="0"/>
            <w:vAlign w:val="center"/>
          </w:tcPr>
          <w:p>
            <w:pPr>
              <w:pStyle w:val="22"/>
              <w:bidi w:val="0"/>
              <w:rPr>
                <w:rFonts w:hint="default"/>
                <w:color w:val="auto"/>
                <w:highlight w:val="none"/>
              </w:rPr>
            </w:pPr>
            <w:r>
              <w:rPr>
                <w:rFonts w:hint="default"/>
                <w:color w:val="auto"/>
                <w:highlight w:val="none"/>
              </w:rPr>
              <w:t>59.5931</w:t>
            </w:r>
          </w:p>
        </w:tc>
        <w:tc>
          <w:tcPr>
            <w:tcW w:w="1200" w:type="dxa"/>
            <w:noWrap w:val="0"/>
            <w:vAlign w:val="center"/>
          </w:tcPr>
          <w:p>
            <w:pPr>
              <w:pStyle w:val="22"/>
              <w:bidi w:val="0"/>
              <w:rPr>
                <w:rFonts w:hint="default"/>
                <w:color w:val="auto"/>
                <w:highlight w:val="none"/>
              </w:rPr>
            </w:pPr>
          </w:p>
        </w:tc>
        <w:tc>
          <w:tcPr>
            <w:tcW w:w="2767" w:type="dxa"/>
            <w:noWrap w:val="0"/>
            <w:vAlign w:val="center"/>
          </w:tcPr>
          <w:p>
            <w:pPr>
              <w:pStyle w:val="22"/>
              <w:bidi w:val="0"/>
              <w:rPr>
                <w:rFonts w:hint="default"/>
                <w:color w:val="auto"/>
                <w:highlight w:val="none"/>
              </w:rPr>
            </w:pPr>
          </w:p>
        </w:tc>
        <w:tc>
          <w:tcPr>
            <w:tcW w:w="944" w:type="dxa"/>
            <w:noWrap w:val="0"/>
            <w:vAlign w:val="center"/>
          </w:tcPr>
          <w:p>
            <w:pPr>
              <w:pStyle w:val="22"/>
              <w:bidi w:val="0"/>
              <w:rPr>
                <w:rFonts w:hint="default"/>
                <w:color w:val="auto"/>
                <w:highlight w:val="none"/>
              </w:rPr>
            </w:pPr>
            <w:r>
              <w:rPr>
                <w:rFonts w:hint="default"/>
                <w:color w:val="auto"/>
                <w:highlight w:val="none"/>
              </w:rPr>
              <w:t>260</w:t>
            </w:r>
          </w:p>
        </w:tc>
        <w:tc>
          <w:tcPr>
            <w:tcW w:w="900" w:type="dxa"/>
            <w:noWrap w:val="0"/>
            <w:vAlign w:val="center"/>
          </w:tcPr>
          <w:p>
            <w:pPr>
              <w:pStyle w:val="22"/>
              <w:bidi w:val="0"/>
              <w:rPr>
                <w:rFonts w:hint="default"/>
                <w:color w:val="auto"/>
                <w:highlight w:val="none"/>
              </w:rPr>
            </w:pPr>
          </w:p>
        </w:tc>
        <w:tc>
          <w:tcPr>
            <w:tcW w:w="1034"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p>
        </w:tc>
        <w:tc>
          <w:tcPr>
            <w:tcW w:w="482" w:type="dxa"/>
            <w:noWrap w:val="0"/>
            <w:vAlign w:val="center"/>
          </w:tcPr>
          <w:p>
            <w:pPr>
              <w:pStyle w:val="22"/>
              <w:bidi w:val="0"/>
              <w:rPr>
                <w:rFonts w:hint="default"/>
                <w:color w:val="auto"/>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sectPr>
          <w:footerReference r:id="rId10" w:type="default"/>
          <w:pgSz w:w="16838" w:h="11906" w:orient="landscape"/>
          <w:pgMar w:top="1800" w:right="1440" w:bottom="1800" w:left="1440" w:header="851" w:footer="992" w:gutter="0"/>
          <w:pgNumType w:fmt="decimal"/>
          <w:cols w:space="720" w:num="1"/>
          <w:docGrid w:type="lines" w:linePitch="312" w:charSpace="0"/>
        </w:sectPr>
      </w:pPr>
    </w:p>
    <w:p>
      <w:pPr>
        <w:pStyle w:val="7"/>
        <w:bidi w:val="0"/>
        <w:rPr>
          <w:rFonts w:hint="default"/>
          <w:color w:val="auto"/>
          <w:highlight w:val="none"/>
          <w:lang w:val="en-US" w:eastAsia="zh-CN"/>
        </w:rPr>
      </w:pPr>
      <w:r>
        <w:rPr>
          <w:rFonts w:hint="default"/>
          <w:color w:val="auto"/>
          <w:highlight w:val="none"/>
          <w:lang w:val="en-US" w:eastAsia="zh-CN"/>
        </w:rPr>
        <w:t>2.1.3.2 矿区开发情况</w:t>
      </w:r>
    </w:p>
    <w:p>
      <w:pPr>
        <w:bidi w:val="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采矿权现状</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大竹县目前保留煤矿有14个，</w:t>
      </w:r>
      <w:r>
        <w:rPr>
          <w:rFonts w:hint="default" w:ascii="Times New Roman" w:hAnsi="Times New Roman" w:eastAsia="宋体" w:cs="Times New Roman"/>
          <w:color w:val="auto"/>
          <w:kern w:val="2"/>
          <w:sz w:val="24"/>
          <w:szCs w:val="24"/>
          <w:highlight w:val="none"/>
        </w:rPr>
        <w:t>矿井生产能力为45</w:t>
      </w:r>
      <w:r>
        <w:rPr>
          <w:rFonts w:hint="default" w:ascii="Times New Roman" w:hAnsi="Times New Roman" w:eastAsia="宋体" w:cs="Times New Roman"/>
          <w:color w:val="auto"/>
          <w:sz w:val="24"/>
          <w:szCs w:val="24"/>
          <w:highlight w:val="none"/>
        </w:rPr>
        <w:t>万吨/年</w:t>
      </w:r>
      <w:r>
        <w:rPr>
          <w:rFonts w:hint="default" w:ascii="Times New Roman" w:hAnsi="Times New Roman" w:eastAsia="宋体" w:cs="Times New Roman"/>
          <w:color w:val="auto"/>
          <w:kern w:val="2"/>
          <w:sz w:val="24"/>
          <w:szCs w:val="24"/>
          <w:highlight w:val="none"/>
        </w:rPr>
        <w:t>的1个，矿井生产能力为30</w:t>
      </w:r>
      <w:r>
        <w:rPr>
          <w:rFonts w:hint="default" w:ascii="Times New Roman" w:hAnsi="Times New Roman" w:eastAsia="宋体" w:cs="Times New Roman"/>
          <w:color w:val="auto"/>
          <w:sz w:val="24"/>
          <w:szCs w:val="24"/>
          <w:highlight w:val="none"/>
        </w:rPr>
        <w:t>万吨/年</w:t>
      </w:r>
      <w:r>
        <w:rPr>
          <w:rFonts w:hint="default" w:ascii="Times New Roman" w:hAnsi="Times New Roman" w:eastAsia="宋体" w:cs="Times New Roman"/>
          <w:color w:val="auto"/>
          <w:kern w:val="2"/>
          <w:sz w:val="24"/>
          <w:szCs w:val="24"/>
          <w:highlight w:val="none"/>
        </w:rPr>
        <w:t>的1个，矿井生产能力为15</w:t>
      </w:r>
      <w:r>
        <w:rPr>
          <w:rFonts w:hint="default" w:ascii="Times New Roman" w:hAnsi="Times New Roman" w:eastAsia="宋体" w:cs="Times New Roman"/>
          <w:color w:val="auto"/>
          <w:sz w:val="24"/>
          <w:szCs w:val="24"/>
          <w:highlight w:val="none"/>
        </w:rPr>
        <w:t>万吨/年</w:t>
      </w:r>
      <w:r>
        <w:rPr>
          <w:rFonts w:hint="default" w:ascii="Times New Roman" w:hAnsi="Times New Roman" w:eastAsia="宋体" w:cs="Times New Roman"/>
          <w:color w:val="auto"/>
          <w:kern w:val="2"/>
          <w:sz w:val="24"/>
          <w:szCs w:val="24"/>
          <w:highlight w:val="none"/>
        </w:rPr>
        <w:t>的8个，矿井生产能力为9</w:t>
      </w:r>
      <w:r>
        <w:rPr>
          <w:rFonts w:hint="default" w:ascii="Times New Roman" w:hAnsi="Times New Roman" w:eastAsia="宋体" w:cs="Times New Roman"/>
          <w:color w:val="auto"/>
          <w:sz w:val="24"/>
          <w:szCs w:val="24"/>
          <w:highlight w:val="none"/>
        </w:rPr>
        <w:t>万吨/年</w:t>
      </w:r>
      <w:r>
        <w:rPr>
          <w:rFonts w:hint="default" w:ascii="Times New Roman" w:hAnsi="Times New Roman" w:eastAsia="宋体" w:cs="Times New Roman"/>
          <w:color w:val="auto"/>
          <w:kern w:val="2"/>
          <w:sz w:val="24"/>
          <w:szCs w:val="24"/>
          <w:highlight w:val="none"/>
        </w:rPr>
        <w:t>的4个，共计矿井生产能力为231</w:t>
      </w:r>
      <w:r>
        <w:rPr>
          <w:rFonts w:hint="default" w:ascii="Times New Roman" w:hAnsi="Times New Roman" w:eastAsia="宋体" w:cs="Times New Roman"/>
          <w:color w:val="auto"/>
          <w:sz w:val="24"/>
          <w:szCs w:val="24"/>
          <w:highlight w:val="none"/>
        </w:rPr>
        <w:t>万吨/年</w:t>
      </w:r>
      <w:r>
        <w:rPr>
          <w:rFonts w:hint="default" w:ascii="Times New Roman" w:hAnsi="Times New Roman" w:eastAsia="宋体" w:cs="Times New Roman"/>
          <w:color w:val="auto"/>
          <w:kern w:val="2"/>
          <w:sz w:val="24"/>
          <w:szCs w:val="24"/>
          <w:highlight w:val="none"/>
        </w:rPr>
        <w:t>。</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华蓥山北段矿区内保留设置有6个采矿权，其中升级改造矿井有3个（田坝煤矿、黑滩煤矿和新桥红星煤矿），保留生产矿井有3个（柏林煤矿、大硐坪煤矿和大河沟煤矿）；中山明月峡矿区保留设置有8个采矿权，其中升级改造矿井有6个（荣华煤矿、华家沟煤矿、孔家沟煤矿、刘家沟联合煤矿、平桥煤矿和牛郎沟煤矿），保留生产矿井有2个（堡子煤矿和观音煤矿）。区内</w:t>
      </w:r>
      <w:r>
        <w:rPr>
          <w:rFonts w:hint="default" w:ascii="Times New Roman" w:hAnsi="Times New Roman" w:eastAsia="宋体" w:cs="Times New Roman"/>
          <w:color w:val="auto"/>
          <w:kern w:val="2"/>
          <w:sz w:val="24"/>
          <w:szCs w:val="24"/>
          <w:highlight w:val="none"/>
        </w:rPr>
        <w:t>多数煤矿现采用的炮采落煤工艺，少数煤矿采用普采、综采采煤工艺。现有煤矿布置见表</w:t>
      </w:r>
      <w:r>
        <w:rPr>
          <w:rFonts w:hint="default" w:ascii="Times New Roman" w:hAnsi="Times New Roman" w:eastAsia="宋体" w:cs="Times New Roman"/>
          <w:color w:val="auto"/>
          <w:kern w:val="2"/>
          <w:sz w:val="24"/>
          <w:szCs w:val="24"/>
          <w:highlight w:val="none"/>
          <w:lang w:val="en-US" w:eastAsia="zh-CN"/>
        </w:rPr>
        <w:t>2.1.2</w:t>
      </w:r>
      <w:r>
        <w:rPr>
          <w:rFonts w:hint="default" w:ascii="Times New Roman" w:hAnsi="Times New Roman" w:eastAsia="宋体" w:cs="Times New Roman"/>
          <w:color w:val="auto"/>
          <w:kern w:val="2"/>
          <w:sz w:val="24"/>
          <w:szCs w:val="24"/>
          <w:highlight w:val="none"/>
        </w:rPr>
        <w:t>-2。</w:t>
      </w:r>
    </w:p>
    <w:p>
      <w:pPr>
        <w:pStyle w:val="16"/>
        <w:adjustRightInd w:val="0"/>
        <w:snapToGrid w:val="0"/>
        <w:spacing w:before="0" w:beforeAutospacing="0" w:after="0" w:afterAutospacing="0" w:line="360" w:lineRule="auto"/>
        <w:ind w:firstLine="482" w:firstLineChars="200"/>
        <w:jc w:val="both"/>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探矿权现状</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iCs/>
          <w:color w:val="auto"/>
          <w:sz w:val="24"/>
          <w:szCs w:val="24"/>
          <w:highlight w:val="none"/>
        </w:rPr>
        <w:t>大竹县</w:t>
      </w:r>
      <w:r>
        <w:rPr>
          <w:rFonts w:hint="default" w:ascii="Times New Roman" w:hAnsi="Times New Roman" w:eastAsia="宋体" w:cs="Times New Roman"/>
          <w:color w:val="auto"/>
          <w:kern w:val="2"/>
          <w:sz w:val="24"/>
          <w:szCs w:val="24"/>
          <w:highlight w:val="none"/>
        </w:rPr>
        <w:t>现设置有</w:t>
      </w:r>
      <w:r>
        <w:rPr>
          <w:rFonts w:hint="default" w:ascii="Times New Roman" w:hAnsi="Times New Roman" w:eastAsia="宋体" w:cs="Times New Roman"/>
          <w:color w:val="auto"/>
          <w:sz w:val="24"/>
          <w:szCs w:val="24"/>
          <w:highlight w:val="none"/>
        </w:rPr>
        <w:t>探矿</w:t>
      </w:r>
      <w:r>
        <w:rPr>
          <w:rFonts w:hint="default" w:ascii="Times New Roman" w:hAnsi="Times New Roman" w:eastAsia="宋体" w:cs="Times New Roman"/>
          <w:color w:val="auto"/>
          <w:kern w:val="2"/>
          <w:sz w:val="24"/>
          <w:szCs w:val="24"/>
          <w:highlight w:val="none"/>
        </w:rPr>
        <w:t>权</w:t>
      </w:r>
      <w:r>
        <w:rPr>
          <w:rFonts w:hint="default" w:ascii="Times New Roman" w:hAnsi="Times New Roman" w:eastAsia="宋体" w:cs="Times New Roman"/>
          <w:iCs/>
          <w:color w:val="auto"/>
          <w:sz w:val="24"/>
          <w:szCs w:val="24"/>
          <w:highlight w:val="none"/>
        </w:rPr>
        <w:t>1</w:t>
      </w:r>
      <w:r>
        <w:rPr>
          <w:rFonts w:hint="default" w:ascii="Times New Roman" w:hAnsi="Times New Roman" w:eastAsia="宋体" w:cs="Times New Roman"/>
          <w:color w:val="auto"/>
          <w:kern w:val="2"/>
          <w:sz w:val="24"/>
          <w:szCs w:val="24"/>
          <w:highlight w:val="none"/>
        </w:rPr>
        <w:t>个，即中山明月峡矿区的为</w:t>
      </w:r>
      <w:r>
        <w:rPr>
          <w:rFonts w:hint="default" w:ascii="Times New Roman" w:hAnsi="Times New Roman" w:eastAsia="宋体" w:cs="Times New Roman"/>
          <w:iCs/>
          <w:color w:val="auto"/>
          <w:sz w:val="24"/>
          <w:szCs w:val="24"/>
          <w:highlight w:val="none"/>
        </w:rPr>
        <w:t>城门洞矿段煤炭</w:t>
      </w:r>
      <w:r>
        <w:rPr>
          <w:rFonts w:hint="default" w:ascii="Times New Roman" w:hAnsi="Times New Roman" w:eastAsia="宋体" w:cs="Times New Roman"/>
          <w:color w:val="auto"/>
          <w:kern w:val="2"/>
          <w:sz w:val="24"/>
          <w:szCs w:val="24"/>
          <w:highlight w:val="none"/>
        </w:rPr>
        <w:t>详查：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rPr>
        <w:t>四川省</w:t>
      </w:r>
      <w:r>
        <w:rPr>
          <w:rFonts w:hint="default" w:ascii="Times New Roman" w:hAnsi="Times New Roman" w:eastAsia="宋体" w:cs="Times New Roman"/>
          <w:iCs/>
          <w:color w:val="auto"/>
          <w:sz w:val="24"/>
          <w:szCs w:val="24"/>
          <w:highlight w:val="none"/>
        </w:rPr>
        <w:t>大竹县城门洞矿段煤炭</w:t>
      </w:r>
      <w:r>
        <w:rPr>
          <w:rFonts w:hint="default" w:ascii="Times New Roman" w:hAnsi="Times New Roman" w:eastAsia="宋体" w:cs="Times New Roman"/>
          <w:color w:val="auto"/>
          <w:kern w:val="2"/>
          <w:sz w:val="24"/>
          <w:szCs w:val="24"/>
          <w:highlight w:val="none"/>
        </w:rPr>
        <w:t>详查，勘查区由23个拐点坐标圈闭，勘查面积</w:t>
      </w:r>
      <w:r>
        <w:rPr>
          <w:rFonts w:hint="default" w:ascii="Times New Roman" w:hAnsi="Times New Roman" w:eastAsia="宋体" w:cs="Times New Roman"/>
          <w:iCs/>
          <w:color w:val="auto"/>
          <w:sz w:val="24"/>
          <w:szCs w:val="24"/>
          <w:highlight w:val="none"/>
        </w:rPr>
        <w:t>18.79</w:t>
      </w:r>
      <w:r>
        <w:rPr>
          <w:rFonts w:hint="default" w:ascii="Times New Roman" w:hAnsi="Times New Roman" w:eastAsia="宋体" w:cs="Times New Roman"/>
          <w:color w:val="auto"/>
          <w:kern w:val="2"/>
          <w:sz w:val="24"/>
          <w:szCs w:val="24"/>
          <w:highlight w:val="none"/>
        </w:rPr>
        <w:t>km</w:t>
      </w:r>
      <w:r>
        <w:rPr>
          <w:rFonts w:hint="default" w:ascii="Times New Roman" w:hAnsi="Times New Roman" w:eastAsia="宋体" w:cs="Times New Roman"/>
          <w:color w:val="auto"/>
          <w:kern w:val="2"/>
          <w:sz w:val="24"/>
          <w:szCs w:val="24"/>
          <w:highlight w:val="none"/>
          <w:vertAlign w:val="superscript"/>
        </w:rPr>
        <w:t>2</w:t>
      </w:r>
      <w:r>
        <w:rPr>
          <w:rFonts w:hint="default" w:ascii="Times New Roman" w:hAnsi="Times New Roman" w:eastAsia="宋体" w:cs="Times New Roman"/>
          <w:color w:val="auto"/>
          <w:kern w:val="2"/>
          <w:sz w:val="24"/>
          <w:szCs w:val="24"/>
          <w:highlight w:val="none"/>
        </w:rPr>
        <w:t>，勘查许可证有效期为2019年</w:t>
      </w:r>
      <w:r>
        <w:rPr>
          <w:rFonts w:hint="default" w:ascii="Times New Roman" w:hAnsi="Times New Roman" w:eastAsia="宋体" w:cs="Times New Roman"/>
          <w:iCs/>
          <w:color w:val="auto"/>
          <w:sz w:val="24"/>
          <w:szCs w:val="24"/>
          <w:highlight w:val="none"/>
        </w:rPr>
        <w:t>8</w:t>
      </w:r>
      <w:r>
        <w:rPr>
          <w:rFonts w:hint="default" w:ascii="Times New Roman" w:hAnsi="Times New Roman" w:eastAsia="宋体" w:cs="Times New Roman"/>
          <w:color w:val="auto"/>
          <w:kern w:val="2"/>
          <w:sz w:val="24"/>
          <w:szCs w:val="24"/>
          <w:highlight w:val="none"/>
        </w:rPr>
        <w:t>月</w:t>
      </w:r>
      <w:r>
        <w:rPr>
          <w:rFonts w:hint="default" w:ascii="Times New Roman" w:hAnsi="Times New Roman" w:eastAsia="宋体" w:cs="Times New Roman"/>
          <w:iCs/>
          <w:color w:val="auto"/>
          <w:sz w:val="24"/>
          <w:szCs w:val="24"/>
          <w:highlight w:val="none"/>
        </w:rPr>
        <w:t>22</w:t>
      </w:r>
      <w:r>
        <w:rPr>
          <w:rFonts w:hint="default" w:ascii="Times New Roman" w:hAnsi="Times New Roman" w:eastAsia="宋体" w:cs="Times New Roman"/>
          <w:color w:val="auto"/>
          <w:kern w:val="2"/>
          <w:sz w:val="24"/>
          <w:szCs w:val="24"/>
          <w:highlight w:val="none"/>
        </w:rPr>
        <w:t>日至2021年</w:t>
      </w:r>
      <w:r>
        <w:rPr>
          <w:rFonts w:hint="default" w:ascii="Times New Roman" w:hAnsi="Times New Roman" w:eastAsia="宋体" w:cs="Times New Roman"/>
          <w:iCs/>
          <w:color w:val="auto"/>
          <w:sz w:val="24"/>
          <w:szCs w:val="24"/>
          <w:highlight w:val="none"/>
        </w:rPr>
        <w:t>8</w:t>
      </w:r>
      <w:r>
        <w:rPr>
          <w:rFonts w:hint="default" w:ascii="Times New Roman" w:hAnsi="Times New Roman" w:eastAsia="宋体" w:cs="Times New Roman"/>
          <w:color w:val="auto"/>
          <w:kern w:val="2"/>
          <w:sz w:val="24"/>
          <w:szCs w:val="24"/>
          <w:highlight w:val="none"/>
        </w:rPr>
        <w:t>月</w:t>
      </w:r>
      <w:r>
        <w:rPr>
          <w:rFonts w:hint="default" w:ascii="Times New Roman" w:hAnsi="Times New Roman" w:eastAsia="宋体" w:cs="Times New Roman"/>
          <w:iCs/>
          <w:color w:val="auto"/>
          <w:sz w:val="24"/>
          <w:szCs w:val="24"/>
          <w:highlight w:val="none"/>
        </w:rPr>
        <w:t>22</w:t>
      </w:r>
      <w:r>
        <w:rPr>
          <w:rFonts w:hint="default" w:ascii="Times New Roman" w:hAnsi="Times New Roman" w:eastAsia="宋体" w:cs="Times New Roman"/>
          <w:color w:val="auto"/>
          <w:kern w:val="2"/>
          <w:sz w:val="24"/>
          <w:szCs w:val="24"/>
          <w:highlight w:val="none"/>
        </w:rPr>
        <w:t>日，</w:t>
      </w:r>
      <w:r>
        <w:rPr>
          <w:rFonts w:hint="default" w:ascii="Times New Roman" w:hAnsi="Times New Roman" w:eastAsia="宋体" w:cs="Times New Roman"/>
          <w:color w:val="auto"/>
          <w:sz w:val="24"/>
          <w:szCs w:val="24"/>
          <w:highlight w:val="none"/>
        </w:rPr>
        <w:t>坐标详见表</w:t>
      </w:r>
      <w:r>
        <w:rPr>
          <w:rFonts w:hint="default" w:ascii="Times New Roman" w:hAnsi="Times New Roman" w:eastAsia="宋体" w:cs="Times New Roman"/>
          <w:color w:val="auto"/>
          <w:sz w:val="24"/>
          <w:szCs w:val="24"/>
          <w:highlight w:val="none"/>
          <w:lang w:val="en-US" w:eastAsia="zh-CN"/>
        </w:rPr>
        <w:t>2.1.2</w:t>
      </w: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sectPr>
          <w:pgSz w:w="11906" w:h="16838"/>
          <w:pgMar w:top="1440" w:right="1800" w:bottom="1440" w:left="1800" w:header="851" w:footer="992" w:gutter="0"/>
          <w:pgNumType w:fmt="decimal"/>
          <w:cols w:space="720" w:num="1"/>
          <w:docGrid w:type="lines" w:linePitch="312" w:charSpace="0"/>
        </w:sectPr>
      </w:pP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2.1.3-2</w:t>
      </w:r>
      <w:r>
        <w:rPr>
          <w:rFonts w:hint="default"/>
          <w:color w:val="auto"/>
          <w:highlight w:val="none"/>
        </w:rPr>
        <w:t xml:space="preserve">                               大竹县现有煤矿一览表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4252"/>
        <w:gridCol w:w="1606"/>
        <w:gridCol w:w="1553"/>
        <w:gridCol w:w="1093"/>
        <w:gridCol w:w="1409"/>
        <w:gridCol w:w="2155"/>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restart"/>
            <w:noWrap w:val="0"/>
            <w:vAlign w:val="center"/>
          </w:tcPr>
          <w:p>
            <w:pPr>
              <w:pStyle w:val="22"/>
              <w:bidi w:val="0"/>
              <w:rPr>
                <w:rFonts w:hint="default"/>
                <w:color w:val="auto"/>
                <w:highlight w:val="none"/>
              </w:rPr>
            </w:pPr>
            <w:r>
              <w:rPr>
                <w:rFonts w:hint="default"/>
                <w:color w:val="auto"/>
                <w:highlight w:val="none"/>
              </w:rPr>
              <w:t>序号</w:t>
            </w:r>
          </w:p>
        </w:tc>
        <w:tc>
          <w:tcPr>
            <w:tcW w:w="4252" w:type="dxa"/>
            <w:vMerge w:val="restart"/>
            <w:noWrap w:val="0"/>
            <w:vAlign w:val="center"/>
          </w:tcPr>
          <w:p>
            <w:pPr>
              <w:pStyle w:val="22"/>
              <w:bidi w:val="0"/>
              <w:rPr>
                <w:rFonts w:hint="default"/>
                <w:color w:val="auto"/>
                <w:highlight w:val="none"/>
              </w:rPr>
            </w:pPr>
            <w:r>
              <w:rPr>
                <w:rFonts w:hint="default"/>
                <w:color w:val="auto"/>
                <w:highlight w:val="none"/>
              </w:rPr>
              <w:t>矿井名称</w:t>
            </w:r>
          </w:p>
        </w:tc>
        <w:tc>
          <w:tcPr>
            <w:tcW w:w="1606" w:type="dxa"/>
            <w:vMerge w:val="restart"/>
            <w:noWrap w:val="0"/>
            <w:vAlign w:val="center"/>
          </w:tcPr>
          <w:p>
            <w:pPr>
              <w:pStyle w:val="22"/>
              <w:bidi w:val="0"/>
              <w:rPr>
                <w:rFonts w:hint="default"/>
                <w:color w:val="auto"/>
                <w:highlight w:val="none"/>
              </w:rPr>
            </w:pPr>
            <w:r>
              <w:rPr>
                <w:rFonts w:hint="default"/>
                <w:color w:val="auto"/>
                <w:highlight w:val="none"/>
              </w:rPr>
              <w:t>开拓方式</w:t>
            </w:r>
          </w:p>
        </w:tc>
        <w:tc>
          <w:tcPr>
            <w:tcW w:w="2646" w:type="dxa"/>
            <w:gridSpan w:val="2"/>
            <w:noWrap w:val="0"/>
            <w:vAlign w:val="center"/>
          </w:tcPr>
          <w:p>
            <w:pPr>
              <w:pStyle w:val="22"/>
              <w:bidi w:val="0"/>
              <w:rPr>
                <w:rFonts w:hint="default"/>
                <w:color w:val="auto"/>
                <w:highlight w:val="none"/>
              </w:rPr>
            </w:pPr>
            <w:r>
              <w:rPr>
                <w:rFonts w:hint="default"/>
                <w:color w:val="auto"/>
                <w:highlight w:val="none"/>
              </w:rPr>
              <w:t>生产能力（万吨/年）</w:t>
            </w:r>
          </w:p>
        </w:tc>
        <w:tc>
          <w:tcPr>
            <w:tcW w:w="1409" w:type="dxa"/>
            <w:vMerge w:val="restart"/>
            <w:noWrap w:val="0"/>
            <w:vAlign w:val="center"/>
          </w:tcPr>
          <w:p>
            <w:pPr>
              <w:pStyle w:val="22"/>
              <w:bidi w:val="0"/>
              <w:rPr>
                <w:rFonts w:hint="default"/>
                <w:color w:val="auto"/>
                <w:highlight w:val="none"/>
              </w:rPr>
            </w:pPr>
            <w:r>
              <w:rPr>
                <w:rFonts w:hint="default"/>
                <w:color w:val="auto"/>
                <w:highlight w:val="none"/>
              </w:rPr>
              <w:t>2020年产量</w:t>
            </w:r>
          </w:p>
          <w:p>
            <w:pPr>
              <w:pStyle w:val="22"/>
              <w:bidi w:val="0"/>
              <w:rPr>
                <w:rFonts w:hint="default"/>
                <w:color w:val="auto"/>
                <w:highlight w:val="none"/>
              </w:rPr>
            </w:pPr>
            <w:r>
              <w:rPr>
                <w:rFonts w:hint="default"/>
                <w:color w:val="auto"/>
                <w:highlight w:val="none"/>
              </w:rPr>
              <w:t>（万吨）</w:t>
            </w:r>
          </w:p>
        </w:tc>
        <w:tc>
          <w:tcPr>
            <w:tcW w:w="2155" w:type="dxa"/>
            <w:vMerge w:val="restart"/>
            <w:noWrap w:val="0"/>
            <w:vAlign w:val="center"/>
          </w:tcPr>
          <w:p>
            <w:pPr>
              <w:pStyle w:val="22"/>
              <w:bidi w:val="0"/>
              <w:rPr>
                <w:rFonts w:hint="default"/>
                <w:color w:val="auto"/>
                <w:highlight w:val="none"/>
              </w:rPr>
            </w:pPr>
            <w:r>
              <w:rPr>
                <w:rFonts w:hint="default"/>
                <w:color w:val="auto"/>
                <w:highlight w:val="none"/>
              </w:rPr>
              <w:t>采煤方法与采掘装备水平</w:t>
            </w:r>
          </w:p>
        </w:tc>
        <w:tc>
          <w:tcPr>
            <w:tcW w:w="1233" w:type="dxa"/>
            <w:vMerge w:val="restart"/>
            <w:noWrap w:val="0"/>
            <w:vAlign w:val="center"/>
          </w:tcPr>
          <w:p>
            <w:pPr>
              <w:pStyle w:val="22"/>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noWrap w:val="0"/>
            <w:vAlign w:val="center"/>
          </w:tcPr>
          <w:p>
            <w:pPr>
              <w:pStyle w:val="22"/>
              <w:bidi w:val="0"/>
              <w:rPr>
                <w:rFonts w:hint="default"/>
                <w:color w:val="auto"/>
                <w:highlight w:val="none"/>
              </w:rPr>
            </w:pPr>
          </w:p>
        </w:tc>
        <w:tc>
          <w:tcPr>
            <w:tcW w:w="4252" w:type="dxa"/>
            <w:vMerge w:val="continue"/>
            <w:noWrap w:val="0"/>
            <w:vAlign w:val="center"/>
          </w:tcPr>
          <w:p>
            <w:pPr>
              <w:pStyle w:val="22"/>
              <w:bidi w:val="0"/>
              <w:rPr>
                <w:rFonts w:hint="default"/>
                <w:color w:val="auto"/>
                <w:highlight w:val="none"/>
              </w:rPr>
            </w:pPr>
          </w:p>
        </w:tc>
        <w:tc>
          <w:tcPr>
            <w:tcW w:w="1606" w:type="dxa"/>
            <w:vMerge w:val="continue"/>
            <w:noWrap w:val="0"/>
            <w:vAlign w:val="center"/>
          </w:tcPr>
          <w:p>
            <w:pPr>
              <w:pStyle w:val="22"/>
              <w:bidi w:val="0"/>
              <w:rPr>
                <w:rFonts w:hint="default"/>
                <w:color w:val="auto"/>
                <w:highlight w:val="none"/>
              </w:rPr>
            </w:pPr>
          </w:p>
        </w:tc>
        <w:tc>
          <w:tcPr>
            <w:tcW w:w="1553" w:type="dxa"/>
            <w:noWrap w:val="0"/>
            <w:vAlign w:val="center"/>
          </w:tcPr>
          <w:p>
            <w:pPr>
              <w:pStyle w:val="22"/>
              <w:bidi w:val="0"/>
              <w:rPr>
                <w:rFonts w:hint="default"/>
                <w:color w:val="auto"/>
                <w:highlight w:val="none"/>
              </w:rPr>
            </w:pPr>
            <w:r>
              <w:rPr>
                <w:rFonts w:hint="default"/>
                <w:color w:val="auto"/>
                <w:highlight w:val="none"/>
              </w:rPr>
              <w:t>采矿许可证</w:t>
            </w:r>
          </w:p>
        </w:tc>
        <w:tc>
          <w:tcPr>
            <w:tcW w:w="1093" w:type="dxa"/>
            <w:noWrap w:val="0"/>
            <w:vAlign w:val="center"/>
          </w:tcPr>
          <w:p>
            <w:pPr>
              <w:pStyle w:val="22"/>
              <w:bidi w:val="0"/>
              <w:rPr>
                <w:rFonts w:hint="default"/>
                <w:color w:val="auto"/>
                <w:highlight w:val="none"/>
              </w:rPr>
            </w:pPr>
            <w:r>
              <w:rPr>
                <w:rFonts w:hint="default"/>
                <w:color w:val="auto"/>
                <w:highlight w:val="none"/>
              </w:rPr>
              <w:t>核定</w:t>
            </w:r>
          </w:p>
        </w:tc>
        <w:tc>
          <w:tcPr>
            <w:tcW w:w="1409" w:type="dxa"/>
            <w:vMerge w:val="continue"/>
            <w:noWrap w:val="0"/>
            <w:vAlign w:val="center"/>
          </w:tcPr>
          <w:p>
            <w:pPr>
              <w:pStyle w:val="22"/>
              <w:bidi w:val="0"/>
              <w:rPr>
                <w:rFonts w:hint="default"/>
                <w:color w:val="auto"/>
                <w:highlight w:val="none"/>
              </w:rPr>
            </w:pPr>
          </w:p>
        </w:tc>
        <w:tc>
          <w:tcPr>
            <w:tcW w:w="2155" w:type="dxa"/>
            <w:vMerge w:val="continue"/>
            <w:noWrap w:val="0"/>
            <w:vAlign w:val="center"/>
          </w:tcPr>
          <w:p>
            <w:pPr>
              <w:pStyle w:val="22"/>
              <w:bidi w:val="0"/>
              <w:rPr>
                <w:rFonts w:hint="default"/>
                <w:color w:val="auto"/>
                <w:highlight w:val="none"/>
              </w:rPr>
            </w:pPr>
          </w:p>
        </w:tc>
        <w:tc>
          <w:tcPr>
            <w:tcW w:w="1233" w:type="dxa"/>
            <w:vMerge w:val="continue"/>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0" w:type="dxa"/>
            <w:gridSpan w:val="2"/>
            <w:noWrap w:val="0"/>
            <w:vAlign w:val="center"/>
          </w:tcPr>
          <w:p>
            <w:pPr>
              <w:pStyle w:val="22"/>
              <w:bidi w:val="0"/>
              <w:rPr>
                <w:rFonts w:hint="default"/>
                <w:color w:val="auto"/>
                <w:highlight w:val="none"/>
              </w:rPr>
            </w:pPr>
            <w:r>
              <w:rPr>
                <w:rFonts w:hint="default"/>
                <w:color w:val="auto"/>
                <w:highlight w:val="none"/>
              </w:rPr>
              <w:t>华蓥山北段矿区</w:t>
            </w:r>
          </w:p>
        </w:tc>
        <w:tc>
          <w:tcPr>
            <w:tcW w:w="1606" w:type="dxa"/>
            <w:noWrap w:val="0"/>
            <w:vAlign w:val="center"/>
          </w:tcPr>
          <w:p>
            <w:pPr>
              <w:pStyle w:val="22"/>
              <w:bidi w:val="0"/>
              <w:rPr>
                <w:rFonts w:hint="default"/>
                <w:color w:val="auto"/>
                <w:highlight w:val="none"/>
              </w:rPr>
            </w:pPr>
          </w:p>
        </w:tc>
        <w:tc>
          <w:tcPr>
            <w:tcW w:w="1553" w:type="dxa"/>
            <w:noWrap w:val="0"/>
            <w:vAlign w:val="center"/>
          </w:tcPr>
          <w:p>
            <w:pPr>
              <w:pStyle w:val="22"/>
              <w:bidi w:val="0"/>
              <w:rPr>
                <w:rFonts w:hint="default"/>
                <w:color w:val="auto"/>
                <w:highlight w:val="none"/>
              </w:rPr>
            </w:pPr>
            <w:r>
              <w:rPr>
                <w:rFonts w:hint="default"/>
                <w:color w:val="auto"/>
                <w:highlight w:val="none"/>
              </w:rPr>
              <w:t>93</w:t>
            </w:r>
          </w:p>
        </w:tc>
        <w:tc>
          <w:tcPr>
            <w:tcW w:w="1093" w:type="dxa"/>
            <w:noWrap w:val="0"/>
            <w:vAlign w:val="center"/>
          </w:tcPr>
          <w:p>
            <w:pPr>
              <w:pStyle w:val="22"/>
              <w:bidi w:val="0"/>
              <w:rPr>
                <w:rFonts w:hint="default"/>
                <w:color w:val="auto"/>
                <w:highlight w:val="none"/>
              </w:rPr>
            </w:pPr>
            <w:r>
              <w:rPr>
                <w:rFonts w:hint="default"/>
                <w:color w:val="auto"/>
                <w:highlight w:val="none"/>
              </w:rPr>
              <w:t>108</w:t>
            </w:r>
          </w:p>
        </w:tc>
        <w:tc>
          <w:tcPr>
            <w:tcW w:w="1409" w:type="dxa"/>
            <w:noWrap w:val="0"/>
            <w:vAlign w:val="center"/>
          </w:tcPr>
          <w:p>
            <w:pPr>
              <w:pStyle w:val="22"/>
              <w:bidi w:val="0"/>
              <w:rPr>
                <w:rFonts w:hint="default"/>
                <w:color w:val="auto"/>
                <w:highlight w:val="none"/>
              </w:rPr>
            </w:pPr>
            <w:r>
              <w:rPr>
                <w:rFonts w:hint="default"/>
                <w:color w:val="auto"/>
                <w:highlight w:val="none"/>
              </w:rPr>
              <w:t>35.81</w:t>
            </w:r>
          </w:p>
        </w:tc>
        <w:tc>
          <w:tcPr>
            <w:tcW w:w="2155" w:type="dxa"/>
            <w:noWrap w:val="0"/>
            <w:vAlign w:val="center"/>
          </w:tcPr>
          <w:p>
            <w:pPr>
              <w:pStyle w:val="22"/>
              <w:bidi w:val="0"/>
              <w:rPr>
                <w:rFonts w:hint="default"/>
                <w:color w:val="auto"/>
                <w:highlight w:val="none"/>
              </w:rPr>
            </w:pPr>
          </w:p>
        </w:tc>
        <w:tc>
          <w:tcPr>
            <w:tcW w:w="123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1</w:t>
            </w:r>
          </w:p>
        </w:tc>
        <w:tc>
          <w:tcPr>
            <w:tcW w:w="4252" w:type="dxa"/>
            <w:noWrap w:val="0"/>
            <w:vAlign w:val="center"/>
          </w:tcPr>
          <w:p>
            <w:pPr>
              <w:pStyle w:val="22"/>
              <w:bidi w:val="0"/>
              <w:rPr>
                <w:rFonts w:hint="default"/>
                <w:color w:val="auto"/>
                <w:highlight w:val="none"/>
              </w:rPr>
            </w:pPr>
            <w:r>
              <w:rPr>
                <w:rFonts w:hint="default"/>
                <w:color w:val="auto"/>
                <w:highlight w:val="none"/>
              </w:rPr>
              <w:t>四川川煤华荣能源有限责任公司柏林煤矿</w:t>
            </w:r>
          </w:p>
        </w:tc>
        <w:tc>
          <w:tcPr>
            <w:tcW w:w="1606" w:type="dxa"/>
            <w:noWrap w:val="0"/>
            <w:vAlign w:val="center"/>
          </w:tcPr>
          <w:p>
            <w:pPr>
              <w:pStyle w:val="22"/>
              <w:bidi w:val="0"/>
              <w:rPr>
                <w:rFonts w:hint="default"/>
                <w:color w:val="auto"/>
                <w:highlight w:val="none"/>
              </w:rPr>
            </w:pPr>
            <w:r>
              <w:rPr>
                <w:rFonts w:hint="default"/>
                <w:color w:val="auto"/>
                <w:highlight w:val="none"/>
              </w:rPr>
              <w:t>斜井</w:t>
            </w:r>
          </w:p>
        </w:tc>
        <w:tc>
          <w:tcPr>
            <w:tcW w:w="1553" w:type="dxa"/>
            <w:noWrap w:val="0"/>
            <w:vAlign w:val="center"/>
          </w:tcPr>
          <w:p>
            <w:pPr>
              <w:pStyle w:val="22"/>
              <w:bidi w:val="0"/>
              <w:rPr>
                <w:rFonts w:hint="default"/>
                <w:color w:val="auto"/>
                <w:highlight w:val="none"/>
              </w:rPr>
            </w:pPr>
            <w:r>
              <w:rPr>
                <w:rFonts w:hint="default"/>
                <w:color w:val="auto"/>
                <w:highlight w:val="none"/>
              </w:rPr>
              <w:t>30</w:t>
            </w:r>
          </w:p>
        </w:tc>
        <w:tc>
          <w:tcPr>
            <w:tcW w:w="1093" w:type="dxa"/>
            <w:noWrap w:val="0"/>
            <w:vAlign w:val="center"/>
          </w:tcPr>
          <w:p>
            <w:pPr>
              <w:pStyle w:val="22"/>
              <w:bidi w:val="0"/>
              <w:rPr>
                <w:rFonts w:hint="default"/>
                <w:color w:val="auto"/>
                <w:highlight w:val="none"/>
              </w:rPr>
            </w:pPr>
            <w:r>
              <w:rPr>
                <w:rFonts w:hint="default"/>
                <w:color w:val="auto"/>
                <w:highlight w:val="none"/>
              </w:rPr>
              <w:t>45</w:t>
            </w:r>
          </w:p>
        </w:tc>
        <w:tc>
          <w:tcPr>
            <w:tcW w:w="1409" w:type="dxa"/>
            <w:noWrap w:val="0"/>
            <w:vAlign w:val="center"/>
          </w:tcPr>
          <w:p>
            <w:pPr>
              <w:pStyle w:val="22"/>
              <w:bidi w:val="0"/>
              <w:rPr>
                <w:rFonts w:hint="default"/>
                <w:color w:val="auto"/>
                <w:highlight w:val="none"/>
              </w:rPr>
            </w:pPr>
            <w:r>
              <w:rPr>
                <w:rFonts w:hint="default"/>
                <w:color w:val="auto"/>
                <w:highlight w:val="none"/>
              </w:rPr>
              <w:t>32.57</w:t>
            </w:r>
          </w:p>
        </w:tc>
        <w:tc>
          <w:tcPr>
            <w:tcW w:w="2155" w:type="dxa"/>
            <w:noWrap w:val="0"/>
            <w:vAlign w:val="center"/>
          </w:tcPr>
          <w:p>
            <w:pPr>
              <w:pStyle w:val="22"/>
              <w:bidi w:val="0"/>
              <w:rPr>
                <w:rFonts w:hint="default"/>
                <w:color w:val="auto"/>
                <w:highlight w:val="none"/>
              </w:rPr>
            </w:pPr>
            <w:r>
              <w:rPr>
                <w:rFonts w:hint="default"/>
                <w:color w:val="auto"/>
                <w:highlight w:val="none"/>
              </w:rPr>
              <w:t>普采、综采+炮掘机装</w:t>
            </w:r>
          </w:p>
        </w:tc>
        <w:tc>
          <w:tcPr>
            <w:tcW w:w="1233" w:type="dxa"/>
            <w:noWrap w:val="0"/>
            <w:vAlign w:val="center"/>
          </w:tcPr>
          <w:p>
            <w:pPr>
              <w:pStyle w:val="22"/>
              <w:bidi w:val="0"/>
              <w:rPr>
                <w:rFonts w:hint="default"/>
                <w:color w:val="auto"/>
                <w:highlight w:val="none"/>
              </w:rPr>
            </w:pPr>
            <w:r>
              <w:rPr>
                <w:rFonts w:hint="default"/>
                <w:color w:val="auto"/>
                <w:highlight w:val="none"/>
              </w:rPr>
              <w:t>生产煤矿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48" w:type="dxa"/>
            <w:noWrap w:val="0"/>
            <w:vAlign w:val="center"/>
          </w:tcPr>
          <w:p>
            <w:pPr>
              <w:pStyle w:val="22"/>
              <w:bidi w:val="0"/>
              <w:rPr>
                <w:rFonts w:hint="default"/>
                <w:color w:val="auto"/>
                <w:highlight w:val="none"/>
              </w:rPr>
            </w:pPr>
            <w:r>
              <w:rPr>
                <w:rFonts w:hint="default"/>
                <w:color w:val="auto"/>
                <w:highlight w:val="none"/>
              </w:rPr>
              <w:t>2</w:t>
            </w:r>
          </w:p>
        </w:tc>
        <w:tc>
          <w:tcPr>
            <w:tcW w:w="4252" w:type="dxa"/>
            <w:noWrap w:val="0"/>
            <w:vAlign w:val="center"/>
          </w:tcPr>
          <w:p>
            <w:pPr>
              <w:pStyle w:val="22"/>
              <w:bidi w:val="0"/>
              <w:rPr>
                <w:rFonts w:hint="default"/>
                <w:color w:val="auto"/>
                <w:highlight w:val="none"/>
              </w:rPr>
            </w:pPr>
            <w:r>
              <w:rPr>
                <w:rFonts w:hint="default"/>
                <w:color w:val="auto"/>
                <w:highlight w:val="none"/>
              </w:rPr>
              <w:t>大竹县红旗煤业有限责任公司田坝煤矿</w:t>
            </w:r>
          </w:p>
        </w:tc>
        <w:tc>
          <w:tcPr>
            <w:tcW w:w="1606" w:type="dxa"/>
            <w:noWrap w:val="0"/>
            <w:vAlign w:val="center"/>
          </w:tcPr>
          <w:p>
            <w:pPr>
              <w:pStyle w:val="22"/>
              <w:bidi w:val="0"/>
              <w:rPr>
                <w:rFonts w:hint="default"/>
                <w:color w:val="auto"/>
                <w:highlight w:val="none"/>
              </w:rPr>
            </w:pPr>
            <w:r>
              <w:rPr>
                <w:rFonts w:hint="default"/>
                <w:color w:val="auto"/>
                <w:highlight w:val="none"/>
              </w:rPr>
              <w:t>斜井</w:t>
            </w:r>
          </w:p>
        </w:tc>
        <w:tc>
          <w:tcPr>
            <w:tcW w:w="1553" w:type="dxa"/>
            <w:noWrap w:val="0"/>
            <w:vAlign w:val="center"/>
          </w:tcPr>
          <w:p>
            <w:pPr>
              <w:pStyle w:val="22"/>
              <w:bidi w:val="0"/>
              <w:rPr>
                <w:rFonts w:hint="default"/>
                <w:color w:val="auto"/>
                <w:highlight w:val="none"/>
              </w:rPr>
            </w:pPr>
            <w:r>
              <w:rPr>
                <w:rFonts w:hint="default"/>
                <w:color w:val="auto"/>
                <w:highlight w:val="none"/>
              </w:rPr>
              <w:t>15</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3</w:t>
            </w:r>
          </w:p>
        </w:tc>
        <w:tc>
          <w:tcPr>
            <w:tcW w:w="4252" w:type="dxa"/>
            <w:noWrap w:val="0"/>
            <w:vAlign w:val="center"/>
          </w:tcPr>
          <w:p>
            <w:pPr>
              <w:pStyle w:val="22"/>
              <w:bidi w:val="0"/>
              <w:rPr>
                <w:rFonts w:hint="default"/>
                <w:color w:val="auto"/>
                <w:highlight w:val="none"/>
              </w:rPr>
            </w:pPr>
            <w:r>
              <w:rPr>
                <w:rFonts w:hint="default"/>
                <w:color w:val="auto"/>
                <w:highlight w:val="none"/>
              </w:rPr>
              <w:t>达州市黑滩煤业有限公司黑滩煤矿</w:t>
            </w:r>
          </w:p>
        </w:tc>
        <w:tc>
          <w:tcPr>
            <w:tcW w:w="1606" w:type="dxa"/>
            <w:noWrap w:val="0"/>
            <w:vAlign w:val="center"/>
          </w:tcPr>
          <w:p>
            <w:pPr>
              <w:pStyle w:val="22"/>
              <w:bidi w:val="0"/>
              <w:rPr>
                <w:rFonts w:hint="default"/>
                <w:color w:val="auto"/>
                <w:highlight w:val="none"/>
              </w:rPr>
            </w:pPr>
            <w:r>
              <w:rPr>
                <w:rFonts w:hint="default"/>
                <w:color w:val="auto"/>
                <w:highlight w:val="none"/>
              </w:rPr>
              <w:t>斜井+平硐</w:t>
            </w:r>
          </w:p>
        </w:tc>
        <w:tc>
          <w:tcPr>
            <w:tcW w:w="1553" w:type="dxa"/>
            <w:noWrap w:val="0"/>
            <w:vAlign w:val="center"/>
          </w:tcPr>
          <w:p>
            <w:pPr>
              <w:pStyle w:val="22"/>
              <w:bidi w:val="0"/>
              <w:rPr>
                <w:rFonts w:hint="default"/>
                <w:color w:val="auto"/>
                <w:highlight w:val="none"/>
              </w:rPr>
            </w:pPr>
            <w:r>
              <w:rPr>
                <w:rFonts w:hint="default"/>
                <w:color w:val="auto"/>
                <w:highlight w:val="none"/>
              </w:rPr>
              <w:t>9</w:t>
            </w:r>
          </w:p>
        </w:tc>
        <w:tc>
          <w:tcPr>
            <w:tcW w:w="1093" w:type="dxa"/>
            <w:noWrap w:val="0"/>
            <w:vAlign w:val="center"/>
          </w:tcPr>
          <w:p>
            <w:pPr>
              <w:pStyle w:val="22"/>
              <w:bidi w:val="0"/>
              <w:rPr>
                <w:rFonts w:hint="default"/>
                <w:color w:val="auto"/>
                <w:highlight w:val="none"/>
              </w:rPr>
            </w:pPr>
            <w:r>
              <w:rPr>
                <w:rFonts w:hint="default"/>
                <w:color w:val="auto"/>
                <w:highlight w:val="none"/>
              </w:rPr>
              <w:t>9</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4</w:t>
            </w:r>
          </w:p>
        </w:tc>
        <w:tc>
          <w:tcPr>
            <w:tcW w:w="4252" w:type="dxa"/>
            <w:noWrap w:val="0"/>
            <w:vAlign w:val="center"/>
          </w:tcPr>
          <w:p>
            <w:pPr>
              <w:pStyle w:val="22"/>
              <w:bidi w:val="0"/>
              <w:rPr>
                <w:rFonts w:hint="default"/>
                <w:color w:val="auto"/>
                <w:highlight w:val="none"/>
              </w:rPr>
            </w:pPr>
            <w:r>
              <w:rPr>
                <w:rFonts w:hint="default"/>
                <w:color w:val="auto"/>
                <w:highlight w:val="none"/>
              </w:rPr>
              <w:t>大竹县清水大河沟煤矿</w:t>
            </w:r>
          </w:p>
        </w:tc>
        <w:tc>
          <w:tcPr>
            <w:tcW w:w="1606" w:type="dxa"/>
            <w:noWrap w:val="0"/>
            <w:vAlign w:val="center"/>
          </w:tcPr>
          <w:p>
            <w:pPr>
              <w:pStyle w:val="22"/>
              <w:bidi w:val="0"/>
              <w:rPr>
                <w:rFonts w:hint="default"/>
                <w:color w:val="auto"/>
                <w:highlight w:val="none"/>
              </w:rPr>
            </w:pPr>
            <w:r>
              <w:rPr>
                <w:rFonts w:hint="default"/>
                <w:color w:val="auto"/>
                <w:highlight w:val="none"/>
              </w:rPr>
              <w:t>斜井+平硐</w:t>
            </w:r>
          </w:p>
        </w:tc>
        <w:tc>
          <w:tcPr>
            <w:tcW w:w="1553" w:type="dxa"/>
            <w:noWrap w:val="0"/>
            <w:vAlign w:val="center"/>
          </w:tcPr>
          <w:p>
            <w:pPr>
              <w:pStyle w:val="22"/>
              <w:bidi w:val="0"/>
              <w:rPr>
                <w:rFonts w:hint="default"/>
                <w:color w:val="auto"/>
                <w:highlight w:val="none"/>
              </w:rPr>
            </w:pPr>
            <w:r>
              <w:rPr>
                <w:rFonts w:hint="default"/>
                <w:color w:val="auto"/>
                <w:highlight w:val="none"/>
              </w:rPr>
              <w:t>15</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2.31</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保留煤矿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5</w:t>
            </w:r>
          </w:p>
        </w:tc>
        <w:tc>
          <w:tcPr>
            <w:tcW w:w="4252" w:type="dxa"/>
            <w:noWrap w:val="0"/>
            <w:vAlign w:val="center"/>
          </w:tcPr>
          <w:p>
            <w:pPr>
              <w:pStyle w:val="22"/>
              <w:bidi w:val="0"/>
              <w:rPr>
                <w:rFonts w:hint="default"/>
                <w:color w:val="auto"/>
                <w:highlight w:val="none"/>
              </w:rPr>
            </w:pPr>
            <w:r>
              <w:rPr>
                <w:rFonts w:hint="default"/>
                <w:color w:val="auto"/>
                <w:highlight w:val="none"/>
              </w:rPr>
              <w:t>大竹县大硐坪煤矿</w:t>
            </w:r>
          </w:p>
        </w:tc>
        <w:tc>
          <w:tcPr>
            <w:tcW w:w="1606" w:type="dxa"/>
            <w:noWrap w:val="0"/>
            <w:vAlign w:val="center"/>
          </w:tcPr>
          <w:p>
            <w:pPr>
              <w:pStyle w:val="22"/>
              <w:bidi w:val="0"/>
              <w:rPr>
                <w:rFonts w:hint="default"/>
                <w:color w:val="auto"/>
                <w:highlight w:val="none"/>
              </w:rPr>
            </w:pPr>
            <w:r>
              <w:rPr>
                <w:rFonts w:hint="default"/>
                <w:color w:val="auto"/>
                <w:highlight w:val="none"/>
              </w:rPr>
              <w:t>阶梯平硐</w:t>
            </w:r>
          </w:p>
        </w:tc>
        <w:tc>
          <w:tcPr>
            <w:tcW w:w="1553" w:type="dxa"/>
            <w:noWrap w:val="0"/>
            <w:vAlign w:val="center"/>
          </w:tcPr>
          <w:p>
            <w:pPr>
              <w:pStyle w:val="22"/>
              <w:bidi w:val="0"/>
              <w:rPr>
                <w:rFonts w:hint="default"/>
                <w:color w:val="auto"/>
                <w:highlight w:val="none"/>
              </w:rPr>
            </w:pPr>
            <w:r>
              <w:rPr>
                <w:rFonts w:hint="default"/>
                <w:color w:val="auto"/>
                <w:highlight w:val="none"/>
              </w:rPr>
              <w:t>15</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0.93</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保留煤矿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6</w:t>
            </w:r>
          </w:p>
        </w:tc>
        <w:tc>
          <w:tcPr>
            <w:tcW w:w="4252" w:type="dxa"/>
            <w:noWrap w:val="0"/>
            <w:vAlign w:val="center"/>
          </w:tcPr>
          <w:p>
            <w:pPr>
              <w:pStyle w:val="22"/>
              <w:bidi w:val="0"/>
              <w:rPr>
                <w:rFonts w:hint="default"/>
                <w:color w:val="auto"/>
                <w:highlight w:val="none"/>
              </w:rPr>
            </w:pPr>
            <w:r>
              <w:rPr>
                <w:rFonts w:hint="default"/>
                <w:color w:val="auto"/>
                <w:highlight w:val="none"/>
              </w:rPr>
              <w:t>大竹县新桥红星煤矿</w:t>
            </w:r>
          </w:p>
        </w:tc>
        <w:tc>
          <w:tcPr>
            <w:tcW w:w="1606" w:type="dxa"/>
            <w:noWrap w:val="0"/>
            <w:vAlign w:val="center"/>
          </w:tcPr>
          <w:p>
            <w:pPr>
              <w:pStyle w:val="22"/>
              <w:bidi w:val="0"/>
              <w:rPr>
                <w:rFonts w:hint="default"/>
                <w:color w:val="auto"/>
                <w:highlight w:val="none"/>
              </w:rPr>
            </w:pPr>
            <w:r>
              <w:rPr>
                <w:rFonts w:hint="default"/>
                <w:color w:val="auto"/>
                <w:highlight w:val="none"/>
              </w:rPr>
              <w:t>斜井</w:t>
            </w:r>
          </w:p>
        </w:tc>
        <w:tc>
          <w:tcPr>
            <w:tcW w:w="1553" w:type="dxa"/>
            <w:noWrap w:val="0"/>
            <w:vAlign w:val="center"/>
          </w:tcPr>
          <w:p>
            <w:pPr>
              <w:pStyle w:val="22"/>
              <w:bidi w:val="0"/>
              <w:rPr>
                <w:rFonts w:hint="default"/>
                <w:color w:val="auto"/>
                <w:highlight w:val="none"/>
              </w:rPr>
            </w:pPr>
            <w:r>
              <w:rPr>
                <w:rFonts w:hint="default"/>
                <w:color w:val="auto"/>
                <w:highlight w:val="none"/>
              </w:rPr>
              <w:t>9</w:t>
            </w:r>
          </w:p>
        </w:tc>
        <w:tc>
          <w:tcPr>
            <w:tcW w:w="1093" w:type="dxa"/>
            <w:noWrap w:val="0"/>
            <w:vAlign w:val="center"/>
          </w:tcPr>
          <w:p>
            <w:pPr>
              <w:pStyle w:val="22"/>
              <w:bidi w:val="0"/>
              <w:rPr>
                <w:rFonts w:hint="default"/>
                <w:color w:val="auto"/>
                <w:highlight w:val="none"/>
              </w:rPr>
            </w:pPr>
            <w:r>
              <w:rPr>
                <w:rFonts w:hint="default"/>
                <w:color w:val="auto"/>
                <w:highlight w:val="none"/>
              </w:rPr>
              <w:t>9</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p>
        </w:tc>
        <w:tc>
          <w:tcPr>
            <w:tcW w:w="4252" w:type="dxa"/>
            <w:noWrap w:val="0"/>
            <w:vAlign w:val="center"/>
          </w:tcPr>
          <w:p>
            <w:pPr>
              <w:pStyle w:val="22"/>
              <w:bidi w:val="0"/>
              <w:rPr>
                <w:rFonts w:hint="default"/>
                <w:color w:val="auto"/>
                <w:highlight w:val="none"/>
              </w:rPr>
            </w:pPr>
            <w:r>
              <w:rPr>
                <w:rFonts w:hint="default"/>
                <w:color w:val="auto"/>
                <w:highlight w:val="none"/>
              </w:rPr>
              <w:t>中山明月峡矿区</w:t>
            </w:r>
          </w:p>
        </w:tc>
        <w:tc>
          <w:tcPr>
            <w:tcW w:w="1606" w:type="dxa"/>
            <w:noWrap w:val="0"/>
            <w:vAlign w:val="center"/>
          </w:tcPr>
          <w:p>
            <w:pPr>
              <w:pStyle w:val="22"/>
              <w:bidi w:val="0"/>
              <w:rPr>
                <w:rFonts w:hint="default"/>
                <w:color w:val="auto"/>
                <w:highlight w:val="none"/>
              </w:rPr>
            </w:pPr>
          </w:p>
        </w:tc>
        <w:tc>
          <w:tcPr>
            <w:tcW w:w="1553" w:type="dxa"/>
            <w:noWrap w:val="0"/>
            <w:vAlign w:val="center"/>
          </w:tcPr>
          <w:p>
            <w:pPr>
              <w:pStyle w:val="22"/>
              <w:bidi w:val="0"/>
              <w:rPr>
                <w:rFonts w:hint="default"/>
                <w:color w:val="auto"/>
                <w:highlight w:val="none"/>
              </w:rPr>
            </w:pPr>
            <w:r>
              <w:rPr>
                <w:rFonts w:hint="default"/>
                <w:color w:val="auto"/>
                <w:highlight w:val="none"/>
              </w:rPr>
              <w:t>96</w:t>
            </w:r>
          </w:p>
        </w:tc>
        <w:tc>
          <w:tcPr>
            <w:tcW w:w="1093" w:type="dxa"/>
            <w:noWrap w:val="0"/>
            <w:vAlign w:val="center"/>
          </w:tcPr>
          <w:p>
            <w:pPr>
              <w:pStyle w:val="22"/>
              <w:bidi w:val="0"/>
              <w:rPr>
                <w:rFonts w:hint="default"/>
                <w:color w:val="auto"/>
                <w:highlight w:val="none"/>
              </w:rPr>
            </w:pPr>
            <w:r>
              <w:rPr>
                <w:rFonts w:hint="default"/>
                <w:color w:val="auto"/>
                <w:highlight w:val="none"/>
              </w:rPr>
              <w:t>123</w:t>
            </w:r>
          </w:p>
        </w:tc>
        <w:tc>
          <w:tcPr>
            <w:tcW w:w="1409" w:type="dxa"/>
            <w:noWrap w:val="0"/>
            <w:vAlign w:val="center"/>
          </w:tcPr>
          <w:p>
            <w:pPr>
              <w:pStyle w:val="22"/>
              <w:bidi w:val="0"/>
              <w:rPr>
                <w:rFonts w:hint="default"/>
                <w:color w:val="auto"/>
                <w:highlight w:val="none"/>
              </w:rPr>
            </w:pPr>
            <w:r>
              <w:rPr>
                <w:rFonts w:hint="default"/>
                <w:color w:val="auto"/>
                <w:highlight w:val="none"/>
              </w:rPr>
              <w:t>5.31</w:t>
            </w:r>
          </w:p>
        </w:tc>
        <w:tc>
          <w:tcPr>
            <w:tcW w:w="2155" w:type="dxa"/>
            <w:noWrap w:val="0"/>
            <w:vAlign w:val="center"/>
          </w:tcPr>
          <w:p>
            <w:pPr>
              <w:pStyle w:val="22"/>
              <w:bidi w:val="0"/>
              <w:rPr>
                <w:rFonts w:hint="default"/>
                <w:color w:val="auto"/>
                <w:highlight w:val="none"/>
              </w:rPr>
            </w:pPr>
          </w:p>
        </w:tc>
        <w:tc>
          <w:tcPr>
            <w:tcW w:w="123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1</w:t>
            </w:r>
          </w:p>
        </w:tc>
        <w:tc>
          <w:tcPr>
            <w:tcW w:w="4252" w:type="dxa"/>
            <w:noWrap w:val="0"/>
            <w:vAlign w:val="center"/>
          </w:tcPr>
          <w:p>
            <w:pPr>
              <w:pStyle w:val="22"/>
              <w:bidi w:val="0"/>
              <w:rPr>
                <w:rFonts w:hint="default"/>
                <w:color w:val="auto"/>
                <w:highlight w:val="none"/>
              </w:rPr>
            </w:pPr>
            <w:r>
              <w:rPr>
                <w:rFonts w:hint="default"/>
                <w:color w:val="auto"/>
                <w:highlight w:val="none"/>
              </w:rPr>
              <w:t>大竹县堡子矿业有限责任公司堡子煤矿</w:t>
            </w:r>
          </w:p>
        </w:tc>
        <w:tc>
          <w:tcPr>
            <w:tcW w:w="1606" w:type="dxa"/>
            <w:noWrap w:val="0"/>
            <w:vAlign w:val="center"/>
          </w:tcPr>
          <w:p>
            <w:pPr>
              <w:pStyle w:val="22"/>
              <w:bidi w:val="0"/>
              <w:rPr>
                <w:rFonts w:hint="default"/>
                <w:color w:val="auto"/>
                <w:highlight w:val="none"/>
              </w:rPr>
            </w:pPr>
            <w:r>
              <w:rPr>
                <w:rFonts w:hint="default"/>
                <w:color w:val="auto"/>
                <w:highlight w:val="none"/>
              </w:rPr>
              <w:t>斜井+平硐</w:t>
            </w:r>
          </w:p>
        </w:tc>
        <w:tc>
          <w:tcPr>
            <w:tcW w:w="1553" w:type="dxa"/>
            <w:noWrap w:val="0"/>
            <w:vAlign w:val="center"/>
          </w:tcPr>
          <w:p>
            <w:pPr>
              <w:pStyle w:val="22"/>
              <w:bidi w:val="0"/>
              <w:rPr>
                <w:rFonts w:hint="default"/>
                <w:color w:val="auto"/>
                <w:highlight w:val="none"/>
              </w:rPr>
            </w:pPr>
            <w:r>
              <w:rPr>
                <w:rFonts w:hint="default"/>
                <w:color w:val="auto"/>
                <w:highlight w:val="none"/>
              </w:rPr>
              <w:t>21</w:t>
            </w:r>
          </w:p>
        </w:tc>
        <w:tc>
          <w:tcPr>
            <w:tcW w:w="1093" w:type="dxa"/>
            <w:noWrap w:val="0"/>
            <w:vAlign w:val="center"/>
          </w:tcPr>
          <w:p>
            <w:pPr>
              <w:pStyle w:val="22"/>
              <w:bidi w:val="0"/>
              <w:rPr>
                <w:rFonts w:hint="default"/>
                <w:color w:val="auto"/>
                <w:highlight w:val="none"/>
              </w:rPr>
            </w:pPr>
            <w:r>
              <w:rPr>
                <w:rFonts w:hint="default"/>
                <w:color w:val="auto"/>
                <w:highlight w:val="none"/>
              </w:rPr>
              <w:t>30</w:t>
            </w:r>
          </w:p>
        </w:tc>
        <w:tc>
          <w:tcPr>
            <w:tcW w:w="1409" w:type="dxa"/>
            <w:noWrap w:val="0"/>
            <w:vAlign w:val="center"/>
          </w:tcPr>
          <w:p>
            <w:pPr>
              <w:pStyle w:val="22"/>
              <w:bidi w:val="0"/>
              <w:rPr>
                <w:rFonts w:hint="default"/>
                <w:color w:val="auto"/>
                <w:highlight w:val="none"/>
              </w:rPr>
            </w:pPr>
            <w:r>
              <w:rPr>
                <w:rFonts w:hint="default"/>
                <w:color w:val="auto"/>
                <w:highlight w:val="none"/>
              </w:rPr>
              <w:t>4.46</w:t>
            </w:r>
          </w:p>
        </w:tc>
        <w:tc>
          <w:tcPr>
            <w:tcW w:w="2155" w:type="dxa"/>
            <w:noWrap w:val="0"/>
            <w:vAlign w:val="center"/>
          </w:tcPr>
          <w:p>
            <w:pPr>
              <w:pStyle w:val="22"/>
              <w:bidi w:val="0"/>
              <w:rPr>
                <w:rFonts w:hint="default"/>
                <w:color w:val="auto"/>
                <w:highlight w:val="none"/>
              </w:rPr>
            </w:pPr>
            <w:r>
              <w:rPr>
                <w:rFonts w:hint="default"/>
                <w:color w:val="auto"/>
                <w:highlight w:val="none"/>
              </w:rPr>
              <w:t>柔掩+炮掘机装</w:t>
            </w:r>
          </w:p>
        </w:tc>
        <w:tc>
          <w:tcPr>
            <w:tcW w:w="1233" w:type="dxa"/>
            <w:noWrap w:val="0"/>
            <w:vAlign w:val="center"/>
          </w:tcPr>
          <w:p>
            <w:pPr>
              <w:pStyle w:val="22"/>
              <w:bidi w:val="0"/>
              <w:rPr>
                <w:rFonts w:hint="default"/>
                <w:color w:val="auto"/>
                <w:highlight w:val="none"/>
              </w:rPr>
            </w:pPr>
            <w:r>
              <w:rPr>
                <w:rFonts w:hint="default"/>
                <w:color w:val="auto"/>
                <w:highlight w:val="none"/>
              </w:rPr>
              <w:t>生产煤矿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2</w:t>
            </w:r>
          </w:p>
        </w:tc>
        <w:tc>
          <w:tcPr>
            <w:tcW w:w="4252" w:type="dxa"/>
            <w:noWrap w:val="0"/>
            <w:vAlign w:val="center"/>
          </w:tcPr>
          <w:p>
            <w:pPr>
              <w:pStyle w:val="22"/>
              <w:bidi w:val="0"/>
              <w:rPr>
                <w:rFonts w:hint="default"/>
                <w:color w:val="auto"/>
                <w:highlight w:val="none"/>
              </w:rPr>
            </w:pPr>
            <w:r>
              <w:rPr>
                <w:rFonts w:hint="default"/>
                <w:color w:val="auto"/>
                <w:highlight w:val="none"/>
              </w:rPr>
              <w:t>大竹县荣华煤矿</w:t>
            </w:r>
          </w:p>
        </w:tc>
        <w:tc>
          <w:tcPr>
            <w:tcW w:w="1606" w:type="dxa"/>
            <w:noWrap w:val="0"/>
            <w:vAlign w:val="center"/>
          </w:tcPr>
          <w:p>
            <w:pPr>
              <w:pStyle w:val="22"/>
              <w:bidi w:val="0"/>
              <w:rPr>
                <w:rFonts w:hint="default"/>
                <w:color w:val="auto"/>
                <w:highlight w:val="none"/>
              </w:rPr>
            </w:pPr>
            <w:r>
              <w:rPr>
                <w:rFonts w:hint="default"/>
                <w:color w:val="auto"/>
                <w:highlight w:val="none"/>
              </w:rPr>
              <w:t>斜井</w:t>
            </w:r>
          </w:p>
        </w:tc>
        <w:tc>
          <w:tcPr>
            <w:tcW w:w="1553" w:type="dxa"/>
            <w:noWrap w:val="0"/>
            <w:vAlign w:val="center"/>
          </w:tcPr>
          <w:p>
            <w:pPr>
              <w:pStyle w:val="22"/>
              <w:bidi w:val="0"/>
              <w:rPr>
                <w:rFonts w:hint="default"/>
                <w:color w:val="auto"/>
                <w:highlight w:val="none"/>
              </w:rPr>
            </w:pPr>
            <w:r>
              <w:rPr>
                <w:rFonts w:hint="default"/>
                <w:color w:val="auto"/>
                <w:highlight w:val="none"/>
              </w:rPr>
              <w:t>3</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炮采+炮掘机装</w:t>
            </w:r>
          </w:p>
        </w:tc>
        <w:tc>
          <w:tcPr>
            <w:tcW w:w="1233" w:type="dxa"/>
            <w:noWrap w:val="0"/>
            <w:vAlign w:val="center"/>
          </w:tcPr>
          <w:p>
            <w:pPr>
              <w:pStyle w:val="22"/>
              <w:bidi w:val="0"/>
              <w:rPr>
                <w:rFonts w:hint="default"/>
                <w:color w:val="auto"/>
                <w:highlight w:val="none"/>
              </w:rPr>
            </w:pPr>
            <w:r>
              <w:rPr>
                <w:rFonts w:hint="default"/>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3</w:t>
            </w:r>
          </w:p>
        </w:tc>
        <w:tc>
          <w:tcPr>
            <w:tcW w:w="4252" w:type="dxa"/>
            <w:noWrap w:val="0"/>
            <w:vAlign w:val="center"/>
          </w:tcPr>
          <w:p>
            <w:pPr>
              <w:pStyle w:val="22"/>
              <w:bidi w:val="0"/>
              <w:rPr>
                <w:rFonts w:hint="default"/>
                <w:color w:val="auto"/>
                <w:highlight w:val="none"/>
              </w:rPr>
            </w:pPr>
            <w:r>
              <w:rPr>
                <w:rFonts w:hint="default"/>
                <w:color w:val="auto"/>
                <w:highlight w:val="none"/>
              </w:rPr>
              <w:t>大竹县永兴矿业有限责任公司华家沟煤矿</w:t>
            </w:r>
          </w:p>
        </w:tc>
        <w:tc>
          <w:tcPr>
            <w:tcW w:w="1606" w:type="dxa"/>
            <w:noWrap w:val="0"/>
            <w:vAlign w:val="center"/>
          </w:tcPr>
          <w:p>
            <w:pPr>
              <w:pStyle w:val="22"/>
              <w:bidi w:val="0"/>
              <w:rPr>
                <w:rFonts w:hint="default"/>
                <w:color w:val="auto"/>
                <w:highlight w:val="none"/>
              </w:rPr>
            </w:pPr>
            <w:r>
              <w:rPr>
                <w:rFonts w:hint="default"/>
                <w:color w:val="auto"/>
                <w:highlight w:val="none"/>
              </w:rPr>
              <w:t>斜井</w:t>
            </w:r>
          </w:p>
        </w:tc>
        <w:tc>
          <w:tcPr>
            <w:tcW w:w="1553" w:type="dxa"/>
            <w:noWrap w:val="0"/>
            <w:vAlign w:val="center"/>
          </w:tcPr>
          <w:p>
            <w:pPr>
              <w:pStyle w:val="22"/>
              <w:bidi w:val="0"/>
              <w:rPr>
                <w:rFonts w:hint="default"/>
                <w:color w:val="auto"/>
                <w:highlight w:val="none"/>
              </w:rPr>
            </w:pPr>
            <w:r>
              <w:rPr>
                <w:rFonts w:hint="default"/>
                <w:color w:val="auto"/>
                <w:highlight w:val="none"/>
              </w:rPr>
              <w:t>9</w:t>
            </w:r>
          </w:p>
        </w:tc>
        <w:tc>
          <w:tcPr>
            <w:tcW w:w="1093" w:type="dxa"/>
            <w:noWrap w:val="0"/>
            <w:vAlign w:val="center"/>
          </w:tcPr>
          <w:p>
            <w:pPr>
              <w:pStyle w:val="22"/>
              <w:bidi w:val="0"/>
              <w:rPr>
                <w:rFonts w:hint="default"/>
                <w:color w:val="auto"/>
                <w:highlight w:val="none"/>
              </w:rPr>
            </w:pPr>
            <w:r>
              <w:rPr>
                <w:rFonts w:hint="default"/>
                <w:color w:val="auto"/>
                <w:highlight w:val="none"/>
              </w:rPr>
              <w:t>9</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柔掩+炮掘机装</w:t>
            </w:r>
          </w:p>
        </w:tc>
        <w:tc>
          <w:tcPr>
            <w:tcW w:w="1233" w:type="dxa"/>
            <w:noWrap w:val="0"/>
            <w:vAlign w:val="center"/>
          </w:tcPr>
          <w:p>
            <w:pPr>
              <w:pStyle w:val="22"/>
              <w:bidi w:val="0"/>
              <w:rPr>
                <w:rFonts w:hint="default"/>
                <w:color w:val="auto"/>
                <w:highlight w:val="none"/>
              </w:rPr>
            </w:pPr>
            <w:r>
              <w:rPr>
                <w:rFonts w:hint="default"/>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4</w:t>
            </w:r>
          </w:p>
        </w:tc>
        <w:tc>
          <w:tcPr>
            <w:tcW w:w="4252" w:type="dxa"/>
            <w:noWrap w:val="0"/>
            <w:vAlign w:val="center"/>
          </w:tcPr>
          <w:p>
            <w:pPr>
              <w:pStyle w:val="22"/>
              <w:bidi w:val="0"/>
              <w:rPr>
                <w:rFonts w:hint="default"/>
                <w:color w:val="auto"/>
                <w:highlight w:val="none"/>
              </w:rPr>
            </w:pPr>
            <w:r>
              <w:rPr>
                <w:rFonts w:hint="default"/>
                <w:color w:val="auto"/>
                <w:highlight w:val="none"/>
              </w:rPr>
              <w:t>达州市全新能源发展有限公司孔家沟煤矿</w:t>
            </w:r>
          </w:p>
        </w:tc>
        <w:tc>
          <w:tcPr>
            <w:tcW w:w="1606" w:type="dxa"/>
            <w:noWrap w:val="0"/>
            <w:vAlign w:val="center"/>
          </w:tcPr>
          <w:p>
            <w:pPr>
              <w:pStyle w:val="22"/>
              <w:bidi w:val="0"/>
              <w:rPr>
                <w:rFonts w:hint="default"/>
                <w:color w:val="auto"/>
                <w:highlight w:val="none"/>
              </w:rPr>
            </w:pPr>
            <w:r>
              <w:rPr>
                <w:rFonts w:hint="default"/>
                <w:color w:val="auto"/>
                <w:highlight w:val="none"/>
              </w:rPr>
              <w:t>斜井+平硐</w:t>
            </w:r>
          </w:p>
        </w:tc>
        <w:tc>
          <w:tcPr>
            <w:tcW w:w="1553" w:type="dxa"/>
            <w:noWrap w:val="0"/>
            <w:vAlign w:val="center"/>
          </w:tcPr>
          <w:p>
            <w:pPr>
              <w:pStyle w:val="22"/>
              <w:bidi w:val="0"/>
              <w:rPr>
                <w:rFonts w:hint="default"/>
                <w:color w:val="auto"/>
                <w:highlight w:val="none"/>
              </w:rPr>
            </w:pPr>
            <w:r>
              <w:rPr>
                <w:rFonts w:hint="default"/>
                <w:color w:val="auto"/>
                <w:highlight w:val="none"/>
              </w:rPr>
              <w:t>15</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5</w:t>
            </w:r>
          </w:p>
        </w:tc>
        <w:tc>
          <w:tcPr>
            <w:tcW w:w="4252" w:type="dxa"/>
            <w:noWrap w:val="0"/>
            <w:vAlign w:val="center"/>
          </w:tcPr>
          <w:p>
            <w:pPr>
              <w:pStyle w:val="22"/>
              <w:bidi w:val="0"/>
              <w:rPr>
                <w:rFonts w:hint="default"/>
                <w:color w:val="auto"/>
                <w:highlight w:val="none"/>
              </w:rPr>
            </w:pPr>
            <w:r>
              <w:rPr>
                <w:rFonts w:hint="default"/>
                <w:color w:val="auto"/>
                <w:highlight w:val="none"/>
              </w:rPr>
              <w:t>大竹县双溪乡刘家沟联合煤矿</w:t>
            </w:r>
          </w:p>
        </w:tc>
        <w:tc>
          <w:tcPr>
            <w:tcW w:w="1606" w:type="dxa"/>
            <w:noWrap w:val="0"/>
            <w:vAlign w:val="center"/>
          </w:tcPr>
          <w:p>
            <w:pPr>
              <w:pStyle w:val="22"/>
              <w:bidi w:val="0"/>
              <w:rPr>
                <w:rFonts w:hint="default"/>
                <w:color w:val="auto"/>
                <w:highlight w:val="none"/>
              </w:rPr>
            </w:pPr>
            <w:r>
              <w:rPr>
                <w:rFonts w:hint="default"/>
                <w:color w:val="auto"/>
                <w:highlight w:val="none"/>
              </w:rPr>
              <w:t>平硐</w:t>
            </w:r>
          </w:p>
        </w:tc>
        <w:tc>
          <w:tcPr>
            <w:tcW w:w="1553" w:type="dxa"/>
            <w:noWrap w:val="0"/>
            <w:vAlign w:val="center"/>
          </w:tcPr>
          <w:p>
            <w:pPr>
              <w:pStyle w:val="22"/>
              <w:bidi w:val="0"/>
              <w:rPr>
                <w:rFonts w:hint="default"/>
                <w:color w:val="auto"/>
                <w:highlight w:val="none"/>
              </w:rPr>
            </w:pPr>
            <w:r>
              <w:rPr>
                <w:rFonts w:hint="default"/>
                <w:color w:val="auto"/>
                <w:highlight w:val="none"/>
              </w:rPr>
              <w:t>9</w:t>
            </w:r>
          </w:p>
        </w:tc>
        <w:tc>
          <w:tcPr>
            <w:tcW w:w="1093" w:type="dxa"/>
            <w:noWrap w:val="0"/>
            <w:vAlign w:val="center"/>
          </w:tcPr>
          <w:p>
            <w:pPr>
              <w:pStyle w:val="22"/>
              <w:bidi w:val="0"/>
              <w:rPr>
                <w:rFonts w:hint="default"/>
                <w:color w:val="auto"/>
                <w:highlight w:val="none"/>
              </w:rPr>
            </w:pPr>
            <w:r>
              <w:rPr>
                <w:rFonts w:hint="default"/>
                <w:color w:val="auto"/>
                <w:highlight w:val="none"/>
              </w:rPr>
              <w:t>9</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柔掩+炮掘机装</w:t>
            </w:r>
          </w:p>
        </w:tc>
        <w:tc>
          <w:tcPr>
            <w:tcW w:w="1233" w:type="dxa"/>
            <w:noWrap w:val="0"/>
            <w:vAlign w:val="center"/>
          </w:tcPr>
          <w:p>
            <w:pPr>
              <w:pStyle w:val="22"/>
              <w:bidi w:val="0"/>
              <w:rPr>
                <w:rFonts w:hint="default"/>
                <w:color w:val="auto"/>
                <w:highlight w:val="none"/>
              </w:rPr>
            </w:pPr>
            <w:r>
              <w:rPr>
                <w:rFonts w:hint="default"/>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6</w:t>
            </w:r>
          </w:p>
        </w:tc>
        <w:tc>
          <w:tcPr>
            <w:tcW w:w="4252" w:type="dxa"/>
            <w:noWrap w:val="0"/>
            <w:vAlign w:val="center"/>
          </w:tcPr>
          <w:p>
            <w:pPr>
              <w:pStyle w:val="22"/>
              <w:bidi w:val="0"/>
              <w:rPr>
                <w:rFonts w:hint="default"/>
                <w:color w:val="auto"/>
                <w:highlight w:val="none"/>
              </w:rPr>
            </w:pPr>
            <w:r>
              <w:rPr>
                <w:rFonts w:hint="default"/>
                <w:color w:val="auto"/>
                <w:highlight w:val="none"/>
              </w:rPr>
              <w:t>大竹县牛郎沟煤业有限公司牛郎沟煤矿</w:t>
            </w:r>
          </w:p>
        </w:tc>
        <w:tc>
          <w:tcPr>
            <w:tcW w:w="1606" w:type="dxa"/>
            <w:noWrap w:val="0"/>
            <w:vAlign w:val="center"/>
          </w:tcPr>
          <w:p>
            <w:pPr>
              <w:pStyle w:val="22"/>
              <w:bidi w:val="0"/>
              <w:rPr>
                <w:rFonts w:hint="default"/>
                <w:color w:val="auto"/>
                <w:highlight w:val="none"/>
              </w:rPr>
            </w:pPr>
            <w:r>
              <w:rPr>
                <w:rFonts w:hint="default"/>
                <w:color w:val="auto"/>
                <w:highlight w:val="none"/>
              </w:rPr>
              <w:t>斜井+平硐</w:t>
            </w:r>
          </w:p>
        </w:tc>
        <w:tc>
          <w:tcPr>
            <w:tcW w:w="1553" w:type="dxa"/>
            <w:noWrap w:val="0"/>
            <w:vAlign w:val="center"/>
          </w:tcPr>
          <w:p>
            <w:pPr>
              <w:pStyle w:val="22"/>
              <w:bidi w:val="0"/>
              <w:rPr>
                <w:rFonts w:hint="default"/>
                <w:color w:val="auto"/>
                <w:highlight w:val="none"/>
              </w:rPr>
            </w:pPr>
            <w:r>
              <w:rPr>
                <w:rFonts w:hint="default"/>
                <w:color w:val="auto"/>
                <w:highlight w:val="none"/>
              </w:rPr>
              <w:t>9</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柔掩+炮掘机装</w:t>
            </w:r>
          </w:p>
        </w:tc>
        <w:tc>
          <w:tcPr>
            <w:tcW w:w="1233" w:type="dxa"/>
            <w:noWrap w:val="0"/>
            <w:vAlign w:val="center"/>
          </w:tcPr>
          <w:p>
            <w:pPr>
              <w:pStyle w:val="22"/>
              <w:bidi w:val="0"/>
              <w:rPr>
                <w:rFonts w:hint="default"/>
                <w:color w:val="auto"/>
                <w:highlight w:val="none"/>
              </w:rPr>
            </w:pPr>
            <w:r>
              <w:rPr>
                <w:rFonts w:hint="default"/>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7</w:t>
            </w:r>
          </w:p>
        </w:tc>
        <w:tc>
          <w:tcPr>
            <w:tcW w:w="4252" w:type="dxa"/>
            <w:noWrap w:val="0"/>
            <w:vAlign w:val="center"/>
          </w:tcPr>
          <w:p>
            <w:pPr>
              <w:pStyle w:val="22"/>
              <w:bidi w:val="0"/>
              <w:rPr>
                <w:rFonts w:hint="default"/>
                <w:color w:val="auto"/>
                <w:highlight w:val="none"/>
              </w:rPr>
            </w:pPr>
            <w:r>
              <w:rPr>
                <w:rFonts w:hint="default"/>
                <w:color w:val="auto"/>
                <w:highlight w:val="none"/>
              </w:rPr>
              <w:t>大竹县平桥煤业有限公司平桥煤矿</w:t>
            </w:r>
          </w:p>
        </w:tc>
        <w:tc>
          <w:tcPr>
            <w:tcW w:w="1606" w:type="dxa"/>
            <w:noWrap w:val="0"/>
            <w:vAlign w:val="center"/>
          </w:tcPr>
          <w:p>
            <w:pPr>
              <w:pStyle w:val="22"/>
              <w:bidi w:val="0"/>
              <w:rPr>
                <w:rFonts w:hint="default"/>
                <w:color w:val="auto"/>
                <w:highlight w:val="none"/>
              </w:rPr>
            </w:pPr>
            <w:r>
              <w:rPr>
                <w:rFonts w:hint="default"/>
                <w:color w:val="auto"/>
                <w:highlight w:val="none"/>
              </w:rPr>
              <w:t>斜井+平硐</w:t>
            </w:r>
          </w:p>
        </w:tc>
        <w:tc>
          <w:tcPr>
            <w:tcW w:w="1553" w:type="dxa"/>
            <w:noWrap w:val="0"/>
            <w:vAlign w:val="center"/>
          </w:tcPr>
          <w:p>
            <w:pPr>
              <w:pStyle w:val="22"/>
              <w:bidi w:val="0"/>
              <w:rPr>
                <w:rFonts w:hint="default"/>
                <w:color w:val="auto"/>
                <w:highlight w:val="none"/>
              </w:rPr>
            </w:pPr>
            <w:r>
              <w:rPr>
                <w:rFonts w:hint="default"/>
                <w:color w:val="auto"/>
                <w:highlight w:val="none"/>
              </w:rPr>
              <w:t>15</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w:t>
            </w:r>
          </w:p>
        </w:tc>
        <w:tc>
          <w:tcPr>
            <w:tcW w:w="2155" w:type="dxa"/>
            <w:noWrap w:val="0"/>
            <w:vAlign w:val="center"/>
          </w:tcPr>
          <w:p>
            <w:pPr>
              <w:pStyle w:val="22"/>
              <w:bidi w:val="0"/>
              <w:rPr>
                <w:rFonts w:hint="default"/>
                <w:color w:val="auto"/>
                <w:highlight w:val="none"/>
              </w:rPr>
            </w:pPr>
            <w:r>
              <w:rPr>
                <w:rFonts w:hint="default"/>
                <w:color w:val="auto"/>
                <w:highlight w:val="none"/>
              </w:rPr>
              <w:t>柔掩+炮掘机装</w:t>
            </w:r>
          </w:p>
        </w:tc>
        <w:tc>
          <w:tcPr>
            <w:tcW w:w="1233" w:type="dxa"/>
            <w:noWrap w:val="0"/>
            <w:vAlign w:val="center"/>
          </w:tcPr>
          <w:p>
            <w:pPr>
              <w:pStyle w:val="22"/>
              <w:bidi w:val="0"/>
              <w:rPr>
                <w:rFonts w:hint="default"/>
                <w:color w:val="auto"/>
                <w:highlight w:val="none"/>
              </w:rPr>
            </w:pPr>
            <w:r>
              <w:rPr>
                <w:rFonts w:hint="default"/>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r>
              <w:rPr>
                <w:rFonts w:hint="default"/>
                <w:color w:val="auto"/>
                <w:highlight w:val="none"/>
              </w:rPr>
              <w:t>8</w:t>
            </w:r>
          </w:p>
        </w:tc>
        <w:tc>
          <w:tcPr>
            <w:tcW w:w="4252" w:type="dxa"/>
            <w:noWrap w:val="0"/>
            <w:vAlign w:val="center"/>
          </w:tcPr>
          <w:p>
            <w:pPr>
              <w:pStyle w:val="22"/>
              <w:bidi w:val="0"/>
              <w:rPr>
                <w:rFonts w:hint="default"/>
                <w:color w:val="auto"/>
                <w:highlight w:val="none"/>
              </w:rPr>
            </w:pPr>
            <w:r>
              <w:rPr>
                <w:rFonts w:hint="default"/>
                <w:color w:val="auto"/>
                <w:highlight w:val="none"/>
              </w:rPr>
              <w:t>四川神州矿业开发有限公司观音煤矿</w:t>
            </w:r>
          </w:p>
        </w:tc>
        <w:tc>
          <w:tcPr>
            <w:tcW w:w="1606" w:type="dxa"/>
            <w:noWrap w:val="0"/>
            <w:vAlign w:val="center"/>
          </w:tcPr>
          <w:p>
            <w:pPr>
              <w:pStyle w:val="22"/>
              <w:bidi w:val="0"/>
              <w:rPr>
                <w:rFonts w:hint="default"/>
                <w:color w:val="auto"/>
                <w:highlight w:val="none"/>
              </w:rPr>
            </w:pPr>
            <w:r>
              <w:rPr>
                <w:rFonts w:hint="default"/>
                <w:color w:val="auto"/>
                <w:highlight w:val="none"/>
              </w:rPr>
              <w:t>平硐</w:t>
            </w:r>
          </w:p>
        </w:tc>
        <w:tc>
          <w:tcPr>
            <w:tcW w:w="1553" w:type="dxa"/>
            <w:noWrap w:val="0"/>
            <w:vAlign w:val="center"/>
          </w:tcPr>
          <w:p>
            <w:pPr>
              <w:pStyle w:val="22"/>
              <w:bidi w:val="0"/>
              <w:rPr>
                <w:rFonts w:hint="default"/>
                <w:color w:val="auto"/>
                <w:highlight w:val="none"/>
              </w:rPr>
            </w:pPr>
            <w:r>
              <w:rPr>
                <w:rFonts w:hint="default"/>
                <w:color w:val="auto"/>
                <w:highlight w:val="none"/>
              </w:rPr>
              <w:t>15</w:t>
            </w:r>
          </w:p>
        </w:tc>
        <w:tc>
          <w:tcPr>
            <w:tcW w:w="1093" w:type="dxa"/>
            <w:noWrap w:val="0"/>
            <w:vAlign w:val="center"/>
          </w:tcPr>
          <w:p>
            <w:pPr>
              <w:pStyle w:val="22"/>
              <w:bidi w:val="0"/>
              <w:rPr>
                <w:rFonts w:hint="default"/>
                <w:color w:val="auto"/>
                <w:highlight w:val="none"/>
              </w:rPr>
            </w:pPr>
            <w:r>
              <w:rPr>
                <w:rFonts w:hint="default"/>
                <w:color w:val="auto"/>
                <w:highlight w:val="none"/>
              </w:rPr>
              <w:t>15</w:t>
            </w:r>
          </w:p>
        </w:tc>
        <w:tc>
          <w:tcPr>
            <w:tcW w:w="1409" w:type="dxa"/>
            <w:noWrap w:val="0"/>
            <w:vAlign w:val="center"/>
          </w:tcPr>
          <w:p>
            <w:pPr>
              <w:pStyle w:val="22"/>
              <w:bidi w:val="0"/>
              <w:rPr>
                <w:rFonts w:hint="default"/>
                <w:color w:val="auto"/>
                <w:highlight w:val="none"/>
              </w:rPr>
            </w:pPr>
            <w:r>
              <w:rPr>
                <w:rFonts w:hint="default"/>
                <w:color w:val="auto"/>
                <w:highlight w:val="none"/>
              </w:rPr>
              <w:t>0.85</w:t>
            </w:r>
          </w:p>
        </w:tc>
        <w:tc>
          <w:tcPr>
            <w:tcW w:w="2155" w:type="dxa"/>
            <w:noWrap w:val="0"/>
            <w:vAlign w:val="center"/>
          </w:tcPr>
          <w:p>
            <w:pPr>
              <w:pStyle w:val="22"/>
              <w:bidi w:val="0"/>
              <w:rPr>
                <w:rFonts w:hint="default"/>
                <w:color w:val="auto"/>
                <w:highlight w:val="none"/>
              </w:rPr>
            </w:pPr>
            <w:r>
              <w:rPr>
                <w:rFonts w:hint="default"/>
                <w:color w:val="auto"/>
                <w:highlight w:val="none"/>
              </w:rPr>
              <w:t>普采+炮掘机装</w:t>
            </w:r>
          </w:p>
        </w:tc>
        <w:tc>
          <w:tcPr>
            <w:tcW w:w="1233" w:type="dxa"/>
            <w:noWrap w:val="0"/>
            <w:vAlign w:val="center"/>
          </w:tcPr>
          <w:p>
            <w:pPr>
              <w:pStyle w:val="22"/>
              <w:bidi w:val="0"/>
              <w:rPr>
                <w:rFonts w:hint="default"/>
                <w:color w:val="auto"/>
                <w:highlight w:val="none"/>
              </w:rPr>
            </w:pPr>
            <w:r>
              <w:rPr>
                <w:rFonts w:hint="default"/>
                <w:color w:val="auto"/>
                <w:highlight w:val="none"/>
              </w:rPr>
              <w:t>保留煤矿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default"/>
                <w:color w:val="auto"/>
                <w:highlight w:val="none"/>
              </w:rPr>
            </w:pPr>
          </w:p>
        </w:tc>
        <w:tc>
          <w:tcPr>
            <w:tcW w:w="4252" w:type="dxa"/>
            <w:noWrap w:val="0"/>
            <w:vAlign w:val="center"/>
          </w:tcPr>
          <w:p>
            <w:pPr>
              <w:pStyle w:val="22"/>
              <w:bidi w:val="0"/>
              <w:rPr>
                <w:rFonts w:hint="default"/>
                <w:color w:val="auto"/>
                <w:highlight w:val="none"/>
              </w:rPr>
            </w:pPr>
            <w:r>
              <w:rPr>
                <w:rFonts w:hint="default"/>
                <w:color w:val="auto"/>
                <w:highlight w:val="none"/>
              </w:rPr>
              <w:t>合计</w:t>
            </w:r>
          </w:p>
        </w:tc>
        <w:tc>
          <w:tcPr>
            <w:tcW w:w="1606" w:type="dxa"/>
            <w:noWrap w:val="0"/>
            <w:vAlign w:val="center"/>
          </w:tcPr>
          <w:p>
            <w:pPr>
              <w:pStyle w:val="22"/>
              <w:bidi w:val="0"/>
              <w:rPr>
                <w:rFonts w:hint="default"/>
                <w:color w:val="auto"/>
                <w:highlight w:val="none"/>
              </w:rPr>
            </w:pPr>
          </w:p>
        </w:tc>
        <w:tc>
          <w:tcPr>
            <w:tcW w:w="1553" w:type="dxa"/>
            <w:noWrap w:val="0"/>
            <w:vAlign w:val="center"/>
          </w:tcPr>
          <w:p>
            <w:pPr>
              <w:pStyle w:val="22"/>
              <w:bidi w:val="0"/>
              <w:rPr>
                <w:rFonts w:hint="default"/>
                <w:color w:val="auto"/>
                <w:highlight w:val="none"/>
              </w:rPr>
            </w:pPr>
            <w:r>
              <w:rPr>
                <w:rFonts w:hint="default"/>
                <w:color w:val="auto"/>
                <w:highlight w:val="none"/>
              </w:rPr>
              <w:t>189</w:t>
            </w:r>
          </w:p>
        </w:tc>
        <w:tc>
          <w:tcPr>
            <w:tcW w:w="1093" w:type="dxa"/>
            <w:noWrap w:val="0"/>
            <w:vAlign w:val="center"/>
          </w:tcPr>
          <w:p>
            <w:pPr>
              <w:pStyle w:val="22"/>
              <w:bidi w:val="0"/>
              <w:rPr>
                <w:rFonts w:hint="default"/>
                <w:color w:val="auto"/>
                <w:highlight w:val="none"/>
              </w:rPr>
            </w:pPr>
            <w:r>
              <w:rPr>
                <w:rFonts w:hint="default"/>
                <w:color w:val="auto"/>
                <w:highlight w:val="none"/>
              </w:rPr>
              <w:t>231</w:t>
            </w:r>
          </w:p>
        </w:tc>
        <w:tc>
          <w:tcPr>
            <w:tcW w:w="1409" w:type="dxa"/>
            <w:noWrap w:val="0"/>
            <w:vAlign w:val="center"/>
          </w:tcPr>
          <w:p>
            <w:pPr>
              <w:pStyle w:val="22"/>
              <w:bidi w:val="0"/>
              <w:rPr>
                <w:rFonts w:hint="default"/>
                <w:color w:val="auto"/>
                <w:highlight w:val="none"/>
              </w:rPr>
            </w:pPr>
            <w:r>
              <w:rPr>
                <w:rFonts w:hint="default"/>
                <w:color w:val="auto"/>
                <w:highlight w:val="none"/>
              </w:rPr>
              <w:t>41.12</w:t>
            </w:r>
          </w:p>
        </w:tc>
        <w:tc>
          <w:tcPr>
            <w:tcW w:w="2155" w:type="dxa"/>
            <w:noWrap w:val="0"/>
            <w:vAlign w:val="center"/>
          </w:tcPr>
          <w:p>
            <w:pPr>
              <w:pStyle w:val="22"/>
              <w:bidi w:val="0"/>
              <w:rPr>
                <w:rFonts w:hint="default"/>
                <w:color w:val="auto"/>
                <w:highlight w:val="none"/>
              </w:rPr>
            </w:pPr>
          </w:p>
        </w:tc>
        <w:tc>
          <w:tcPr>
            <w:tcW w:w="1233" w:type="dxa"/>
            <w:noWrap w:val="0"/>
            <w:vAlign w:val="center"/>
          </w:tcPr>
          <w:p>
            <w:pPr>
              <w:pStyle w:val="22"/>
              <w:bidi w:val="0"/>
              <w:rPr>
                <w:rFonts w:hint="default"/>
                <w:color w:val="auto"/>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2.1.3-3</w:t>
      </w:r>
      <w:r>
        <w:rPr>
          <w:rFonts w:hint="default"/>
          <w:color w:val="auto"/>
          <w:highlight w:val="none"/>
        </w:rPr>
        <w:t xml:space="preserve">     城门洞矿段煤炭详查范围拐点坐标表（2000坐标系）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0"/>
        <w:gridCol w:w="1524"/>
        <w:gridCol w:w="1667"/>
        <w:gridCol w:w="2148"/>
        <w:gridCol w:w="23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拐点</w:t>
            </w:r>
          </w:p>
        </w:tc>
        <w:tc>
          <w:tcPr>
            <w:tcW w:w="1524" w:type="dxa"/>
            <w:noWrap w:val="0"/>
            <w:vAlign w:val="center"/>
          </w:tcPr>
          <w:p>
            <w:pPr>
              <w:pStyle w:val="22"/>
              <w:bidi w:val="0"/>
              <w:rPr>
                <w:rFonts w:hint="default"/>
                <w:color w:val="auto"/>
                <w:highlight w:val="none"/>
              </w:rPr>
            </w:pPr>
            <w:r>
              <w:rPr>
                <w:rFonts w:hint="default"/>
                <w:color w:val="auto"/>
                <w:highlight w:val="none"/>
              </w:rPr>
              <w:t>X（m）</w:t>
            </w:r>
          </w:p>
        </w:tc>
        <w:tc>
          <w:tcPr>
            <w:tcW w:w="1667" w:type="dxa"/>
            <w:noWrap w:val="0"/>
            <w:vAlign w:val="center"/>
          </w:tcPr>
          <w:p>
            <w:pPr>
              <w:pStyle w:val="22"/>
              <w:bidi w:val="0"/>
              <w:rPr>
                <w:rFonts w:hint="default"/>
                <w:color w:val="auto"/>
                <w:highlight w:val="none"/>
              </w:rPr>
            </w:pPr>
            <w:r>
              <w:rPr>
                <w:rFonts w:hint="default"/>
                <w:color w:val="auto"/>
                <w:highlight w:val="none"/>
              </w:rPr>
              <w:t>Y（m）</w:t>
            </w:r>
          </w:p>
        </w:tc>
        <w:tc>
          <w:tcPr>
            <w:tcW w:w="2148" w:type="dxa"/>
            <w:noWrap w:val="0"/>
            <w:vAlign w:val="center"/>
          </w:tcPr>
          <w:p>
            <w:pPr>
              <w:pStyle w:val="22"/>
              <w:bidi w:val="0"/>
              <w:rPr>
                <w:rFonts w:hint="default"/>
                <w:color w:val="auto"/>
                <w:highlight w:val="none"/>
              </w:rPr>
            </w:pPr>
            <w:r>
              <w:rPr>
                <w:rFonts w:hint="default"/>
                <w:color w:val="auto"/>
                <w:highlight w:val="none"/>
              </w:rPr>
              <w:t>纬度（°）</w:t>
            </w:r>
          </w:p>
        </w:tc>
        <w:tc>
          <w:tcPr>
            <w:tcW w:w="2323" w:type="dxa"/>
            <w:noWrap w:val="0"/>
            <w:vAlign w:val="center"/>
          </w:tcPr>
          <w:p>
            <w:pPr>
              <w:pStyle w:val="22"/>
              <w:bidi w:val="0"/>
              <w:rPr>
                <w:rFonts w:hint="default"/>
                <w:color w:val="auto"/>
                <w:highlight w:val="none"/>
              </w:rPr>
            </w:pPr>
            <w:r>
              <w:rPr>
                <w:rFonts w:hint="default"/>
                <w:color w:val="auto"/>
                <w:highlight w:val="none"/>
              </w:rPr>
              <w:t>经度（°）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3374434.00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36436552.45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107.2021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30.2918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3378053.66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36439053.24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107.2154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30.3116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3</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3378208.84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36438840.82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107.2146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30.3121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4</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3378546.39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36439056.01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107.2154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30.3132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5</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3378360.12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36439321.58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107.2204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30.3126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6</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3382381.03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36441769.41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107.2335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30.3337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7</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3381636.95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36442698.27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107.2410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30.3313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8</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3380994.08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36441975.18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107.2343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30.3252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9</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3380499.21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36442372.37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107.2358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30.3236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10</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3380128.81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36442530.34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107.2404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30.3224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11</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3379788.64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36442795.11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107.2414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30.3213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12</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3378682.97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36442229.39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107.2353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30.3137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13</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3375306.90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36440104.55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107.2234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14</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3375307.49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36439997.87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107.2230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15</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3375246.49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36439890.86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107.2226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16</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3375247.37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36439730.85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107.2220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17</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3375618.26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36439492.90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107.2211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30.2957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18</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3375929.66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36438881.28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107.2148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30.3007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19</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3375409.30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36438318.31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107.2127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30.2950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20</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3374946.31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36438502.36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107.2134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30.2935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21</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3374514.72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36438579.92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107.2137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30.2921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22</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3373925.99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36439216.73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107.2201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30.2902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23</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3373158.81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36438732.29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107.2143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30.2837 </w:t>
            </w:r>
          </w:p>
        </w:tc>
      </w:tr>
    </w:tbl>
    <w:p>
      <w:pPr>
        <w:pStyle w:val="6"/>
        <w:bidi w:val="0"/>
        <w:rPr>
          <w:rFonts w:hint="default"/>
          <w:color w:val="auto"/>
          <w:highlight w:val="none"/>
          <w:lang w:val="en-US" w:eastAsia="zh-CN"/>
        </w:rPr>
      </w:pPr>
      <w:bookmarkStart w:id="107" w:name="_Toc7400"/>
      <w:bookmarkStart w:id="108" w:name="_Toc29859"/>
      <w:r>
        <w:rPr>
          <w:rFonts w:hint="default"/>
          <w:color w:val="auto"/>
          <w:highlight w:val="none"/>
          <w:lang w:val="en-US" w:eastAsia="zh-CN"/>
        </w:rPr>
        <w:t>2.1.4 矿区井田划分方案</w:t>
      </w:r>
      <w:bookmarkEnd w:id="107"/>
      <w:bookmarkEnd w:id="108"/>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8"/>
          <w:highlight w:val="none"/>
        </w:rPr>
      </w:pPr>
      <w:r>
        <w:rPr>
          <w:rFonts w:hint="default" w:ascii="Times New Roman" w:hAnsi="Times New Roman" w:eastAsia="宋体" w:cs="Times New Roman"/>
          <w:color w:val="auto"/>
          <w:kern w:val="2"/>
          <w:sz w:val="24"/>
          <w:szCs w:val="24"/>
          <w:highlight w:val="none"/>
          <w:lang w:val="en-US" w:eastAsia="zh-CN" w:bidi="ar-SA"/>
        </w:rPr>
        <w:t>大竹县共规划设置14个采矿权，其中华蓥山北段矿区规划设置有6个采矿权，分别为柏林煤矿、大硐坪煤矿、大河沟煤矿、田坝煤矿、黑滩煤矿和新桥红星煤矿，区内煤矿分布见图</w:t>
      </w:r>
      <w:r>
        <w:rPr>
          <w:rFonts w:hint="default" w:ascii="Times New Roman" w:hAnsi="Times New Roman" w:cs="Times New Roman"/>
          <w:color w:val="auto"/>
          <w:kern w:val="2"/>
          <w:sz w:val="24"/>
          <w:szCs w:val="24"/>
          <w:highlight w:val="none"/>
          <w:lang w:val="en-US" w:eastAsia="zh-CN" w:bidi="ar-SA"/>
        </w:rPr>
        <w:t>2.1.4</w:t>
      </w:r>
      <w:r>
        <w:rPr>
          <w:rFonts w:hint="default" w:ascii="Times New Roman" w:hAnsi="Times New Roman" w:eastAsia="宋体" w:cs="Times New Roman"/>
          <w:color w:val="auto"/>
          <w:kern w:val="2"/>
          <w:sz w:val="24"/>
          <w:szCs w:val="24"/>
          <w:highlight w:val="none"/>
          <w:lang w:val="en-US" w:eastAsia="zh-CN" w:bidi="ar-SA"/>
        </w:rPr>
        <w:t>-1，矿区规划生产能力为165万吨/年；中山明月峡矿区规划设置有8个采矿权，分别为堡子煤矿、荣华煤矿、华家沟煤矿、孔家沟煤矿、刘家沟联合煤矿、牛郎沟煤矿、平桥煤矿和观音煤矿，区内煤矿分布见图</w:t>
      </w:r>
      <w:r>
        <w:rPr>
          <w:rFonts w:hint="default" w:ascii="Times New Roman" w:hAnsi="Times New Roman" w:cs="Times New Roman"/>
          <w:color w:val="auto"/>
          <w:kern w:val="2"/>
          <w:sz w:val="24"/>
          <w:szCs w:val="24"/>
          <w:highlight w:val="none"/>
          <w:lang w:val="en-US" w:eastAsia="zh-CN" w:bidi="ar-SA"/>
        </w:rPr>
        <w:t>2.1.4</w:t>
      </w:r>
      <w:r>
        <w:rPr>
          <w:rFonts w:hint="default" w:ascii="Times New Roman" w:hAnsi="Times New Roman" w:eastAsia="宋体" w:cs="Times New Roman"/>
          <w:color w:val="auto"/>
          <w:kern w:val="2"/>
          <w:sz w:val="24"/>
          <w:szCs w:val="24"/>
          <w:highlight w:val="none"/>
          <w:lang w:val="en-US" w:eastAsia="zh-CN" w:bidi="ar-SA"/>
        </w:rPr>
        <w:t>-2，矿区规划生产能力为225万吨/年。大竹县规划生产能力总计为390万吨/年</w:t>
      </w:r>
      <w:r>
        <w:rPr>
          <w:rFonts w:hint="default" w:ascii="Times New Roman" w:hAnsi="Times New Roman" w:cs="Times New Roman"/>
          <w:color w:val="auto"/>
          <w:sz w:val="28"/>
          <w:highlight w:val="none"/>
        </w:rPr>
        <w:t>。</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6" o:spt="75" type="#_x0000_t75" style="height:604.95pt;width:392.85pt;" o:ole="t" filled="f" o:preferrelative="t" stroked="f" coordsize="21600,21600">
            <v:path/>
            <v:fill on="f" focussize="0,0"/>
            <v:stroke on="f"/>
            <v:imagedata r:id="rId26" cropleft="20832f" croptop="4362f" cropright="30142f" cropbottom="7651f" o:title=""/>
            <o:lock v:ext="edit" aspectratio="f"/>
            <w10:wrap type="none"/>
            <w10:anchorlock/>
          </v:shape>
          <o:OLEObject Type="Embed" ProgID="AutoCAD.Drawing.19" ShapeID="_x0000_i1026" DrawAspect="Content" ObjectID="_1468075726" r:id="rId25">
            <o:LockedField>false</o:LockedField>
          </o:OLEObject>
        </w:object>
      </w:r>
    </w:p>
    <w:p>
      <w:pPr>
        <w:pStyle w:val="22"/>
        <w:bidi w:val="0"/>
        <w:rPr>
          <w:rFonts w:hint="default" w:ascii="Times New Roman" w:hAnsi="Times New Roman" w:cs="Times New Roman"/>
          <w:b/>
          <w:color w:val="auto"/>
          <w:highlight w:val="none"/>
        </w:rPr>
      </w:pPr>
      <w:r>
        <w:rPr>
          <w:rFonts w:hint="default" w:ascii="Times New Roman" w:hAnsi="Times New Roman" w:cs="Times New Roman"/>
          <w:b/>
          <w:color w:val="auto"/>
          <w:highlight w:val="none"/>
        </w:rPr>
        <w:t>图</w:t>
      </w:r>
      <w:r>
        <w:rPr>
          <w:rFonts w:hint="default" w:ascii="Times New Roman" w:hAnsi="Times New Roman" w:cs="Times New Roman"/>
          <w:b/>
          <w:color w:val="auto"/>
          <w:highlight w:val="none"/>
          <w:lang w:val="en-US" w:eastAsia="zh-CN"/>
        </w:rPr>
        <w:t>2.1.4</w:t>
      </w:r>
      <w:r>
        <w:rPr>
          <w:rFonts w:hint="default" w:ascii="Times New Roman" w:hAnsi="Times New Roman" w:cs="Times New Roman"/>
          <w:b/>
          <w:color w:val="auto"/>
          <w:highlight w:val="none"/>
        </w:rPr>
        <w:t>-1   华蓥山北段矿区煤矿分布示意图</w:t>
      </w:r>
    </w:p>
    <w:p>
      <w:pPr>
        <w:pStyle w:val="22"/>
        <w:bidi w:val="0"/>
        <w:rPr>
          <w:rFonts w:hint="default" w:ascii="Times New Roman" w:hAnsi="Times New Roman" w:cs="Times New Roman"/>
          <w:b/>
          <w:color w:val="auto"/>
          <w:highlight w:val="none"/>
        </w:rPr>
      </w:pPr>
      <w:r>
        <w:rPr>
          <w:rFonts w:hint="default" w:ascii="Times New Roman" w:hAnsi="Times New Roman" w:cs="Times New Roman"/>
          <w:color w:val="auto"/>
          <w:highlight w:val="none"/>
        </w:rPr>
        <w:object>
          <v:shape id="_x0000_i1027" o:spt="75" type="#_x0000_t75" style="height:664.65pt;width:411.45pt;" o:ole="t" filled="f" o:preferrelative="t" stroked="f" coordsize="21600,21600">
            <v:path/>
            <v:fill on="f" focussize="0,0"/>
            <v:stroke on="f"/>
            <v:imagedata r:id="rId28" cropleft="27149f" croptop="8080f" cropright="23627f" cropbottom="11402f" o:title=""/>
            <o:lock v:ext="edit" aspectratio="f"/>
            <w10:wrap type="none"/>
            <w10:anchorlock/>
          </v:shape>
          <o:OLEObject Type="Embed" ProgID="AutoCAD.Drawing.19" ShapeID="_x0000_i1027" DrawAspect="Content" ObjectID="_1468075727" r:id="rId27">
            <o:LockedField>false</o:LockedField>
          </o:OLEObject>
        </w:object>
      </w:r>
      <w:r>
        <w:rPr>
          <w:rFonts w:hint="default" w:ascii="Times New Roman" w:hAnsi="Times New Roman" w:cs="Times New Roman"/>
          <w:b/>
          <w:color w:val="auto"/>
          <w:highlight w:val="none"/>
        </w:rPr>
        <w:t>图</w:t>
      </w:r>
      <w:r>
        <w:rPr>
          <w:rFonts w:hint="default" w:ascii="Times New Roman" w:hAnsi="Times New Roman" w:cs="Times New Roman"/>
          <w:b/>
          <w:color w:val="auto"/>
          <w:highlight w:val="none"/>
          <w:lang w:val="en-US" w:eastAsia="zh-CN"/>
        </w:rPr>
        <w:t>2.1.4</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 xml:space="preserve">   中山明月峡矿区煤矿分布示意图</w:t>
      </w:r>
    </w:p>
    <w:p>
      <w:pPr>
        <w:pStyle w:val="7"/>
        <w:bidi w:val="0"/>
        <w:rPr>
          <w:rFonts w:hint="default"/>
          <w:color w:val="auto"/>
          <w:highlight w:val="none"/>
          <w:lang w:val="en-US" w:eastAsia="zh-CN"/>
        </w:rPr>
      </w:pPr>
      <w:r>
        <w:rPr>
          <w:rFonts w:hint="default"/>
          <w:color w:val="auto"/>
          <w:highlight w:val="none"/>
          <w:lang w:val="en-US" w:eastAsia="zh-CN"/>
        </w:rPr>
        <w:t>2.1.4.1 华蓥山北段矿区</w:t>
      </w:r>
    </w:p>
    <w:p>
      <w:pPr>
        <w:bidi w:val="0"/>
        <w:rPr>
          <w:rFonts w:hint="default"/>
          <w:color w:val="auto"/>
          <w:highlight w:val="none"/>
          <w:lang w:val="en-US" w:eastAsia="zh-CN"/>
        </w:rPr>
      </w:pPr>
      <w:r>
        <w:rPr>
          <w:rFonts w:hint="default"/>
          <w:color w:val="auto"/>
          <w:highlight w:val="none"/>
          <w:lang w:val="en-US" w:eastAsia="zh-CN"/>
        </w:rPr>
        <w:t>1、柏林煤矿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四川川煤华荣能源有限责任公司柏林煤矿（原名为四川达竹煤电（集团）有限责任公司柏林煤矿）于2021年8月由四川省自然资源厅颁发采矿许可证，证号：C5100002009011120003268，有效期至2022年8月25日。允许开采煤层K</w:t>
      </w:r>
      <w:r>
        <w:rPr>
          <w:rFonts w:hint="default" w:ascii="Times New Roman" w:hAnsi="Times New Roman" w:cs="Times New Roman"/>
          <w:color w:val="auto"/>
          <w:sz w:val="24"/>
          <w:szCs w:val="24"/>
          <w:highlight w:val="none"/>
          <w:vertAlign w:val="subscript"/>
        </w:rPr>
        <w:t>27</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22</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18</w:t>
      </w:r>
      <w:r>
        <w:rPr>
          <w:rFonts w:hint="default" w:ascii="Times New Roman" w:hAnsi="Times New Roman" w:cs="Times New Roman"/>
          <w:color w:val="auto"/>
          <w:sz w:val="24"/>
          <w:szCs w:val="24"/>
          <w:highlight w:val="none"/>
        </w:rPr>
        <w:t>，开采标高为+432m～-200m，证载生产能力为30万吨/年，核定生产能力为45万吨/年。矿权范围由29个拐点圈定，面积13.9186km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，规划矿权范围不变，其拐点坐标详见表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         柏林煤矿矿权范围拐点坐标表（2000坐标系）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9"/>
        <w:gridCol w:w="1607"/>
        <w:gridCol w:w="1562"/>
        <w:gridCol w:w="867"/>
        <w:gridCol w:w="1710"/>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9" w:type="dxa"/>
            <w:noWrap w:val="0"/>
            <w:vAlign w:val="center"/>
          </w:tcPr>
          <w:p>
            <w:pPr>
              <w:pStyle w:val="22"/>
              <w:bidi w:val="0"/>
              <w:rPr>
                <w:rFonts w:hint="default"/>
                <w:color w:val="auto"/>
                <w:highlight w:val="none"/>
              </w:rPr>
            </w:pPr>
            <w:r>
              <w:rPr>
                <w:rFonts w:hint="default"/>
                <w:color w:val="auto"/>
                <w:highlight w:val="none"/>
              </w:rPr>
              <w:t>拐点号</w:t>
            </w:r>
          </w:p>
        </w:tc>
        <w:tc>
          <w:tcPr>
            <w:tcW w:w="1607" w:type="dxa"/>
            <w:noWrap w:val="0"/>
            <w:vAlign w:val="center"/>
          </w:tcPr>
          <w:p>
            <w:pPr>
              <w:pStyle w:val="22"/>
              <w:bidi w:val="0"/>
              <w:rPr>
                <w:rFonts w:hint="default"/>
                <w:color w:val="auto"/>
                <w:highlight w:val="none"/>
              </w:rPr>
            </w:pPr>
            <w:r>
              <w:rPr>
                <w:rFonts w:hint="default"/>
                <w:color w:val="auto"/>
                <w:highlight w:val="none"/>
              </w:rPr>
              <w:t>横坐标(X)</w:t>
            </w:r>
          </w:p>
        </w:tc>
        <w:tc>
          <w:tcPr>
            <w:tcW w:w="1562" w:type="dxa"/>
            <w:noWrap w:val="0"/>
            <w:vAlign w:val="center"/>
          </w:tcPr>
          <w:p>
            <w:pPr>
              <w:pStyle w:val="22"/>
              <w:bidi w:val="0"/>
              <w:rPr>
                <w:rFonts w:hint="default"/>
                <w:color w:val="auto"/>
                <w:highlight w:val="none"/>
              </w:rPr>
            </w:pPr>
            <w:r>
              <w:rPr>
                <w:rFonts w:hint="default"/>
                <w:color w:val="auto"/>
                <w:highlight w:val="none"/>
              </w:rPr>
              <w:t>纵坐标(Y)</w:t>
            </w:r>
          </w:p>
        </w:tc>
        <w:tc>
          <w:tcPr>
            <w:tcW w:w="867" w:type="dxa"/>
            <w:noWrap w:val="0"/>
            <w:vAlign w:val="center"/>
          </w:tcPr>
          <w:p>
            <w:pPr>
              <w:pStyle w:val="22"/>
              <w:bidi w:val="0"/>
              <w:rPr>
                <w:rFonts w:hint="default"/>
                <w:color w:val="auto"/>
                <w:highlight w:val="none"/>
              </w:rPr>
            </w:pPr>
            <w:r>
              <w:rPr>
                <w:rFonts w:hint="default"/>
                <w:color w:val="auto"/>
                <w:highlight w:val="none"/>
              </w:rPr>
              <w:t>拐点号</w:t>
            </w:r>
          </w:p>
        </w:tc>
        <w:tc>
          <w:tcPr>
            <w:tcW w:w="1710" w:type="dxa"/>
            <w:noWrap w:val="0"/>
            <w:vAlign w:val="center"/>
          </w:tcPr>
          <w:p>
            <w:pPr>
              <w:pStyle w:val="22"/>
              <w:bidi w:val="0"/>
              <w:rPr>
                <w:rFonts w:hint="default"/>
                <w:color w:val="auto"/>
                <w:highlight w:val="none"/>
              </w:rPr>
            </w:pPr>
            <w:r>
              <w:rPr>
                <w:rFonts w:hint="default"/>
                <w:color w:val="auto"/>
                <w:highlight w:val="none"/>
              </w:rPr>
              <w:t>横坐标(X)</w:t>
            </w:r>
          </w:p>
        </w:tc>
        <w:tc>
          <w:tcPr>
            <w:tcW w:w="1772"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w:t>
            </w:r>
          </w:p>
        </w:tc>
        <w:tc>
          <w:tcPr>
            <w:tcW w:w="1607" w:type="dxa"/>
            <w:noWrap w:val="0"/>
            <w:vAlign w:val="center"/>
          </w:tcPr>
          <w:p>
            <w:pPr>
              <w:pStyle w:val="22"/>
              <w:bidi w:val="0"/>
              <w:rPr>
                <w:rFonts w:hint="default"/>
                <w:color w:val="auto"/>
                <w:highlight w:val="none"/>
              </w:rPr>
            </w:pPr>
            <w:r>
              <w:rPr>
                <w:rFonts w:hint="default"/>
                <w:color w:val="auto"/>
                <w:highlight w:val="none"/>
              </w:rPr>
              <w:t>3419384.43</w:t>
            </w:r>
          </w:p>
        </w:tc>
        <w:tc>
          <w:tcPr>
            <w:tcW w:w="1562" w:type="dxa"/>
            <w:noWrap w:val="0"/>
            <w:vAlign w:val="center"/>
          </w:tcPr>
          <w:p>
            <w:pPr>
              <w:pStyle w:val="22"/>
              <w:bidi w:val="0"/>
              <w:rPr>
                <w:rFonts w:hint="default"/>
                <w:color w:val="auto"/>
                <w:highlight w:val="none"/>
              </w:rPr>
            </w:pPr>
            <w:r>
              <w:rPr>
                <w:rFonts w:hint="default"/>
                <w:color w:val="auto"/>
                <w:highlight w:val="none"/>
              </w:rPr>
              <w:t>36423587.83</w:t>
            </w:r>
          </w:p>
        </w:tc>
        <w:tc>
          <w:tcPr>
            <w:tcW w:w="867" w:type="dxa"/>
            <w:noWrap w:val="0"/>
            <w:vAlign w:val="center"/>
          </w:tcPr>
          <w:p>
            <w:pPr>
              <w:pStyle w:val="22"/>
              <w:bidi w:val="0"/>
              <w:rPr>
                <w:rFonts w:hint="default"/>
                <w:color w:val="auto"/>
                <w:highlight w:val="none"/>
              </w:rPr>
            </w:pPr>
            <w:r>
              <w:rPr>
                <w:rFonts w:hint="default"/>
                <w:color w:val="auto"/>
                <w:highlight w:val="none"/>
              </w:rPr>
              <w:t>16</w:t>
            </w:r>
          </w:p>
        </w:tc>
        <w:tc>
          <w:tcPr>
            <w:tcW w:w="1710" w:type="dxa"/>
            <w:noWrap w:val="0"/>
            <w:vAlign w:val="center"/>
          </w:tcPr>
          <w:p>
            <w:pPr>
              <w:pStyle w:val="22"/>
              <w:bidi w:val="0"/>
              <w:rPr>
                <w:rFonts w:hint="default"/>
                <w:color w:val="auto"/>
                <w:highlight w:val="none"/>
              </w:rPr>
            </w:pPr>
            <w:r>
              <w:rPr>
                <w:rFonts w:hint="default"/>
                <w:color w:val="auto"/>
                <w:highlight w:val="none"/>
              </w:rPr>
              <w:t>3428897.48</w:t>
            </w:r>
          </w:p>
        </w:tc>
        <w:tc>
          <w:tcPr>
            <w:tcW w:w="1772" w:type="dxa"/>
            <w:noWrap w:val="0"/>
            <w:vAlign w:val="center"/>
          </w:tcPr>
          <w:p>
            <w:pPr>
              <w:pStyle w:val="22"/>
              <w:bidi w:val="0"/>
              <w:rPr>
                <w:rFonts w:hint="default"/>
                <w:color w:val="auto"/>
                <w:highlight w:val="none"/>
              </w:rPr>
            </w:pPr>
            <w:r>
              <w:rPr>
                <w:rFonts w:hint="default"/>
                <w:color w:val="auto"/>
                <w:highlight w:val="none"/>
              </w:rPr>
              <w:t>36425157.83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2</w:t>
            </w:r>
          </w:p>
        </w:tc>
        <w:tc>
          <w:tcPr>
            <w:tcW w:w="1607" w:type="dxa"/>
            <w:noWrap w:val="0"/>
            <w:vAlign w:val="center"/>
          </w:tcPr>
          <w:p>
            <w:pPr>
              <w:pStyle w:val="22"/>
              <w:bidi w:val="0"/>
              <w:rPr>
                <w:rFonts w:hint="default"/>
                <w:color w:val="auto"/>
                <w:highlight w:val="none"/>
              </w:rPr>
            </w:pPr>
            <w:r>
              <w:rPr>
                <w:rFonts w:hint="default"/>
                <w:color w:val="auto"/>
                <w:highlight w:val="none"/>
              </w:rPr>
              <w:t>3419714.42</w:t>
            </w:r>
          </w:p>
        </w:tc>
        <w:tc>
          <w:tcPr>
            <w:tcW w:w="1562" w:type="dxa"/>
            <w:noWrap w:val="0"/>
            <w:vAlign w:val="center"/>
          </w:tcPr>
          <w:p>
            <w:pPr>
              <w:pStyle w:val="22"/>
              <w:bidi w:val="0"/>
              <w:rPr>
                <w:rFonts w:hint="default"/>
                <w:color w:val="auto"/>
                <w:highlight w:val="none"/>
              </w:rPr>
            </w:pPr>
            <w:r>
              <w:rPr>
                <w:rFonts w:hint="default"/>
                <w:color w:val="auto"/>
                <w:highlight w:val="none"/>
              </w:rPr>
              <w:t>36423787.83</w:t>
            </w:r>
          </w:p>
        </w:tc>
        <w:tc>
          <w:tcPr>
            <w:tcW w:w="867" w:type="dxa"/>
            <w:noWrap w:val="0"/>
            <w:vAlign w:val="center"/>
          </w:tcPr>
          <w:p>
            <w:pPr>
              <w:pStyle w:val="22"/>
              <w:bidi w:val="0"/>
              <w:rPr>
                <w:rFonts w:hint="default"/>
                <w:color w:val="auto"/>
                <w:highlight w:val="none"/>
              </w:rPr>
            </w:pPr>
            <w:r>
              <w:rPr>
                <w:rFonts w:hint="default"/>
                <w:color w:val="auto"/>
                <w:highlight w:val="none"/>
              </w:rPr>
              <w:t>17</w:t>
            </w:r>
          </w:p>
        </w:tc>
        <w:tc>
          <w:tcPr>
            <w:tcW w:w="1710" w:type="dxa"/>
            <w:noWrap w:val="0"/>
            <w:vAlign w:val="center"/>
          </w:tcPr>
          <w:p>
            <w:pPr>
              <w:pStyle w:val="22"/>
              <w:bidi w:val="0"/>
              <w:rPr>
                <w:rFonts w:hint="default"/>
                <w:color w:val="auto"/>
                <w:highlight w:val="none"/>
              </w:rPr>
            </w:pPr>
            <w:r>
              <w:rPr>
                <w:rFonts w:hint="default"/>
                <w:color w:val="auto"/>
                <w:highlight w:val="none"/>
              </w:rPr>
              <w:t>3427261.47</w:t>
            </w:r>
          </w:p>
        </w:tc>
        <w:tc>
          <w:tcPr>
            <w:tcW w:w="1772" w:type="dxa"/>
            <w:noWrap w:val="0"/>
            <w:vAlign w:val="center"/>
          </w:tcPr>
          <w:p>
            <w:pPr>
              <w:pStyle w:val="22"/>
              <w:bidi w:val="0"/>
              <w:rPr>
                <w:rFonts w:hint="default"/>
                <w:color w:val="auto"/>
                <w:highlight w:val="none"/>
              </w:rPr>
            </w:pPr>
            <w:r>
              <w:rPr>
                <w:rFonts w:hint="default"/>
                <w:color w:val="auto"/>
                <w:highlight w:val="none"/>
              </w:rPr>
              <w:t>36424632.83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3</w:t>
            </w:r>
          </w:p>
        </w:tc>
        <w:tc>
          <w:tcPr>
            <w:tcW w:w="1607" w:type="dxa"/>
            <w:noWrap w:val="0"/>
            <w:vAlign w:val="center"/>
          </w:tcPr>
          <w:p>
            <w:pPr>
              <w:pStyle w:val="22"/>
              <w:bidi w:val="0"/>
              <w:rPr>
                <w:rFonts w:hint="default"/>
                <w:color w:val="auto"/>
                <w:highlight w:val="none"/>
              </w:rPr>
            </w:pPr>
            <w:r>
              <w:rPr>
                <w:rFonts w:hint="default"/>
                <w:color w:val="auto"/>
                <w:highlight w:val="none"/>
              </w:rPr>
              <w:t>3420519.44</w:t>
            </w:r>
          </w:p>
        </w:tc>
        <w:tc>
          <w:tcPr>
            <w:tcW w:w="1562" w:type="dxa"/>
            <w:noWrap w:val="0"/>
            <w:vAlign w:val="center"/>
          </w:tcPr>
          <w:p>
            <w:pPr>
              <w:pStyle w:val="22"/>
              <w:bidi w:val="0"/>
              <w:rPr>
                <w:rFonts w:hint="default"/>
                <w:color w:val="auto"/>
                <w:highlight w:val="none"/>
              </w:rPr>
            </w:pPr>
            <w:r>
              <w:rPr>
                <w:rFonts w:hint="default"/>
                <w:color w:val="auto"/>
                <w:highlight w:val="none"/>
              </w:rPr>
              <w:t>36424235.84</w:t>
            </w:r>
          </w:p>
        </w:tc>
        <w:tc>
          <w:tcPr>
            <w:tcW w:w="867" w:type="dxa"/>
            <w:noWrap w:val="0"/>
            <w:vAlign w:val="center"/>
          </w:tcPr>
          <w:p>
            <w:pPr>
              <w:pStyle w:val="22"/>
              <w:bidi w:val="0"/>
              <w:rPr>
                <w:rFonts w:hint="default"/>
                <w:color w:val="auto"/>
                <w:highlight w:val="none"/>
              </w:rPr>
            </w:pPr>
            <w:r>
              <w:rPr>
                <w:rFonts w:hint="default"/>
                <w:color w:val="auto"/>
                <w:highlight w:val="none"/>
              </w:rPr>
              <w:t>18</w:t>
            </w:r>
          </w:p>
        </w:tc>
        <w:tc>
          <w:tcPr>
            <w:tcW w:w="1710" w:type="dxa"/>
            <w:noWrap w:val="0"/>
            <w:vAlign w:val="center"/>
          </w:tcPr>
          <w:p>
            <w:pPr>
              <w:pStyle w:val="22"/>
              <w:bidi w:val="0"/>
              <w:rPr>
                <w:rFonts w:hint="default"/>
                <w:color w:val="auto"/>
                <w:highlight w:val="none"/>
              </w:rPr>
            </w:pPr>
            <w:r>
              <w:rPr>
                <w:rFonts w:hint="default"/>
                <w:color w:val="auto"/>
                <w:highlight w:val="none"/>
              </w:rPr>
              <w:t>3425814.46</w:t>
            </w:r>
          </w:p>
        </w:tc>
        <w:tc>
          <w:tcPr>
            <w:tcW w:w="1772" w:type="dxa"/>
            <w:noWrap w:val="0"/>
            <w:vAlign w:val="center"/>
          </w:tcPr>
          <w:p>
            <w:pPr>
              <w:pStyle w:val="22"/>
              <w:bidi w:val="0"/>
              <w:rPr>
                <w:rFonts w:hint="default"/>
                <w:color w:val="auto"/>
                <w:highlight w:val="none"/>
              </w:rPr>
            </w:pPr>
            <w:r>
              <w:rPr>
                <w:rFonts w:hint="default"/>
                <w:color w:val="auto"/>
                <w:highlight w:val="none"/>
              </w:rPr>
              <w:t>36424080.83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4</w:t>
            </w:r>
          </w:p>
        </w:tc>
        <w:tc>
          <w:tcPr>
            <w:tcW w:w="1607" w:type="dxa"/>
            <w:noWrap w:val="0"/>
            <w:vAlign w:val="center"/>
          </w:tcPr>
          <w:p>
            <w:pPr>
              <w:pStyle w:val="22"/>
              <w:bidi w:val="0"/>
              <w:rPr>
                <w:rFonts w:hint="default"/>
                <w:color w:val="auto"/>
                <w:highlight w:val="none"/>
              </w:rPr>
            </w:pPr>
            <w:r>
              <w:rPr>
                <w:rFonts w:hint="default"/>
                <w:color w:val="auto"/>
                <w:highlight w:val="none"/>
              </w:rPr>
              <w:t>3420914.44</w:t>
            </w:r>
          </w:p>
        </w:tc>
        <w:tc>
          <w:tcPr>
            <w:tcW w:w="1562" w:type="dxa"/>
            <w:noWrap w:val="0"/>
            <w:vAlign w:val="center"/>
          </w:tcPr>
          <w:p>
            <w:pPr>
              <w:pStyle w:val="22"/>
              <w:bidi w:val="0"/>
              <w:rPr>
                <w:rFonts w:hint="default"/>
                <w:color w:val="auto"/>
                <w:highlight w:val="none"/>
              </w:rPr>
            </w:pPr>
            <w:r>
              <w:rPr>
                <w:rFonts w:hint="default"/>
                <w:color w:val="auto"/>
                <w:highlight w:val="none"/>
              </w:rPr>
              <w:t>36424422.84</w:t>
            </w:r>
          </w:p>
        </w:tc>
        <w:tc>
          <w:tcPr>
            <w:tcW w:w="867" w:type="dxa"/>
            <w:noWrap w:val="0"/>
            <w:vAlign w:val="center"/>
          </w:tcPr>
          <w:p>
            <w:pPr>
              <w:pStyle w:val="22"/>
              <w:bidi w:val="0"/>
              <w:rPr>
                <w:rFonts w:hint="default"/>
                <w:color w:val="auto"/>
                <w:highlight w:val="none"/>
              </w:rPr>
            </w:pPr>
            <w:r>
              <w:rPr>
                <w:rFonts w:hint="default"/>
                <w:color w:val="auto"/>
                <w:highlight w:val="none"/>
              </w:rPr>
              <w:t>19</w:t>
            </w:r>
          </w:p>
        </w:tc>
        <w:tc>
          <w:tcPr>
            <w:tcW w:w="1710" w:type="dxa"/>
            <w:noWrap w:val="0"/>
            <w:vAlign w:val="center"/>
          </w:tcPr>
          <w:p>
            <w:pPr>
              <w:pStyle w:val="22"/>
              <w:bidi w:val="0"/>
              <w:rPr>
                <w:rFonts w:hint="default"/>
                <w:color w:val="auto"/>
                <w:highlight w:val="none"/>
              </w:rPr>
            </w:pPr>
            <w:r>
              <w:rPr>
                <w:rFonts w:hint="default"/>
                <w:color w:val="auto"/>
                <w:highlight w:val="none"/>
              </w:rPr>
              <w:t>3424699.46</w:t>
            </w:r>
          </w:p>
        </w:tc>
        <w:tc>
          <w:tcPr>
            <w:tcW w:w="1772" w:type="dxa"/>
            <w:noWrap w:val="0"/>
            <w:vAlign w:val="center"/>
          </w:tcPr>
          <w:p>
            <w:pPr>
              <w:pStyle w:val="22"/>
              <w:bidi w:val="0"/>
              <w:rPr>
                <w:rFonts w:hint="default"/>
                <w:color w:val="auto"/>
                <w:highlight w:val="none"/>
              </w:rPr>
            </w:pPr>
            <w:r>
              <w:rPr>
                <w:rFonts w:hint="default"/>
                <w:color w:val="auto"/>
                <w:highlight w:val="none"/>
              </w:rPr>
              <w:t>36423807.83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5</w:t>
            </w:r>
          </w:p>
        </w:tc>
        <w:tc>
          <w:tcPr>
            <w:tcW w:w="1607" w:type="dxa"/>
            <w:noWrap w:val="0"/>
            <w:vAlign w:val="center"/>
          </w:tcPr>
          <w:p>
            <w:pPr>
              <w:pStyle w:val="22"/>
              <w:bidi w:val="0"/>
              <w:rPr>
                <w:rFonts w:hint="default"/>
                <w:color w:val="auto"/>
                <w:highlight w:val="none"/>
              </w:rPr>
            </w:pPr>
            <w:r>
              <w:rPr>
                <w:rFonts w:hint="default"/>
                <w:color w:val="auto"/>
                <w:highlight w:val="none"/>
              </w:rPr>
              <w:t>3421389.44</w:t>
            </w:r>
          </w:p>
        </w:tc>
        <w:tc>
          <w:tcPr>
            <w:tcW w:w="1562" w:type="dxa"/>
            <w:noWrap w:val="0"/>
            <w:vAlign w:val="center"/>
          </w:tcPr>
          <w:p>
            <w:pPr>
              <w:pStyle w:val="22"/>
              <w:bidi w:val="0"/>
              <w:rPr>
                <w:rFonts w:hint="default"/>
                <w:color w:val="auto"/>
                <w:highlight w:val="none"/>
              </w:rPr>
            </w:pPr>
            <w:r>
              <w:rPr>
                <w:rFonts w:hint="default"/>
                <w:color w:val="auto"/>
                <w:highlight w:val="none"/>
              </w:rPr>
              <w:t>36424522.84</w:t>
            </w:r>
          </w:p>
        </w:tc>
        <w:tc>
          <w:tcPr>
            <w:tcW w:w="867" w:type="dxa"/>
            <w:noWrap w:val="0"/>
            <w:vAlign w:val="center"/>
          </w:tcPr>
          <w:p>
            <w:pPr>
              <w:pStyle w:val="22"/>
              <w:bidi w:val="0"/>
              <w:rPr>
                <w:rFonts w:hint="default"/>
                <w:color w:val="auto"/>
                <w:highlight w:val="none"/>
              </w:rPr>
            </w:pPr>
            <w:r>
              <w:rPr>
                <w:rFonts w:hint="default"/>
                <w:color w:val="auto"/>
                <w:highlight w:val="none"/>
              </w:rPr>
              <w:t>20</w:t>
            </w:r>
          </w:p>
        </w:tc>
        <w:tc>
          <w:tcPr>
            <w:tcW w:w="1710" w:type="dxa"/>
            <w:noWrap w:val="0"/>
            <w:vAlign w:val="center"/>
          </w:tcPr>
          <w:p>
            <w:pPr>
              <w:pStyle w:val="22"/>
              <w:bidi w:val="0"/>
              <w:rPr>
                <w:rFonts w:hint="default"/>
                <w:color w:val="auto"/>
                <w:highlight w:val="none"/>
              </w:rPr>
            </w:pPr>
            <w:r>
              <w:rPr>
                <w:rFonts w:hint="default"/>
                <w:color w:val="auto"/>
                <w:highlight w:val="none"/>
              </w:rPr>
              <w:t>3424599.46</w:t>
            </w:r>
          </w:p>
        </w:tc>
        <w:tc>
          <w:tcPr>
            <w:tcW w:w="1772" w:type="dxa"/>
            <w:noWrap w:val="0"/>
            <w:vAlign w:val="center"/>
          </w:tcPr>
          <w:p>
            <w:pPr>
              <w:pStyle w:val="22"/>
              <w:bidi w:val="0"/>
              <w:rPr>
                <w:rFonts w:hint="default"/>
                <w:color w:val="auto"/>
                <w:highlight w:val="none"/>
              </w:rPr>
            </w:pPr>
            <w:r>
              <w:rPr>
                <w:rFonts w:hint="default"/>
                <w:color w:val="auto"/>
                <w:highlight w:val="none"/>
              </w:rPr>
              <w:t>36424102.83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6</w:t>
            </w:r>
          </w:p>
        </w:tc>
        <w:tc>
          <w:tcPr>
            <w:tcW w:w="1607" w:type="dxa"/>
            <w:noWrap w:val="0"/>
            <w:vAlign w:val="center"/>
          </w:tcPr>
          <w:p>
            <w:pPr>
              <w:pStyle w:val="22"/>
              <w:bidi w:val="0"/>
              <w:rPr>
                <w:rFonts w:hint="default"/>
                <w:color w:val="auto"/>
                <w:highlight w:val="none"/>
              </w:rPr>
            </w:pPr>
            <w:r>
              <w:rPr>
                <w:rFonts w:hint="default"/>
                <w:color w:val="auto"/>
                <w:highlight w:val="none"/>
              </w:rPr>
              <w:t>3422544.45</w:t>
            </w:r>
          </w:p>
        </w:tc>
        <w:tc>
          <w:tcPr>
            <w:tcW w:w="1562" w:type="dxa"/>
            <w:noWrap w:val="0"/>
            <w:vAlign w:val="center"/>
          </w:tcPr>
          <w:p>
            <w:pPr>
              <w:pStyle w:val="22"/>
              <w:bidi w:val="0"/>
              <w:rPr>
                <w:rFonts w:hint="default"/>
                <w:color w:val="auto"/>
                <w:highlight w:val="none"/>
              </w:rPr>
            </w:pPr>
            <w:r>
              <w:rPr>
                <w:rFonts w:hint="default"/>
                <w:color w:val="auto"/>
                <w:highlight w:val="none"/>
              </w:rPr>
              <w:t>36424937.84</w:t>
            </w:r>
          </w:p>
        </w:tc>
        <w:tc>
          <w:tcPr>
            <w:tcW w:w="867" w:type="dxa"/>
            <w:noWrap w:val="0"/>
            <w:vAlign w:val="center"/>
          </w:tcPr>
          <w:p>
            <w:pPr>
              <w:pStyle w:val="22"/>
              <w:bidi w:val="0"/>
              <w:rPr>
                <w:rFonts w:hint="default"/>
                <w:color w:val="auto"/>
                <w:highlight w:val="none"/>
              </w:rPr>
            </w:pPr>
            <w:r>
              <w:rPr>
                <w:rFonts w:hint="default"/>
                <w:color w:val="auto"/>
                <w:highlight w:val="none"/>
              </w:rPr>
              <w:t>21</w:t>
            </w:r>
          </w:p>
        </w:tc>
        <w:tc>
          <w:tcPr>
            <w:tcW w:w="1710" w:type="dxa"/>
            <w:noWrap w:val="0"/>
            <w:vAlign w:val="center"/>
          </w:tcPr>
          <w:p>
            <w:pPr>
              <w:pStyle w:val="22"/>
              <w:bidi w:val="0"/>
              <w:rPr>
                <w:rFonts w:hint="default"/>
                <w:color w:val="auto"/>
                <w:highlight w:val="none"/>
              </w:rPr>
            </w:pPr>
            <w:r>
              <w:rPr>
                <w:rFonts w:hint="default"/>
                <w:color w:val="auto"/>
                <w:highlight w:val="none"/>
              </w:rPr>
              <w:t>3424509.46</w:t>
            </w:r>
          </w:p>
        </w:tc>
        <w:tc>
          <w:tcPr>
            <w:tcW w:w="1772" w:type="dxa"/>
            <w:noWrap w:val="0"/>
            <w:vAlign w:val="center"/>
          </w:tcPr>
          <w:p>
            <w:pPr>
              <w:pStyle w:val="22"/>
              <w:bidi w:val="0"/>
              <w:rPr>
                <w:rFonts w:hint="default"/>
                <w:color w:val="auto"/>
                <w:highlight w:val="none"/>
              </w:rPr>
            </w:pPr>
            <w:r>
              <w:rPr>
                <w:rFonts w:hint="default"/>
                <w:color w:val="auto"/>
                <w:highlight w:val="none"/>
              </w:rPr>
              <w:t>36424352.83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7</w:t>
            </w:r>
          </w:p>
        </w:tc>
        <w:tc>
          <w:tcPr>
            <w:tcW w:w="1607" w:type="dxa"/>
            <w:noWrap w:val="0"/>
            <w:vAlign w:val="center"/>
          </w:tcPr>
          <w:p>
            <w:pPr>
              <w:pStyle w:val="22"/>
              <w:bidi w:val="0"/>
              <w:rPr>
                <w:rFonts w:hint="default"/>
                <w:color w:val="auto"/>
                <w:highlight w:val="none"/>
              </w:rPr>
            </w:pPr>
            <w:r>
              <w:rPr>
                <w:rFonts w:hint="default"/>
                <w:color w:val="auto"/>
                <w:highlight w:val="none"/>
              </w:rPr>
              <w:t>3423014.45</w:t>
            </w:r>
          </w:p>
        </w:tc>
        <w:tc>
          <w:tcPr>
            <w:tcW w:w="1562" w:type="dxa"/>
            <w:noWrap w:val="0"/>
            <w:vAlign w:val="center"/>
          </w:tcPr>
          <w:p>
            <w:pPr>
              <w:pStyle w:val="22"/>
              <w:bidi w:val="0"/>
              <w:rPr>
                <w:rFonts w:hint="default"/>
                <w:color w:val="auto"/>
                <w:highlight w:val="none"/>
              </w:rPr>
            </w:pPr>
            <w:r>
              <w:rPr>
                <w:rFonts w:hint="default"/>
                <w:color w:val="auto"/>
                <w:highlight w:val="none"/>
              </w:rPr>
              <w:t>36425102.84</w:t>
            </w:r>
          </w:p>
        </w:tc>
        <w:tc>
          <w:tcPr>
            <w:tcW w:w="867" w:type="dxa"/>
            <w:noWrap w:val="0"/>
            <w:vAlign w:val="center"/>
          </w:tcPr>
          <w:p>
            <w:pPr>
              <w:pStyle w:val="22"/>
              <w:bidi w:val="0"/>
              <w:rPr>
                <w:rFonts w:hint="default"/>
                <w:color w:val="auto"/>
                <w:highlight w:val="none"/>
              </w:rPr>
            </w:pPr>
            <w:r>
              <w:rPr>
                <w:rFonts w:hint="default"/>
                <w:color w:val="auto"/>
                <w:highlight w:val="none"/>
              </w:rPr>
              <w:t>22</w:t>
            </w:r>
          </w:p>
        </w:tc>
        <w:tc>
          <w:tcPr>
            <w:tcW w:w="1710" w:type="dxa"/>
            <w:noWrap w:val="0"/>
            <w:vAlign w:val="center"/>
          </w:tcPr>
          <w:p>
            <w:pPr>
              <w:pStyle w:val="22"/>
              <w:bidi w:val="0"/>
              <w:rPr>
                <w:rFonts w:hint="default"/>
                <w:color w:val="auto"/>
                <w:highlight w:val="none"/>
              </w:rPr>
            </w:pPr>
            <w:r>
              <w:rPr>
                <w:rFonts w:hint="default"/>
                <w:color w:val="auto"/>
                <w:highlight w:val="none"/>
              </w:rPr>
              <w:t>3423354.45</w:t>
            </w:r>
          </w:p>
        </w:tc>
        <w:tc>
          <w:tcPr>
            <w:tcW w:w="1772" w:type="dxa"/>
            <w:noWrap w:val="0"/>
            <w:vAlign w:val="center"/>
          </w:tcPr>
          <w:p>
            <w:pPr>
              <w:pStyle w:val="22"/>
              <w:bidi w:val="0"/>
              <w:rPr>
                <w:rFonts w:hint="default"/>
                <w:color w:val="auto"/>
                <w:highlight w:val="none"/>
              </w:rPr>
            </w:pPr>
            <w:r>
              <w:rPr>
                <w:rFonts w:hint="default"/>
                <w:color w:val="auto"/>
                <w:highlight w:val="none"/>
              </w:rPr>
              <w:t>36424079.83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8</w:t>
            </w:r>
          </w:p>
        </w:tc>
        <w:tc>
          <w:tcPr>
            <w:tcW w:w="1607" w:type="dxa"/>
            <w:noWrap w:val="0"/>
            <w:vAlign w:val="center"/>
          </w:tcPr>
          <w:p>
            <w:pPr>
              <w:pStyle w:val="22"/>
              <w:bidi w:val="0"/>
              <w:rPr>
                <w:rFonts w:hint="default"/>
                <w:color w:val="auto"/>
                <w:highlight w:val="none"/>
              </w:rPr>
            </w:pPr>
            <w:r>
              <w:rPr>
                <w:rFonts w:hint="default"/>
                <w:color w:val="auto"/>
                <w:highlight w:val="none"/>
              </w:rPr>
              <w:t>3424074.46</w:t>
            </w:r>
          </w:p>
        </w:tc>
        <w:tc>
          <w:tcPr>
            <w:tcW w:w="1562" w:type="dxa"/>
            <w:noWrap w:val="0"/>
            <w:vAlign w:val="center"/>
          </w:tcPr>
          <w:p>
            <w:pPr>
              <w:pStyle w:val="22"/>
              <w:bidi w:val="0"/>
              <w:rPr>
                <w:rFonts w:hint="default"/>
                <w:color w:val="auto"/>
                <w:highlight w:val="none"/>
              </w:rPr>
            </w:pPr>
            <w:r>
              <w:rPr>
                <w:rFonts w:hint="default"/>
                <w:color w:val="auto"/>
                <w:highlight w:val="none"/>
              </w:rPr>
              <w:t>36425537.84</w:t>
            </w:r>
          </w:p>
        </w:tc>
        <w:tc>
          <w:tcPr>
            <w:tcW w:w="867" w:type="dxa"/>
            <w:noWrap w:val="0"/>
            <w:vAlign w:val="center"/>
          </w:tcPr>
          <w:p>
            <w:pPr>
              <w:pStyle w:val="22"/>
              <w:bidi w:val="0"/>
              <w:rPr>
                <w:rFonts w:hint="default"/>
                <w:color w:val="auto"/>
                <w:highlight w:val="none"/>
              </w:rPr>
            </w:pPr>
            <w:r>
              <w:rPr>
                <w:rFonts w:hint="default"/>
                <w:color w:val="auto"/>
                <w:highlight w:val="none"/>
              </w:rPr>
              <w:t>23</w:t>
            </w:r>
          </w:p>
        </w:tc>
        <w:tc>
          <w:tcPr>
            <w:tcW w:w="1710" w:type="dxa"/>
            <w:noWrap w:val="0"/>
            <w:vAlign w:val="center"/>
          </w:tcPr>
          <w:p>
            <w:pPr>
              <w:pStyle w:val="22"/>
              <w:bidi w:val="0"/>
              <w:rPr>
                <w:rFonts w:hint="default"/>
                <w:color w:val="auto"/>
                <w:highlight w:val="none"/>
              </w:rPr>
            </w:pPr>
            <w:r>
              <w:rPr>
                <w:rFonts w:hint="default"/>
                <w:color w:val="auto"/>
                <w:highlight w:val="none"/>
              </w:rPr>
              <w:t>3422799.45</w:t>
            </w:r>
          </w:p>
        </w:tc>
        <w:tc>
          <w:tcPr>
            <w:tcW w:w="1772" w:type="dxa"/>
            <w:noWrap w:val="0"/>
            <w:vAlign w:val="center"/>
          </w:tcPr>
          <w:p>
            <w:pPr>
              <w:pStyle w:val="22"/>
              <w:bidi w:val="0"/>
              <w:rPr>
                <w:rFonts w:hint="default"/>
                <w:color w:val="auto"/>
                <w:highlight w:val="none"/>
              </w:rPr>
            </w:pPr>
            <w:r>
              <w:rPr>
                <w:rFonts w:hint="default"/>
                <w:color w:val="auto"/>
                <w:highlight w:val="none"/>
              </w:rPr>
              <w:t>36423907.83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9</w:t>
            </w:r>
          </w:p>
        </w:tc>
        <w:tc>
          <w:tcPr>
            <w:tcW w:w="1607" w:type="dxa"/>
            <w:noWrap w:val="0"/>
            <w:vAlign w:val="center"/>
          </w:tcPr>
          <w:p>
            <w:pPr>
              <w:pStyle w:val="22"/>
              <w:bidi w:val="0"/>
              <w:rPr>
                <w:rFonts w:hint="default"/>
                <w:color w:val="auto"/>
                <w:highlight w:val="none"/>
              </w:rPr>
            </w:pPr>
            <w:r>
              <w:rPr>
                <w:rFonts w:hint="default"/>
                <w:color w:val="auto"/>
                <w:highlight w:val="none"/>
              </w:rPr>
              <w:t>3425154.46</w:t>
            </w:r>
          </w:p>
        </w:tc>
        <w:tc>
          <w:tcPr>
            <w:tcW w:w="1562" w:type="dxa"/>
            <w:noWrap w:val="0"/>
            <w:vAlign w:val="center"/>
          </w:tcPr>
          <w:p>
            <w:pPr>
              <w:pStyle w:val="22"/>
              <w:bidi w:val="0"/>
              <w:rPr>
                <w:rFonts w:hint="default"/>
                <w:color w:val="auto"/>
                <w:highlight w:val="none"/>
              </w:rPr>
            </w:pPr>
            <w:r>
              <w:rPr>
                <w:rFonts w:hint="default"/>
                <w:color w:val="auto"/>
                <w:highlight w:val="none"/>
              </w:rPr>
              <w:t>36425882.84</w:t>
            </w:r>
          </w:p>
        </w:tc>
        <w:tc>
          <w:tcPr>
            <w:tcW w:w="867" w:type="dxa"/>
            <w:noWrap w:val="0"/>
            <w:vAlign w:val="center"/>
          </w:tcPr>
          <w:p>
            <w:pPr>
              <w:pStyle w:val="22"/>
              <w:bidi w:val="0"/>
              <w:rPr>
                <w:rFonts w:hint="default"/>
                <w:color w:val="auto"/>
                <w:highlight w:val="none"/>
              </w:rPr>
            </w:pPr>
            <w:r>
              <w:rPr>
                <w:rFonts w:hint="default"/>
                <w:color w:val="auto"/>
                <w:highlight w:val="none"/>
              </w:rPr>
              <w:t>24</w:t>
            </w:r>
          </w:p>
        </w:tc>
        <w:tc>
          <w:tcPr>
            <w:tcW w:w="1710" w:type="dxa"/>
            <w:noWrap w:val="0"/>
            <w:vAlign w:val="center"/>
          </w:tcPr>
          <w:p>
            <w:pPr>
              <w:pStyle w:val="22"/>
              <w:bidi w:val="0"/>
              <w:rPr>
                <w:rFonts w:hint="default"/>
                <w:color w:val="auto"/>
                <w:highlight w:val="none"/>
              </w:rPr>
            </w:pPr>
            <w:r>
              <w:rPr>
                <w:rFonts w:hint="default"/>
                <w:color w:val="auto"/>
                <w:highlight w:val="none"/>
              </w:rPr>
              <w:t>3422509.45</w:t>
            </w:r>
          </w:p>
        </w:tc>
        <w:tc>
          <w:tcPr>
            <w:tcW w:w="1772" w:type="dxa"/>
            <w:noWrap w:val="0"/>
            <w:vAlign w:val="center"/>
          </w:tcPr>
          <w:p>
            <w:pPr>
              <w:pStyle w:val="22"/>
              <w:bidi w:val="0"/>
              <w:rPr>
                <w:rFonts w:hint="default"/>
                <w:color w:val="auto"/>
                <w:highlight w:val="none"/>
              </w:rPr>
            </w:pPr>
            <w:r>
              <w:rPr>
                <w:rFonts w:hint="default"/>
                <w:color w:val="auto"/>
                <w:highlight w:val="none"/>
              </w:rPr>
              <w:t>36423822.83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10</w:t>
            </w:r>
          </w:p>
        </w:tc>
        <w:tc>
          <w:tcPr>
            <w:tcW w:w="1607" w:type="dxa"/>
            <w:noWrap w:val="0"/>
            <w:vAlign w:val="center"/>
          </w:tcPr>
          <w:p>
            <w:pPr>
              <w:pStyle w:val="22"/>
              <w:bidi w:val="0"/>
              <w:rPr>
                <w:rFonts w:hint="default"/>
                <w:color w:val="auto"/>
                <w:highlight w:val="none"/>
              </w:rPr>
            </w:pPr>
            <w:r>
              <w:rPr>
                <w:rFonts w:hint="default"/>
                <w:color w:val="auto"/>
                <w:highlight w:val="none"/>
              </w:rPr>
              <w:t>3425939.47</w:t>
            </w:r>
          </w:p>
        </w:tc>
        <w:tc>
          <w:tcPr>
            <w:tcW w:w="1562" w:type="dxa"/>
            <w:noWrap w:val="0"/>
            <w:vAlign w:val="center"/>
          </w:tcPr>
          <w:p>
            <w:pPr>
              <w:pStyle w:val="22"/>
              <w:bidi w:val="0"/>
              <w:rPr>
                <w:rFonts w:hint="default"/>
                <w:color w:val="auto"/>
                <w:highlight w:val="none"/>
              </w:rPr>
            </w:pPr>
            <w:r>
              <w:rPr>
                <w:rFonts w:hint="default"/>
                <w:color w:val="auto"/>
                <w:highlight w:val="none"/>
              </w:rPr>
              <w:t>36426247.84</w:t>
            </w:r>
          </w:p>
        </w:tc>
        <w:tc>
          <w:tcPr>
            <w:tcW w:w="867" w:type="dxa"/>
            <w:noWrap w:val="0"/>
            <w:vAlign w:val="center"/>
          </w:tcPr>
          <w:p>
            <w:pPr>
              <w:pStyle w:val="22"/>
              <w:bidi w:val="0"/>
              <w:rPr>
                <w:rFonts w:hint="default"/>
                <w:color w:val="auto"/>
                <w:highlight w:val="none"/>
              </w:rPr>
            </w:pPr>
            <w:r>
              <w:rPr>
                <w:rFonts w:hint="default"/>
                <w:color w:val="auto"/>
                <w:highlight w:val="none"/>
              </w:rPr>
              <w:t>25</w:t>
            </w:r>
          </w:p>
        </w:tc>
        <w:tc>
          <w:tcPr>
            <w:tcW w:w="1710" w:type="dxa"/>
            <w:noWrap w:val="0"/>
            <w:vAlign w:val="center"/>
          </w:tcPr>
          <w:p>
            <w:pPr>
              <w:pStyle w:val="22"/>
              <w:bidi w:val="0"/>
              <w:rPr>
                <w:rFonts w:hint="default"/>
                <w:color w:val="auto"/>
                <w:highlight w:val="none"/>
              </w:rPr>
            </w:pPr>
            <w:r>
              <w:rPr>
                <w:rFonts w:hint="default"/>
                <w:color w:val="auto"/>
                <w:highlight w:val="none"/>
              </w:rPr>
              <w:t>3422504.45</w:t>
            </w:r>
          </w:p>
        </w:tc>
        <w:tc>
          <w:tcPr>
            <w:tcW w:w="1772" w:type="dxa"/>
            <w:noWrap w:val="0"/>
            <w:vAlign w:val="center"/>
          </w:tcPr>
          <w:p>
            <w:pPr>
              <w:pStyle w:val="22"/>
              <w:bidi w:val="0"/>
              <w:rPr>
                <w:rFonts w:hint="default"/>
                <w:color w:val="auto"/>
                <w:highlight w:val="none"/>
              </w:rPr>
            </w:pPr>
            <w:r>
              <w:rPr>
                <w:rFonts w:hint="default"/>
                <w:color w:val="auto"/>
                <w:highlight w:val="none"/>
              </w:rPr>
              <w:t>36423877.83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11</w:t>
            </w:r>
          </w:p>
        </w:tc>
        <w:tc>
          <w:tcPr>
            <w:tcW w:w="1607" w:type="dxa"/>
            <w:noWrap w:val="0"/>
            <w:vAlign w:val="center"/>
          </w:tcPr>
          <w:p>
            <w:pPr>
              <w:pStyle w:val="22"/>
              <w:bidi w:val="0"/>
              <w:rPr>
                <w:rFonts w:hint="default"/>
                <w:color w:val="auto"/>
                <w:highlight w:val="none"/>
              </w:rPr>
            </w:pPr>
            <w:r>
              <w:rPr>
                <w:rFonts w:hint="default"/>
                <w:color w:val="auto"/>
                <w:highlight w:val="none"/>
              </w:rPr>
              <w:t>3427239.47</w:t>
            </w:r>
          </w:p>
        </w:tc>
        <w:tc>
          <w:tcPr>
            <w:tcW w:w="1562" w:type="dxa"/>
            <w:noWrap w:val="0"/>
            <w:vAlign w:val="center"/>
          </w:tcPr>
          <w:p>
            <w:pPr>
              <w:pStyle w:val="22"/>
              <w:bidi w:val="0"/>
              <w:rPr>
                <w:rFonts w:hint="default"/>
                <w:color w:val="auto"/>
                <w:highlight w:val="none"/>
              </w:rPr>
            </w:pPr>
            <w:r>
              <w:rPr>
                <w:rFonts w:hint="default"/>
                <w:color w:val="auto"/>
                <w:highlight w:val="none"/>
              </w:rPr>
              <w:t>36426782.84</w:t>
            </w:r>
          </w:p>
        </w:tc>
        <w:tc>
          <w:tcPr>
            <w:tcW w:w="867" w:type="dxa"/>
            <w:noWrap w:val="0"/>
            <w:vAlign w:val="center"/>
          </w:tcPr>
          <w:p>
            <w:pPr>
              <w:pStyle w:val="22"/>
              <w:bidi w:val="0"/>
              <w:rPr>
                <w:rFonts w:hint="default"/>
                <w:color w:val="auto"/>
                <w:highlight w:val="none"/>
              </w:rPr>
            </w:pPr>
            <w:r>
              <w:rPr>
                <w:rFonts w:hint="default"/>
                <w:color w:val="auto"/>
                <w:highlight w:val="none"/>
              </w:rPr>
              <w:t>26</w:t>
            </w:r>
          </w:p>
        </w:tc>
        <w:tc>
          <w:tcPr>
            <w:tcW w:w="1710" w:type="dxa"/>
            <w:noWrap w:val="0"/>
            <w:vAlign w:val="center"/>
          </w:tcPr>
          <w:p>
            <w:pPr>
              <w:pStyle w:val="22"/>
              <w:bidi w:val="0"/>
              <w:rPr>
                <w:rFonts w:hint="default"/>
                <w:color w:val="auto"/>
                <w:highlight w:val="none"/>
              </w:rPr>
            </w:pPr>
            <w:r>
              <w:rPr>
                <w:rFonts w:hint="default"/>
                <w:color w:val="auto"/>
                <w:highlight w:val="none"/>
              </w:rPr>
              <w:t>3421674.44</w:t>
            </w:r>
          </w:p>
        </w:tc>
        <w:tc>
          <w:tcPr>
            <w:tcW w:w="1772" w:type="dxa"/>
            <w:noWrap w:val="0"/>
            <w:vAlign w:val="center"/>
          </w:tcPr>
          <w:p>
            <w:pPr>
              <w:pStyle w:val="22"/>
              <w:bidi w:val="0"/>
              <w:rPr>
                <w:rFonts w:hint="default"/>
                <w:color w:val="auto"/>
                <w:highlight w:val="none"/>
              </w:rPr>
            </w:pPr>
            <w:r>
              <w:rPr>
                <w:rFonts w:hint="default"/>
                <w:color w:val="auto"/>
                <w:highlight w:val="none"/>
              </w:rPr>
              <w:t>36423629.83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12</w:t>
            </w:r>
          </w:p>
        </w:tc>
        <w:tc>
          <w:tcPr>
            <w:tcW w:w="1607" w:type="dxa"/>
            <w:noWrap w:val="0"/>
            <w:vAlign w:val="center"/>
          </w:tcPr>
          <w:p>
            <w:pPr>
              <w:pStyle w:val="22"/>
              <w:bidi w:val="0"/>
              <w:rPr>
                <w:rFonts w:hint="default"/>
                <w:color w:val="auto"/>
                <w:highlight w:val="none"/>
              </w:rPr>
            </w:pPr>
            <w:r>
              <w:rPr>
                <w:rFonts w:hint="default"/>
                <w:color w:val="auto"/>
                <w:highlight w:val="none"/>
              </w:rPr>
              <w:t>3427544.47</w:t>
            </w:r>
          </w:p>
        </w:tc>
        <w:tc>
          <w:tcPr>
            <w:tcW w:w="1562" w:type="dxa"/>
            <w:noWrap w:val="0"/>
            <w:vAlign w:val="center"/>
          </w:tcPr>
          <w:p>
            <w:pPr>
              <w:pStyle w:val="22"/>
              <w:bidi w:val="0"/>
              <w:rPr>
                <w:rFonts w:hint="default"/>
                <w:color w:val="auto"/>
                <w:highlight w:val="none"/>
              </w:rPr>
            </w:pPr>
            <w:r>
              <w:rPr>
                <w:rFonts w:hint="default"/>
                <w:color w:val="auto"/>
                <w:highlight w:val="none"/>
              </w:rPr>
              <w:t>36426867.84</w:t>
            </w:r>
          </w:p>
        </w:tc>
        <w:tc>
          <w:tcPr>
            <w:tcW w:w="867" w:type="dxa"/>
            <w:noWrap w:val="0"/>
            <w:vAlign w:val="center"/>
          </w:tcPr>
          <w:p>
            <w:pPr>
              <w:pStyle w:val="22"/>
              <w:bidi w:val="0"/>
              <w:rPr>
                <w:rFonts w:hint="default"/>
                <w:color w:val="auto"/>
                <w:highlight w:val="none"/>
              </w:rPr>
            </w:pPr>
            <w:r>
              <w:rPr>
                <w:rFonts w:hint="default"/>
                <w:color w:val="auto"/>
                <w:highlight w:val="none"/>
              </w:rPr>
              <w:t>27</w:t>
            </w:r>
          </w:p>
        </w:tc>
        <w:tc>
          <w:tcPr>
            <w:tcW w:w="1710" w:type="dxa"/>
            <w:noWrap w:val="0"/>
            <w:vAlign w:val="center"/>
          </w:tcPr>
          <w:p>
            <w:pPr>
              <w:pStyle w:val="22"/>
              <w:bidi w:val="0"/>
              <w:rPr>
                <w:rFonts w:hint="default"/>
                <w:color w:val="auto"/>
                <w:highlight w:val="none"/>
              </w:rPr>
            </w:pPr>
            <w:r>
              <w:rPr>
                <w:rFonts w:hint="default"/>
                <w:color w:val="auto"/>
                <w:highlight w:val="none"/>
              </w:rPr>
              <w:t>3421156.44</w:t>
            </w:r>
          </w:p>
        </w:tc>
        <w:tc>
          <w:tcPr>
            <w:tcW w:w="1772" w:type="dxa"/>
            <w:noWrap w:val="0"/>
            <w:vAlign w:val="center"/>
          </w:tcPr>
          <w:p>
            <w:pPr>
              <w:pStyle w:val="22"/>
              <w:bidi w:val="0"/>
              <w:rPr>
                <w:rFonts w:hint="default"/>
                <w:color w:val="auto"/>
                <w:highlight w:val="none"/>
              </w:rPr>
            </w:pPr>
            <w:r>
              <w:rPr>
                <w:rFonts w:hint="default"/>
                <w:color w:val="auto"/>
                <w:highlight w:val="none"/>
              </w:rPr>
              <w:t>36423464.83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13</w:t>
            </w:r>
          </w:p>
        </w:tc>
        <w:tc>
          <w:tcPr>
            <w:tcW w:w="1607" w:type="dxa"/>
            <w:noWrap w:val="0"/>
            <w:vAlign w:val="center"/>
          </w:tcPr>
          <w:p>
            <w:pPr>
              <w:pStyle w:val="22"/>
              <w:bidi w:val="0"/>
              <w:rPr>
                <w:rFonts w:hint="default"/>
                <w:color w:val="auto"/>
                <w:highlight w:val="none"/>
              </w:rPr>
            </w:pPr>
            <w:r>
              <w:rPr>
                <w:rFonts w:hint="default"/>
                <w:color w:val="auto"/>
                <w:highlight w:val="none"/>
              </w:rPr>
              <w:t>3427664.48</w:t>
            </w:r>
          </w:p>
        </w:tc>
        <w:tc>
          <w:tcPr>
            <w:tcW w:w="1562" w:type="dxa"/>
            <w:noWrap w:val="0"/>
            <w:vAlign w:val="center"/>
          </w:tcPr>
          <w:p>
            <w:pPr>
              <w:pStyle w:val="22"/>
              <w:bidi w:val="0"/>
              <w:rPr>
                <w:rFonts w:hint="default"/>
                <w:color w:val="auto"/>
                <w:highlight w:val="none"/>
              </w:rPr>
            </w:pPr>
            <w:r>
              <w:rPr>
                <w:rFonts w:hint="default"/>
                <w:color w:val="auto"/>
                <w:highlight w:val="none"/>
              </w:rPr>
              <w:t>36426637.84</w:t>
            </w:r>
          </w:p>
        </w:tc>
        <w:tc>
          <w:tcPr>
            <w:tcW w:w="867" w:type="dxa"/>
            <w:noWrap w:val="0"/>
            <w:vAlign w:val="center"/>
          </w:tcPr>
          <w:p>
            <w:pPr>
              <w:pStyle w:val="22"/>
              <w:bidi w:val="0"/>
              <w:rPr>
                <w:rFonts w:hint="default"/>
                <w:color w:val="auto"/>
                <w:highlight w:val="none"/>
              </w:rPr>
            </w:pPr>
            <w:r>
              <w:rPr>
                <w:rFonts w:hint="default"/>
                <w:color w:val="auto"/>
                <w:highlight w:val="none"/>
              </w:rPr>
              <w:t>28</w:t>
            </w:r>
          </w:p>
        </w:tc>
        <w:tc>
          <w:tcPr>
            <w:tcW w:w="1710" w:type="dxa"/>
            <w:noWrap w:val="0"/>
            <w:vAlign w:val="center"/>
          </w:tcPr>
          <w:p>
            <w:pPr>
              <w:pStyle w:val="22"/>
              <w:bidi w:val="0"/>
              <w:rPr>
                <w:rFonts w:hint="default"/>
                <w:color w:val="auto"/>
                <w:highlight w:val="none"/>
              </w:rPr>
            </w:pPr>
            <w:r>
              <w:rPr>
                <w:rFonts w:hint="default"/>
                <w:color w:val="auto"/>
                <w:highlight w:val="none"/>
              </w:rPr>
              <w:t>3420644.43</w:t>
            </w:r>
          </w:p>
        </w:tc>
        <w:tc>
          <w:tcPr>
            <w:tcW w:w="1772" w:type="dxa"/>
            <w:noWrap w:val="0"/>
            <w:vAlign w:val="center"/>
          </w:tcPr>
          <w:p>
            <w:pPr>
              <w:pStyle w:val="22"/>
              <w:bidi w:val="0"/>
              <w:rPr>
                <w:rFonts w:hint="default"/>
                <w:color w:val="auto"/>
                <w:highlight w:val="none"/>
              </w:rPr>
            </w:pPr>
            <w:r>
              <w:rPr>
                <w:rFonts w:hint="default"/>
                <w:color w:val="auto"/>
                <w:highlight w:val="none"/>
              </w:rPr>
              <w:t>36423252.83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14</w:t>
            </w:r>
          </w:p>
        </w:tc>
        <w:tc>
          <w:tcPr>
            <w:tcW w:w="1607" w:type="dxa"/>
            <w:noWrap w:val="0"/>
            <w:vAlign w:val="center"/>
          </w:tcPr>
          <w:p>
            <w:pPr>
              <w:pStyle w:val="22"/>
              <w:bidi w:val="0"/>
              <w:rPr>
                <w:rFonts w:hint="default"/>
                <w:color w:val="auto"/>
                <w:highlight w:val="none"/>
              </w:rPr>
            </w:pPr>
            <w:r>
              <w:rPr>
                <w:rFonts w:hint="default"/>
                <w:color w:val="auto"/>
                <w:highlight w:val="none"/>
              </w:rPr>
              <w:t>3428149.48</w:t>
            </w:r>
          </w:p>
        </w:tc>
        <w:tc>
          <w:tcPr>
            <w:tcW w:w="1562" w:type="dxa"/>
            <w:noWrap w:val="0"/>
            <w:vAlign w:val="center"/>
          </w:tcPr>
          <w:p>
            <w:pPr>
              <w:pStyle w:val="22"/>
              <w:bidi w:val="0"/>
              <w:rPr>
                <w:rFonts w:hint="default"/>
                <w:color w:val="auto"/>
                <w:highlight w:val="none"/>
              </w:rPr>
            </w:pPr>
            <w:r>
              <w:rPr>
                <w:rFonts w:hint="default"/>
                <w:color w:val="auto"/>
                <w:highlight w:val="none"/>
              </w:rPr>
              <w:t>36426807.84</w:t>
            </w:r>
          </w:p>
        </w:tc>
        <w:tc>
          <w:tcPr>
            <w:tcW w:w="867" w:type="dxa"/>
            <w:noWrap w:val="0"/>
            <w:vAlign w:val="center"/>
          </w:tcPr>
          <w:p>
            <w:pPr>
              <w:pStyle w:val="22"/>
              <w:bidi w:val="0"/>
              <w:rPr>
                <w:rFonts w:hint="default"/>
                <w:color w:val="auto"/>
                <w:highlight w:val="none"/>
              </w:rPr>
            </w:pPr>
            <w:r>
              <w:rPr>
                <w:rFonts w:hint="default"/>
                <w:color w:val="auto"/>
                <w:highlight w:val="none"/>
              </w:rPr>
              <w:t>29</w:t>
            </w:r>
          </w:p>
        </w:tc>
        <w:tc>
          <w:tcPr>
            <w:tcW w:w="1710" w:type="dxa"/>
            <w:noWrap w:val="0"/>
            <w:vAlign w:val="center"/>
          </w:tcPr>
          <w:p>
            <w:pPr>
              <w:pStyle w:val="22"/>
              <w:bidi w:val="0"/>
              <w:rPr>
                <w:rFonts w:hint="default"/>
                <w:color w:val="auto"/>
                <w:highlight w:val="none"/>
              </w:rPr>
            </w:pPr>
            <w:r>
              <w:rPr>
                <w:rFonts w:hint="default"/>
                <w:color w:val="auto"/>
                <w:highlight w:val="none"/>
              </w:rPr>
              <w:t>3419757.43</w:t>
            </w:r>
          </w:p>
        </w:tc>
        <w:tc>
          <w:tcPr>
            <w:tcW w:w="1772" w:type="dxa"/>
            <w:noWrap w:val="0"/>
            <w:vAlign w:val="center"/>
          </w:tcPr>
          <w:p>
            <w:pPr>
              <w:pStyle w:val="22"/>
              <w:bidi w:val="0"/>
              <w:rPr>
                <w:rFonts w:hint="default"/>
                <w:color w:val="auto"/>
                <w:highlight w:val="none"/>
              </w:rPr>
            </w:pPr>
            <w:r>
              <w:rPr>
                <w:rFonts w:hint="default"/>
                <w:color w:val="auto"/>
                <w:highlight w:val="none"/>
              </w:rPr>
              <w:t>36422804.83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9" w:type="dxa"/>
            <w:noWrap w:val="0"/>
            <w:vAlign w:val="center"/>
          </w:tcPr>
          <w:p>
            <w:pPr>
              <w:pStyle w:val="22"/>
              <w:bidi w:val="0"/>
              <w:rPr>
                <w:rFonts w:hint="default"/>
                <w:color w:val="auto"/>
                <w:highlight w:val="none"/>
              </w:rPr>
            </w:pPr>
            <w:r>
              <w:rPr>
                <w:rFonts w:hint="default"/>
                <w:color w:val="auto"/>
                <w:highlight w:val="none"/>
              </w:rPr>
              <w:t>15</w:t>
            </w:r>
          </w:p>
        </w:tc>
        <w:tc>
          <w:tcPr>
            <w:tcW w:w="1607" w:type="dxa"/>
            <w:noWrap w:val="0"/>
            <w:vAlign w:val="center"/>
          </w:tcPr>
          <w:p>
            <w:pPr>
              <w:pStyle w:val="22"/>
              <w:bidi w:val="0"/>
              <w:rPr>
                <w:rFonts w:hint="default"/>
                <w:color w:val="auto"/>
                <w:highlight w:val="none"/>
              </w:rPr>
            </w:pPr>
            <w:r>
              <w:rPr>
                <w:rFonts w:hint="default"/>
                <w:color w:val="auto"/>
                <w:highlight w:val="none"/>
              </w:rPr>
              <w:t>3429206.48</w:t>
            </w:r>
          </w:p>
        </w:tc>
        <w:tc>
          <w:tcPr>
            <w:tcW w:w="1562" w:type="dxa"/>
            <w:noWrap w:val="0"/>
            <w:vAlign w:val="center"/>
          </w:tcPr>
          <w:p>
            <w:pPr>
              <w:pStyle w:val="22"/>
              <w:bidi w:val="0"/>
              <w:rPr>
                <w:rFonts w:hint="default"/>
                <w:color w:val="auto"/>
                <w:highlight w:val="none"/>
              </w:rPr>
            </w:pPr>
            <w:r>
              <w:rPr>
                <w:rFonts w:hint="default"/>
                <w:color w:val="auto"/>
                <w:highlight w:val="none"/>
              </w:rPr>
              <w:t>36425582.83</w:t>
            </w:r>
          </w:p>
        </w:tc>
        <w:tc>
          <w:tcPr>
            <w:tcW w:w="867" w:type="dxa"/>
            <w:noWrap w:val="0"/>
            <w:vAlign w:val="center"/>
          </w:tcPr>
          <w:p>
            <w:pPr>
              <w:pStyle w:val="22"/>
              <w:bidi w:val="0"/>
              <w:rPr>
                <w:rFonts w:hint="default"/>
                <w:color w:val="auto"/>
                <w:highlight w:val="none"/>
              </w:rPr>
            </w:pPr>
            <w:r>
              <w:rPr>
                <w:rFonts w:hint="default"/>
                <w:color w:val="auto"/>
                <w:highlight w:val="none"/>
              </w:rPr>
              <w:t>30</w:t>
            </w:r>
          </w:p>
        </w:tc>
        <w:tc>
          <w:tcPr>
            <w:tcW w:w="1710" w:type="dxa"/>
            <w:noWrap w:val="0"/>
            <w:vAlign w:val="top"/>
          </w:tcPr>
          <w:p>
            <w:pPr>
              <w:pStyle w:val="22"/>
              <w:bidi w:val="0"/>
              <w:rPr>
                <w:rFonts w:hint="default"/>
                <w:color w:val="auto"/>
                <w:highlight w:val="none"/>
              </w:rPr>
            </w:pPr>
            <w:r>
              <w:rPr>
                <w:rFonts w:hint="default"/>
                <w:color w:val="auto"/>
                <w:highlight w:val="none"/>
              </w:rPr>
              <w:t>　</w:t>
            </w:r>
          </w:p>
        </w:tc>
        <w:tc>
          <w:tcPr>
            <w:tcW w:w="1772" w:type="dxa"/>
            <w:noWrap w:val="0"/>
            <w:vAlign w:val="top"/>
          </w:tcPr>
          <w:p>
            <w:pPr>
              <w:pStyle w:val="22"/>
              <w:bidi w:val="0"/>
              <w:rPr>
                <w:rFonts w:hint="default"/>
                <w:color w:val="auto"/>
                <w:highlight w:val="none"/>
              </w:rPr>
            </w:pPr>
            <w:r>
              <w:rPr>
                <w:rFonts w:hint="default"/>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矿权面积13.9186km</w:t>
            </w:r>
            <w:r>
              <w:rPr>
                <w:rFonts w:hint="default"/>
                <w:color w:val="auto"/>
                <w:highlight w:val="none"/>
                <w:vertAlign w:val="superscript"/>
              </w:rPr>
              <w:t>2</w:t>
            </w:r>
            <w:r>
              <w:rPr>
                <w:rFonts w:hint="default"/>
                <w:color w:val="auto"/>
                <w:highlight w:val="none"/>
              </w:rPr>
              <w:t>，开采标高+432m～-200m，开采K27、K26、K25、K24、K22、K18煤层。为2000国家大地坐标系。</w:t>
            </w: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根据《大竹县自然资源局关于四川达竹煤电（集团）有限责任公司柏林煤矿矿区范围是否位于各类保护区审查意见的报告》，柏林煤矿与拟新建成都至达州至万州铁路（达州段）存在部分重叠，</w:t>
      </w:r>
      <w:r>
        <w:rPr>
          <w:rFonts w:hint="default" w:ascii="Times New Roman" w:hAnsi="Times New Roman" w:cs="Times New Roman"/>
          <w:color w:val="auto"/>
          <w:sz w:val="24"/>
          <w:szCs w:val="24"/>
          <w:highlight w:val="none"/>
          <w:u w:val="single"/>
        </w:rPr>
        <w:t>本规划柏林煤矿矿权范围不变</w:t>
      </w:r>
      <w:r>
        <w:rPr>
          <w:rFonts w:hint="default" w:ascii="Times New Roman" w:hAnsi="Times New Roman" w:cs="Times New Roman"/>
          <w:color w:val="auto"/>
          <w:sz w:val="24"/>
          <w:szCs w:val="24"/>
          <w:highlight w:val="none"/>
        </w:rPr>
        <w:t>，但是矿井须严格按照《达州市发展和改革委员会关于做好新建成都至达州至万州铁路（达州段）、重庆至西安铁路（达州段）、达州绕城公路西段拟涉煤矿（矿产压覆）分类处置的函》（达市发改函[2019]784号）文件中提出的“</w:t>
      </w:r>
      <w:r>
        <w:rPr>
          <w:rFonts w:hint="default" w:ascii="Times New Roman" w:hAnsi="Times New Roman" w:cs="Times New Roman"/>
          <w:color w:val="auto"/>
          <w:sz w:val="24"/>
          <w:szCs w:val="24"/>
          <w:highlight w:val="none"/>
          <w:u w:val="single"/>
        </w:rPr>
        <w:t>建议柏林煤矿自北侧矿界拐点（15号拐点）向南侧1000m且位于+400m～-200m标高范围内煤炭资源停止开采</w:t>
      </w:r>
      <w:r>
        <w:rPr>
          <w:rFonts w:hint="default" w:ascii="Times New Roman" w:hAnsi="Times New Roman" w:cs="Times New Roman"/>
          <w:color w:val="auto"/>
          <w:sz w:val="24"/>
          <w:szCs w:val="24"/>
          <w:highlight w:val="none"/>
        </w:rPr>
        <w:t>”。</w:t>
      </w:r>
    </w:p>
    <w:p>
      <w:pPr>
        <w:bidi w:val="0"/>
        <w:rPr>
          <w:rFonts w:hint="default"/>
          <w:color w:val="auto"/>
          <w:highlight w:val="none"/>
        </w:rPr>
      </w:pPr>
      <w:r>
        <w:rPr>
          <w:rFonts w:hint="default"/>
          <w:color w:val="auto"/>
          <w:highlight w:val="none"/>
        </w:rPr>
        <w:t>柏林煤矿2020年度累计查明资源量为1900.40万吨；矿井累计动用资源量为1018.68万吨；保有资源量为881.72万吨，其中探明资源量59.0万吨，控制资源量712.25万吨，推断资源量110.47万吨。</w:t>
      </w:r>
    </w:p>
    <w:p>
      <w:pPr>
        <w:bidi w:val="0"/>
        <w:rPr>
          <w:rFonts w:hint="default"/>
          <w:color w:val="auto"/>
          <w:highlight w:val="none"/>
          <w:lang w:val="en-US" w:eastAsia="zh-CN"/>
        </w:rPr>
      </w:pPr>
      <w:r>
        <w:rPr>
          <w:rFonts w:hint="default"/>
          <w:color w:val="auto"/>
          <w:highlight w:val="none"/>
          <w:lang w:val="en-US" w:eastAsia="zh-CN"/>
        </w:rPr>
        <w:t>2、田坝煤矿</w:t>
      </w:r>
    </w:p>
    <w:p>
      <w:pPr>
        <w:bidi w:val="0"/>
        <w:rPr>
          <w:rFonts w:hint="default"/>
          <w:color w:val="auto"/>
          <w:highlight w:val="none"/>
        </w:rPr>
      </w:pPr>
      <w:r>
        <w:rPr>
          <w:rFonts w:hint="default"/>
          <w:color w:val="auto"/>
          <w:highlight w:val="none"/>
        </w:rPr>
        <w:t>大竹县红旗煤业有限责任公司田坝煤矿于2015年3月30日由原四川省国土资源厅颁发的采矿许可证，证号：C5100002010121120102531，有效期为10年，自2015年3月30至2025年3月30日，批准开采正连、阴土煤层，允许开采标高+378m～+0m，生产能力为15万吨/年；矿权范围由10个拐点圈定，面积2.5822km2，规划矿权范围不变，其拐点坐标见表</w:t>
      </w:r>
      <w:r>
        <w:rPr>
          <w:rFonts w:hint="default"/>
          <w:color w:val="auto"/>
          <w:highlight w:val="none"/>
          <w:lang w:val="en-US" w:eastAsia="zh-CN"/>
        </w:rPr>
        <w:t>2.1.4-2</w:t>
      </w:r>
      <w:r>
        <w:rPr>
          <w:rFonts w:hint="default"/>
          <w:color w:val="auto"/>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2.1.4-2</w:t>
      </w:r>
      <w:r>
        <w:rPr>
          <w:rFonts w:hint="default"/>
          <w:color w:val="auto"/>
          <w:highlight w:val="none"/>
        </w:rPr>
        <w:t xml:space="preserve">       田坝煤矿矿权范围拐点坐标表（2000坐标系）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1467"/>
        <w:gridCol w:w="1562"/>
        <w:gridCol w:w="867"/>
        <w:gridCol w:w="1710"/>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9" w:type="dxa"/>
            <w:noWrap w:val="0"/>
            <w:vAlign w:val="center"/>
          </w:tcPr>
          <w:p>
            <w:pPr>
              <w:pStyle w:val="22"/>
              <w:bidi w:val="0"/>
              <w:rPr>
                <w:rFonts w:hint="default"/>
                <w:color w:val="auto"/>
                <w:highlight w:val="none"/>
              </w:rPr>
            </w:pPr>
            <w:r>
              <w:rPr>
                <w:rFonts w:hint="default"/>
                <w:color w:val="auto"/>
                <w:highlight w:val="none"/>
              </w:rPr>
              <w:t>拐点号</w:t>
            </w:r>
          </w:p>
        </w:tc>
        <w:tc>
          <w:tcPr>
            <w:tcW w:w="1467" w:type="dxa"/>
            <w:noWrap w:val="0"/>
            <w:vAlign w:val="center"/>
          </w:tcPr>
          <w:p>
            <w:pPr>
              <w:pStyle w:val="22"/>
              <w:bidi w:val="0"/>
              <w:rPr>
                <w:rFonts w:hint="default"/>
                <w:color w:val="auto"/>
                <w:highlight w:val="none"/>
              </w:rPr>
            </w:pPr>
            <w:r>
              <w:rPr>
                <w:rFonts w:hint="default"/>
                <w:color w:val="auto"/>
                <w:highlight w:val="none"/>
              </w:rPr>
              <w:t>横坐标(X)</w:t>
            </w:r>
          </w:p>
        </w:tc>
        <w:tc>
          <w:tcPr>
            <w:tcW w:w="1562" w:type="dxa"/>
            <w:noWrap w:val="0"/>
            <w:vAlign w:val="center"/>
          </w:tcPr>
          <w:p>
            <w:pPr>
              <w:pStyle w:val="22"/>
              <w:bidi w:val="0"/>
              <w:rPr>
                <w:rFonts w:hint="default"/>
                <w:color w:val="auto"/>
                <w:highlight w:val="none"/>
              </w:rPr>
            </w:pPr>
            <w:r>
              <w:rPr>
                <w:rFonts w:hint="default"/>
                <w:color w:val="auto"/>
                <w:highlight w:val="none"/>
              </w:rPr>
              <w:t>纵坐标(Y)</w:t>
            </w:r>
          </w:p>
        </w:tc>
        <w:tc>
          <w:tcPr>
            <w:tcW w:w="867" w:type="dxa"/>
            <w:noWrap w:val="0"/>
            <w:vAlign w:val="center"/>
          </w:tcPr>
          <w:p>
            <w:pPr>
              <w:pStyle w:val="22"/>
              <w:bidi w:val="0"/>
              <w:rPr>
                <w:rFonts w:hint="default"/>
                <w:color w:val="auto"/>
                <w:highlight w:val="none"/>
              </w:rPr>
            </w:pPr>
            <w:r>
              <w:rPr>
                <w:rFonts w:hint="default"/>
                <w:color w:val="auto"/>
                <w:highlight w:val="none"/>
              </w:rPr>
              <w:t>拐点号</w:t>
            </w:r>
          </w:p>
        </w:tc>
        <w:tc>
          <w:tcPr>
            <w:tcW w:w="1710" w:type="dxa"/>
            <w:noWrap w:val="0"/>
            <w:vAlign w:val="center"/>
          </w:tcPr>
          <w:p>
            <w:pPr>
              <w:pStyle w:val="22"/>
              <w:bidi w:val="0"/>
              <w:rPr>
                <w:rFonts w:hint="default"/>
                <w:color w:val="auto"/>
                <w:highlight w:val="none"/>
              </w:rPr>
            </w:pPr>
            <w:r>
              <w:rPr>
                <w:rFonts w:hint="default"/>
                <w:color w:val="auto"/>
                <w:highlight w:val="none"/>
              </w:rPr>
              <w:t>横坐标(X)</w:t>
            </w:r>
          </w:p>
        </w:tc>
        <w:tc>
          <w:tcPr>
            <w:tcW w:w="1772"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1</w:t>
            </w:r>
          </w:p>
        </w:tc>
        <w:tc>
          <w:tcPr>
            <w:tcW w:w="1467" w:type="dxa"/>
            <w:noWrap w:val="0"/>
            <w:vAlign w:val="center"/>
          </w:tcPr>
          <w:p>
            <w:pPr>
              <w:pStyle w:val="22"/>
              <w:bidi w:val="0"/>
              <w:rPr>
                <w:rFonts w:hint="default"/>
                <w:color w:val="auto"/>
                <w:highlight w:val="none"/>
              </w:rPr>
            </w:pPr>
            <w:r>
              <w:rPr>
                <w:rFonts w:hint="default"/>
                <w:color w:val="auto"/>
                <w:highlight w:val="none"/>
              </w:rPr>
              <w:t>3417320</w:t>
            </w:r>
          </w:p>
        </w:tc>
        <w:tc>
          <w:tcPr>
            <w:tcW w:w="1562" w:type="dxa"/>
            <w:noWrap w:val="0"/>
            <w:vAlign w:val="center"/>
          </w:tcPr>
          <w:p>
            <w:pPr>
              <w:pStyle w:val="22"/>
              <w:bidi w:val="0"/>
              <w:rPr>
                <w:rFonts w:hint="default"/>
                <w:color w:val="auto"/>
                <w:highlight w:val="none"/>
              </w:rPr>
            </w:pPr>
            <w:r>
              <w:rPr>
                <w:rFonts w:hint="default"/>
                <w:color w:val="auto"/>
                <w:highlight w:val="none"/>
              </w:rPr>
              <w:t>36421359</w:t>
            </w:r>
          </w:p>
        </w:tc>
        <w:tc>
          <w:tcPr>
            <w:tcW w:w="867" w:type="dxa"/>
            <w:noWrap w:val="0"/>
            <w:vAlign w:val="center"/>
          </w:tcPr>
          <w:p>
            <w:pPr>
              <w:pStyle w:val="22"/>
              <w:bidi w:val="0"/>
              <w:rPr>
                <w:rFonts w:hint="default"/>
                <w:color w:val="auto"/>
                <w:highlight w:val="none"/>
              </w:rPr>
            </w:pPr>
            <w:r>
              <w:rPr>
                <w:rFonts w:hint="default"/>
                <w:color w:val="auto"/>
                <w:highlight w:val="none"/>
              </w:rPr>
              <w:t>6</w:t>
            </w:r>
          </w:p>
        </w:tc>
        <w:tc>
          <w:tcPr>
            <w:tcW w:w="1710" w:type="dxa"/>
            <w:noWrap w:val="0"/>
            <w:vAlign w:val="center"/>
          </w:tcPr>
          <w:p>
            <w:pPr>
              <w:pStyle w:val="22"/>
              <w:bidi w:val="0"/>
              <w:rPr>
                <w:rFonts w:hint="default"/>
                <w:color w:val="auto"/>
                <w:highlight w:val="none"/>
              </w:rPr>
            </w:pPr>
            <w:r>
              <w:rPr>
                <w:rFonts w:hint="default"/>
                <w:color w:val="auto"/>
                <w:highlight w:val="none"/>
              </w:rPr>
              <w:t>3419751</w:t>
            </w:r>
          </w:p>
        </w:tc>
        <w:tc>
          <w:tcPr>
            <w:tcW w:w="1772" w:type="dxa"/>
            <w:noWrap w:val="0"/>
            <w:vAlign w:val="center"/>
          </w:tcPr>
          <w:p>
            <w:pPr>
              <w:pStyle w:val="22"/>
              <w:bidi w:val="0"/>
              <w:rPr>
                <w:rFonts w:hint="default"/>
                <w:color w:val="auto"/>
                <w:highlight w:val="none"/>
              </w:rPr>
            </w:pPr>
            <w:r>
              <w:rPr>
                <w:rFonts w:hint="default"/>
                <w:color w:val="auto"/>
                <w:highlight w:val="none"/>
              </w:rPr>
              <w:t>36422585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2</w:t>
            </w:r>
          </w:p>
        </w:tc>
        <w:tc>
          <w:tcPr>
            <w:tcW w:w="1467" w:type="dxa"/>
            <w:noWrap w:val="0"/>
            <w:vAlign w:val="center"/>
          </w:tcPr>
          <w:p>
            <w:pPr>
              <w:pStyle w:val="22"/>
              <w:bidi w:val="0"/>
              <w:rPr>
                <w:rFonts w:hint="default"/>
                <w:color w:val="auto"/>
                <w:highlight w:val="none"/>
              </w:rPr>
            </w:pPr>
            <w:r>
              <w:rPr>
                <w:rFonts w:hint="default"/>
                <w:color w:val="auto"/>
                <w:highlight w:val="none"/>
              </w:rPr>
              <w:t>3419424</w:t>
            </w:r>
          </w:p>
        </w:tc>
        <w:tc>
          <w:tcPr>
            <w:tcW w:w="1562" w:type="dxa"/>
            <w:noWrap w:val="0"/>
            <w:vAlign w:val="center"/>
          </w:tcPr>
          <w:p>
            <w:pPr>
              <w:pStyle w:val="22"/>
              <w:bidi w:val="0"/>
              <w:rPr>
                <w:rFonts w:hint="default"/>
                <w:color w:val="auto"/>
                <w:highlight w:val="none"/>
              </w:rPr>
            </w:pPr>
            <w:r>
              <w:rPr>
                <w:rFonts w:hint="default"/>
                <w:color w:val="auto"/>
                <w:highlight w:val="none"/>
              </w:rPr>
              <w:t>36422167</w:t>
            </w:r>
          </w:p>
        </w:tc>
        <w:tc>
          <w:tcPr>
            <w:tcW w:w="867" w:type="dxa"/>
            <w:noWrap w:val="0"/>
            <w:vAlign w:val="center"/>
          </w:tcPr>
          <w:p>
            <w:pPr>
              <w:pStyle w:val="22"/>
              <w:bidi w:val="0"/>
              <w:rPr>
                <w:rFonts w:hint="default"/>
                <w:color w:val="auto"/>
                <w:highlight w:val="none"/>
              </w:rPr>
            </w:pPr>
            <w:r>
              <w:rPr>
                <w:rFonts w:hint="default"/>
                <w:color w:val="auto"/>
                <w:highlight w:val="none"/>
              </w:rPr>
              <w:t>7</w:t>
            </w:r>
          </w:p>
        </w:tc>
        <w:tc>
          <w:tcPr>
            <w:tcW w:w="1710" w:type="dxa"/>
            <w:noWrap w:val="0"/>
            <w:vAlign w:val="center"/>
          </w:tcPr>
          <w:p>
            <w:pPr>
              <w:pStyle w:val="22"/>
              <w:bidi w:val="0"/>
              <w:rPr>
                <w:rFonts w:hint="default"/>
                <w:color w:val="auto"/>
                <w:highlight w:val="none"/>
              </w:rPr>
            </w:pPr>
            <w:r>
              <w:rPr>
                <w:rFonts w:hint="default"/>
                <w:color w:val="auto"/>
                <w:highlight w:val="none"/>
              </w:rPr>
              <w:t>3419567</w:t>
            </w:r>
          </w:p>
        </w:tc>
        <w:tc>
          <w:tcPr>
            <w:tcW w:w="1772" w:type="dxa"/>
            <w:noWrap w:val="0"/>
            <w:vAlign w:val="center"/>
          </w:tcPr>
          <w:p>
            <w:pPr>
              <w:pStyle w:val="22"/>
              <w:bidi w:val="0"/>
              <w:rPr>
                <w:rFonts w:hint="default"/>
                <w:color w:val="auto"/>
                <w:highlight w:val="none"/>
              </w:rPr>
            </w:pPr>
            <w:r>
              <w:rPr>
                <w:rFonts w:hint="default"/>
                <w:color w:val="auto"/>
                <w:highlight w:val="none"/>
              </w:rPr>
              <w:t>36422973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3</w:t>
            </w:r>
          </w:p>
        </w:tc>
        <w:tc>
          <w:tcPr>
            <w:tcW w:w="1467" w:type="dxa"/>
            <w:noWrap w:val="0"/>
            <w:vAlign w:val="center"/>
          </w:tcPr>
          <w:p>
            <w:pPr>
              <w:pStyle w:val="22"/>
              <w:bidi w:val="0"/>
              <w:rPr>
                <w:rFonts w:hint="default"/>
                <w:color w:val="auto"/>
                <w:highlight w:val="none"/>
              </w:rPr>
            </w:pPr>
            <w:r>
              <w:rPr>
                <w:rFonts w:hint="default"/>
                <w:color w:val="auto"/>
                <w:highlight w:val="none"/>
              </w:rPr>
              <w:t>3419398</w:t>
            </w:r>
          </w:p>
        </w:tc>
        <w:tc>
          <w:tcPr>
            <w:tcW w:w="1562" w:type="dxa"/>
            <w:noWrap w:val="0"/>
            <w:vAlign w:val="center"/>
          </w:tcPr>
          <w:p>
            <w:pPr>
              <w:pStyle w:val="22"/>
              <w:bidi w:val="0"/>
              <w:rPr>
                <w:rFonts w:hint="default"/>
                <w:color w:val="auto"/>
                <w:highlight w:val="none"/>
              </w:rPr>
            </w:pPr>
            <w:r>
              <w:rPr>
                <w:rFonts w:hint="default"/>
                <w:color w:val="auto"/>
                <w:highlight w:val="none"/>
              </w:rPr>
              <w:t>36422280</w:t>
            </w:r>
          </w:p>
        </w:tc>
        <w:tc>
          <w:tcPr>
            <w:tcW w:w="867" w:type="dxa"/>
            <w:noWrap w:val="0"/>
            <w:vAlign w:val="center"/>
          </w:tcPr>
          <w:p>
            <w:pPr>
              <w:pStyle w:val="22"/>
              <w:bidi w:val="0"/>
              <w:rPr>
                <w:rFonts w:hint="default"/>
                <w:color w:val="auto"/>
                <w:highlight w:val="none"/>
              </w:rPr>
            </w:pPr>
            <w:r>
              <w:rPr>
                <w:rFonts w:hint="default"/>
                <w:color w:val="auto"/>
                <w:highlight w:val="none"/>
              </w:rPr>
              <w:t>8</w:t>
            </w:r>
          </w:p>
        </w:tc>
        <w:tc>
          <w:tcPr>
            <w:tcW w:w="1710" w:type="dxa"/>
            <w:noWrap w:val="0"/>
            <w:vAlign w:val="center"/>
          </w:tcPr>
          <w:p>
            <w:pPr>
              <w:pStyle w:val="22"/>
              <w:bidi w:val="0"/>
              <w:rPr>
                <w:rFonts w:hint="default"/>
                <w:color w:val="auto"/>
                <w:highlight w:val="none"/>
              </w:rPr>
            </w:pPr>
            <w:r>
              <w:rPr>
                <w:rFonts w:hint="default"/>
                <w:color w:val="auto"/>
                <w:highlight w:val="none"/>
              </w:rPr>
              <w:t>3416050</w:t>
            </w:r>
          </w:p>
        </w:tc>
        <w:tc>
          <w:tcPr>
            <w:tcW w:w="1772" w:type="dxa"/>
            <w:noWrap w:val="0"/>
            <w:vAlign w:val="center"/>
          </w:tcPr>
          <w:p>
            <w:pPr>
              <w:pStyle w:val="22"/>
              <w:bidi w:val="0"/>
              <w:rPr>
                <w:rFonts w:hint="default"/>
                <w:color w:val="auto"/>
                <w:highlight w:val="none"/>
              </w:rPr>
            </w:pPr>
            <w:r>
              <w:rPr>
                <w:rFonts w:hint="default"/>
                <w:color w:val="auto"/>
                <w:highlight w:val="none"/>
              </w:rPr>
              <w:t>36421566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4</w:t>
            </w:r>
          </w:p>
        </w:tc>
        <w:tc>
          <w:tcPr>
            <w:tcW w:w="1467" w:type="dxa"/>
            <w:noWrap w:val="0"/>
            <w:vAlign w:val="center"/>
          </w:tcPr>
          <w:p>
            <w:pPr>
              <w:pStyle w:val="22"/>
              <w:bidi w:val="0"/>
              <w:rPr>
                <w:rFonts w:hint="default"/>
                <w:color w:val="auto"/>
                <w:highlight w:val="none"/>
              </w:rPr>
            </w:pPr>
            <w:r>
              <w:rPr>
                <w:rFonts w:hint="default"/>
                <w:color w:val="auto"/>
                <w:highlight w:val="none"/>
              </w:rPr>
              <w:t>3419992</w:t>
            </w:r>
          </w:p>
        </w:tc>
        <w:tc>
          <w:tcPr>
            <w:tcW w:w="1562" w:type="dxa"/>
            <w:noWrap w:val="0"/>
            <w:vAlign w:val="center"/>
          </w:tcPr>
          <w:p>
            <w:pPr>
              <w:pStyle w:val="22"/>
              <w:bidi w:val="0"/>
              <w:rPr>
                <w:rFonts w:hint="default"/>
                <w:color w:val="auto"/>
                <w:highlight w:val="none"/>
              </w:rPr>
            </w:pPr>
            <w:r>
              <w:rPr>
                <w:rFonts w:hint="default"/>
                <w:color w:val="auto"/>
                <w:highlight w:val="none"/>
              </w:rPr>
              <w:t>36422479</w:t>
            </w:r>
          </w:p>
        </w:tc>
        <w:tc>
          <w:tcPr>
            <w:tcW w:w="867" w:type="dxa"/>
            <w:noWrap w:val="0"/>
            <w:vAlign w:val="center"/>
          </w:tcPr>
          <w:p>
            <w:pPr>
              <w:pStyle w:val="22"/>
              <w:bidi w:val="0"/>
              <w:rPr>
                <w:rFonts w:hint="default"/>
                <w:color w:val="auto"/>
                <w:highlight w:val="none"/>
              </w:rPr>
            </w:pPr>
            <w:r>
              <w:rPr>
                <w:rFonts w:hint="default"/>
                <w:color w:val="auto"/>
                <w:highlight w:val="none"/>
              </w:rPr>
              <w:t>9</w:t>
            </w:r>
          </w:p>
        </w:tc>
        <w:tc>
          <w:tcPr>
            <w:tcW w:w="1710" w:type="dxa"/>
            <w:noWrap w:val="0"/>
            <w:vAlign w:val="center"/>
          </w:tcPr>
          <w:p>
            <w:pPr>
              <w:pStyle w:val="22"/>
              <w:bidi w:val="0"/>
              <w:rPr>
                <w:rFonts w:hint="default"/>
                <w:color w:val="auto"/>
                <w:highlight w:val="none"/>
              </w:rPr>
            </w:pPr>
            <w:r>
              <w:rPr>
                <w:rFonts w:hint="default"/>
                <w:color w:val="auto"/>
                <w:highlight w:val="none"/>
              </w:rPr>
              <w:t>3416210</w:t>
            </w:r>
          </w:p>
        </w:tc>
        <w:tc>
          <w:tcPr>
            <w:tcW w:w="1772" w:type="dxa"/>
            <w:noWrap w:val="0"/>
            <w:vAlign w:val="center"/>
          </w:tcPr>
          <w:p>
            <w:pPr>
              <w:pStyle w:val="22"/>
              <w:bidi w:val="0"/>
              <w:rPr>
                <w:rFonts w:hint="default"/>
                <w:color w:val="auto"/>
                <w:highlight w:val="none"/>
              </w:rPr>
            </w:pPr>
            <w:r>
              <w:rPr>
                <w:rFonts w:hint="default"/>
                <w:color w:val="auto"/>
                <w:highlight w:val="none"/>
              </w:rPr>
              <w:t>36421168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5</w:t>
            </w:r>
          </w:p>
        </w:tc>
        <w:tc>
          <w:tcPr>
            <w:tcW w:w="1467" w:type="dxa"/>
            <w:noWrap w:val="0"/>
            <w:vAlign w:val="center"/>
          </w:tcPr>
          <w:p>
            <w:pPr>
              <w:pStyle w:val="22"/>
              <w:bidi w:val="0"/>
              <w:rPr>
                <w:rFonts w:hint="default"/>
                <w:color w:val="auto"/>
                <w:highlight w:val="none"/>
              </w:rPr>
            </w:pPr>
            <w:r>
              <w:rPr>
                <w:rFonts w:hint="default"/>
                <w:color w:val="auto"/>
                <w:highlight w:val="none"/>
              </w:rPr>
              <w:t>3419921</w:t>
            </w:r>
          </w:p>
        </w:tc>
        <w:tc>
          <w:tcPr>
            <w:tcW w:w="1562" w:type="dxa"/>
            <w:noWrap w:val="0"/>
            <w:vAlign w:val="center"/>
          </w:tcPr>
          <w:p>
            <w:pPr>
              <w:pStyle w:val="22"/>
              <w:bidi w:val="0"/>
              <w:rPr>
                <w:rFonts w:hint="default"/>
                <w:color w:val="auto"/>
                <w:highlight w:val="none"/>
              </w:rPr>
            </w:pPr>
            <w:r>
              <w:rPr>
                <w:rFonts w:hint="default"/>
                <w:color w:val="auto"/>
                <w:highlight w:val="none"/>
              </w:rPr>
              <w:t>36422653</w:t>
            </w:r>
          </w:p>
        </w:tc>
        <w:tc>
          <w:tcPr>
            <w:tcW w:w="867" w:type="dxa"/>
            <w:noWrap w:val="0"/>
            <w:vAlign w:val="center"/>
          </w:tcPr>
          <w:p>
            <w:pPr>
              <w:pStyle w:val="22"/>
              <w:bidi w:val="0"/>
              <w:rPr>
                <w:rFonts w:hint="default"/>
                <w:color w:val="auto"/>
                <w:highlight w:val="none"/>
              </w:rPr>
            </w:pPr>
            <w:r>
              <w:rPr>
                <w:rFonts w:hint="default"/>
                <w:color w:val="auto"/>
                <w:highlight w:val="none"/>
              </w:rPr>
              <w:t>10</w:t>
            </w:r>
          </w:p>
        </w:tc>
        <w:tc>
          <w:tcPr>
            <w:tcW w:w="1710" w:type="dxa"/>
            <w:noWrap w:val="0"/>
            <w:vAlign w:val="center"/>
          </w:tcPr>
          <w:p>
            <w:pPr>
              <w:pStyle w:val="22"/>
              <w:bidi w:val="0"/>
              <w:rPr>
                <w:rFonts w:hint="default"/>
                <w:color w:val="auto"/>
                <w:highlight w:val="none"/>
              </w:rPr>
            </w:pPr>
            <w:r>
              <w:rPr>
                <w:rFonts w:hint="default"/>
                <w:color w:val="auto"/>
                <w:highlight w:val="none"/>
              </w:rPr>
              <w:t>3416310</w:t>
            </w:r>
          </w:p>
        </w:tc>
        <w:tc>
          <w:tcPr>
            <w:tcW w:w="1772" w:type="dxa"/>
            <w:noWrap w:val="0"/>
            <w:vAlign w:val="center"/>
          </w:tcPr>
          <w:p>
            <w:pPr>
              <w:pStyle w:val="22"/>
              <w:bidi w:val="0"/>
              <w:rPr>
                <w:rFonts w:hint="default"/>
                <w:color w:val="auto"/>
                <w:highlight w:val="none"/>
              </w:rPr>
            </w:pPr>
            <w:r>
              <w:rPr>
                <w:rFonts w:hint="default"/>
                <w:color w:val="auto"/>
                <w:highlight w:val="none"/>
              </w:rPr>
              <w:t>36420919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矿权面积2.5822km</w:t>
            </w:r>
            <w:r>
              <w:rPr>
                <w:rFonts w:hint="default"/>
                <w:color w:val="auto"/>
                <w:highlight w:val="none"/>
                <w:vertAlign w:val="superscript"/>
              </w:rPr>
              <w:t>2</w:t>
            </w:r>
            <w:r>
              <w:rPr>
                <w:rFonts w:hint="default"/>
                <w:color w:val="auto"/>
                <w:highlight w:val="none"/>
              </w:rPr>
              <w:t>，开采标高+378m～±0m，开采正连、阴土煤层。为2000国家大地坐标系。</w:t>
            </w:r>
          </w:p>
        </w:tc>
      </w:tr>
    </w:tbl>
    <w:p>
      <w:pPr>
        <w:bidi w:val="0"/>
        <w:rPr>
          <w:rFonts w:hint="default"/>
          <w:color w:val="auto"/>
          <w:highlight w:val="none"/>
        </w:rPr>
      </w:pPr>
      <w:r>
        <w:rPr>
          <w:rFonts w:hint="default"/>
          <w:color w:val="auto"/>
          <w:highlight w:val="none"/>
        </w:rPr>
        <w:t>矿井截止2020年5月30日，保有资源量274.70万吨，其中控制资源量240.20万吨，推断资源量34.50万吨。</w:t>
      </w:r>
    </w:p>
    <w:p>
      <w:pPr>
        <w:bidi w:val="0"/>
        <w:rPr>
          <w:rFonts w:hint="default"/>
          <w:color w:val="auto"/>
          <w:highlight w:val="none"/>
          <w:lang w:val="en-US" w:eastAsia="zh-CN"/>
        </w:rPr>
      </w:pPr>
      <w:r>
        <w:rPr>
          <w:rFonts w:hint="default"/>
          <w:color w:val="auto"/>
          <w:highlight w:val="none"/>
          <w:lang w:val="en-US" w:eastAsia="zh-CN"/>
        </w:rPr>
        <w:t>3、黑滩煤矿</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达州市黑滩煤业有限公司黑滩煤矿于2020年7月31日取得由四川省自然资源厅颁发的采矿许可证。证号：C5100002009031120006148，有效期2020年04月29日至2022年7月31日，采矿权范围由8个拐点坐标圈闭（详见表</w:t>
      </w:r>
      <w:r>
        <w:rPr>
          <w:rFonts w:hint="default" w:ascii="Times New Roman" w:hAnsi="Times New Roman" w:cs="Times New Roman"/>
          <w:color w:val="auto"/>
          <w:sz w:val="24"/>
          <w:szCs w:val="24"/>
          <w:highlight w:val="none"/>
          <w:lang w:val="en-US" w:eastAsia="zh-CN"/>
        </w:rPr>
        <w:t>2.1.4-3</w:t>
      </w:r>
      <w:r>
        <w:rPr>
          <w:rFonts w:hint="default" w:ascii="Times New Roman" w:hAnsi="Times New Roman" w:cs="Times New Roman"/>
          <w:color w:val="auto"/>
          <w:sz w:val="24"/>
          <w:szCs w:val="24"/>
          <w:highlight w:val="none"/>
        </w:rPr>
        <w:t>），面积2.7693km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，许可开采标高+489m～+200m，现生产能力为9万吨/年，批准开采煤层为正连、内正连、三夹连煤层。</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黑滩煤矿规划矿权平面范围不变，开采标高调整为+489m～-60m</w:t>
      </w:r>
      <w:r>
        <w:rPr>
          <w:rFonts w:hint="default" w:ascii="Times New Roman" w:hAnsi="Times New Roman" w:cs="Times New Roman"/>
          <w:color w:val="auto"/>
          <w:sz w:val="24"/>
          <w:szCs w:val="24"/>
          <w:highlight w:val="none"/>
        </w:rPr>
        <w:t>。截至2020年8月31日，矿井累计查明资源量458.60万吨，动用资源量103.20万吨，保有资源量355.40万吨，其中控制资源量191.30万吨，推断资源量164.10万吨。</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-3       黑滩煤矿矿权范围拐点坐标表（2000坐标系）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7"/>
        <w:gridCol w:w="1609"/>
        <w:gridCol w:w="1562"/>
        <w:gridCol w:w="867"/>
        <w:gridCol w:w="1710"/>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7" w:type="dxa"/>
            <w:noWrap w:val="0"/>
            <w:vAlign w:val="center"/>
          </w:tcPr>
          <w:p>
            <w:pPr>
              <w:pStyle w:val="22"/>
              <w:bidi w:val="0"/>
              <w:rPr>
                <w:rFonts w:hint="default"/>
                <w:color w:val="auto"/>
                <w:highlight w:val="none"/>
              </w:rPr>
            </w:pPr>
            <w:r>
              <w:rPr>
                <w:rFonts w:hint="default"/>
                <w:color w:val="auto"/>
                <w:highlight w:val="none"/>
              </w:rPr>
              <w:t>拐点号</w:t>
            </w:r>
          </w:p>
        </w:tc>
        <w:tc>
          <w:tcPr>
            <w:tcW w:w="1609" w:type="dxa"/>
            <w:noWrap w:val="0"/>
            <w:vAlign w:val="center"/>
          </w:tcPr>
          <w:p>
            <w:pPr>
              <w:pStyle w:val="22"/>
              <w:bidi w:val="0"/>
              <w:rPr>
                <w:rFonts w:hint="default"/>
                <w:color w:val="auto"/>
                <w:highlight w:val="none"/>
              </w:rPr>
            </w:pPr>
            <w:r>
              <w:rPr>
                <w:rFonts w:hint="default"/>
                <w:color w:val="auto"/>
                <w:highlight w:val="none"/>
              </w:rPr>
              <w:t>横坐标(X)</w:t>
            </w:r>
          </w:p>
        </w:tc>
        <w:tc>
          <w:tcPr>
            <w:tcW w:w="1562" w:type="dxa"/>
            <w:noWrap w:val="0"/>
            <w:vAlign w:val="center"/>
          </w:tcPr>
          <w:p>
            <w:pPr>
              <w:pStyle w:val="22"/>
              <w:bidi w:val="0"/>
              <w:rPr>
                <w:rFonts w:hint="default"/>
                <w:color w:val="auto"/>
                <w:highlight w:val="none"/>
              </w:rPr>
            </w:pPr>
            <w:r>
              <w:rPr>
                <w:rFonts w:hint="default"/>
                <w:color w:val="auto"/>
                <w:highlight w:val="none"/>
              </w:rPr>
              <w:t>纵坐标(Y)</w:t>
            </w:r>
          </w:p>
        </w:tc>
        <w:tc>
          <w:tcPr>
            <w:tcW w:w="867" w:type="dxa"/>
            <w:noWrap w:val="0"/>
            <w:vAlign w:val="center"/>
          </w:tcPr>
          <w:p>
            <w:pPr>
              <w:pStyle w:val="22"/>
              <w:bidi w:val="0"/>
              <w:rPr>
                <w:rFonts w:hint="default"/>
                <w:color w:val="auto"/>
                <w:highlight w:val="none"/>
              </w:rPr>
            </w:pPr>
            <w:r>
              <w:rPr>
                <w:rFonts w:hint="default"/>
                <w:color w:val="auto"/>
                <w:highlight w:val="none"/>
              </w:rPr>
              <w:t>拐点号</w:t>
            </w:r>
          </w:p>
        </w:tc>
        <w:tc>
          <w:tcPr>
            <w:tcW w:w="1710" w:type="dxa"/>
            <w:noWrap w:val="0"/>
            <w:vAlign w:val="center"/>
          </w:tcPr>
          <w:p>
            <w:pPr>
              <w:pStyle w:val="22"/>
              <w:bidi w:val="0"/>
              <w:rPr>
                <w:rFonts w:hint="default"/>
                <w:color w:val="auto"/>
                <w:highlight w:val="none"/>
              </w:rPr>
            </w:pPr>
            <w:r>
              <w:rPr>
                <w:rFonts w:hint="default"/>
                <w:color w:val="auto"/>
                <w:highlight w:val="none"/>
              </w:rPr>
              <w:t>横坐标(X)</w:t>
            </w:r>
          </w:p>
        </w:tc>
        <w:tc>
          <w:tcPr>
            <w:tcW w:w="1772"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dxa"/>
            <w:noWrap w:val="0"/>
            <w:vAlign w:val="center"/>
          </w:tcPr>
          <w:p>
            <w:pPr>
              <w:pStyle w:val="22"/>
              <w:bidi w:val="0"/>
              <w:rPr>
                <w:rFonts w:hint="default"/>
                <w:color w:val="auto"/>
                <w:highlight w:val="none"/>
              </w:rPr>
            </w:pPr>
            <w:r>
              <w:rPr>
                <w:rFonts w:hint="default"/>
                <w:color w:val="auto"/>
                <w:highlight w:val="none"/>
              </w:rPr>
              <w:t>1</w:t>
            </w:r>
          </w:p>
        </w:tc>
        <w:tc>
          <w:tcPr>
            <w:tcW w:w="1609" w:type="dxa"/>
            <w:noWrap w:val="0"/>
            <w:vAlign w:val="center"/>
          </w:tcPr>
          <w:p>
            <w:pPr>
              <w:pStyle w:val="22"/>
              <w:bidi w:val="0"/>
              <w:rPr>
                <w:rFonts w:hint="default"/>
                <w:color w:val="auto"/>
                <w:highlight w:val="none"/>
              </w:rPr>
            </w:pPr>
            <w:r>
              <w:rPr>
                <w:rFonts w:hint="default"/>
                <w:color w:val="auto"/>
                <w:highlight w:val="none"/>
              </w:rPr>
              <w:t>3410317.77</w:t>
            </w:r>
          </w:p>
        </w:tc>
        <w:tc>
          <w:tcPr>
            <w:tcW w:w="1562" w:type="dxa"/>
            <w:noWrap w:val="0"/>
            <w:vAlign w:val="center"/>
          </w:tcPr>
          <w:p>
            <w:pPr>
              <w:pStyle w:val="22"/>
              <w:bidi w:val="0"/>
              <w:rPr>
                <w:rFonts w:hint="default"/>
                <w:color w:val="auto"/>
                <w:highlight w:val="none"/>
              </w:rPr>
            </w:pPr>
            <w:r>
              <w:rPr>
                <w:rFonts w:hint="default"/>
                <w:color w:val="auto"/>
                <w:highlight w:val="none"/>
              </w:rPr>
              <w:t>36418043.71</w:t>
            </w:r>
          </w:p>
        </w:tc>
        <w:tc>
          <w:tcPr>
            <w:tcW w:w="867" w:type="dxa"/>
            <w:noWrap w:val="0"/>
            <w:vAlign w:val="center"/>
          </w:tcPr>
          <w:p>
            <w:pPr>
              <w:pStyle w:val="22"/>
              <w:bidi w:val="0"/>
              <w:rPr>
                <w:rFonts w:hint="default"/>
                <w:color w:val="auto"/>
                <w:highlight w:val="none"/>
              </w:rPr>
            </w:pPr>
            <w:r>
              <w:rPr>
                <w:rFonts w:hint="default"/>
                <w:color w:val="auto"/>
                <w:highlight w:val="none"/>
              </w:rPr>
              <w:t>5</w:t>
            </w:r>
          </w:p>
        </w:tc>
        <w:tc>
          <w:tcPr>
            <w:tcW w:w="1710" w:type="dxa"/>
            <w:noWrap w:val="0"/>
            <w:vAlign w:val="center"/>
          </w:tcPr>
          <w:p>
            <w:pPr>
              <w:pStyle w:val="22"/>
              <w:bidi w:val="0"/>
              <w:rPr>
                <w:rFonts w:hint="default"/>
                <w:color w:val="auto"/>
                <w:highlight w:val="none"/>
              </w:rPr>
            </w:pPr>
            <w:r>
              <w:rPr>
                <w:rFonts w:hint="default"/>
                <w:color w:val="auto"/>
                <w:highlight w:val="none"/>
              </w:rPr>
              <w:t>3413094.78</w:t>
            </w:r>
          </w:p>
        </w:tc>
        <w:tc>
          <w:tcPr>
            <w:tcW w:w="1772" w:type="dxa"/>
            <w:noWrap w:val="0"/>
            <w:vAlign w:val="center"/>
          </w:tcPr>
          <w:p>
            <w:pPr>
              <w:pStyle w:val="22"/>
              <w:bidi w:val="0"/>
              <w:rPr>
                <w:rFonts w:hint="default"/>
                <w:color w:val="auto"/>
                <w:highlight w:val="none"/>
              </w:rPr>
            </w:pPr>
            <w:r>
              <w:rPr>
                <w:rFonts w:hint="default"/>
                <w:color w:val="auto"/>
                <w:highlight w:val="none"/>
              </w:rPr>
              <w:t>36419603.69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dxa"/>
            <w:noWrap w:val="0"/>
            <w:vAlign w:val="center"/>
          </w:tcPr>
          <w:p>
            <w:pPr>
              <w:pStyle w:val="22"/>
              <w:bidi w:val="0"/>
              <w:rPr>
                <w:rFonts w:hint="default"/>
                <w:color w:val="auto"/>
                <w:highlight w:val="none"/>
              </w:rPr>
            </w:pPr>
            <w:r>
              <w:rPr>
                <w:rFonts w:hint="default"/>
                <w:color w:val="auto"/>
                <w:highlight w:val="none"/>
              </w:rPr>
              <w:t>2</w:t>
            </w:r>
          </w:p>
        </w:tc>
        <w:tc>
          <w:tcPr>
            <w:tcW w:w="1609" w:type="dxa"/>
            <w:noWrap w:val="0"/>
            <w:vAlign w:val="center"/>
          </w:tcPr>
          <w:p>
            <w:pPr>
              <w:pStyle w:val="22"/>
              <w:bidi w:val="0"/>
              <w:rPr>
                <w:rFonts w:hint="default"/>
                <w:color w:val="auto"/>
                <w:highlight w:val="none"/>
              </w:rPr>
            </w:pPr>
            <w:r>
              <w:rPr>
                <w:rFonts w:hint="default"/>
                <w:color w:val="auto"/>
                <w:highlight w:val="none"/>
              </w:rPr>
              <w:t>3411591.77</w:t>
            </w:r>
          </w:p>
        </w:tc>
        <w:tc>
          <w:tcPr>
            <w:tcW w:w="1562" w:type="dxa"/>
            <w:noWrap w:val="0"/>
            <w:vAlign w:val="center"/>
          </w:tcPr>
          <w:p>
            <w:pPr>
              <w:pStyle w:val="22"/>
              <w:bidi w:val="0"/>
              <w:rPr>
                <w:rFonts w:hint="default"/>
                <w:color w:val="auto"/>
                <w:highlight w:val="none"/>
              </w:rPr>
            </w:pPr>
            <w:r>
              <w:rPr>
                <w:rFonts w:hint="default"/>
                <w:color w:val="auto"/>
                <w:highlight w:val="none"/>
              </w:rPr>
              <w:t>36418613.70</w:t>
            </w:r>
          </w:p>
        </w:tc>
        <w:tc>
          <w:tcPr>
            <w:tcW w:w="867" w:type="dxa"/>
            <w:noWrap w:val="0"/>
            <w:vAlign w:val="center"/>
          </w:tcPr>
          <w:p>
            <w:pPr>
              <w:pStyle w:val="22"/>
              <w:bidi w:val="0"/>
              <w:rPr>
                <w:rFonts w:hint="default"/>
                <w:color w:val="auto"/>
                <w:highlight w:val="none"/>
              </w:rPr>
            </w:pPr>
            <w:r>
              <w:rPr>
                <w:rFonts w:hint="default"/>
                <w:color w:val="auto"/>
                <w:highlight w:val="none"/>
              </w:rPr>
              <w:t>6</w:t>
            </w:r>
          </w:p>
        </w:tc>
        <w:tc>
          <w:tcPr>
            <w:tcW w:w="1710" w:type="dxa"/>
            <w:noWrap w:val="0"/>
            <w:vAlign w:val="center"/>
          </w:tcPr>
          <w:p>
            <w:pPr>
              <w:pStyle w:val="22"/>
              <w:bidi w:val="0"/>
              <w:rPr>
                <w:rFonts w:hint="default"/>
                <w:color w:val="auto"/>
                <w:highlight w:val="none"/>
              </w:rPr>
            </w:pPr>
            <w:r>
              <w:rPr>
                <w:rFonts w:hint="default"/>
                <w:color w:val="auto"/>
                <w:highlight w:val="none"/>
              </w:rPr>
              <w:t>3412902.78</w:t>
            </w:r>
          </w:p>
        </w:tc>
        <w:tc>
          <w:tcPr>
            <w:tcW w:w="1772" w:type="dxa"/>
            <w:noWrap w:val="0"/>
            <w:vAlign w:val="center"/>
          </w:tcPr>
          <w:p>
            <w:pPr>
              <w:pStyle w:val="22"/>
              <w:bidi w:val="0"/>
              <w:rPr>
                <w:rFonts w:hint="default"/>
                <w:color w:val="auto"/>
                <w:highlight w:val="none"/>
              </w:rPr>
            </w:pPr>
            <w:r>
              <w:rPr>
                <w:rFonts w:hint="default"/>
                <w:color w:val="auto"/>
                <w:highlight w:val="none"/>
              </w:rPr>
              <w:t>36420035.68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dxa"/>
            <w:noWrap w:val="0"/>
            <w:vAlign w:val="center"/>
          </w:tcPr>
          <w:p>
            <w:pPr>
              <w:pStyle w:val="22"/>
              <w:bidi w:val="0"/>
              <w:rPr>
                <w:rFonts w:hint="default"/>
                <w:color w:val="auto"/>
                <w:highlight w:val="none"/>
              </w:rPr>
            </w:pPr>
            <w:r>
              <w:rPr>
                <w:rFonts w:hint="default"/>
                <w:color w:val="auto"/>
                <w:highlight w:val="none"/>
              </w:rPr>
              <w:t>3</w:t>
            </w:r>
          </w:p>
        </w:tc>
        <w:tc>
          <w:tcPr>
            <w:tcW w:w="1609" w:type="dxa"/>
            <w:noWrap w:val="0"/>
            <w:vAlign w:val="center"/>
          </w:tcPr>
          <w:p>
            <w:pPr>
              <w:pStyle w:val="22"/>
              <w:bidi w:val="0"/>
              <w:rPr>
                <w:rFonts w:hint="default"/>
                <w:color w:val="auto"/>
                <w:highlight w:val="none"/>
              </w:rPr>
            </w:pPr>
            <w:r>
              <w:rPr>
                <w:rFonts w:hint="default"/>
                <w:color w:val="auto"/>
                <w:highlight w:val="none"/>
              </w:rPr>
              <w:t>3413212.77</w:t>
            </w:r>
          </w:p>
        </w:tc>
        <w:tc>
          <w:tcPr>
            <w:tcW w:w="1562" w:type="dxa"/>
            <w:noWrap w:val="0"/>
            <w:vAlign w:val="center"/>
          </w:tcPr>
          <w:p>
            <w:pPr>
              <w:pStyle w:val="22"/>
              <w:bidi w:val="0"/>
              <w:rPr>
                <w:rFonts w:hint="default"/>
                <w:color w:val="auto"/>
                <w:highlight w:val="none"/>
              </w:rPr>
            </w:pPr>
            <w:r>
              <w:rPr>
                <w:rFonts w:hint="default"/>
                <w:color w:val="auto"/>
                <w:highlight w:val="none"/>
              </w:rPr>
              <w:t>36419338.69</w:t>
            </w:r>
          </w:p>
        </w:tc>
        <w:tc>
          <w:tcPr>
            <w:tcW w:w="867" w:type="dxa"/>
            <w:noWrap w:val="0"/>
            <w:vAlign w:val="center"/>
          </w:tcPr>
          <w:p>
            <w:pPr>
              <w:pStyle w:val="22"/>
              <w:bidi w:val="0"/>
              <w:rPr>
                <w:rFonts w:hint="default"/>
                <w:color w:val="auto"/>
                <w:highlight w:val="none"/>
              </w:rPr>
            </w:pPr>
            <w:r>
              <w:rPr>
                <w:rFonts w:hint="default"/>
                <w:color w:val="auto"/>
                <w:highlight w:val="none"/>
              </w:rPr>
              <w:t>7</w:t>
            </w:r>
          </w:p>
        </w:tc>
        <w:tc>
          <w:tcPr>
            <w:tcW w:w="1710" w:type="dxa"/>
            <w:noWrap w:val="0"/>
            <w:vAlign w:val="center"/>
          </w:tcPr>
          <w:p>
            <w:pPr>
              <w:pStyle w:val="22"/>
              <w:bidi w:val="0"/>
              <w:rPr>
                <w:rFonts w:hint="default"/>
                <w:color w:val="auto"/>
                <w:highlight w:val="none"/>
              </w:rPr>
            </w:pPr>
            <w:r>
              <w:rPr>
                <w:rFonts w:hint="default"/>
                <w:color w:val="auto"/>
                <w:highlight w:val="none"/>
              </w:rPr>
              <w:t>3409921.77</w:t>
            </w:r>
          </w:p>
        </w:tc>
        <w:tc>
          <w:tcPr>
            <w:tcW w:w="1772" w:type="dxa"/>
            <w:noWrap w:val="0"/>
            <w:vAlign w:val="center"/>
          </w:tcPr>
          <w:p>
            <w:pPr>
              <w:pStyle w:val="22"/>
              <w:bidi w:val="0"/>
              <w:rPr>
                <w:rFonts w:hint="default"/>
                <w:color w:val="auto"/>
                <w:highlight w:val="none"/>
              </w:rPr>
            </w:pPr>
            <w:r>
              <w:rPr>
                <w:rFonts w:hint="default"/>
                <w:color w:val="auto"/>
                <w:highlight w:val="none"/>
              </w:rPr>
              <w:t>36418944.71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dxa"/>
            <w:noWrap w:val="0"/>
            <w:vAlign w:val="center"/>
          </w:tcPr>
          <w:p>
            <w:pPr>
              <w:pStyle w:val="22"/>
              <w:bidi w:val="0"/>
              <w:rPr>
                <w:rFonts w:hint="default"/>
                <w:color w:val="auto"/>
                <w:highlight w:val="none"/>
              </w:rPr>
            </w:pPr>
            <w:r>
              <w:rPr>
                <w:rFonts w:hint="default"/>
                <w:color w:val="auto"/>
                <w:highlight w:val="none"/>
              </w:rPr>
              <w:t>4</w:t>
            </w:r>
          </w:p>
        </w:tc>
        <w:tc>
          <w:tcPr>
            <w:tcW w:w="1609" w:type="dxa"/>
            <w:noWrap w:val="0"/>
            <w:vAlign w:val="center"/>
          </w:tcPr>
          <w:p>
            <w:pPr>
              <w:pStyle w:val="22"/>
              <w:bidi w:val="0"/>
              <w:rPr>
                <w:rFonts w:hint="default"/>
                <w:color w:val="auto"/>
                <w:highlight w:val="none"/>
              </w:rPr>
            </w:pPr>
            <w:r>
              <w:rPr>
                <w:rFonts w:hint="default"/>
                <w:color w:val="auto"/>
                <w:highlight w:val="none"/>
              </w:rPr>
              <w:t>3413134.77</w:t>
            </w:r>
          </w:p>
        </w:tc>
        <w:tc>
          <w:tcPr>
            <w:tcW w:w="1562" w:type="dxa"/>
            <w:noWrap w:val="0"/>
            <w:vAlign w:val="center"/>
          </w:tcPr>
          <w:p>
            <w:pPr>
              <w:pStyle w:val="22"/>
              <w:bidi w:val="0"/>
              <w:rPr>
                <w:rFonts w:hint="default"/>
                <w:color w:val="auto"/>
                <w:highlight w:val="none"/>
              </w:rPr>
            </w:pPr>
            <w:r>
              <w:rPr>
                <w:rFonts w:hint="default"/>
                <w:color w:val="auto"/>
                <w:highlight w:val="none"/>
              </w:rPr>
              <w:t>36419513.69</w:t>
            </w:r>
          </w:p>
        </w:tc>
        <w:tc>
          <w:tcPr>
            <w:tcW w:w="867" w:type="dxa"/>
            <w:noWrap w:val="0"/>
            <w:vAlign w:val="center"/>
          </w:tcPr>
          <w:p>
            <w:pPr>
              <w:pStyle w:val="22"/>
              <w:bidi w:val="0"/>
              <w:rPr>
                <w:rFonts w:hint="default"/>
                <w:color w:val="auto"/>
                <w:highlight w:val="none"/>
              </w:rPr>
            </w:pPr>
            <w:r>
              <w:rPr>
                <w:rFonts w:hint="default"/>
                <w:color w:val="auto"/>
                <w:highlight w:val="none"/>
              </w:rPr>
              <w:t>8</w:t>
            </w:r>
          </w:p>
        </w:tc>
        <w:tc>
          <w:tcPr>
            <w:tcW w:w="1710" w:type="dxa"/>
            <w:noWrap w:val="0"/>
            <w:vAlign w:val="center"/>
          </w:tcPr>
          <w:p>
            <w:pPr>
              <w:pStyle w:val="22"/>
              <w:bidi w:val="0"/>
              <w:rPr>
                <w:rFonts w:hint="default"/>
                <w:color w:val="auto"/>
                <w:highlight w:val="none"/>
              </w:rPr>
            </w:pPr>
            <w:r>
              <w:rPr>
                <w:rFonts w:hint="default"/>
                <w:color w:val="auto"/>
                <w:highlight w:val="none"/>
              </w:rPr>
              <w:t>3410274.77</w:t>
            </w:r>
          </w:p>
        </w:tc>
        <w:tc>
          <w:tcPr>
            <w:tcW w:w="1772" w:type="dxa"/>
            <w:noWrap w:val="0"/>
            <w:vAlign w:val="center"/>
          </w:tcPr>
          <w:p>
            <w:pPr>
              <w:pStyle w:val="22"/>
              <w:bidi w:val="0"/>
              <w:rPr>
                <w:rFonts w:hint="default"/>
                <w:color w:val="auto"/>
                <w:highlight w:val="none"/>
              </w:rPr>
            </w:pPr>
            <w:r>
              <w:rPr>
                <w:rFonts w:hint="default"/>
                <w:color w:val="auto"/>
                <w:highlight w:val="none"/>
              </w:rPr>
              <w:t>36418136.71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矿权面积2.7693km</w:t>
            </w:r>
            <w:r>
              <w:rPr>
                <w:rFonts w:hint="default"/>
                <w:color w:val="auto"/>
                <w:highlight w:val="none"/>
                <w:vertAlign w:val="superscript"/>
              </w:rPr>
              <w:t>2</w:t>
            </w:r>
            <w:r>
              <w:rPr>
                <w:rFonts w:hint="default"/>
                <w:color w:val="auto"/>
                <w:highlight w:val="none"/>
              </w:rPr>
              <w:t>，开采标高+489m～+200m（规划开采标高+489m～-60m），开采正连、内正连、三夹连煤层。为2000国家大地坐标系。</w:t>
            </w:r>
          </w:p>
        </w:tc>
      </w:tr>
    </w:tbl>
    <w:p>
      <w:pPr>
        <w:bidi w:val="0"/>
        <w:rPr>
          <w:rFonts w:hint="default"/>
          <w:color w:val="auto"/>
          <w:highlight w:val="none"/>
          <w:lang w:val="en-US" w:eastAsia="zh-CN"/>
        </w:rPr>
      </w:pPr>
      <w:r>
        <w:rPr>
          <w:rFonts w:hint="default"/>
          <w:color w:val="auto"/>
          <w:highlight w:val="none"/>
          <w:lang w:val="en-US" w:eastAsia="zh-CN"/>
        </w:rPr>
        <w:t>4、大河沟煤矿</w:t>
      </w:r>
    </w:p>
    <w:p>
      <w:pPr>
        <w:adjustRightInd w:val="0"/>
        <w:snapToGrid w:val="0"/>
        <w:spacing w:line="360" w:lineRule="auto"/>
        <w:ind w:firstLine="46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大竹县清水大河沟煤矿</w:t>
      </w:r>
      <w:r>
        <w:rPr>
          <w:rFonts w:hint="default" w:ascii="Times New Roman" w:hAnsi="Times New Roman" w:cs="Times New Roman"/>
          <w:color w:val="auto"/>
          <w:sz w:val="24"/>
          <w:szCs w:val="24"/>
          <w:highlight w:val="none"/>
        </w:rPr>
        <w:t>于2014年6月取得由原四川省国土资源厅颁发新的采矿许可证，证号：C5100002009111120045023，有效期2014年6月6日至2024年6月6日，批准开采三夹连、内夹连、内三夹连煤层，面积为2.5821km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，开采标高为+690～+330m，生产能力为15万吨/年，矿权范围由22个拐点坐标圈闭（详见表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u w:val="single"/>
        </w:rPr>
        <w:t>规划矿权范围不变</w:t>
      </w:r>
      <w:r>
        <w:rPr>
          <w:rFonts w:hint="default" w:ascii="Times New Roman" w:hAnsi="Times New Roman" w:cs="Times New Roman"/>
          <w:color w:val="auto"/>
          <w:sz w:val="24"/>
          <w:szCs w:val="24"/>
          <w:highlight w:val="none"/>
        </w:rPr>
        <w:t>。</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截止2020年12月，矿井累计查明资源量602.40万吨。其中消耗资源量278.56万吨，保有资源量323.84万吨，其中控制资源量299.04万吨，推断资源量24.80万吨。</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-4       大河沟煤矿矿权范围拐点坐标表（2000坐标系）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9"/>
        <w:gridCol w:w="1597"/>
        <w:gridCol w:w="1562"/>
        <w:gridCol w:w="867"/>
        <w:gridCol w:w="1710"/>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929" w:type="dxa"/>
            <w:noWrap w:val="0"/>
            <w:vAlign w:val="center"/>
          </w:tcPr>
          <w:p>
            <w:pPr>
              <w:pStyle w:val="22"/>
              <w:bidi w:val="0"/>
              <w:rPr>
                <w:rFonts w:hint="default"/>
                <w:color w:val="auto"/>
                <w:highlight w:val="none"/>
              </w:rPr>
            </w:pPr>
            <w:r>
              <w:rPr>
                <w:rFonts w:hint="default"/>
                <w:color w:val="auto"/>
                <w:highlight w:val="none"/>
              </w:rPr>
              <w:t>拐点号</w:t>
            </w:r>
          </w:p>
        </w:tc>
        <w:tc>
          <w:tcPr>
            <w:tcW w:w="1597" w:type="dxa"/>
            <w:noWrap w:val="0"/>
            <w:vAlign w:val="center"/>
          </w:tcPr>
          <w:p>
            <w:pPr>
              <w:pStyle w:val="22"/>
              <w:bidi w:val="0"/>
              <w:rPr>
                <w:rFonts w:hint="default"/>
                <w:color w:val="auto"/>
                <w:highlight w:val="none"/>
              </w:rPr>
            </w:pPr>
            <w:r>
              <w:rPr>
                <w:rFonts w:hint="default"/>
                <w:color w:val="auto"/>
                <w:highlight w:val="none"/>
              </w:rPr>
              <w:t>横坐标(X)</w:t>
            </w:r>
          </w:p>
        </w:tc>
        <w:tc>
          <w:tcPr>
            <w:tcW w:w="1562" w:type="dxa"/>
            <w:noWrap w:val="0"/>
            <w:vAlign w:val="center"/>
          </w:tcPr>
          <w:p>
            <w:pPr>
              <w:pStyle w:val="22"/>
              <w:bidi w:val="0"/>
              <w:rPr>
                <w:rFonts w:hint="default"/>
                <w:color w:val="auto"/>
                <w:highlight w:val="none"/>
              </w:rPr>
            </w:pPr>
            <w:r>
              <w:rPr>
                <w:rFonts w:hint="default"/>
                <w:color w:val="auto"/>
                <w:highlight w:val="none"/>
              </w:rPr>
              <w:t>纵坐标(Y)</w:t>
            </w:r>
          </w:p>
        </w:tc>
        <w:tc>
          <w:tcPr>
            <w:tcW w:w="867" w:type="dxa"/>
            <w:noWrap w:val="0"/>
            <w:vAlign w:val="center"/>
          </w:tcPr>
          <w:p>
            <w:pPr>
              <w:pStyle w:val="22"/>
              <w:bidi w:val="0"/>
              <w:rPr>
                <w:rFonts w:hint="default"/>
                <w:color w:val="auto"/>
                <w:highlight w:val="none"/>
              </w:rPr>
            </w:pPr>
            <w:r>
              <w:rPr>
                <w:rFonts w:hint="default"/>
                <w:color w:val="auto"/>
                <w:highlight w:val="none"/>
              </w:rPr>
              <w:t>拐点号</w:t>
            </w:r>
          </w:p>
        </w:tc>
        <w:tc>
          <w:tcPr>
            <w:tcW w:w="1710" w:type="dxa"/>
            <w:noWrap w:val="0"/>
            <w:vAlign w:val="center"/>
          </w:tcPr>
          <w:p>
            <w:pPr>
              <w:pStyle w:val="22"/>
              <w:bidi w:val="0"/>
              <w:rPr>
                <w:rFonts w:hint="default"/>
                <w:color w:val="auto"/>
                <w:highlight w:val="none"/>
              </w:rPr>
            </w:pPr>
            <w:r>
              <w:rPr>
                <w:rFonts w:hint="default"/>
                <w:color w:val="auto"/>
                <w:highlight w:val="none"/>
              </w:rPr>
              <w:t>横坐标(X)</w:t>
            </w:r>
          </w:p>
        </w:tc>
        <w:tc>
          <w:tcPr>
            <w:tcW w:w="1772"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1</w:t>
            </w:r>
          </w:p>
        </w:tc>
        <w:tc>
          <w:tcPr>
            <w:tcW w:w="1597" w:type="dxa"/>
            <w:noWrap w:val="0"/>
            <w:vAlign w:val="center"/>
          </w:tcPr>
          <w:p>
            <w:pPr>
              <w:pStyle w:val="22"/>
              <w:bidi w:val="0"/>
              <w:rPr>
                <w:rFonts w:hint="default"/>
                <w:color w:val="auto"/>
                <w:highlight w:val="none"/>
              </w:rPr>
            </w:pPr>
            <w:r>
              <w:rPr>
                <w:rFonts w:hint="default"/>
                <w:color w:val="auto"/>
                <w:highlight w:val="none"/>
              </w:rPr>
              <w:t>3396924.26</w:t>
            </w:r>
          </w:p>
        </w:tc>
        <w:tc>
          <w:tcPr>
            <w:tcW w:w="1562" w:type="dxa"/>
            <w:noWrap w:val="0"/>
            <w:vAlign w:val="center"/>
          </w:tcPr>
          <w:p>
            <w:pPr>
              <w:pStyle w:val="22"/>
              <w:bidi w:val="0"/>
              <w:rPr>
                <w:rFonts w:hint="default"/>
                <w:color w:val="auto"/>
                <w:highlight w:val="none"/>
              </w:rPr>
            </w:pPr>
            <w:r>
              <w:rPr>
                <w:rFonts w:hint="default"/>
                <w:color w:val="auto"/>
                <w:highlight w:val="none"/>
              </w:rPr>
              <w:t>36411773.79</w:t>
            </w:r>
          </w:p>
        </w:tc>
        <w:tc>
          <w:tcPr>
            <w:tcW w:w="867" w:type="dxa"/>
            <w:noWrap w:val="0"/>
            <w:vAlign w:val="center"/>
          </w:tcPr>
          <w:p>
            <w:pPr>
              <w:pStyle w:val="22"/>
              <w:bidi w:val="0"/>
              <w:rPr>
                <w:rFonts w:hint="default"/>
                <w:color w:val="auto"/>
                <w:highlight w:val="none"/>
              </w:rPr>
            </w:pPr>
            <w:r>
              <w:rPr>
                <w:rFonts w:hint="default"/>
                <w:color w:val="auto"/>
                <w:highlight w:val="none"/>
              </w:rPr>
              <w:t>12</w:t>
            </w:r>
          </w:p>
        </w:tc>
        <w:tc>
          <w:tcPr>
            <w:tcW w:w="1710" w:type="dxa"/>
            <w:noWrap w:val="0"/>
            <w:vAlign w:val="center"/>
          </w:tcPr>
          <w:p>
            <w:pPr>
              <w:pStyle w:val="22"/>
              <w:bidi w:val="0"/>
              <w:rPr>
                <w:rFonts w:hint="default"/>
                <w:color w:val="auto"/>
                <w:highlight w:val="none"/>
              </w:rPr>
            </w:pPr>
            <w:r>
              <w:rPr>
                <w:rFonts w:hint="default"/>
                <w:color w:val="auto"/>
                <w:highlight w:val="none"/>
              </w:rPr>
              <w:t>3395624.26</w:t>
            </w:r>
          </w:p>
        </w:tc>
        <w:tc>
          <w:tcPr>
            <w:tcW w:w="1772" w:type="dxa"/>
            <w:noWrap w:val="0"/>
            <w:vAlign w:val="center"/>
          </w:tcPr>
          <w:p>
            <w:pPr>
              <w:pStyle w:val="22"/>
              <w:bidi w:val="0"/>
              <w:rPr>
                <w:rFonts w:hint="default"/>
                <w:color w:val="auto"/>
                <w:highlight w:val="none"/>
              </w:rPr>
            </w:pPr>
            <w:r>
              <w:rPr>
                <w:rFonts w:hint="default"/>
                <w:color w:val="auto"/>
                <w:highlight w:val="none"/>
              </w:rPr>
              <w:t>36412839.79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2</w:t>
            </w:r>
          </w:p>
        </w:tc>
        <w:tc>
          <w:tcPr>
            <w:tcW w:w="1597" w:type="dxa"/>
            <w:noWrap w:val="0"/>
            <w:vAlign w:val="center"/>
          </w:tcPr>
          <w:p>
            <w:pPr>
              <w:pStyle w:val="22"/>
              <w:bidi w:val="0"/>
              <w:rPr>
                <w:rFonts w:hint="default"/>
                <w:color w:val="auto"/>
                <w:highlight w:val="none"/>
              </w:rPr>
            </w:pPr>
            <w:r>
              <w:rPr>
                <w:rFonts w:hint="default"/>
                <w:color w:val="auto"/>
                <w:highlight w:val="none"/>
              </w:rPr>
              <w:t>3397924.26</w:t>
            </w:r>
          </w:p>
        </w:tc>
        <w:tc>
          <w:tcPr>
            <w:tcW w:w="1562" w:type="dxa"/>
            <w:noWrap w:val="0"/>
            <w:vAlign w:val="center"/>
          </w:tcPr>
          <w:p>
            <w:pPr>
              <w:pStyle w:val="22"/>
              <w:bidi w:val="0"/>
              <w:rPr>
                <w:rFonts w:hint="default"/>
                <w:color w:val="auto"/>
                <w:highlight w:val="none"/>
              </w:rPr>
            </w:pPr>
            <w:r>
              <w:rPr>
                <w:rFonts w:hint="default"/>
                <w:color w:val="auto"/>
                <w:highlight w:val="none"/>
              </w:rPr>
              <w:t>36412218.79</w:t>
            </w:r>
          </w:p>
        </w:tc>
        <w:tc>
          <w:tcPr>
            <w:tcW w:w="867" w:type="dxa"/>
            <w:noWrap w:val="0"/>
            <w:vAlign w:val="center"/>
          </w:tcPr>
          <w:p>
            <w:pPr>
              <w:pStyle w:val="22"/>
              <w:bidi w:val="0"/>
              <w:rPr>
                <w:rFonts w:hint="default"/>
                <w:color w:val="auto"/>
                <w:highlight w:val="none"/>
              </w:rPr>
            </w:pPr>
            <w:r>
              <w:rPr>
                <w:rFonts w:hint="default"/>
                <w:color w:val="auto"/>
                <w:highlight w:val="none"/>
              </w:rPr>
              <w:t>13</w:t>
            </w:r>
          </w:p>
        </w:tc>
        <w:tc>
          <w:tcPr>
            <w:tcW w:w="1710" w:type="dxa"/>
            <w:noWrap w:val="0"/>
            <w:vAlign w:val="center"/>
          </w:tcPr>
          <w:p>
            <w:pPr>
              <w:pStyle w:val="22"/>
              <w:bidi w:val="0"/>
              <w:rPr>
                <w:rFonts w:hint="default"/>
                <w:color w:val="auto"/>
                <w:highlight w:val="none"/>
              </w:rPr>
            </w:pPr>
            <w:r>
              <w:rPr>
                <w:rFonts w:hint="default"/>
                <w:color w:val="auto"/>
                <w:highlight w:val="none"/>
              </w:rPr>
              <w:t>3395849.26</w:t>
            </w:r>
          </w:p>
        </w:tc>
        <w:tc>
          <w:tcPr>
            <w:tcW w:w="1772" w:type="dxa"/>
            <w:noWrap w:val="0"/>
            <w:vAlign w:val="center"/>
          </w:tcPr>
          <w:p>
            <w:pPr>
              <w:pStyle w:val="22"/>
              <w:bidi w:val="0"/>
              <w:rPr>
                <w:rFonts w:hint="default"/>
                <w:color w:val="auto"/>
                <w:highlight w:val="none"/>
              </w:rPr>
            </w:pPr>
            <w:r>
              <w:rPr>
                <w:rFonts w:hint="default"/>
                <w:color w:val="auto"/>
                <w:highlight w:val="none"/>
              </w:rPr>
              <w:t>36412320.79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3</w:t>
            </w:r>
          </w:p>
        </w:tc>
        <w:tc>
          <w:tcPr>
            <w:tcW w:w="1597" w:type="dxa"/>
            <w:noWrap w:val="0"/>
            <w:vAlign w:val="center"/>
          </w:tcPr>
          <w:p>
            <w:pPr>
              <w:pStyle w:val="22"/>
              <w:bidi w:val="0"/>
              <w:rPr>
                <w:rFonts w:hint="default"/>
                <w:color w:val="auto"/>
                <w:highlight w:val="none"/>
              </w:rPr>
            </w:pPr>
            <w:r>
              <w:rPr>
                <w:rFonts w:hint="default"/>
                <w:color w:val="auto"/>
                <w:highlight w:val="none"/>
              </w:rPr>
              <w:t>3397799.26</w:t>
            </w:r>
          </w:p>
        </w:tc>
        <w:tc>
          <w:tcPr>
            <w:tcW w:w="1562" w:type="dxa"/>
            <w:noWrap w:val="0"/>
            <w:vAlign w:val="center"/>
          </w:tcPr>
          <w:p>
            <w:pPr>
              <w:pStyle w:val="22"/>
              <w:bidi w:val="0"/>
              <w:rPr>
                <w:rFonts w:hint="default"/>
                <w:color w:val="auto"/>
                <w:highlight w:val="none"/>
              </w:rPr>
            </w:pPr>
            <w:r>
              <w:rPr>
                <w:rFonts w:hint="default"/>
                <w:color w:val="auto"/>
                <w:highlight w:val="none"/>
              </w:rPr>
              <w:t>36412463.79</w:t>
            </w:r>
          </w:p>
        </w:tc>
        <w:tc>
          <w:tcPr>
            <w:tcW w:w="867" w:type="dxa"/>
            <w:noWrap w:val="0"/>
            <w:vAlign w:val="center"/>
          </w:tcPr>
          <w:p>
            <w:pPr>
              <w:pStyle w:val="22"/>
              <w:bidi w:val="0"/>
              <w:rPr>
                <w:rFonts w:hint="default"/>
                <w:color w:val="auto"/>
                <w:highlight w:val="none"/>
              </w:rPr>
            </w:pPr>
            <w:r>
              <w:rPr>
                <w:rFonts w:hint="default"/>
                <w:color w:val="auto"/>
                <w:highlight w:val="none"/>
              </w:rPr>
              <w:t>14</w:t>
            </w:r>
          </w:p>
        </w:tc>
        <w:tc>
          <w:tcPr>
            <w:tcW w:w="1710" w:type="dxa"/>
            <w:noWrap w:val="0"/>
            <w:vAlign w:val="center"/>
          </w:tcPr>
          <w:p>
            <w:pPr>
              <w:pStyle w:val="22"/>
              <w:bidi w:val="0"/>
              <w:rPr>
                <w:rFonts w:hint="default"/>
                <w:color w:val="auto"/>
                <w:highlight w:val="none"/>
              </w:rPr>
            </w:pPr>
            <w:r>
              <w:rPr>
                <w:rFonts w:hint="default"/>
                <w:color w:val="auto"/>
                <w:highlight w:val="none"/>
              </w:rPr>
              <w:t>3396029.26</w:t>
            </w:r>
          </w:p>
        </w:tc>
        <w:tc>
          <w:tcPr>
            <w:tcW w:w="1772" w:type="dxa"/>
            <w:noWrap w:val="0"/>
            <w:vAlign w:val="center"/>
          </w:tcPr>
          <w:p>
            <w:pPr>
              <w:pStyle w:val="22"/>
              <w:bidi w:val="0"/>
              <w:rPr>
                <w:rFonts w:hint="default"/>
                <w:color w:val="auto"/>
                <w:highlight w:val="none"/>
              </w:rPr>
            </w:pPr>
            <w:r>
              <w:rPr>
                <w:rFonts w:hint="default"/>
                <w:color w:val="auto"/>
                <w:highlight w:val="none"/>
              </w:rPr>
              <w:t>36412425.79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4</w:t>
            </w:r>
          </w:p>
        </w:tc>
        <w:tc>
          <w:tcPr>
            <w:tcW w:w="1597" w:type="dxa"/>
            <w:noWrap w:val="0"/>
            <w:vAlign w:val="center"/>
          </w:tcPr>
          <w:p>
            <w:pPr>
              <w:pStyle w:val="22"/>
              <w:bidi w:val="0"/>
              <w:rPr>
                <w:rFonts w:hint="default"/>
                <w:color w:val="auto"/>
                <w:highlight w:val="none"/>
              </w:rPr>
            </w:pPr>
            <w:r>
              <w:rPr>
                <w:rFonts w:hint="default"/>
                <w:color w:val="auto"/>
                <w:highlight w:val="none"/>
              </w:rPr>
              <w:t>3397949.26</w:t>
            </w:r>
          </w:p>
        </w:tc>
        <w:tc>
          <w:tcPr>
            <w:tcW w:w="1562" w:type="dxa"/>
            <w:noWrap w:val="0"/>
            <w:vAlign w:val="center"/>
          </w:tcPr>
          <w:p>
            <w:pPr>
              <w:pStyle w:val="22"/>
              <w:bidi w:val="0"/>
              <w:rPr>
                <w:rFonts w:hint="default"/>
                <w:color w:val="auto"/>
                <w:highlight w:val="none"/>
              </w:rPr>
            </w:pPr>
            <w:r>
              <w:rPr>
                <w:rFonts w:hint="default"/>
                <w:color w:val="auto"/>
                <w:highlight w:val="none"/>
              </w:rPr>
              <w:t>36412543.79</w:t>
            </w:r>
          </w:p>
        </w:tc>
        <w:tc>
          <w:tcPr>
            <w:tcW w:w="867" w:type="dxa"/>
            <w:noWrap w:val="0"/>
            <w:vAlign w:val="center"/>
          </w:tcPr>
          <w:p>
            <w:pPr>
              <w:pStyle w:val="22"/>
              <w:bidi w:val="0"/>
              <w:rPr>
                <w:rFonts w:hint="default"/>
                <w:color w:val="auto"/>
                <w:highlight w:val="none"/>
              </w:rPr>
            </w:pPr>
            <w:r>
              <w:rPr>
                <w:rFonts w:hint="default"/>
                <w:color w:val="auto"/>
                <w:highlight w:val="none"/>
              </w:rPr>
              <w:t>15</w:t>
            </w:r>
          </w:p>
        </w:tc>
        <w:tc>
          <w:tcPr>
            <w:tcW w:w="1710" w:type="dxa"/>
            <w:noWrap w:val="0"/>
            <w:vAlign w:val="center"/>
          </w:tcPr>
          <w:p>
            <w:pPr>
              <w:pStyle w:val="22"/>
              <w:bidi w:val="0"/>
              <w:rPr>
                <w:rFonts w:hint="default"/>
                <w:color w:val="auto"/>
                <w:highlight w:val="none"/>
              </w:rPr>
            </w:pPr>
            <w:r>
              <w:rPr>
                <w:rFonts w:hint="default"/>
                <w:color w:val="auto"/>
                <w:highlight w:val="none"/>
              </w:rPr>
              <w:t>3396167.26</w:t>
            </w:r>
          </w:p>
        </w:tc>
        <w:tc>
          <w:tcPr>
            <w:tcW w:w="1772" w:type="dxa"/>
            <w:noWrap w:val="0"/>
            <w:vAlign w:val="center"/>
          </w:tcPr>
          <w:p>
            <w:pPr>
              <w:pStyle w:val="22"/>
              <w:bidi w:val="0"/>
              <w:rPr>
                <w:rFonts w:hint="default"/>
                <w:color w:val="auto"/>
                <w:highlight w:val="none"/>
              </w:rPr>
            </w:pPr>
            <w:r>
              <w:rPr>
                <w:rFonts w:hint="default"/>
                <w:color w:val="auto"/>
                <w:highlight w:val="none"/>
              </w:rPr>
              <w:t>36412173.79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5</w:t>
            </w:r>
          </w:p>
        </w:tc>
        <w:tc>
          <w:tcPr>
            <w:tcW w:w="1597" w:type="dxa"/>
            <w:noWrap w:val="0"/>
            <w:vAlign w:val="center"/>
          </w:tcPr>
          <w:p>
            <w:pPr>
              <w:pStyle w:val="22"/>
              <w:bidi w:val="0"/>
              <w:rPr>
                <w:rFonts w:hint="default"/>
                <w:color w:val="auto"/>
                <w:highlight w:val="none"/>
              </w:rPr>
            </w:pPr>
            <w:r>
              <w:rPr>
                <w:rFonts w:hint="default"/>
                <w:color w:val="auto"/>
                <w:highlight w:val="none"/>
              </w:rPr>
              <w:t>3398239.26</w:t>
            </w:r>
          </w:p>
        </w:tc>
        <w:tc>
          <w:tcPr>
            <w:tcW w:w="1562" w:type="dxa"/>
            <w:noWrap w:val="0"/>
            <w:vAlign w:val="center"/>
          </w:tcPr>
          <w:p>
            <w:pPr>
              <w:pStyle w:val="22"/>
              <w:bidi w:val="0"/>
              <w:rPr>
                <w:rFonts w:hint="default"/>
                <w:color w:val="auto"/>
                <w:highlight w:val="none"/>
              </w:rPr>
            </w:pPr>
            <w:r>
              <w:rPr>
                <w:rFonts w:hint="default"/>
                <w:color w:val="auto"/>
                <w:highlight w:val="none"/>
              </w:rPr>
              <w:t>36412773.79</w:t>
            </w:r>
          </w:p>
        </w:tc>
        <w:tc>
          <w:tcPr>
            <w:tcW w:w="867" w:type="dxa"/>
            <w:noWrap w:val="0"/>
            <w:vAlign w:val="center"/>
          </w:tcPr>
          <w:p>
            <w:pPr>
              <w:pStyle w:val="22"/>
              <w:bidi w:val="0"/>
              <w:rPr>
                <w:rFonts w:hint="default"/>
                <w:color w:val="auto"/>
                <w:highlight w:val="none"/>
              </w:rPr>
            </w:pPr>
            <w:r>
              <w:rPr>
                <w:rFonts w:hint="default"/>
                <w:color w:val="auto"/>
                <w:highlight w:val="none"/>
              </w:rPr>
              <w:t>16</w:t>
            </w:r>
          </w:p>
        </w:tc>
        <w:tc>
          <w:tcPr>
            <w:tcW w:w="1710" w:type="dxa"/>
            <w:noWrap w:val="0"/>
            <w:vAlign w:val="center"/>
          </w:tcPr>
          <w:p>
            <w:pPr>
              <w:pStyle w:val="22"/>
              <w:bidi w:val="0"/>
              <w:rPr>
                <w:rFonts w:hint="default"/>
                <w:color w:val="auto"/>
                <w:highlight w:val="none"/>
              </w:rPr>
            </w:pPr>
            <w:r>
              <w:rPr>
                <w:rFonts w:hint="default"/>
                <w:color w:val="auto"/>
                <w:highlight w:val="none"/>
              </w:rPr>
              <w:t>3396078.26</w:t>
            </w:r>
          </w:p>
        </w:tc>
        <w:tc>
          <w:tcPr>
            <w:tcW w:w="1772" w:type="dxa"/>
            <w:noWrap w:val="0"/>
            <w:vAlign w:val="center"/>
          </w:tcPr>
          <w:p>
            <w:pPr>
              <w:pStyle w:val="22"/>
              <w:bidi w:val="0"/>
              <w:rPr>
                <w:rFonts w:hint="default"/>
                <w:color w:val="auto"/>
                <w:highlight w:val="none"/>
              </w:rPr>
            </w:pPr>
            <w:r>
              <w:rPr>
                <w:rFonts w:hint="default"/>
                <w:color w:val="auto"/>
                <w:highlight w:val="none"/>
              </w:rPr>
              <w:t>36412125.79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6</w:t>
            </w:r>
          </w:p>
        </w:tc>
        <w:tc>
          <w:tcPr>
            <w:tcW w:w="1597" w:type="dxa"/>
            <w:noWrap w:val="0"/>
            <w:vAlign w:val="center"/>
          </w:tcPr>
          <w:p>
            <w:pPr>
              <w:pStyle w:val="22"/>
              <w:bidi w:val="0"/>
              <w:rPr>
                <w:rFonts w:hint="default"/>
                <w:color w:val="auto"/>
                <w:highlight w:val="none"/>
              </w:rPr>
            </w:pPr>
            <w:r>
              <w:rPr>
                <w:rFonts w:hint="default"/>
                <w:color w:val="auto"/>
                <w:highlight w:val="none"/>
              </w:rPr>
              <w:t>3398127.26</w:t>
            </w:r>
          </w:p>
        </w:tc>
        <w:tc>
          <w:tcPr>
            <w:tcW w:w="1562" w:type="dxa"/>
            <w:noWrap w:val="0"/>
            <w:vAlign w:val="center"/>
          </w:tcPr>
          <w:p>
            <w:pPr>
              <w:pStyle w:val="22"/>
              <w:bidi w:val="0"/>
              <w:rPr>
                <w:rFonts w:hint="default"/>
                <w:color w:val="auto"/>
                <w:highlight w:val="none"/>
              </w:rPr>
            </w:pPr>
            <w:r>
              <w:rPr>
                <w:rFonts w:hint="default"/>
                <w:color w:val="auto"/>
                <w:highlight w:val="none"/>
              </w:rPr>
              <w:t>36412971.79</w:t>
            </w:r>
          </w:p>
        </w:tc>
        <w:tc>
          <w:tcPr>
            <w:tcW w:w="867" w:type="dxa"/>
            <w:noWrap w:val="0"/>
            <w:vAlign w:val="center"/>
          </w:tcPr>
          <w:p>
            <w:pPr>
              <w:pStyle w:val="22"/>
              <w:bidi w:val="0"/>
              <w:rPr>
                <w:rFonts w:hint="default"/>
                <w:color w:val="auto"/>
                <w:highlight w:val="none"/>
              </w:rPr>
            </w:pPr>
            <w:r>
              <w:rPr>
                <w:rFonts w:hint="default"/>
                <w:color w:val="auto"/>
                <w:highlight w:val="none"/>
              </w:rPr>
              <w:t>17</w:t>
            </w:r>
          </w:p>
        </w:tc>
        <w:tc>
          <w:tcPr>
            <w:tcW w:w="1710" w:type="dxa"/>
            <w:noWrap w:val="0"/>
            <w:vAlign w:val="center"/>
          </w:tcPr>
          <w:p>
            <w:pPr>
              <w:pStyle w:val="22"/>
              <w:bidi w:val="0"/>
              <w:rPr>
                <w:rFonts w:hint="default"/>
                <w:color w:val="auto"/>
                <w:highlight w:val="none"/>
              </w:rPr>
            </w:pPr>
            <w:r>
              <w:rPr>
                <w:rFonts w:hint="default"/>
                <w:color w:val="auto"/>
                <w:highlight w:val="none"/>
              </w:rPr>
              <w:t>3396109.26</w:t>
            </w:r>
          </w:p>
        </w:tc>
        <w:tc>
          <w:tcPr>
            <w:tcW w:w="1772" w:type="dxa"/>
            <w:noWrap w:val="0"/>
            <w:vAlign w:val="center"/>
          </w:tcPr>
          <w:p>
            <w:pPr>
              <w:pStyle w:val="22"/>
              <w:bidi w:val="0"/>
              <w:rPr>
                <w:rFonts w:hint="default"/>
                <w:color w:val="auto"/>
                <w:highlight w:val="none"/>
              </w:rPr>
            </w:pPr>
            <w:r>
              <w:rPr>
                <w:rFonts w:hint="default"/>
                <w:color w:val="auto"/>
                <w:highlight w:val="none"/>
              </w:rPr>
              <w:t>36412068.79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7</w:t>
            </w:r>
          </w:p>
        </w:tc>
        <w:tc>
          <w:tcPr>
            <w:tcW w:w="1597" w:type="dxa"/>
            <w:noWrap w:val="0"/>
            <w:vAlign w:val="center"/>
          </w:tcPr>
          <w:p>
            <w:pPr>
              <w:pStyle w:val="22"/>
              <w:bidi w:val="0"/>
              <w:rPr>
                <w:rFonts w:hint="default"/>
                <w:color w:val="auto"/>
                <w:highlight w:val="none"/>
              </w:rPr>
            </w:pPr>
            <w:r>
              <w:rPr>
                <w:rFonts w:hint="default"/>
                <w:color w:val="auto"/>
                <w:highlight w:val="none"/>
              </w:rPr>
              <w:t>3398304.26</w:t>
            </w:r>
          </w:p>
        </w:tc>
        <w:tc>
          <w:tcPr>
            <w:tcW w:w="1562" w:type="dxa"/>
            <w:noWrap w:val="0"/>
            <w:vAlign w:val="center"/>
          </w:tcPr>
          <w:p>
            <w:pPr>
              <w:pStyle w:val="22"/>
              <w:bidi w:val="0"/>
              <w:rPr>
                <w:rFonts w:hint="default"/>
                <w:color w:val="auto"/>
                <w:highlight w:val="none"/>
              </w:rPr>
            </w:pPr>
            <w:r>
              <w:rPr>
                <w:rFonts w:hint="default"/>
                <w:color w:val="auto"/>
                <w:highlight w:val="none"/>
              </w:rPr>
              <w:t>36413088.79</w:t>
            </w:r>
          </w:p>
        </w:tc>
        <w:tc>
          <w:tcPr>
            <w:tcW w:w="867" w:type="dxa"/>
            <w:noWrap w:val="0"/>
            <w:vAlign w:val="center"/>
          </w:tcPr>
          <w:p>
            <w:pPr>
              <w:pStyle w:val="22"/>
              <w:bidi w:val="0"/>
              <w:rPr>
                <w:rFonts w:hint="default"/>
                <w:color w:val="auto"/>
                <w:highlight w:val="none"/>
              </w:rPr>
            </w:pPr>
            <w:r>
              <w:rPr>
                <w:rFonts w:hint="default"/>
                <w:color w:val="auto"/>
                <w:highlight w:val="none"/>
              </w:rPr>
              <w:t>18</w:t>
            </w:r>
          </w:p>
        </w:tc>
        <w:tc>
          <w:tcPr>
            <w:tcW w:w="1710" w:type="dxa"/>
            <w:noWrap w:val="0"/>
            <w:vAlign w:val="center"/>
          </w:tcPr>
          <w:p>
            <w:pPr>
              <w:pStyle w:val="22"/>
              <w:bidi w:val="0"/>
              <w:rPr>
                <w:rFonts w:hint="default"/>
                <w:color w:val="auto"/>
                <w:highlight w:val="none"/>
              </w:rPr>
            </w:pPr>
            <w:r>
              <w:rPr>
                <w:rFonts w:hint="default"/>
                <w:color w:val="auto"/>
                <w:highlight w:val="none"/>
              </w:rPr>
              <w:t>3396279.26</w:t>
            </w:r>
          </w:p>
        </w:tc>
        <w:tc>
          <w:tcPr>
            <w:tcW w:w="1772" w:type="dxa"/>
            <w:noWrap w:val="0"/>
            <w:vAlign w:val="center"/>
          </w:tcPr>
          <w:p>
            <w:pPr>
              <w:pStyle w:val="22"/>
              <w:bidi w:val="0"/>
              <w:rPr>
                <w:rFonts w:hint="default"/>
                <w:color w:val="auto"/>
                <w:highlight w:val="none"/>
              </w:rPr>
            </w:pPr>
            <w:r>
              <w:rPr>
                <w:rFonts w:hint="default"/>
                <w:color w:val="auto"/>
                <w:highlight w:val="none"/>
              </w:rPr>
              <w:t>36412183.79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8</w:t>
            </w:r>
          </w:p>
        </w:tc>
        <w:tc>
          <w:tcPr>
            <w:tcW w:w="1597" w:type="dxa"/>
            <w:noWrap w:val="0"/>
            <w:vAlign w:val="center"/>
          </w:tcPr>
          <w:p>
            <w:pPr>
              <w:pStyle w:val="22"/>
              <w:bidi w:val="0"/>
              <w:rPr>
                <w:rFonts w:hint="default"/>
                <w:color w:val="auto"/>
                <w:highlight w:val="none"/>
              </w:rPr>
            </w:pPr>
            <w:r>
              <w:rPr>
                <w:rFonts w:hint="default"/>
                <w:color w:val="auto"/>
                <w:highlight w:val="none"/>
              </w:rPr>
              <w:t>3398254.26</w:t>
            </w:r>
          </w:p>
        </w:tc>
        <w:tc>
          <w:tcPr>
            <w:tcW w:w="1562" w:type="dxa"/>
            <w:noWrap w:val="0"/>
            <w:vAlign w:val="center"/>
          </w:tcPr>
          <w:p>
            <w:pPr>
              <w:pStyle w:val="22"/>
              <w:bidi w:val="0"/>
              <w:rPr>
                <w:rFonts w:hint="default"/>
                <w:color w:val="auto"/>
                <w:highlight w:val="none"/>
              </w:rPr>
            </w:pPr>
            <w:r>
              <w:rPr>
                <w:rFonts w:hint="default"/>
                <w:color w:val="auto"/>
                <w:highlight w:val="none"/>
              </w:rPr>
              <w:t>36413173.79</w:t>
            </w:r>
          </w:p>
        </w:tc>
        <w:tc>
          <w:tcPr>
            <w:tcW w:w="867" w:type="dxa"/>
            <w:noWrap w:val="0"/>
            <w:vAlign w:val="center"/>
          </w:tcPr>
          <w:p>
            <w:pPr>
              <w:pStyle w:val="22"/>
              <w:bidi w:val="0"/>
              <w:rPr>
                <w:rFonts w:hint="default"/>
                <w:color w:val="auto"/>
                <w:highlight w:val="none"/>
              </w:rPr>
            </w:pPr>
            <w:r>
              <w:rPr>
                <w:rFonts w:hint="default"/>
                <w:color w:val="auto"/>
                <w:highlight w:val="none"/>
              </w:rPr>
              <w:t>19</w:t>
            </w:r>
          </w:p>
        </w:tc>
        <w:tc>
          <w:tcPr>
            <w:tcW w:w="1710" w:type="dxa"/>
            <w:noWrap w:val="0"/>
            <w:vAlign w:val="center"/>
          </w:tcPr>
          <w:p>
            <w:pPr>
              <w:pStyle w:val="22"/>
              <w:bidi w:val="0"/>
              <w:rPr>
                <w:rFonts w:hint="default"/>
                <w:color w:val="auto"/>
                <w:highlight w:val="none"/>
              </w:rPr>
            </w:pPr>
            <w:r>
              <w:rPr>
                <w:rFonts w:hint="default"/>
                <w:color w:val="auto"/>
                <w:highlight w:val="none"/>
              </w:rPr>
              <w:t>3396294.26</w:t>
            </w:r>
          </w:p>
        </w:tc>
        <w:tc>
          <w:tcPr>
            <w:tcW w:w="1772" w:type="dxa"/>
            <w:noWrap w:val="0"/>
            <w:vAlign w:val="center"/>
          </w:tcPr>
          <w:p>
            <w:pPr>
              <w:pStyle w:val="22"/>
              <w:bidi w:val="0"/>
              <w:rPr>
                <w:rFonts w:hint="default"/>
                <w:color w:val="auto"/>
                <w:highlight w:val="none"/>
              </w:rPr>
            </w:pPr>
            <w:r>
              <w:rPr>
                <w:rFonts w:hint="default"/>
                <w:color w:val="auto"/>
                <w:highlight w:val="none"/>
              </w:rPr>
              <w:t>36412160.79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9</w:t>
            </w:r>
          </w:p>
        </w:tc>
        <w:tc>
          <w:tcPr>
            <w:tcW w:w="1597" w:type="dxa"/>
            <w:noWrap w:val="0"/>
            <w:vAlign w:val="center"/>
          </w:tcPr>
          <w:p>
            <w:pPr>
              <w:pStyle w:val="22"/>
              <w:bidi w:val="0"/>
              <w:rPr>
                <w:rFonts w:hint="default"/>
                <w:color w:val="auto"/>
                <w:highlight w:val="none"/>
              </w:rPr>
            </w:pPr>
            <w:r>
              <w:rPr>
                <w:rFonts w:hint="default"/>
                <w:color w:val="auto"/>
                <w:highlight w:val="none"/>
              </w:rPr>
              <w:t>3398110.26</w:t>
            </w:r>
          </w:p>
        </w:tc>
        <w:tc>
          <w:tcPr>
            <w:tcW w:w="1562" w:type="dxa"/>
            <w:noWrap w:val="0"/>
            <w:vAlign w:val="center"/>
          </w:tcPr>
          <w:p>
            <w:pPr>
              <w:pStyle w:val="22"/>
              <w:bidi w:val="0"/>
              <w:rPr>
                <w:rFonts w:hint="default"/>
                <w:color w:val="auto"/>
                <w:highlight w:val="none"/>
              </w:rPr>
            </w:pPr>
            <w:r>
              <w:rPr>
                <w:rFonts w:hint="default"/>
                <w:color w:val="auto"/>
                <w:highlight w:val="none"/>
              </w:rPr>
              <w:t>36413081.79</w:t>
            </w:r>
          </w:p>
        </w:tc>
        <w:tc>
          <w:tcPr>
            <w:tcW w:w="867" w:type="dxa"/>
            <w:noWrap w:val="0"/>
            <w:vAlign w:val="center"/>
          </w:tcPr>
          <w:p>
            <w:pPr>
              <w:pStyle w:val="22"/>
              <w:bidi w:val="0"/>
              <w:rPr>
                <w:rFonts w:hint="default"/>
                <w:color w:val="auto"/>
                <w:highlight w:val="none"/>
              </w:rPr>
            </w:pPr>
            <w:r>
              <w:rPr>
                <w:rFonts w:hint="default"/>
                <w:color w:val="auto"/>
                <w:highlight w:val="none"/>
              </w:rPr>
              <w:t>20</w:t>
            </w:r>
          </w:p>
        </w:tc>
        <w:tc>
          <w:tcPr>
            <w:tcW w:w="1710" w:type="dxa"/>
            <w:noWrap w:val="0"/>
            <w:vAlign w:val="center"/>
          </w:tcPr>
          <w:p>
            <w:pPr>
              <w:pStyle w:val="22"/>
              <w:bidi w:val="0"/>
              <w:rPr>
                <w:rFonts w:hint="default"/>
                <w:color w:val="auto"/>
                <w:highlight w:val="none"/>
              </w:rPr>
            </w:pPr>
            <w:r>
              <w:rPr>
                <w:rFonts w:hint="default"/>
                <w:color w:val="auto"/>
                <w:highlight w:val="none"/>
              </w:rPr>
              <w:t>3396914.26</w:t>
            </w:r>
          </w:p>
        </w:tc>
        <w:tc>
          <w:tcPr>
            <w:tcW w:w="1772" w:type="dxa"/>
            <w:noWrap w:val="0"/>
            <w:vAlign w:val="center"/>
          </w:tcPr>
          <w:p>
            <w:pPr>
              <w:pStyle w:val="22"/>
              <w:bidi w:val="0"/>
              <w:rPr>
                <w:rFonts w:hint="default"/>
                <w:color w:val="auto"/>
                <w:highlight w:val="none"/>
              </w:rPr>
            </w:pPr>
            <w:r>
              <w:rPr>
                <w:rFonts w:hint="default"/>
                <w:color w:val="auto"/>
                <w:highlight w:val="none"/>
              </w:rPr>
              <w:t>36412516.79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10</w:t>
            </w:r>
          </w:p>
        </w:tc>
        <w:tc>
          <w:tcPr>
            <w:tcW w:w="1597" w:type="dxa"/>
            <w:noWrap w:val="0"/>
            <w:vAlign w:val="center"/>
          </w:tcPr>
          <w:p>
            <w:pPr>
              <w:pStyle w:val="22"/>
              <w:bidi w:val="0"/>
              <w:rPr>
                <w:rFonts w:hint="default"/>
                <w:color w:val="auto"/>
                <w:highlight w:val="none"/>
              </w:rPr>
            </w:pPr>
            <w:r>
              <w:rPr>
                <w:rFonts w:hint="default"/>
                <w:color w:val="auto"/>
                <w:highlight w:val="none"/>
              </w:rPr>
              <w:t>3397747.26</w:t>
            </w:r>
          </w:p>
        </w:tc>
        <w:tc>
          <w:tcPr>
            <w:tcW w:w="1562" w:type="dxa"/>
            <w:noWrap w:val="0"/>
            <w:vAlign w:val="center"/>
          </w:tcPr>
          <w:p>
            <w:pPr>
              <w:pStyle w:val="22"/>
              <w:bidi w:val="0"/>
              <w:rPr>
                <w:rFonts w:hint="default"/>
                <w:color w:val="auto"/>
                <w:highlight w:val="none"/>
              </w:rPr>
            </w:pPr>
            <w:r>
              <w:rPr>
                <w:rFonts w:hint="default"/>
                <w:color w:val="auto"/>
                <w:highlight w:val="none"/>
              </w:rPr>
              <w:t>36413708.79</w:t>
            </w:r>
          </w:p>
        </w:tc>
        <w:tc>
          <w:tcPr>
            <w:tcW w:w="867" w:type="dxa"/>
            <w:noWrap w:val="0"/>
            <w:vAlign w:val="center"/>
          </w:tcPr>
          <w:p>
            <w:pPr>
              <w:pStyle w:val="22"/>
              <w:bidi w:val="0"/>
              <w:rPr>
                <w:rFonts w:hint="default"/>
                <w:color w:val="auto"/>
                <w:highlight w:val="none"/>
              </w:rPr>
            </w:pPr>
            <w:r>
              <w:rPr>
                <w:rFonts w:hint="default"/>
                <w:color w:val="auto"/>
                <w:highlight w:val="none"/>
              </w:rPr>
              <w:t>21</w:t>
            </w:r>
          </w:p>
        </w:tc>
        <w:tc>
          <w:tcPr>
            <w:tcW w:w="1710" w:type="dxa"/>
            <w:noWrap w:val="0"/>
            <w:vAlign w:val="center"/>
          </w:tcPr>
          <w:p>
            <w:pPr>
              <w:pStyle w:val="22"/>
              <w:bidi w:val="0"/>
              <w:rPr>
                <w:rFonts w:hint="default"/>
                <w:color w:val="auto"/>
                <w:highlight w:val="none"/>
              </w:rPr>
            </w:pPr>
            <w:r>
              <w:rPr>
                <w:rFonts w:hint="default"/>
                <w:color w:val="auto"/>
                <w:highlight w:val="none"/>
              </w:rPr>
              <w:t>3397077.26</w:t>
            </w:r>
          </w:p>
        </w:tc>
        <w:tc>
          <w:tcPr>
            <w:tcW w:w="1772" w:type="dxa"/>
            <w:noWrap w:val="0"/>
            <w:vAlign w:val="center"/>
          </w:tcPr>
          <w:p>
            <w:pPr>
              <w:pStyle w:val="22"/>
              <w:bidi w:val="0"/>
              <w:rPr>
                <w:rFonts w:hint="default"/>
                <w:color w:val="auto"/>
                <w:highlight w:val="none"/>
              </w:rPr>
            </w:pPr>
            <w:r>
              <w:rPr>
                <w:rFonts w:hint="default"/>
                <w:color w:val="auto"/>
                <w:highlight w:val="none"/>
              </w:rPr>
              <w:t>36412220.79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29" w:type="dxa"/>
            <w:noWrap w:val="0"/>
            <w:vAlign w:val="center"/>
          </w:tcPr>
          <w:p>
            <w:pPr>
              <w:pStyle w:val="22"/>
              <w:bidi w:val="0"/>
              <w:rPr>
                <w:rFonts w:hint="default"/>
                <w:color w:val="auto"/>
                <w:highlight w:val="none"/>
              </w:rPr>
            </w:pPr>
            <w:r>
              <w:rPr>
                <w:rFonts w:hint="default"/>
                <w:color w:val="auto"/>
                <w:highlight w:val="none"/>
              </w:rPr>
              <w:t>11</w:t>
            </w:r>
          </w:p>
        </w:tc>
        <w:tc>
          <w:tcPr>
            <w:tcW w:w="1597" w:type="dxa"/>
            <w:noWrap w:val="0"/>
            <w:vAlign w:val="center"/>
          </w:tcPr>
          <w:p>
            <w:pPr>
              <w:pStyle w:val="22"/>
              <w:bidi w:val="0"/>
              <w:rPr>
                <w:rFonts w:hint="default"/>
                <w:color w:val="auto"/>
                <w:highlight w:val="none"/>
              </w:rPr>
            </w:pPr>
            <w:r>
              <w:rPr>
                <w:rFonts w:hint="default"/>
                <w:color w:val="auto"/>
                <w:highlight w:val="none"/>
              </w:rPr>
              <w:t>3397233.26</w:t>
            </w:r>
          </w:p>
        </w:tc>
        <w:tc>
          <w:tcPr>
            <w:tcW w:w="1562" w:type="dxa"/>
            <w:noWrap w:val="0"/>
            <w:vAlign w:val="center"/>
          </w:tcPr>
          <w:p>
            <w:pPr>
              <w:pStyle w:val="22"/>
              <w:bidi w:val="0"/>
              <w:rPr>
                <w:rFonts w:hint="default"/>
                <w:color w:val="auto"/>
                <w:highlight w:val="none"/>
              </w:rPr>
            </w:pPr>
            <w:r>
              <w:rPr>
                <w:rFonts w:hint="default"/>
                <w:color w:val="auto"/>
                <w:highlight w:val="none"/>
              </w:rPr>
              <w:t>36413432.79</w:t>
            </w:r>
          </w:p>
        </w:tc>
        <w:tc>
          <w:tcPr>
            <w:tcW w:w="867" w:type="dxa"/>
            <w:noWrap w:val="0"/>
            <w:vAlign w:val="center"/>
          </w:tcPr>
          <w:p>
            <w:pPr>
              <w:pStyle w:val="22"/>
              <w:bidi w:val="0"/>
              <w:rPr>
                <w:rFonts w:hint="default"/>
                <w:color w:val="auto"/>
                <w:highlight w:val="none"/>
              </w:rPr>
            </w:pPr>
            <w:r>
              <w:rPr>
                <w:rFonts w:hint="default"/>
                <w:color w:val="auto"/>
                <w:highlight w:val="none"/>
              </w:rPr>
              <w:t>22</w:t>
            </w:r>
          </w:p>
        </w:tc>
        <w:tc>
          <w:tcPr>
            <w:tcW w:w="1710" w:type="dxa"/>
            <w:noWrap w:val="0"/>
            <w:vAlign w:val="center"/>
          </w:tcPr>
          <w:p>
            <w:pPr>
              <w:pStyle w:val="22"/>
              <w:bidi w:val="0"/>
              <w:rPr>
                <w:rFonts w:hint="default"/>
                <w:color w:val="auto"/>
                <w:highlight w:val="none"/>
              </w:rPr>
            </w:pPr>
            <w:r>
              <w:rPr>
                <w:rFonts w:hint="default"/>
                <w:color w:val="auto"/>
                <w:highlight w:val="none"/>
              </w:rPr>
              <w:t>3396795.26</w:t>
            </w:r>
          </w:p>
        </w:tc>
        <w:tc>
          <w:tcPr>
            <w:tcW w:w="1772" w:type="dxa"/>
            <w:noWrap w:val="0"/>
            <w:vAlign w:val="center"/>
          </w:tcPr>
          <w:p>
            <w:pPr>
              <w:pStyle w:val="22"/>
              <w:bidi w:val="0"/>
              <w:rPr>
                <w:rFonts w:hint="default"/>
                <w:color w:val="auto"/>
                <w:highlight w:val="none"/>
              </w:rPr>
            </w:pPr>
            <w:r>
              <w:rPr>
                <w:rFonts w:hint="default"/>
                <w:color w:val="auto"/>
                <w:highlight w:val="none"/>
              </w:rPr>
              <w:t>36412056.79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矿权面积2.5821km</w:t>
            </w:r>
            <w:r>
              <w:rPr>
                <w:rFonts w:hint="default"/>
                <w:color w:val="auto"/>
                <w:highlight w:val="none"/>
                <w:vertAlign w:val="superscript"/>
              </w:rPr>
              <w:t>2</w:t>
            </w:r>
            <w:r>
              <w:rPr>
                <w:rFonts w:hint="default"/>
                <w:color w:val="auto"/>
                <w:highlight w:val="none"/>
              </w:rPr>
              <w:t>，开采标高+690m～+330m，开采三夹连、内夹连、内三夹连煤层。为2000国家大地坐标系。</w:t>
            </w:r>
          </w:p>
        </w:tc>
      </w:tr>
    </w:tbl>
    <w:p>
      <w:pPr>
        <w:bidi w:val="0"/>
        <w:rPr>
          <w:rFonts w:hint="default"/>
          <w:color w:val="auto"/>
          <w:highlight w:val="none"/>
          <w:lang w:val="en-US" w:eastAsia="zh-CN"/>
        </w:rPr>
      </w:pPr>
      <w:r>
        <w:rPr>
          <w:rFonts w:hint="default"/>
          <w:color w:val="auto"/>
          <w:highlight w:val="none"/>
          <w:lang w:val="en-US" w:eastAsia="zh-CN"/>
        </w:rPr>
        <w:t>5、大硐坪煤矿</w:t>
      </w:r>
    </w:p>
    <w:p>
      <w:pPr>
        <w:adjustRightInd w:val="0"/>
        <w:snapToGrid w:val="0"/>
        <w:spacing w:line="360" w:lineRule="auto"/>
        <w:ind w:firstLine="464" w:firstLineChars="200"/>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大竹县大硐坪煤矿于2014年12月21日取得由原四川省国土资源厅颁发的采矿许可证，证号C5100002011081120117600，有效期自2014年11月28日至2024年4月28日，批准开采三夹连、内连、硬炭、独连共4层煤层，允许开采标高+850m～+300m，企业性质为私营合伙企业，生产能力15</w:t>
      </w:r>
      <w:r>
        <w:rPr>
          <w:rFonts w:hint="default" w:ascii="Times New Roman" w:hAnsi="Times New Roman" w:cs="Times New Roman"/>
          <w:color w:val="auto"/>
          <w:sz w:val="24"/>
          <w:szCs w:val="24"/>
          <w:highlight w:val="none"/>
        </w:rPr>
        <w:t>万吨/年</w:t>
      </w:r>
      <w:r>
        <w:rPr>
          <w:rFonts w:hint="default" w:ascii="Times New Roman" w:hAnsi="Times New Roman" w:cs="Times New Roman"/>
          <w:color w:val="auto"/>
          <w:spacing w:val="-4"/>
          <w:sz w:val="24"/>
          <w:szCs w:val="24"/>
          <w:highlight w:val="none"/>
        </w:rPr>
        <w:t>。矿权范围由20个拐点圈定（详见表</w:t>
      </w:r>
      <w:r>
        <w:rPr>
          <w:rFonts w:hint="default" w:ascii="Times New Roman" w:hAnsi="Times New Roman" w:cs="Times New Roman"/>
          <w:color w:val="auto"/>
          <w:spacing w:val="-4"/>
          <w:sz w:val="24"/>
          <w:szCs w:val="24"/>
          <w:highlight w:val="none"/>
          <w:lang w:val="en-US" w:eastAsia="zh-CN"/>
        </w:rPr>
        <w:t>2.1.4</w:t>
      </w:r>
      <w:r>
        <w:rPr>
          <w:rFonts w:hint="default" w:ascii="Times New Roman" w:hAnsi="Times New Roman" w:cs="Times New Roman"/>
          <w:color w:val="auto"/>
          <w:spacing w:val="-4"/>
          <w:sz w:val="24"/>
          <w:szCs w:val="24"/>
          <w:highlight w:val="none"/>
        </w:rPr>
        <w:t>-5），面积2.5629km</w:t>
      </w:r>
      <w:r>
        <w:rPr>
          <w:rFonts w:hint="default" w:ascii="Times New Roman" w:hAnsi="Times New Roman" w:cs="Times New Roman"/>
          <w:color w:val="auto"/>
          <w:spacing w:val="-4"/>
          <w:sz w:val="24"/>
          <w:szCs w:val="24"/>
          <w:highlight w:val="none"/>
          <w:vertAlign w:val="superscript"/>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规划矿权范围不变</w:t>
      </w:r>
      <w:r>
        <w:rPr>
          <w:rFonts w:hint="default" w:ascii="Times New Roman" w:hAnsi="Times New Roman" w:cs="Times New Roman"/>
          <w:color w:val="auto"/>
          <w:spacing w:val="-4"/>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-5       大硐坪煤矿矿权范围拐点坐标表（2000坐标系）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587"/>
        <w:gridCol w:w="1562"/>
        <w:gridCol w:w="867"/>
        <w:gridCol w:w="1710"/>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dxa"/>
            <w:noWrap w:val="0"/>
            <w:vAlign w:val="center"/>
          </w:tcPr>
          <w:p>
            <w:pPr>
              <w:pStyle w:val="22"/>
              <w:bidi w:val="0"/>
              <w:rPr>
                <w:rFonts w:hint="default"/>
                <w:color w:val="auto"/>
                <w:highlight w:val="none"/>
              </w:rPr>
            </w:pPr>
            <w:r>
              <w:rPr>
                <w:rFonts w:hint="default"/>
                <w:color w:val="auto"/>
                <w:highlight w:val="none"/>
              </w:rPr>
              <w:t>拐点号</w:t>
            </w:r>
          </w:p>
        </w:tc>
        <w:tc>
          <w:tcPr>
            <w:tcW w:w="1587" w:type="dxa"/>
            <w:noWrap w:val="0"/>
            <w:vAlign w:val="center"/>
          </w:tcPr>
          <w:p>
            <w:pPr>
              <w:pStyle w:val="22"/>
              <w:bidi w:val="0"/>
              <w:rPr>
                <w:rFonts w:hint="default"/>
                <w:color w:val="auto"/>
                <w:highlight w:val="none"/>
              </w:rPr>
            </w:pPr>
            <w:r>
              <w:rPr>
                <w:rFonts w:hint="default"/>
                <w:color w:val="auto"/>
                <w:highlight w:val="none"/>
              </w:rPr>
              <w:t>横坐标(X)</w:t>
            </w:r>
          </w:p>
        </w:tc>
        <w:tc>
          <w:tcPr>
            <w:tcW w:w="1562" w:type="dxa"/>
            <w:noWrap w:val="0"/>
            <w:vAlign w:val="center"/>
          </w:tcPr>
          <w:p>
            <w:pPr>
              <w:pStyle w:val="22"/>
              <w:bidi w:val="0"/>
              <w:rPr>
                <w:rFonts w:hint="default"/>
                <w:color w:val="auto"/>
                <w:highlight w:val="none"/>
              </w:rPr>
            </w:pPr>
            <w:r>
              <w:rPr>
                <w:rFonts w:hint="default"/>
                <w:color w:val="auto"/>
                <w:highlight w:val="none"/>
              </w:rPr>
              <w:t>纵坐标(Y)</w:t>
            </w:r>
          </w:p>
        </w:tc>
        <w:tc>
          <w:tcPr>
            <w:tcW w:w="867" w:type="dxa"/>
            <w:noWrap w:val="0"/>
            <w:vAlign w:val="center"/>
          </w:tcPr>
          <w:p>
            <w:pPr>
              <w:pStyle w:val="22"/>
              <w:bidi w:val="0"/>
              <w:rPr>
                <w:rFonts w:hint="default"/>
                <w:color w:val="auto"/>
                <w:highlight w:val="none"/>
              </w:rPr>
            </w:pPr>
            <w:r>
              <w:rPr>
                <w:rFonts w:hint="default"/>
                <w:color w:val="auto"/>
                <w:highlight w:val="none"/>
              </w:rPr>
              <w:t>拐点号</w:t>
            </w:r>
          </w:p>
        </w:tc>
        <w:tc>
          <w:tcPr>
            <w:tcW w:w="1710" w:type="dxa"/>
            <w:noWrap w:val="0"/>
            <w:vAlign w:val="center"/>
          </w:tcPr>
          <w:p>
            <w:pPr>
              <w:pStyle w:val="22"/>
              <w:bidi w:val="0"/>
              <w:rPr>
                <w:rFonts w:hint="default"/>
                <w:color w:val="auto"/>
                <w:highlight w:val="none"/>
              </w:rPr>
            </w:pPr>
            <w:r>
              <w:rPr>
                <w:rFonts w:hint="default"/>
                <w:color w:val="auto"/>
                <w:highlight w:val="none"/>
              </w:rPr>
              <w:t>横坐标(X)</w:t>
            </w:r>
          </w:p>
        </w:tc>
        <w:tc>
          <w:tcPr>
            <w:tcW w:w="1772"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1</w:t>
            </w:r>
          </w:p>
        </w:tc>
        <w:tc>
          <w:tcPr>
            <w:tcW w:w="1587" w:type="dxa"/>
            <w:noWrap w:val="0"/>
            <w:vAlign w:val="center"/>
          </w:tcPr>
          <w:p>
            <w:pPr>
              <w:pStyle w:val="22"/>
              <w:bidi w:val="0"/>
              <w:rPr>
                <w:rFonts w:hint="default"/>
                <w:color w:val="auto"/>
                <w:highlight w:val="none"/>
              </w:rPr>
            </w:pPr>
            <w:r>
              <w:rPr>
                <w:rFonts w:hint="default"/>
                <w:color w:val="auto"/>
                <w:highlight w:val="none"/>
              </w:rPr>
              <w:t>3395309.62</w:t>
            </w:r>
          </w:p>
        </w:tc>
        <w:tc>
          <w:tcPr>
            <w:tcW w:w="1562" w:type="dxa"/>
            <w:noWrap w:val="0"/>
            <w:vAlign w:val="center"/>
          </w:tcPr>
          <w:p>
            <w:pPr>
              <w:pStyle w:val="22"/>
              <w:bidi w:val="0"/>
              <w:rPr>
                <w:rFonts w:hint="default"/>
                <w:color w:val="auto"/>
                <w:highlight w:val="none"/>
              </w:rPr>
            </w:pPr>
            <w:r>
              <w:rPr>
                <w:rFonts w:hint="default"/>
                <w:color w:val="auto"/>
                <w:highlight w:val="none"/>
              </w:rPr>
              <w:t>36411019.01</w:t>
            </w:r>
          </w:p>
        </w:tc>
        <w:tc>
          <w:tcPr>
            <w:tcW w:w="867" w:type="dxa"/>
            <w:noWrap w:val="0"/>
            <w:vAlign w:val="top"/>
          </w:tcPr>
          <w:p>
            <w:pPr>
              <w:pStyle w:val="22"/>
              <w:bidi w:val="0"/>
              <w:rPr>
                <w:rFonts w:hint="default"/>
                <w:color w:val="auto"/>
                <w:highlight w:val="none"/>
              </w:rPr>
            </w:pPr>
            <w:r>
              <w:rPr>
                <w:rFonts w:hint="default"/>
                <w:color w:val="auto"/>
                <w:highlight w:val="none"/>
              </w:rPr>
              <w:t>11</w:t>
            </w:r>
          </w:p>
        </w:tc>
        <w:tc>
          <w:tcPr>
            <w:tcW w:w="1710" w:type="dxa"/>
            <w:noWrap w:val="0"/>
            <w:vAlign w:val="center"/>
          </w:tcPr>
          <w:p>
            <w:pPr>
              <w:pStyle w:val="22"/>
              <w:bidi w:val="0"/>
              <w:rPr>
                <w:rFonts w:hint="default"/>
                <w:color w:val="auto"/>
                <w:highlight w:val="none"/>
              </w:rPr>
            </w:pPr>
            <w:r>
              <w:rPr>
                <w:rFonts w:hint="default"/>
                <w:color w:val="auto"/>
                <w:highlight w:val="none"/>
              </w:rPr>
              <w:t>3395494.63</w:t>
            </w:r>
          </w:p>
        </w:tc>
        <w:tc>
          <w:tcPr>
            <w:tcW w:w="1772" w:type="dxa"/>
            <w:noWrap w:val="0"/>
            <w:vAlign w:val="center"/>
          </w:tcPr>
          <w:p>
            <w:pPr>
              <w:pStyle w:val="22"/>
              <w:bidi w:val="0"/>
              <w:rPr>
                <w:rFonts w:hint="default"/>
                <w:color w:val="auto"/>
                <w:highlight w:val="none"/>
              </w:rPr>
            </w:pPr>
            <w:r>
              <w:rPr>
                <w:rFonts w:hint="default"/>
                <w:color w:val="auto"/>
                <w:highlight w:val="none"/>
              </w:rPr>
              <w:t>36412888.99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2</w:t>
            </w:r>
          </w:p>
        </w:tc>
        <w:tc>
          <w:tcPr>
            <w:tcW w:w="1587" w:type="dxa"/>
            <w:noWrap w:val="0"/>
            <w:vAlign w:val="center"/>
          </w:tcPr>
          <w:p>
            <w:pPr>
              <w:pStyle w:val="22"/>
              <w:bidi w:val="0"/>
              <w:rPr>
                <w:rFonts w:hint="default"/>
                <w:color w:val="auto"/>
                <w:highlight w:val="none"/>
              </w:rPr>
            </w:pPr>
            <w:r>
              <w:rPr>
                <w:rFonts w:hint="default"/>
                <w:color w:val="auto"/>
                <w:highlight w:val="none"/>
              </w:rPr>
              <w:t>3396559.62</w:t>
            </w:r>
          </w:p>
        </w:tc>
        <w:tc>
          <w:tcPr>
            <w:tcW w:w="1562" w:type="dxa"/>
            <w:noWrap w:val="0"/>
            <w:vAlign w:val="center"/>
          </w:tcPr>
          <w:p>
            <w:pPr>
              <w:pStyle w:val="22"/>
              <w:bidi w:val="0"/>
              <w:rPr>
                <w:rFonts w:hint="default"/>
                <w:color w:val="auto"/>
                <w:highlight w:val="none"/>
              </w:rPr>
            </w:pPr>
            <w:r>
              <w:rPr>
                <w:rFonts w:hint="default"/>
                <w:color w:val="auto"/>
                <w:highlight w:val="none"/>
              </w:rPr>
              <w:t>36411748.99</w:t>
            </w:r>
          </w:p>
        </w:tc>
        <w:tc>
          <w:tcPr>
            <w:tcW w:w="867" w:type="dxa"/>
            <w:noWrap w:val="0"/>
            <w:vAlign w:val="top"/>
          </w:tcPr>
          <w:p>
            <w:pPr>
              <w:pStyle w:val="22"/>
              <w:bidi w:val="0"/>
              <w:rPr>
                <w:rFonts w:hint="default"/>
                <w:color w:val="auto"/>
                <w:highlight w:val="none"/>
              </w:rPr>
            </w:pPr>
            <w:r>
              <w:rPr>
                <w:rFonts w:hint="default"/>
                <w:color w:val="auto"/>
                <w:highlight w:val="none"/>
              </w:rPr>
              <w:t>12</w:t>
            </w:r>
          </w:p>
        </w:tc>
        <w:tc>
          <w:tcPr>
            <w:tcW w:w="1710" w:type="dxa"/>
            <w:noWrap w:val="0"/>
            <w:vAlign w:val="center"/>
          </w:tcPr>
          <w:p>
            <w:pPr>
              <w:pStyle w:val="22"/>
              <w:bidi w:val="0"/>
              <w:rPr>
                <w:rFonts w:hint="default"/>
                <w:color w:val="auto"/>
                <w:highlight w:val="none"/>
              </w:rPr>
            </w:pPr>
            <w:r>
              <w:rPr>
                <w:rFonts w:hint="default"/>
                <w:color w:val="auto"/>
                <w:highlight w:val="none"/>
              </w:rPr>
              <w:t>3394747.63</w:t>
            </w:r>
          </w:p>
        </w:tc>
        <w:tc>
          <w:tcPr>
            <w:tcW w:w="1772" w:type="dxa"/>
            <w:noWrap w:val="0"/>
            <w:vAlign w:val="center"/>
          </w:tcPr>
          <w:p>
            <w:pPr>
              <w:pStyle w:val="22"/>
              <w:bidi w:val="0"/>
              <w:rPr>
                <w:rFonts w:hint="default"/>
                <w:color w:val="auto"/>
                <w:highlight w:val="none"/>
              </w:rPr>
            </w:pPr>
            <w:r>
              <w:rPr>
                <w:rFonts w:hint="default"/>
                <w:color w:val="auto"/>
                <w:highlight w:val="none"/>
              </w:rPr>
              <w:t>36412695.00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3</w:t>
            </w:r>
          </w:p>
        </w:tc>
        <w:tc>
          <w:tcPr>
            <w:tcW w:w="1587" w:type="dxa"/>
            <w:noWrap w:val="0"/>
            <w:vAlign w:val="center"/>
          </w:tcPr>
          <w:p>
            <w:pPr>
              <w:pStyle w:val="22"/>
              <w:bidi w:val="0"/>
              <w:rPr>
                <w:rFonts w:hint="default"/>
                <w:color w:val="auto"/>
                <w:highlight w:val="none"/>
              </w:rPr>
            </w:pPr>
            <w:r>
              <w:rPr>
                <w:rFonts w:hint="default"/>
                <w:color w:val="auto"/>
                <w:highlight w:val="none"/>
              </w:rPr>
              <w:t>3396457.62</w:t>
            </w:r>
          </w:p>
        </w:tc>
        <w:tc>
          <w:tcPr>
            <w:tcW w:w="1562" w:type="dxa"/>
            <w:noWrap w:val="0"/>
            <w:vAlign w:val="center"/>
          </w:tcPr>
          <w:p>
            <w:pPr>
              <w:pStyle w:val="22"/>
              <w:bidi w:val="0"/>
              <w:rPr>
                <w:rFonts w:hint="default"/>
                <w:color w:val="auto"/>
                <w:highlight w:val="none"/>
              </w:rPr>
            </w:pPr>
            <w:r>
              <w:rPr>
                <w:rFonts w:hint="default"/>
                <w:color w:val="auto"/>
                <w:highlight w:val="none"/>
              </w:rPr>
              <w:t>36411918.99</w:t>
            </w:r>
          </w:p>
        </w:tc>
        <w:tc>
          <w:tcPr>
            <w:tcW w:w="867" w:type="dxa"/>
            <w:noWrap w:val="0"/>
            <w:vAlign w:val="top"/>
          </w:tcPr>
          <w:p>
            <w:pPr>
              <w:pStyle w:val="22"/>
              <w:bidi w:val="0"/>
              <w:rPr>
                <w:rFonts w:hint="default"/>
                <w:color w:val="auto"/>
                <w:highlight w:val="none"/>
              </w:rPr>
            </w:pPr>
            <w:r>
              <w:rPr>
                <w:rFonts w:hint="default"/>
                <w:color w:val="auto"/>
                <w:highlight w:val="none"/>
              </w:rPr>
              <w:t>13</w:t>
            </w:r>
          </w:p>
        </w:tc>
        <w:tc>
          <w:tcPr>
            <w:tcW w:w="1710" w:type="dxa"/>
            <w:noWrap w:val="0"/>
            <w:vAlign w:val="center"/>
          </w:tcPr>
          <w:p>
            <w:pPr>
              <w:pStyle w:val="22"/>
              <w:bidi w:val="0"/>
              <w:rPr>
                <w:rFonts w:hint="default"/>
                <w:color w:val="auto"/>
                <w:highlight w:val="none"/>
              </w:rPr>
            </w:pPr>
            <w:r>
              <w:rPr>
                <w:rFonts w:hint="default"/>
                <w:color w:val="auto"/>
                <w:highlight w:val="none"/>
              </w:rPr>
              <w:t>3393855.64</w:t>
            </w:r>
          </w:p>
        </w:tc>
        <w:tc>
          <w:tcPr>
            <w:tcW w:w="1772" w:type="dxa"/>
            <w:noWrap w:val="0"/>
            <w:vAlign w:val="center"/>
          </w:tcPr>
          <w:p>
            <w:pPr>
              <w:pStyle w:val="22"/>
              <w:bidi w:val="0"/>
              <w:rPr>
                <w:rFonts w:hint="default"/>
                <w:color w:val="auto"/>
                <w:highlight w:val="none"/>
              </w:rPr>
            </w:pPr>
            <w:r>
              <w:rPr>
                <w:rFonts w:hint="default"/>
                <w:color w:val="auto"/>
                <w:highlight w:val="none"/>
              </w:rPr>
              <w:t>36412543.01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4</w:t>
            </w:r>
          </w:p>
        </w:tc>
        <w:tc>
          <w:tcPr>
            <w:tcW w:w="1587" w:type="dxa"/>
            <w:noWrap w:val="0"/>
            <w:vAlign w:val="center"/>
          </w:tcPr>
          <w:p>
            <w:pPr>
              <w:pStyle w:val="22"/>
              <w:bidi w:val="0"/>
              <w:rPr>
                <w:rFonts w:hint="default"/>
                <w:color w:val="auto"/>
                <w:highlight w:val="none"/>
              </w:rPr>
            </w:pPr>
            <w:r>
              <w:rPr>
                <w:rFonts w:hint="default"/>
                <w:color w:val="auto"/>
                <w:highlight w:val="none"/>
              </w:rPr>
              <w:t>3397009.62</w:t>
            </w:r>
          </w:p>
        </w:tc>
        <w:tc>
          <w:tcPr>
            <w:tcW w:w="1562" w:type="dxa"/>
            <w:noWrap w:val="0"/>
            <w:vAlign w:val="center"/>
          </w:tcPr>
          <w:p>
            <w:pPr>
              <w:pStyle w:val="22"/>
              <w:bidi w:val="0"/>
              <w:rPr>
                <w:rFonts w:hint="default"/>
                <w:color w:val="auto"/>
                <w:highlight w:val="none"/>
              </w:rPr>
            </w:pPr>
            <w:r>
              <w:rPr>
                <w:rFonts w:hint="default"/>
                <w:color w:val="auto"/>
                <w:highlight w:val="none"/>
              </w:rPr>
              <w:t>36412238.99</w:t>
            </w:r>
          </w:p>
        </w:tc>
        <w:tc>
          <w:tcPr>
            <w:tcW w:w="867" w:type="dxa"/>
            <w:noWrap w:val="0"/>
            <w:vAlign w:val="top"/>
          </w:tcPr>
          <w:p>
            <w:pPr>
              <w:pStyle w:val="22"/>
              <w:bidi w:val="0"/>
              <w:rPr>
                <w:rFonts w:hint="default"/>
                <w:color w:val="auto"/>
                <w:highlight w:val="none"/>
              </w:rPr>
            </w:pPr>
            <w:r>
              <w:rPr>
                <w:rFonts w:hint="default"/>
                <w:color w:val="auto"/>
                <w:highlight w:val="none"/>
              </w:rPr>
              <w:t>14</w:t>
            </w:r>
          </w:p>
        </w:tc>
        <w:tc>
          <w:tcPr>
            <w:tcW w:w="1710" w:type="dxa"/>
            <w:noWrap w:val="0"/>
            <w:vAlign w:val="center"/>
          </w:tcPr>
          <w:p>
            <w:pPr>
              <w:pStyle w:val="22"/>
              <w:bidi w:val="0"/>
              <w:rPr>
                <w:rFonts w:hint="default"/>
                <w:color w:val="auto"/>
                <w:highlight w:val="none"/>
              </w:rPr>
            </w:pPr>
            <w:r>
              <w:rPr>
                <w:rFonts w:hint="default"/>
                <w:color w:val="auto"/>
                <w:highlight w:val="none"/>
              </w:rPr>
              <w:t>3393960.64</w:t>
            </w:r>
          </w:p>
        </w:tc>
        <w:tc>
          <w:tcPr>
            <w:tcW w:w="1772" w:type="dxa"/>
            <w:noWrap w:val="0"/>
            <w:vAlign w:val="center"/>
          </w:tcPr>
          <w:p>
            <w:pPr>
              <w:pStyle w:val="22"/>
              <w:bidi w:val="0"/>
              <w:rPr>
                <w:rFonts w:hint="default"/>
                <w:color w:val="auto"/>
                <w:highlight w:val="none"/>
              </w:rPr>
            </w:pPr>
            <w:r>
              <w:rPr>
                <w:rFonts w:hint="default"/>
                <w:color w:val="auto"/>
                <w:highlight w:val="none"/>
              </w:rPr>
              <w:t>36412321.01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5</w:t>
            </w:r>
          </w:p>
        </w:tc>
        <w:tc>
          <w:tcPr>
            <w:tcW w:w="1587" w:type="dxa"/>
            <w:noWrap w:val="0"/>
            <w:vAlign w:val="center"/>
          </w:tcPr>
          <w:p>
            <w:pPr>
              <w:pStyle w:val="22"/>
              <w:bidi w:val="0"/>
              <w:rPr>
                <w:rFonts w:hint="default"/>
                <w:color w:val="auto"/>
                <w:highlight w:val="none"/>
              </w:rPr>
            </w:pPr>
            <w:r>
              <w:rPr>
                <w:rFonts w:hint="default"/>
                <w:color w:val="auto"/>
                <w:highlight w:val="none"/>
              </w:rPr>
              <w:t>3396894.62</w:t>
            </w:r>
          </w:p>
        </w:tc>
        <w:tc>
          <w:tcPr>
            <w:tcW w:w="1562" w:type="dxa"/>
            <w:noWrap w:val="0"/>
            <w:vAlign w:val="center"/>
          </w:tcPr>
          <w:p>
            <w:pPr>
              <w:pStyle w:val="22"/>
              <w:bidi w:val="0"/>
              <w:rPr>
                <w:rFonts w:hint="default"/>
                <w:color w:val="auto"/>
                <w:highlight w:val="none"/>
              </w:rPr>
            </w:pPr>
            <w:r>
              <w:rPr>
                <w:rFonts w:hint="default"/>
                <w:color w:val="auto"/>
                <w:highlight w:val="none"/>
              </w:rPr>
              <w:t>36412448.99</w:t>
            </w:r>
          </w:p>
        </w:tc>
        <w:tc>
          <w:tcPr>
            <w:tcW w:w="867" w:type="dxa"/>
            <w:noWrap w:val="0"/>
            <w:vAlign w:val="top"/>
          </w:tcPr>
          <w:p>
            <w:pPr>
              <w:pStyle w:val="22"/>
              <w:bidi w:val="0"/>
              <w:rPr>
                <w:rFonts w:hint="default"/>
                <w:color w:val="auto"/>
                <w:highlight w:val="none"/>
              </w:rPr>
            </w:pPr>
            <w:r>
              <w:rPr>
                <w:rFonts w:hint="default"/>
                <w:color w:val="auto"/>
                <w:highlight w:val="none"/>
              </w:rPr>
              <w:t>15</w:t>
            </w:r>
          </w:p>
        </w:tc>
        <w:tc>
          <w:tcPr>
            <w:tcW w:w="1710" w:type="dxa"/>
            <w:noWrap w:val="0"/>
            <w:vAlign w:val="center"/>
          </w:tcPr>
          <w:p>
            <w:pPr>
              <w:pStyle w:val="22"/>
              <w:bidi w:val="0"/>
              <w:rPr>
                <w:rFonts w:hint="default"/>
                <w:color w:val="auto"/>
                <w:highlight w:val="none"/>
              </w:rPr>
            </w:pPr>
            <w:r>
              <w:rPr>
                <w:rFonts w:hint="default"/>
                <w:color w:val="auto"/>
                <w:highlight w:val="none"/>
              </w:rPr>
              <w:t>3394784.63</w:t>
            </w:r>
          </w:p>
        </w:tc>
        <w:tc>
          <w:tcPr>
            <w:tcW w:w="1772" w:type="dxa"/>
            <w:noWrap w:val="0"/>
            <w:vAlign w:val="center"/>
          </w:tcPr>
          <w:p>
            <w:pPr>
              <w:pStyle w:val="22"/>
              <w:bidi w:val="0"/>
              <w:rPr>
                <w:rFonts w:hint="default"/>
                <w:color w:val="auto"/>
                <w:highlight w:val="none"/>
              </w:rPr>
            </w:pPr>
            <w:r>
              <w:rPr>
                <w:rFonts w:hint="default"/>
                <w:color w:val="auto"/>
                <w:highlight w:val="none"/>
              </w:rPr>
              <w:t>36411669.01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6</w:t>
            </w:r>
          </w:p>
        </w:tc>
        <w:tc>
          <w:tcPr>
            <w:tcW w:w="1587" w:type="dxa"/>
            <w:noWrap w:val="0"/>
            <w:vAlign w:val="center"/>
          </w:tcPr>
          <w:p>
            <w:pPr>
              <w:pStyle w:val="22"/>
              <w:bidi w:val="0"/>
              <w:rPr>
                <w:rFonts w:hint="default"/>
                <w:color w:val="auto"/>
                <w:highlight w:val="none"/>
              </w:rPr>
            </w:pPr>
            <w:r>
              <w:rPr>
                <w:rFonts w:hint="default"/>
                <w:color w:val="auto"/>
                <w:highlight w:val="none"/>
              </w:rPr>
              <w:t>3396069.62</w:t>
            </w:r>
          </w:p>
        </w:tc>
        <w:tc>
          <w:tcPr>
            <w:tcW w:w="1562" w:type="dxa"/>
            <w:noWrap w:val="0"/>
            <w:vAlign w:val="center"/>
          </w:tcPr>
          <w:p>
            <w:pPr>
              <w:pStyle w:val="22"/>
              <w:bidi w:val="0"/>
              <w:rPr>
                <w:rFonts w:hint="default"/>
                <w:color w:val="auto"/>
                <w:highlight w:val="none"/>
              </w:rPr>
            </w:pPr>
            <w:r>
              <w:rPr>
                <w:rFonts w:hint="default"/>
                <w:color w:val="auto"/>
                <w:highlight w:val="none"/>
              </w:rPr>
              <w:t>36411973.99</w:t>
            </w:r>
          </w:p>
        </w:tc>
        <w:tc>
          <w:tcPr>
            <w:tcW w:w="867" w:type="dxa"/>
            <w:noWrap w:val="0"/>
            <w:vAlign w:val="top"/>
          </w:tcPr>
          <w:p>
            <w:pPr>
              <w:pStyle w:val="22"/>
              <w:bidi w:val="0"/>
              <w:rPr>
                <w:rFonts w:hint="default"/>
                <w:color w:val="auto"/>
                <w:highlight w:val="none"/>
              </w:rPr>
            </w:pPr>
            <w:r>
              <w:rPr>
                <w:rFonts w:hint="default"/>
                <w:color w:val="auto"/>
                <w:highlight w:val="none"/>
              </w:rPr>
              <w:t>16</w:t>
            </w:r>
          </w:p>
        </w:tc>
        <w:tc>
          <w:tcPr>
            <w:tcW w:w="1710" w:type="dxa"/>
            <w:noWrap w:val="0"/>
            <w:vAlign w:val="center"/>
          </w:tcPr>
          <w:p>
            <w:pPr>
              <w:pStyle w:val="22"/>
              <w:bidi w:val="0"/>
              <w:rPr>
                <w:rFonts w:hint="default"/>
                <w:color w:val="auto"/>
                <w:highlight w:val="none"/>
              </w:rPr>
            </w:pPr>
            <w:r>
              <w:rPr>
                <w:rFonts w:hint="default"/>
                <w:color w:val="auto"/>
                <w:highlight w:val="none"/>
              </w:rPr>
              <w:t>3395029.63</w:t>
            </w:r>
          </w:p>
        </w:tc>
        <w:tc>
          <w:tcPr>
            <w:tcW w:w="1772" w:type="dxa"/>
            <w:noWrap w:val="0"/>
            <w:vAlign w:val="center"/>
          </w:tcPr>
          <w:p>
            <w:pPr>
              <w:pStyle w:val="22"/>
              <w:bidi w:val="0"/>
              <w:rPr>
                <w:rFonts w:hint="default"/>
                <w:color w:val="auto"/>
                <w:highlight w:val="none"/>
              </w:rPr>
            </w:pPr>
            <w:r>
              <w:rPr>
                <w:rFonts w:hint="default"/>
                <w:color w:val="auto"/>
                <w:highlight w:val="none"/>
              </w:rPr>
              <w:t>36411774.00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7</w:t>
            </w:r>
          </w:p>
        </w:tc>
        <w:tc>
          <w:tcPr>
            <w:tcW w:w="1587" w:type="dxa"/>
            <w:noWrap w:val="0"/>
            <w:vAlign w:val="center"/>
          </w:tcPr>
          <w:p>
            <w:pPr>
              <w:pStyle w:val="22"/>
              <w:bidi w:val="0"/>
              <w:rPr>
                <w:rFonts w:hint="default"/>
                <w:color w:val="auto"/>
                <w:highlight w:val="none"/>
              </w:rPr>
            </w:pPr>
            <w:r>
              <w:rPr>
                <w:rFonts w:hint="default"/>
                <w:color w:val="auto"/>
                <w:highlight w:val="none"/>
              </w:rPr>
              <w:t>3395999.62</w:t>
            </w:r>
          </w:p>
        </w:tc>
        <w:tc>
          <w:tcPr>
            <w:tcW w:w="1562" w:type="dxa"/>
            <w:noWrap w:val="0"/>
            <w:vAlign w:val="center"/>
          </w:tcPr>
          <w:p>
            <w:pPr>
              <w:pStyle w:val="22"/>
              <w:bidi w:val="0"/>
              <w:rPr>
                <w:rFonts w:hint="default"/>
                <w:color w:val="auto"/>
                <w:highlight w:val="none"/>
              </w:rPr>
            </w:pPr>
            <w:r>
              <w:rPr>
                <w:rFonts w:hint="default"/>
                <w:color w:val="auto"/>
                <w:highlight w:val="none"/>
              </w:rPr>
              <w:t>36412138.99</w:t>
            </w:r>
          </w:p>
        </w:tc>
        <w:tc>
          <w:tcPr>
            <w:tcW w:w="867" w:type="dxa"/>
            <w:noWrap w:val="0"/>
            <w:vAlign w:val="top"/>
          </w:tcPr>
          <w:p>
            <w:pPr>
              <w:pStyle w:val="22"/>
              <w:bidi w:val="0"/>
              <w:rPr>
                <w:rFonts w:hint="default"/>
                <w:color w:val="auto"/>
                <w:highlight w:val="none"/>
              </w:rPr>
            </w:pPr>
            <w:r>
              <w:rPr>
                <w:rFonts w:hint="default"/>
                <w:color w:val="auto"/>
                <w:highlight w:val="none"/>
              </w:rPr>
              <w:t>17</w:t>
            </w:r>
          </w:p>
        </w:tc>
        <w:tc>
          <w:tcPr>
            <w:tcW w:w="1710" w:type="dxa"/>
            <w:noWrap w:val="0"/>
            <w:vAlign w:val="center"/>
          </w:tcPr>
          <w:p>
            <w:pPr>
              <w:pStyle w:val="22"/>
              <w:bidi w:val="0"/>
              <w:rPr>
                <w:rFonts w:hint="default"/>
                <w:color w:val="auto"/>
                <w:highlight w:val="none"/>
              </w:rPr>
            </w:pPr>
            <w:r>
              <w:rPr>
                <w:rFonts w:hint="default"/>
                <w:color w:val="auto"/>
                <w:highlight w:val="none"/>
              </w:rPr>
              <w:t>3395171.62</w:t>
            </w:r>
          </w:p>
        </w:tc>
        <w:tc>
          <w:tcPr>
            <w:tcW w:w="1772" w:type="dxa"/>
            <w:noWrap w:val="0"/>
            <w:vAlign w:val="center"/>
          </w:tcPr>
          <w:p>
            <w:pPr>
              <w:pStyle w:val="22"/>
              <w:bidi w:val="0"/>
              <w:rPr>
                <w:rFonts w:hint="default"/>
                <w:color w:val="auto"/>
                <w:highlight w:val="none"/>
              </w:rPr>
            </w:pPr>
            <w:r>
              <w:rPr>
                <w:rFonts w:hint="default"/>
                <w:color w:val="auto"/>
                <w:highlight w:val="none"/>
              </w:rPr>
              <w:t>36411451.01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8</w:t>
            </w:r>
          </w:p>
        </w:tc>
        <w:tc>
          <w:tcPr>
            <w:tcW w:w="1587" w:type="dxa"/>
            <w:noWrap w:val="0"/>
            <w:vAlign w:val="center"/>
          </w:tcPr>
          <w:p>
            <w:pPr>
              <w:pStyle w:val="22"/>
              <w:bidi w:val="0"/>
              <w:rPr>
                <w:rFonts w:hint="default"/>
                <w:color w:val="auto"/>
                <w:highlight w:val="none"/>
              </w:rPr>
            </w:pPr>
            <w:r>
              <w:rPr>
                <w:rFonts w:hint="default"/>
                <w:color w:val="auto"/>
                <w:highlight w:val="none"/>
              </w:rPr>
              <w:t>3396099.62</w:t>
            </w:r>
          </w:p>
        </w:tc>
        <w:tc>
          <w:tcPr>
            <w:tcW w:w="1562" w:type="dxa"/>
            <w:noWrap w:val="0"/>
            <w:vAlign w:val="center"/>
          </w:tcPr>
          <w:p>
            <w:pPr>
              <w:pStyle w:val="22"/>
              <w:bidi w:val="0"/>
              <w:rPr>
                <w:rFonts w:hint="default"/>
                <w:color w:val="auto"/>
                <w:highlight w:val="none"/>
              </w:rPr>
            </w:pPr>
            <w:r>
              <w:rPr>
                <w:rFonts w:hint="default"/>
                <w:color w:val="auto"/>
                <w:highlight w:val="none"/>
              </w:rPr>
              <w:t>36412193.99</w:t>
            </w:r>
          </w:p>
        </w:tc>
        <w:tc>
          <w:tcPr>
            <w:tcW w:w="867" w:type="dxa"/>
            <w:noWrap w:val="0"/>
            <w:vAlign w:val="top"/>
          </w:tcPr>
          <w:p>
            <w:pPr>
              <w:pStyle w:val="22"/>
              <w:bidi w:val="0"/>
              <w:rPr>
                <w:rFonts w:hint="default"/>
                <w:color w:val="auto"/>
                <w:highlight w:val="none"/>
              </w:rPr>
            </w:pPr>
            <w:r>
              <w:rPr>
                <w:rFonts w:hint="default"/>
                <w:color w:val="auto"/>
                <w:highlight w:val="none"/>
              </w:rPr>
              <w:t>18</w:t>
            </w:r>
          </w:p>
        </w:tc>
        <w:tc>
          <w:tcPr>
            <w:tcW w:w="1710" w:type="dxa"/>
            <w:noWrap w:val="0"/>
            <w:vAlign w:val="center"/>
          </w:tcPr>
          <w:p>
            <w:pPr>
              <w:pStyle w:val="22"/>
              <w:bidi w:val="0"/>
              <w:rPr>
                <w:rFonts w:hint="default"/>
                <w:color w:val="auto"/>
                <w:highlight w:val="none"/>
              </w:rPr>
            </w:pPr>
            <w:r>
              <w:rPr>
                <w:rFonts w:hint="default"/>
                <w:color w:val="auto"/>
                <w:highlight w:val="none"/>
              </w:rPr>
              <w:t>3394909.63</w:t>
            </w:r>
          </w:p>
        </w:tc>
        <w:tc>
          <w:tcPr>
            <w:tcW w:w="1772" w:type="dxa"/>
            <w:noWrap w:val="0"/>
            <w:vAlign w:val="center"/>
          </w:tcPr>
          <w:p>
            <w:pPr>
              <w:pStyle w:val="22"/>
              <w:bidi w:val="0"/>
              <w:rPr>
                <w:rFonts w:hint="default"/>
                <w:color w:val="auto"/>
                <w:highlight w:val="none"/>
              </w:rPr>
            </w:pPr>
            <w:r>
              <w:rPr>
                <w:rFonts w:hint="default"/>
                <w:color w:val="auto"/>
                <w:highlight w:val="none"/>
              </w:rPr>
              <w:t>36411299.01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9</w:t>
            </w:r>
          </w:p>
        </w:tc>
        <w:tc>
          <w:tcPr>
            <w:tcW w:w="1587" w:type="dxa"/>
            <w:noWrap w:val="0"/>
            <w:vAlign w:val="center"/>
          </w:tcPr>
          <w:p>
            <w:pPr>
              <w:pStyle w:val="22"/>
              <w:bidi w:val="0"/>
              <w:rPr>
                <w:rFonts w:hint="default"/>
                <w:color w:val="auto"/>
                <w:highlight w:val="none"/>
              </w:rPr>
            </w:pPr>
            <w:r>
              <w:rPr>
                <w:rFonts w:hint="default"/>
                <w:color w:val="auto"/>
                <w:highlight w:val="none"/>
              </w:rPr>
              <w:t>3396009.63</w:t>
            </w:r>
          </w:p>
        </w:tc>
        <w:tc>
          <w:tcPr>
            <w:tcW w:w="1562" w:type="dxa"/>
            <w:noWrap w:val="0"/>
            <w:vAlign w:val="center"/>
          </w:tcPr>
          <w:p>
            <w:pPr>
              <w:pStyle w:val="22"/>
              <w:bidi w:val="0"/>
              <w:rPr>
                <w:rFonts w:hint="default"/>
                <w:color w:val="auto"/>
                <w:highlight w:val="none"/>
              </w:rPr>
            </w:pPr>
            <w:r>
              <w:rPr>
                <w:rFonts w:hint="default"/>
                <w:color w:val="auto"/>
                <w:highlight w:val="none"/>
              </w:rPr>
              <w:t>36412358.99</w:t>
            </w:r>
          </w:p>
        </w:tc>
        <w:tc>
          <w:tcPr>
            <w:tcW w:w="867" w:type="dxa"/>
            <w:noWrap w:val="0"/>
            <w:vAlign w:val="top"/>
          </w:tcPr>
          <w:p>
            <w:pPr>
              <w:pStyle w:val="22"/>
              <w:bidi w:val="0"/>
              <w:rPr>
                <w:rFonts w:hint="default"/>
                <w:color w:val="auto"/>
                <w:highlight w:val="none"/>
              </w:rPr>
            </w:pPr>
            <w:r>
              <w:rPr>
                <w:rFonts w:hint="default"/>
                <w:color w:val="auto"/>
                <w:highlight w:val="none"/>
              </w:rPr>
              <w:t>19</w:t>
            </w:r>
          </w:p>
        </w:tc>
        <w:tc>
          <w:tcPr>
            <w:tcW w:w="1710" w:type="dxa"/>
            <w:noWrap w:val="0"/>
            <w:vAlign w:val="center"/>
          </w:tcPr>
          <w:p>
            <w:pPr>
              <w:pStyle w:val="22"/>
              <w:bidi w:val="0"/>
              <w:rPr>
                <w:rFonts w:hint="default"/>
                <w:color w:val="auto"/>
                <w:highlight w:val="none"/>
              </w:rPr>
            </w:pPr>
            <w:r>
              <w:rPr>
                <w:rFonts w:hint="default"/>
                <w:color w:val="auto"/>
                <w:highlight w:val="none"/>
              </w:rPr>
              <w:t>3395039.62</w:t>
            </w:r>
          </w:p>
        </w:tc>
        <w:tc>
          <w:tcPr>
            <w:tcW w:w="1772" w:type="dxa"/>
            <w:noWrap w:val="0"/>
            <w:vAlign w:val="center"/>
          </w:tcPr>
          <w:p>
            <w:pPr>
              <w:pStyle w:val="22"/>
              <w:bidi w:val="0"/>
              <w:rPr>
                <w:rFonts w:hint="default"/>
                <w:color w:val="auto"/>
                <w:highlight w:val="none"/>
              </w:rPr>
            </w:pPr>
            <w:r>
              <w:rPr>
                <w:rFonts w:hint="default"/>
                <w:color w:val="auto"/>
                <w:highlight w:val="none"/>
              </w:rPr>
              <w:t>36411099.01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top"/>
          </w:tcPr>
          <w:p>
            <w:pPr>
              <w:pStyle w:val="22"/>
              <w:bidi w:val="0"/>
              <w:rPr>
                <w:rFonts w:hint="default"/>
                <w:color w:val="auto"/>
                <w:highlight w:val="none"/>
              </w:rPr>
            </w:pPr>
            <w:r>
              <w:rPr>
                <w:rFonts w:hint="default"/>
                <w:color w:val="auto"/>
                <w:highlight w:val="none"/>
              </w:rPr>
              <w:t>10</w:t>
            </w:r>
          </w:p>
        </w:tc>
        <w:tc>
          <w:tcPr>
            <w:tcW w:w="1587" w:type="dxa"/>
            <w:noWrap w:val="0"/>
            <w:vAlign w:val="center"/>
          </w:tcPr>
          <w:p>
            <w:pPr>
              <w:pStyle w:val="22"/>
              <w:bidi w:val="0"/>
              <w:rPr>
                <w:rFonts w:hint="default"/>
                <w:color w:val="auto"/>
                <w:highlight w:val="none"/>
              </w:rPr>
            </w:pPr>
            <w:r>
              <w:rPr>
                <w:rFonts w:hint="default"/>
                <w:color w:val="auto"/>
                <w:highlight w:val="none"/>
              </w:rPr>
              <w:t>3395782.63</w:t>
            </w:r>
          </w:p>
        </w:tc>
        <w:tc>
          <w:tcPr>
            <w:tcW w:w="1562" w:type="dxa"/>
            <w:noWrap w:val="0"/>
            <w:vAlign w:val="center"/>
          </w:tcPr>
          <w:p>
            <w:pPr>
              <w:pStyle w:val="22"/>
              <w:bidi w:val="0"/>
              <w:rPr>
                <w:rFonts w:hint="default"/>
                <w:color w:val="auto"/>
                <w:highlight w:val="none"/>
              </w:rPr>
            </w:pPr>
            <w:r>
              <w:rPr>
                <w:rFonts w:hint="default"/>
                <w:color w:val="auto"/>
                <w:highlight w:val="none"/>
              </w:rPr>
              <w:t>36412222.99</w:t>
            </w:r>
          </w:p>
        </w:tc>
        <w:tc>
          <w:tcPr>
            <w:tcW w:w="867" w:type="dxa"/>
            <w:noWrap w:val="0"/>
            <w:vAlign w:val="center"/>
          </w:tcPr>
          <w:p>
            <w:pPr>
              <w:pStyle w:val="22"/>
              <w:bidi w:val="0"/>
              <w:rPr>
                <w:rFonts w:hint="default"/>
                <w:color w:val="auto"/>
                <w:highlight w:val="none"/>
              </w:rPr>
            </w:pPr>
            <w:r>
              <w:rPr>
                <w:rFonts w:hint="default"/>
                <w:color w:val="auto"/>
                <w:highlight w:val="none"/>
              </w:rPr>
              <w:t>20</w:t>
            </w:r>
          </w:p>
        </w:tc>
        <w:tc>
          <w:tcPr>
            <w:tcW w:w="1710" w:type="dxa"/>
            <w:noWrap w:val="0"/>
            <w:vAlign w:val="center"/>
          </w:tcPr>
          <w:p>
            <w:pPr>
              <w:pStyle w:val="22"/>
              <w:bidi w:val="0"/>
              <w:rPr>
                <w:rFonts w:hint="default"/>
                <w:color w:val="auto"/>
                <w:highlight w:val="none"/>
              </w:rPr>
            </w:pPr>
            <w:r>
              <w:rPr>
                <w:rFonts w:hint="default"/>
                <w:color w:val="auto"/>
                <w:highlight w:val="none"/>
              </w:rPr>
              <w:t>3395201.62</w:t>
            </w:r>
          </w:p>
        </w:tc>
        <w:tc>
          <w:tcPr>
            <w:tcW w:w="1772" w:type="dxa"/>
            <w:noWrap w:val="0"/>
            <w:vAlign w:val="center"/>
          </w:tcPr>
          <w:p>
            <w:pPr>
              <w:pStyle w:val="22"/>
              <w:bidi w:val="0"/>
              <w:rPr>
                <w:rFonts w:hint="default"/>
                <w:color w:val="auto"/>
                <w:highlight w:val="none"/>
              </w:rPr>
            </w:pPr>
            <w:r>
              <w:rPr>
                <w:rFonts w:hint="default"/>
                <w:color w:val="auto"/>
                <w:highlight w:val="none"/>
              </w:rPr>
              <w:t>36411193.01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矿权面积2.5629km</w:t>
            </w:r>
            <w:r>
              <w:rPr>
                <w:rFonts w:hint="default"/>
                <w:color w:val="auto"/>
                <w:highlight w:val="none"/>
                <w:vertAlign w:val="superscript"/>
              </w:rPr>
              <w:t>2</w:t>
            </w:r>
            <w:r>
              <w:rPr>
                <w:rFonts w:hint="default"/>
                <w:color w:val="auto"/>
                <w:highlight w:val="none"/>
              </w:rPr>
              <w:t>，开采标高+850m～+300m，开采三夹连、内连、硬炭、独连煤层。为2000国家大地坐标系。</w:t>
            </w:r>
          </w:p>
        </w:tc>
      </w:tr>
    </w:tbl>
    <w:p>
      <w:pPr>
        <w:adjustRightInd w:val="0"/>
        <w:snapToGrid w:val="0"/>
        <w:spacing w:line="360" w:lineRule="auto"/>
        <w:ind w:firstLine="480" w:firstLineChars="200"/>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z w:val="24"/>
          <w:szCs w:val="24"/>
          <w:highlight w:val="none"/>
        </w:rPr>
        <w:t>截止2020年12月，矿井累计查明资源量362.11万吨。其中消耗157.45万吨；保有资源量204.66万吨，其中控制资源量76.36万吨，推断资源量128.30万吨。</w:t>
      </w:r>
    </w:p>
    <w:p>
      <w:pPr>
        <w:bidi w:val="0"/>
        <w:rPr>
          <w:rFonts w:hint="default"/>
          <w:color w:val="auto"/>
          <w:highlight w:val="none"/>
          <w:lang w:val="en-US" w:eastAsia="zh-CN"/>
        </w:rPr>
      </w:pPr>
      <w:r>
        <w:rPr>
          <w:rFonts w:hint="default"/>
          <w:color w:val="auto"/>
          <w:highlight w:val="none"/>
          <w:lang w:val="en-US" w:eastAsia="zh-CN"/>
        </w:rPr>
        <w:t>6、新桥红星煤矿</w:t>
      </w:r>
    </w:p>
    <w:p>
      <w:pPr>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（1）新桥红星煤矿现有矿权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大竹县新桥红星煤矿</w:t>
      </w:r>
      <w:r>
        <w:rPr>
          <w:rFonts w:hint="default" w:ascii="Times New Roman" w:hAnsi="Times New Roman" w:cs="Times New Roman"/>
          <w:color w:val="auto"/>
          <w:sz w:val="24"/>
          <w:szCs w:val="24"/>
          <w:highlight w:val="none"/>
        </w:rPr>
        <w:t>于2012年4月1日取得由原四川省国土资源厅颁发采矿许可证，证号：C5100002009031120007169，有效期限自2012年2月26日至2022年4月1日，批准开采五大连煤层，开采标高+377m～±0m，生产规模9万吨/年。矿权范围由8个拐点圈定（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-6），面积2.0817km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-6      新桥红星煤矿现有矿权范围拐点坐标表（2000坐标系）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3"/>
        <w:gridCol w:w="1900"/>
        <w:gridCol w:w="1701"/>
        <w:gridCol w:w="850"/>
        <w:gridCol w:w="155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blHeader/>
          <w:jc w:val="center"/>
        </w:trPr>
        <w:tc>
          <w:tcPr>
            <w:tcW w:w="773"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拐点号</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横坐标(X)</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纵坐标(Y)</w:t>
            </w:r>
          </w:p>
        </w:tc>
        <w:tc>
          <w:tcPr>
            <w:tcW w:w="85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拐点号</w:t>
            </w:r>
          </w:p>
        </w:tc>
        <w:tc>
          <w:tcPr>
            <w:tcW w:w="1559"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横坐标(X)</w:t>
            </w:r>
          </w:p>
        </w:tc>
        <w:tc>
          <w:tcPr>
            <w:tcW w:w="148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3385149</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36409349</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5</w:t>
            </w:r>
          </w:p>
        </w:tc>
        <w:tc>
          <w:tcPr>
            <w:tcW w:w="1559"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3387574</w:t>
            </w:r>
          </w:p>
        </w:tc>
        <w:tc>
          <w:tcPr>
            <w:tcW w:w="148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36411249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3385949</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36409674</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6</w:t>
            </w:r>
          </w:p>
        </w:tc>
        <w:tc>
          <w:tcPr>
            <w:tcW w:w="1559"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3386384</w:t>
            </w:r>
          </w:p>
        </w:tc>
        <w:tc>
          <w:tcPr>
            <w:tcW w:w="148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36410669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3386949</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36410139</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7</w:t>
            </w:r>
          </w:p>
        </w:tc>
        <w:tc>
          <w:tcPr>
            <w:tcW w:w="1559"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3385509</w:t>
            </w:r>
          </w:p>
        </w:tc>
        <w:tc>
          <w:tcPr>
            <w:tcW w:w="148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36410209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3387864</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36410569</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8</w:t>
            </w:r>
          </w:p>
        </w:tc>
        <w:tc>
          <w:tcPr>
            <w:tcW w:w="1559"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3384899</w:t>
            </w:r>
          </w:p>
        </w:tc>
        <w:tc>
          <w:tcPr>
            <w:tcW w:w="148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36409929</w:t>
            </w:r>
          </w:p>
        </w:tc>
      </w:tr>
    </w:tbl>
    <w:p>
      <w:pPr>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（2）新桥红星煤矿规划矿权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根据2017年省煤矿兼并重组办、省煤炭化解过剩产能办《关于大竹县新桥红星煤矿实施减量重组的批复》（川煤重组办函〔2017〕36号）文批复重组方案。即</w:t>
      </w:r>
      <w:r>
        <w:rPr>
          <w:rFonts w:hint="default" w:ascii="Times New Roman" w:hAnsi="Times New Roman" w:cs="Times New Roman"/>
          <w:color w:val="auto"/>
          <w:sz w:val="24"/>
          <w:szCs w:val="24"/>
          <w:highlight w:val="none"/>
          <w:u w:val="single"/>
        </w:rPr>
        <w:t>以红星煤矿为主体矿，实施异地减量化兼并重组达州市宣汉巫山峡煤矿</w:t>
      </w:r>
      <w:r>
        <w:rPr>
          <w:rFonts w:hint="default" w:ascii="Times New Roman" w:hAnsi="Times New Roman" w:cs="Times New Roman"/>
          <w:color w:val="auto"/>
          <w:sz w:val="24"/>
          <w:szCs w:val="24"/>
          <w:highlight w:val="none"/>
        </w:rPr>
        <w:t>。巫山峡煤矿为被兼并煤矿，重组后已于2017年12月关闭退出。兼并重组后新桥红星煤矿矿权范围由9个拐点坐标圈闭（详见表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-7），开采深度+377m～-200m，面积3.0898km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，开采五大连煤层。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截至2020年3月31日，</w:t>
      </w:r>
      <w:r>
        <w:rPr>
          <w:rFonts w:hint="default" w:ascii="Times New Roman" w:hAnsi="Times New Roman" w:cs="Times New Roman"/>
          <w:color w:val="auto"/>
          <w:kern w:val="0"/>
          <w:sz w:val="24"/>
          <w:szCs w:val="24"/>
          <w:highlight w:val="none"/>
        </w:rPr>
        <w:t>新桥红星煤矿</w:t>
      </w:r>
      <w:r>
        <w:rPr>
          <w:rFonts w:hint="default" w:ascii="Times New Roman" w:hAnsi="Times New Roman" w:cs="Times New Roman"/>
          <w:color w:val="auto"/>
          <w:sz w:val="24"/>
          <w:szCs w:val="24"/>
          <w:highlight w:val="none"/>
        </w:rPr>
        <w:t>合计查明资源量486.10万吨，动用资源量115.80万吨；保有资源量370.30万吨，其中控制资源量239.80万吨，推断资源量130.50万吨。</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-7       新桥红星煤矿规划矿权范围拐点坐标表（2000坐标系）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587"/>
        <w:gridCol w:w="1562"/>
        <w:gridCol w:w="867"/>
        <w:gridCol w:w="1710"/>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dxa"/>
            <w:noWrap w:val="0"/>
            <w:vAlign w:val="center"/>
          </w:tcPr>
          <w:p>
            <w:pPr>
              <w:pStyle w:val="22"/>
              <w:bidi w:val="0"/>
              <w:rPr>
                <w:rFonts w:hint="default"/>
                <w:color w:val="auto"/>
                <w:highlight w:val="none"/>
              </w:rPr>
            </w:pPr>
            <w:r>
              <w:rPr>
                <w:rFonts w:hint="default"/>
                <w:color w:val="auto"/>
                <w:highlight w:val="none"/>
              </w:rPr>
              <w:t>拐点号</w:t>
            </w:r>
          </w:p>
        </w:tc>
        <w:tc>
          <w:tcPr>
            <w:tcW w:w="1587" w:type="dxa"/>
            <w:noWrap w:val="0"/>
            <w:vAlign w:val="center"/>
          </w:tcPr>
          <w:p>
            <w:pPr>
              <w:pStyle w:val="22"/>
              <w:bidi w:val="0"/>
              <w:rPr>
                <w:rFonts w:hint="default"/>
                <w:color w:val="auto"/>
                <w:highlight w:val="none"/>
              </w:rPr>
            </w:pPr>
            <w:r>
              <w:rPr>
                <w:rFonts w:hint="default"/>
                <w:color w:val="auto"/>
                <w:highlight w:val="none"/>
              </w:rPr>
              <w:t>横坐标(X)</w:t>
            </w:r>
          </w:p>
        </w:tc>
        <w:tc>
          <w:tcPr>
            <w:tcW w:w="1562" w:type="dxa"/>
            <w:noWrap w:val="0"/>
            <w:vAlign w:val="center"/>
          </w:tcPr>
          <w:p>
            <w:pPr>
              <w:pStyle w:val="22"/>
              <w:bidi w:val="0"/>
              <w:rPr>
                <w:rFonts w:hint="default"/>
                <w:color w:val="auto"/>
                <w:highlight w:val="none"/>
              </w:rPr>
            </w:pPr>
            <w:r>
              <w:rPr>
                <w:rFonts w:hint="default"/>
                <w:color w:val="auto"/>
                <w:highlight w:val="none"/>
              </w:rPr>
              <w:t>纵坐标(Y)</w:t>
            </w:r>
          </w:p>
        </w:tc>
        <w:tc>
          <w:tcPr>
            <w:tcW w:w="867" w:type="dxa"/>
            <w:noWrap w:val="0"/>
            <w:vAlign w:val="center"/>
          </w:tcPr>
          <w:p>
            <w:pPr>
              <w:pStyle w:val="22"/>
              <w:bidi w:val="0"/>
              <w:rPr>
                <w:rFonts w:hint="default"/>
                <w:color w:val="auto"/>
                <w:highlight w:val="none"/>
              </w:rPr>
            </w:pPr>
            <w:r>
              <w:rPr>
                <w:rFonts w:hint="default"/>
                <w:color w:val="auto"/>
                <w:highlight w:val="none"/>
              </w:rPr>
              <w:t>拐点号</w:t>
            </w:r>
          </w:p>
        </w:tc>
        <w:tc>
          <w:tcPr>
            <w:tcW w:w="1710" w:type="dxa"/>
            <w:noWrap w:val="0"/>
            <w:vAlign w:val="center"/>
          </w:tcPr>
          <w:p>
            <w:pPr>
              <w:pStyle w:val="22"/>
              <w:bidi w:val="0"/>
              <w:rPr>
                <w:rFonts w:hint="default"/>
                <w:color w:val="auto"/>
                <w:highlight w:val="none"/>
              </w:rPr>
            </w:pPr>
            <w:r>
              <w:rPr>
                <w:rFonts w:hint="default"/>
                <w:color w:val="auto"/>
                <w:highlight w:val="none"/>
              </w:rPr>
              <w:t>横坐标(X)</w:t>
            </w:r>
          </w:p>
        </w:tc>
        <w:tc>
          <w:tcPr>
            <w:tcW w:w="1772"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center"/>
          </w:tcPr>
          <w:p>
            <w:pPr>
              <w:pStyle w:val="22"/>
              <w:bidi w:val="0"/>
              <w:rPr>
                <w:rFonts w:hint="default"/>
                <w:color w:val="auto"/>
                <w:highlight w:val="none"/>
              </w:rPr>
            </w:pPr>
            <w:r>
              <w:rPr>
                <w:rFonts w:hint="default"/>
                <w:color w:val="auto"/>
                <w:highlight w:val="none"/>
              </w:rPr>
              <w:t>1</w:t>
            </w:r>
          </w:p>
        </w:tc>
        <w:tc>
          <w:tcPr>
            <w:tcW w:w="1587" w:type="dxa"/>
            <w:noWrap w:val="0"/>
            <w:vAlign w:val="center"/>
          </w:tcPr>
          <w:p>
            <w:pPr>
              <w:pStyle w:val="22"/>
              <w:bidi w:val="0"/>
              <w:rPr>
                <w:rFonts w:hint="default"/>
                <w:color w:val="auto"/>
                <w:highlight w:val="none"/>
              </w:rPr>
            </w:pPr>
            <w:r>
              <w:rPr>
                <w:rFonts w:hint="default"/>
                <w:color w:val="auto"/>
                <w:highlight w:val="none"/>
              </w:rPr>
              <w:t>3385149</w:t>
            </w:r>
          </w:p>
        </w:tc>
        <w:tc>
          <w:tcPr>
            <w:tcW w:w="1562" w:type="dxa"/>
            <w:noWrap w:val="0"/>
            <w:vAlign w:val="center"/>
          </w:tcPr>
          <w:p>
            <w:pPr>
              <w:pStyle w:val="22"/>
              <w:bidi w:val="0"/>
              <w:rPr>
                <w:rFonts w:hint="default"/>
                <w:color w:val="auto"/>
                <w:highlight w:val="none"/>
              </w:rPr>
            </w:pPr>
            <w:r>
              <w:rPr>
                <w:rFonts w:hint="default"/>
                <w:color w:val="auto"/>
                <w:highlight w:val="none"/>
              </w:rPr>
              <w:t>36409349</w:t>
            </w:r>
          </w:p>
        </w:tc>
        <w:tc>
          <w:tcPr>
            <w:tcW w:w="867" w:type="dxa"/>
            <w:noWrap w:val="0"/>
            <w:vAlign w:val="center"/>
          </w:tcPr>
          <w:p>
            <w:pPr>
              <w:pStyle w:val="22"/>
              <w:bidi w:val="0"/>
              <w:rPr>
                <w:rFonts w:hint="default"/>
                <w:color w:val="auto"/>
                <w:highlight w:val="none"/>
              </w:rPr>
            </w:pPr>
            <w:r>
              <w:rPr>
                <w:rFonts w:hint="default"/>
                <w:color w:val="auto"/>
                <w:highlight w:val="none"/>
              </w:rPr>
              <w:t>6</w:t>
            </w:r>
          </w:p>
        </w:tc>
        <w:tc>
          <w:tcPr>
            <w:tcW w:w="1710" w:type="dxa"/>
            <w:noWrap w:val="0"/>
            <w:vAlign w:val="center"/>
          </w:tcPr>
          <w:p>
            <w:pPr>
              <w:pStyle w:val="22"/>
              <w:bidi w:val="0"/>
              <w:rPr>
                <w:rFonts w:hint="default"/>
                <w:color w:val="auto"/>
                <w:highlight w:val="none"/>
              </w:rPr>
            </w:pPr>
            <w:r>
              <w:rPr>
                <w:rFonts w:hint="default"/>
                <w:color w:val="auto"/>
                <w:highlight w:val="none"/>
              </w:rPr>
              <w:t>3386893</w:t>
            </w:r>
          </w:p>
        </w:tc>
        <w:tc>
          <w:tcPr>
            <w:tcW w:w="1772" w:type="dxa"/>
            <w:noWrap w:val="0"/>
            <w:vAlign w:val="center"/>
          </w:tcPr>
          <w:p>
            <w:pPr>
              <w:pStyle w:val="22"/>
              <w:bidi w:val="0"/>
              <w:rPr>
                <w:rFonts w:hint="default"/>
                <w:color w:val="auto"/>
                <w:highlight w:val="none"/>
              </w:rPr>
            </w:pPr>
            <w:r>
              <w:rPr>
                <w:rFonts w:hint="default"/>
                <w:color w:val="auto"/>
                <w:highlight w:val="none"/>
              </w:rPr>
              <w:t>36411305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center"/>
          </w:tcPr>
          <w:p>
            <w:pPr>
              <w:pStyle w:val="22"/>
              <w:bidi w:val="0"/>
              <w:rPr>
                <w:rFonts w:hint="default"/>
                <w:color w:val="auto"/>
                <w:highlight w:val="none"/>
              </w:rPr>
            </w:pPr>
            <w:r>
              <w:rPr>
                <w:rFonts w:hint="default"/>
                <w:color w:val="auto"/>
                <w:highlight w:val="none"/>
              </w:rPr>
              <w:t>2</w:t>
            </w:r>
          </w:p>
        </w:tc>
        <w:tc>
          <w:tcPr>
            <w:tcW w:w="1587" w:type="dxa"/>
            <w:noWrap w:val="0"/>
            <w:vAlign w:val="center"/>
          </w:tcPr>
          <w:p>
            <w:pPr>
              <w:pStyle w:val="22"/>
              <w:bidi w:val="0"/>
              <w:rPr>
                <w:rFonts w:hint="default"/>
                <w:color w:val="auto"/>
                <w:highlight w:val="none"/>
              </w:rPr>
            </w:pPr>
            <w:r>
              <w:rPr>
                <w:rFonts w:hint="default"/>
                <w:color w:val="auto"/>
                <w:highlight w:val="none"/>
              </w:rPr>
              <w:t>3385949</w:t>
            </w:r>
          </w:p>
        </w:tc>
        <w:tc>
          <w:tcPr>
            <w:tcW w:w="1562" w:type="dxa"/>
            <w:noWrap w:val="0"/>
            <w:vAlign w:val="center"/>
          </w:tcPr>
          <w:p>
            <w:pPr>
              <w:pStyle w:val="22"/>
              <w:bidi w:val="0"/>
              <w:rPr>
                <w:rFonts w:hint="default"/>
                <w:color w:val="auto"/>
                <w:highlight w:val="none"/>
              </w:rPr>
            </w:pPr>
            <w:r>
              <w:rPr>
                <w:rFonts w:hint="default"/>
                <w:color w:val="auto"/>
                <w:highlight w:val="none"/>
              </w:rPr>
              <w:t>36409674</w:t>
            </w:r>
          </w:p>
        </w:tc>
        <w:tc>
          <w:tcPr>
            <w:tcW w:w="867" w:type="dxa"/>
            <w:noWrap w:val="0"/>
            <w:vAlign w:val="center"/>
          </w:tcPr>
          <w:p>
            <w:pPr>
              <w:pStyle w:val="22"/>
              <w:bidi w:val="0"/>
              <w:rPr>
                <w:rFonts w:hint="default"/>
                <w:color w:val="auto"/>
                <w:highlight w:val="none"/>
              </w:rPr>
            </w:pPr>
            <w:r>
              <w:rPr>
                <w:rFonts w:hint="default"/>
                <w:color w:val="auto"/>
                <w:highlight w:val="none"/>
              </w:rPr>
              <w:t>7</w:t>
            </w:r>
          </w:p>
        </w:tc>
        <w:tc>
          <w:tcPr>
            <w:tcW w:w="1710" w:type="dxa"/>
            <w:noWrap w:val="0"/>
            <w:vAlign w:val="center"/>
          </w:tcPr>
          <w:p>
            <w:pPr>
              <w:pStyle w:val="22"/>
              <w:bidi w:val="0"/>
              <w:rPr>
                <w:rFonts w:hint="default"/>
                <w:color w:val="auto"/>
                <w:highlight w:val="none"/>
              </w:rPr>
            </w:pPr>
            <w:r>
              <w:rPr>
                <w:rFonts w:hint="default"/>
                <w:color w:val="auto"/>
                <w:highlight w:val="none"/>
              </w:rPr>
              <w:t>3385881</w:t>
            </w:r>
          </w:p>
        </w:tc>
        <w:tc>
          <w:tcPr>
            <w:tcW w:w="1772" w:type="dxa"/>
            <w:noWrap w:val="0"/>
            <w:vAlign w:val="center"/>
          </w:tcPr>
          <w:p>
            <w:pPr>
              <w:pStyle w:val="22"/>
              <w:bidi w:val="0"/>
              <w:rPr>
                <w:rFonts w:hint="default"/>
                <w:color w:val="auto"/>
                <w:highlight w:val="none"/>
              </w:rPr>
            </w:pPr>
            <w:r>
              <w:rPr>
                <w:rFonts w:hint="default"/>
                <w:color w:val="auto"/>
                <w:highlight w:val="none"/>
              </w:rPr>
              <w:t>36410808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center"/>
          </w:tcPr>
          <w:p>
            <w:pPr>
              <w:pStyle w:val="22"/>
              <w:bidi w:val="0"/>
              <w:rPr>
                <w:rFonts w:hint="default"/>
                <w:color w:val="auto"/>
                <w:highlight w:val="none"/>
              </w:rPr>
            </w:pPr>
            <w:r>
              <w:rPr>
                <w:rFonts w:hint="default"/>
                <w:color w:val="auto"/>
                <w:highlight w:val="none"/>
              </w:rPr>
              <w:t>3</w:t>
            </w:r>
          </w:p>
        </w:tc>
        <w:tc>
          <w:tcPr>
            <w:tcW w:w="1587" w:type="dxa"/>
            <w:noWrap w:val="0"/>
            <w:vAlign w:val="center"/>
          </w:tcPr>
          <w:p>
            <w:pPr>
              <w:pStyle w:val="22"/>
              <w:bidi w:val="0"/>
              <w:rPr>
                <w:rFonts w:hint="default"/>
                <w:color w:val="auto"/>
                <w:highlight w:val="none"/>
              </w:rPr>
            </w:pPr>
            <w:r>
              <w:rPr>
                <w:rFonts w:hint="default"/>
                <w:color w:val="auto"/>
                <w:highlight w:val="none"/>
              </w:rPr>
              <w:t>3386949</w:t>
            </w:r>
          </w:p>
        </w:tc>
        <w:tc>
          <w:tcPr>
            <w:tcW w:w="1562" w:type="dxa"/>
            <w:noWrap w:val="0"/>
            <w:vAlign w:val="center"/>
          </w:tcPr>
          <w:p>
            <w:pPr>
              <w:pStyle w:val="22"/>
              <w:bidi w:val="0"/>
              <w:rPr>
                <w:rFonts w:hint="default"/>
                <w:color w:val="auto"/>
                <w:highlight w:val="none"/>
              </w:rPr>
            </w:pPr>
            <w:r>
              <w:rPr>
                <w:rFonts w:hint="default"/>
                <w:color w:val="auto"/>
                <w:highlight w:val="none"/>
              </w:rPr>
              <w:t>36410139</w:t>
            </w:r>
          </w:p>
        </w:tc>
        <w:tc>
          <w:tcPr>
            <w:tcW w:w="867" w:type="dxa"/>
            <w:noWrap w:val="0"/>
            <w:vAlign w:val="center"/>
          </w:tcPr>
          <w:p>
            <w:pPr>
              <w:pStyle w:val="22"/>
              <w:bidi w:val="0"/>
              <w:rPr>
                <w:rFonts w:hint="default"/>
                <w:color w:val="auto"/>
                <w:highlight w:val="none"/>
              </w:rPr>
            </w:pPr>
            <w:r>
              <w:rPr>
                <w:rFonts w:hint="default"/>
                <w:color w:val="auto"/>
                <w:highlight w:val="none"/>
              </w:rPr>
              <w:t>8</w:t>
            </w:r>
          </w:p>
        </w:tc>
        <w:tc>
          <w:tcPr>
            <w:tcW w:w="1710" w:type="dxa"/>
            <w:noWrap w:val="0"/>
            <w:vAlign w:val="center"/>
          </w:tcPr>
          <w:p>
            <w:pPr>
              <w:pStyle w:val="22"/>
              <w:bidi w:val="0"/>
              <w:rPr>
                <w:rFonts w:hint="default"/>
                <w:color w:val="auto"/>
                <w:highlight w:val="none"/>
              </w:rPr>
            </w:pPr>
            <w:r>
              <w:rPr>
                <w:rFonts w:hint="default"/>
                <w:color w:val="auto"/>
                <w:highlight w:val="none"/>
              </w:rPr>
              <w:t>3385287</w:t>
            </w:r>
          </w:p>
        </w:tc>
        <w:tc>
          <w:tcPr>
            <w:tcW w:w="1772" w:type="dxa"/>
            <w:noWrap w:val="0"/>
            <w:vAlign w:val="center"/>
          </w:tcPr>
          <w:p>
            <w:pPr>
              <w:pStyle w:val="22"/>
              <w:bidi w:val="0"/>
              <w:rPr>
                <w:rFonts w:hint="default"/>
                <w:color w:val="auto"/>
                <w:highlight w:val="none"/>
              </w:rPr>
            </w:pPr>
            <w:r>
              <w:rPr>
                <w:rFonts w:hint="default"/>
                <w:color w:val="auto"/>
                <w:highlight w:val="none"/>
              </w:rPr>
              <w:t>36410449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center"/>
          </w:tcPr>
          <w:p>
            <w:pPr>
              <w:pStyle w:val="22"/>
              <w:bidi w:val="0"/>
              <w:rPr>
                <w:rFonts w:hint="default"/>
                <w:color w:val="auto"/>
                <w:highlight w:val="none"/>
              </w:rPr>
            </w:pPr>
            <w:r>
              <w:rPr>
                <w:rFonts w:hint="default"/>
                <w:color w:val="auto"/>
                <w:highlight w:val="none"/>
              </w:rPr>
              <w:t>4</w:t>
            </w:r>
          </w:p>
        </w:tc>
        <w:tc>
          <w:tcPr>
            <w:tcW w:w="1587" w:type="dxa"/>
            <w:noWrap w:val="0"/>
            <w:vAlign w:val="center"/>
          </w:tcPr>
          <w:p>
            <w:pPr>
              <w:pStyle w:val="22"/>
              <w:bidi w:val="0"/>
              <w:rPr>
                <w:rFonts w:hint="default"/>
                <w:color w:val="auto"/>
                <w:highlight w:val="none"/>
              </w:rPr>
            </w:pPr>
            <w:r>
              <w:rPr>
                <w:rFonts w:hint="default"/>
                <w:color w:val="auto"/>
                <w:highlight w:val="none"/>
              </w:rPr>
              <w:t>3387864</w:t>
            </w:r>
          </w:p>
        </w:tc>
        <w:tc>
          <w:tcPr>
            <w:tcW w:w="1562" w:type="dxa"/>
            <w:noWrap w:val="0"/>
            <w:vAlign w:val="center"/>
          </w:tcPr>
          <w:p>
            <w:pPr>
              <w:pStyle w:val="22"/>
              <w:bidi w:val="0"/>
              <w:rPr>
                <w:rFonts w:hint="default"/>
                <w:color w:val="auto"/>
                <w:highlight w:val="none"/>
              </w:rPr>
            </w:pPr>
            <w:r>
              <w:rPr>
                <w:rFonts w:hint="default"/>
                <w:color w:val="auto"/>
                <w:highlight w:val="none"/>
              </w:rPr>
              <w:t>36410569</w:t>
            </w:r>
          </w:p>
        </w:tc>
        <w:tc>
          <w:tcPr>
            <w:tcW w:w="867" w:type="dxa"/>
            <w:noWrap w:val="0"/>
            <w:vAlign w:val="center"/>
          </w:tcPr>
          <w:p>
            <w:pPr>
              <w:pStyle w:val="22"/>
              <w:bidi w:val="0"/>
              <w:rPr>
                <w:rFonts w:hint="default"/>
                <w:color w:val="auto"/>
                <w:highlight w:val="none"/>
              </w:rPr>
            </w:pPr>
            <w:r>
              <w:rPr>
                <w:rFonts w:hint="default"/>
                <w:color w:val="auto"/>
                <w:highlight w:val="none"/>
              </w:rPr>
              <w:t>9</w:t>
            </w:r>
          </w:p>
        </w:tc>
        <w:tc>
          <w:tcPr>
            <w:tcW w:w="1710" w:type="dxa"/>
            <w:noWrap w:val="0"/>
            <w:vAlign w:val="center"/>
          </w:tcPr>
          <w:p>
            <w:pPr>
              <w:pStyle w:val="22"/>
              <w:bidi w:val="0"/>
              <w:rPr>
                <w:rFonts w:hint="default"/>
                <w:color w:val="auto"/>
                <w:highlight w:val="none"/>
              </w:rPr>
            </w:pPr>
            <w:r>
              <w:rPr>
                <w:rFonts w:hint="default"/>
                <w:color w:val="auto"/>
                <w:highlight w:val="none"/>
              </w:rPr>
              <w:t>3384757</w:t>
            </w:r>
          </w:p>
        </w:tc>
        <w:tc>
          <w:tcPr>
            <w:tcW w:w="1772" w:type="dxa"/>
            <w:noWrap w:val="0"/>
            <w:vAlign w:val="center"/>
          </w:tcPr>
          <w:p>
            <w:pPr>
              <w:pStyle w:val="22"/>
              <w:bidi w:val="0"/>
              <w:rPr>
                <w:rFonts w:hint="default"/>
                <w:color w:val="auto"/>
                <w:highlight w:val="none"/>
              </w:rPr>
            </w:pPr>
            <w:r>
              <w:rPr>
                <w:rFonts w:hint="default"/>
                <w:color w:val="auto"/>
                <w:highlight w:val="none"/>
              </w:rPr>
              <w:t>36410259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dxa"/>
            <w:noWrap w:val="0"/>
            <w:vAlign w:val="center"/>
          </w:tcPr>
          <w:p>
            <w:pPr>
              <w:pStyle w:val="22"/>
              <w:bidi w:val="0"/>
              <w:rPr>
                <w:rFonts w:hint="default"/>
                <w:color w:val="auto"/>
                <w:highlight w:val="none"/>
              </w:rPr>
            </w:pPr>
            <w:r>
              <w:rPr>
                <w:rFonts w:hint="default"/>
                <w:color w:val="auto"/>
                <w:highlight w:val="none"/>
              </w:rPr>
              <w:t>5</w:t>
            </w:r>
          </w:p>
        </w:tc>
        <w:tc>
          <w:tcPr>
            <w:tcW w:w="1587" w:type="dxa"/>
            <w:noWrap w:val="0"/>
            <w:vAlign w:val="center"/>
          </w:tcPr>
          <w:p>
            <w:pPr>
              <w:pStyle w:val="22"/>
              <w:bidi w:val="0"/>
              <w:rPr>
                <w:rFonts w:hint="default"/>
                <w:color w:val="auto"/>
                <w:highlight w:val="none"/>
              </w:rPr>
            </w:pPr>
            <w:r>
              <w:rPr>
                <w:rFonts w:hint="default"/>
                <w:color w:val="auto"/>
                <w:highlight w:val="none"/>
              </w:rPr>
              <w:t>3387458</w:t>
            </w:r>
          </w:p>
        </w:tc>
        <w:tc>
          <w:tcPr>
            <w:tcW w:w="1562" w:type="dxa"/>
            <w:noWrap w:val="0"/>
            <w:vAlign w:val="center"/>
          </w:tcPr>
          <w:p>
            <w:pPr>
              <w:pStyle w:val="22"/>
              <w:bidi w:val="0"/>
              <w:rPr>
                <w:rFonts w:hint="default"/>
                <w:color w:val="auto"/>
                <w:highlight w:val="none"/>
              </w:rPr>
            </w:pPr>
            <w:r>
              <w:rPr>
                <w:rFonts w:hint="default"/>
                <w:color w:val="auto"/>
                <w:highlight w:val="none"/>
              </w:rPr>
              <w:t>36411521</w:t>
            </w:r>
          </w:p>
        </w:tc>
        <w:tc>
          <w:tcPr>
            <w:tcW w:w="867" w:type="dxa"/>
            <w:noWrap w:val="0"/>
            <w:vAlign w:val="center"/>
          </w:tcPr>
          <w:p>
            <w:pPr>
              <w:pStyle w:val="22"/>
              <w:bidi w:val="0"/>
              <w:rPr>
                <w:rFonts w:hint="default"/>
                <w:color w:val="auto"/>
                <w:highlight w:val="none"/>
              </w:rPr>
            </w:pPr>
          </w:p>
        </w:tc>
        <w:tc>
          <w:tcPr>
            <w:tcW w:w="1710" w:type="dxa"/>
            <w:noWrap w:val="0"/>
            <w:vAlign w:val="center"/>
          </w:tcPr>
          <w:p>
            <w:pPr>
              <w:pStyle w:val="22"/>
              <w:bidi w:val="0"/>
              <w:rPr>
                <w:rFonts w:hint="default"/>
                <w:color w:val="auto"/>
                <w:highlight w:val="none"/>
              </w:rPr>
            </w:pPr>
          </w:p>
        </w:tc>
        <w:tc>
          <w:tcPr>
            <w:tcW w:w="1772"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拟设矿权面积3.0898km</w:t>
            </w:r>
            <w:r>
              <w:rPr>
                <w:rFonts w:hint="default"/>
                <w:color w:val="auto"/>
                <w:highlight w:val="none"/>
                <w:vertAlign w:val="superscript"/>
              </w:rPr>
              <w:t>2</w:t>
            </w:r>
            <w:r>
              <w:rPr>
                <w:rFonts w:hint="default"/>
                <w:color w:val="auto"/>
                <w:highlight w:val="none"/>
              </w:rPr>
              <w:t>，开采标高+377m～-200m，开采五大连煤层。为2000国家大地坐标系。</w:t>
            </w:r>
          </w:p>
        </w:tc>
      </w:tr>
    </w:tbl>
    <w:p>
      <w:pPr>
        <w:pStyle w:val="7"/>
        <w:bidi w:val="0"/>
        <w:rPr>
          <w:rFonts w:hint="default"/>
          <w:color w:val="auto"/>
          <w:highlight w:val="none"/>
          <w:lang w:val="en-US" w:eastAsia="zh-CN"/>
        </w:rPr>
      </w:pPr>
      <w:r>
        <w:rPr>
          <w:rFonts w:hint="default"/>
          <w:color w:val="auto"/>
          <w:highlight w:val="none"/>
          <w:lang w:val="en-US" w:eastAsia="zh-CN"/>
        </w:rPr>
        <w:t>2.1.4.2 中山明月峡矿区</w:t>
      </w:r>
    </w:p>
    <w:p>
      <w:pPr>
        <w:bidi w:val="0"/>
        <w:rPr>
          <w:rFonts w:hint="default"/>
          <w:color w:val="auto"/>
          <w:highlight w:val="none"/>
          <w:lang w:val="en-US" w:eastAsia="zh-CN"/>
        </w:rPr>
      </w:pPr>
      <w:r>
        <w:rPr>
          <w:rFonts w:hint="default"/>
          <w:color w:val="auto"/>
          <w:highlight w:val="none"/>
          <w:lang w:val="en-US" w:eastAsia="zh-CN"/>
        </w:rPr>
        <w:t>1、堡子煤矿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（1）堡子煤矿现有矿权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大竹县堡子矿业有限责任公司堡子煤矿于2014年6月5日领取了由原四川省国土资源厅颁发的采矿许可证，证号：C5100002010121120102584，有效期至2022年6月5日。矿权范围由45个拐点坐标圈闭（详见表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-8），矿权面积2.412km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，批准开采外大连、内大连、蛮炭、四夹连、三夹连、夹子连、泡炭、背影煤层共8层，开采标高+420m～+100m，证载生产能力21万吨/年，核定生产能力为30万吨/年。</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-8       堡子煤矿现有矿权范围拐点坐标表（2000坐标系）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3"/>
        <w:gridCol w:w="1900"/>
        <w:gridCol w:w="1701"/>
        <w:gridCol w:w="850"/>
        <w:gridCol w:w="1418"/>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73"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拐点号</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横坐标(X)</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纵坐标(Y)</w:t>
            </w:r>
          </w:p>
        </w:tc>
        <w:tc>
          <w:tcPr>
            <w:tcW w:w="85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拐点号</w:t>
            </w:r>
          </w:p>
        </w:tc>
        <w:tc>
          <w:tcPr>
            <w:tcW w:w="1418"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横坐标(X)</w:t>
            </w:r>
          </w:p>
        </w:tc>
        <w:tc>
          <w:tcPr>
            <w:tcW w:w="162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w:t>
            </w:r>
          </w:p>
        </w:tc>
        <w:tc>
          <w:tcPr>
            <w:tcW w:w="1900"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3401909.25</w:t>
            </w:r>
          </w:p>
        </w:tc>
        <w:tc>
          <w:tcPr>
            <w:tcW w:w="1701" w:type="dxa"/>
            <w:noWrap w:val="0"/>
            <w:tcMar>
              <w:top w:w="20" w:type="dxa"/>
              <w:left w:w="20" w:type="dxa"/>
              <w:bottom w:w="0" w:type="dxa"/>
              <w:right w:w="20" w:type="dxa"/>
            </w:tcMar>
            <w:vAlign w:val="center"/>
          </w:tcPr>
          <w:p>
            <w:pPr>
              <w:pStyle w:val="22"/>
              <w:bidi w:val="0"/>
              <w:rPr>
                <w:rFonts w:hint="default"/>
                <w:color w:val="auto"/>
                <w:highlight w:val="none"/>
              </w:rPr>
            </w:pPr>
            <w:r>
              <w:rPr>
                <w:rFonts w:hint="default"/>
                <w:color w:val="auto"/>
                <w:highlight w:val="none"/>
              </w:rPr>
              <w:t>36433768.99</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24</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3397060.27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36431829.04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3400599.25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36433362.00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25</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3397519.27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36431976.04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3400597.25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36433369.00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26</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3398063.26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36432139.03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3400162.26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36433229.01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27</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3398315.26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36432209.03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5</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3399619.26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36432999.01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28</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3398454.26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36432256.03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6</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3399379.26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36432909.02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29</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3398574.26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36432362.03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7</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3399305.26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36432884.02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30</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3398945.26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36432459.02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8</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3399299.26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36432909.02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31</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3399119.26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36432505.02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9</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3398439.26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36432719.03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32</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3399341.26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36432555.02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10</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3398199.27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36432639.03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33</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3399498.26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36432608.02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11</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3398210.27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36432599.03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34</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3399650.26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36432679.02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12</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3397429.27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36432457.04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35</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3399842.25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36432788.01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13</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3397449.27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36432419.04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36</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3399967.25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36432854.01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14</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3396904.27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36432264.04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37</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3400139.25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36432918.01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15</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3396171.28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36432044.05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38</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3400424.25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36432981.01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16</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3396174.28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36432034.05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39</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3400796.25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36433086.00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17</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3395689.28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36431889.06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40</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3401288.25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36433262.00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18</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3395849.27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36431564.06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41</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3401578.25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36433362.00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19</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3395989.27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36431589.06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42</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3401770.25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36433435.99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20</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3396039.27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36431469.06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43</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3401933.24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36433508.99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21</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3396224.27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36431569.05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44</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3401927.24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36433527.99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22</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3396224.27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36431561.05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45</w:t>
            </w:r>
          </w:p>
        </w:tc>
        <w:tc>
          <w:tcPr>
            <w:tcW w:w="1418"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3401989.24 </w:t>
            </w:r>
          </w:p>
        </w:tc>
        <w:tc>
          <w:tcPr>
            <w:tcW w:w="162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36433548.99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noWrap w:val="0"/>
            <w:tcMar>
              <w:top w:w="20" w:type="dxa"/>
              <w:left w:w="20" w:type="dxa"/>
              <w:bottom w:w="0" w:type="dxa"/>
              <w:right w:w="20" w:type="dxa"/>
            </w:tcMar>
            <w:vAlign w:val="top"/>
          </w:tcPr>
          <w:p>
            <w:pPr>
              <w:pStyle w:val="22"/>
              <w:bidi w:val="0"/>
              <w:rPr>
                <w:rFonts w:hint="default"/>
                <w:color w:val="auto"/>
                <w:highlight w:val="none"/>
              </w:rPr>
            </w:pPr>
            <w:r>
              <w:rPr>
                <w:rFonts w:hint="default"/>
                <w:color w:val="auto"/>
                <w:highlight w:val="none"/>
              </w:rPr>
              <w:t>23</w:t>
            </w:r>
          </w:p>
        </w:tc>
        <w:tc>
          <w:tcPr>
            <w:tcW w:w="1900"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3397053.27 </w:t>
            </w:r>
          </w:p>
        </w:tc>
        <w:tc>
          <w:tcPr>
            <w:tcW w:w="1701" w:type="dxa"/>
            <w:noWrap w:val="0"/>
            <w:tcMar>
              <w:top w:w="20" w:type="dxa"/>
              <w:left w:w="20" w:type="dxa"/>
              <w:bottom w:w="0" w:type="dxa"/>
              <w:right w:w="20" w:type="dxa"/>
            </w:tcMar>
            <w:vAlign w:val="bottom"/>
          </w:tcPr>
          <w:p>
            <w:pPr>
              <w:pStyle w:val="22"/>
              <w:bidi w:val="0"/>
              <w:rPr>
                <w:rFonts w:hint="default"/>
                <w:color w:val="auto"/>
                <w:highlight w:val="none"/>
              </w:rPr>
            </w:pPr>
            <w:r>
              <w:rPr>
                <w:rFonts w:hint="default"/>
                <w:color w:val="auto"/>
                <w:highlight w:val="none"/>
              </w:rPr>
              <w:t xml:space="preserve">36431848.04 </w:t>
            </w:r>
          </w:p>
        </w:tc>
        <w:tc>
          <w:tcPr>
            <w:tcW w:w="850" w:type="dxa"/>
            <w:noWrap w:val="0"/>
            <w:tcMar>
              <w:top w:w="20" w:type="dxa"/>
              <w:left w:w="20" w:type="dxa"/>
              <w:bottom w:w="0" w:type="dxa"/>
              <w:right w:w="20" w:type="dxa"/>
            </w:tcMar>
            <w:vAlign w:val="top"/>
          </w:tcPr>
          <w:p>
            <w:pPr>
              <w:pStyle w:val="22"/>
              <w:bidi w:val="0"/>
              <w:rPr>
                <w:rFonts w:hint="default"/>
                <w:color w:val="auto"/>
                <w:highlight w:val="none"/>
              </w:rPr>
            </w:pPr>
          </w:p>
        </w:tc>
        <w:tc>
          <w:tcPr>
            <w:tcW w:w="1418" w:type="dxa"/>
            <w:noWrap w:val="0"/>
            <w:tcMar>
              <w:top w:w="20" w:type="dxa"/>
              <w:left w:w="20" w:type="dxa"/>
              <w:bottom w:w="0" w:type="dxa"/>
              <w:right w:w="20" w:type="dxa"/>
            </w:tcMar>
            <w:vAlign w:val="center"/>
          </w:tcPr>
          <w:p>
            <w:pPr>
              <w:pStyle w:val="22"/>
              <w:bidi w:val="0"/>
              <w:rPr>
                <w:rFonts w:hint="default"/>
                <w:color w:val="auto"/>
                <w:highlight w:val="none"/>
              </w:rPr>
            </w:pPr>
          </w:p>
        </w:tc>
        <w:tc>
          <w:tcPr>
            <w:tcW w:w="1621" w:type="dxa"/>
            <w:noWrap w:val="0"/>
            <w:tcMar>
              <w:top w:w="20" w:type="dxa"/>
              <w:left w:w="20" w:type="dxa"/>
              <w:bottom w:w="0" w:type="dxa"/>
              <w:right w:w="20" w:type="dxa"/>
            </w:tcMar>
            <w:vAlign w:val="center"/>
          </w:tcPr>
          <w:p>
            <w:pPr>
              <w:pStyle w:val="22"/>
              <w:bidi w:val="0"/>
              <w:rPr>
                <w:rFonts w:hint="default"/>
                <w:color w:val="auto"/>
                <w:highlight w:val="none"/>
              </w:rPr>
            </w:pP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（2）堡子煤矿规划矿权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原四川省国土资源厅经“川国土资函〔2017〕746号”批复，调整矿权范围由38个拐点坐标圈定，批准开采煤层为夹子连、外大连、内大连、蛮炭、泡炭、三夹连共6层煤，开采标高+420m～-30m。矿权面积2.9573km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。后经大竹县人民政府以“竹府[2020]34号”文同意堡子煤矿扩大矿权范围退出避让大竹县城市集中式饮用水源地乌木水库二级保护区。</w:t>
      </w:r>
      <w:r>
        <w:rPr>
          <w:rFonts w:hint="default" w:ascii="Times New Roman" w:hAnsi="Times New Roman" w:cs="Times New Roman"/>
          <w:color w:val="auto"/>
          <w:sz w:val="24"/>
          <w:szCs w:val="24"/>
          <w:highlight w:val="none"/>
          <w:u w:val="single"/>
        </w:rPr>
        <w:t>规划按退出避让设置采矿权，故堡子煤矿拟调整范围由19个拐点坐标圈闭而成</w:t>
      </w:r>
      <w:r>
        <w:rPr>
          <w:rFonts w:hint="default" w:ascii="Times New Roman" w:hAnsi="Times New Roman" w:cs="Times New Roman"/>
          <w:color w:val="auto"/>
          <w:sz w:val="24"/>
          <w:szCs w:val="24"/>
          <w:highlight w:val="none"/>
        </w:rPr>
        <w:t>（见表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-9），见图</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-3。矿权面积1.6532km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。拟开采煤层为外大连、内大连、蛮炭、三夹连共4层煤，开采标高+420m～-30m。另外规划堡子煤矿设置1个探矿权。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截止2020年8月底，在拟设矿权范围内累计查明资源量688.30万吨，累计动用资源量411.10万吨；拟设矿权范围保有资源量277.20万吨，其中控制资源量265.40万吨，推断资源量11.80万吨。</w:t>
      </w:r>
    </w:p>
    <w:p>
      <w:pPr>
        <w:pStyle w:val="22"/>
        <w:bidi w:val="0"/>
        <w:rPr>
          <w:rFonts w:hint="default" w:ascii="Times New Roman" w:hAnsi="Times New Roman" w:cs="Times New Roman"/>
          <w:b/>
          <w:color w:val="auto"/>
          <w:sz w:val="24"/>
          <w:highlight w:val="none"/>
        </w:rPr>
      </w:pPr>
      <w:r>
        <w:rPr>
          <w:rFonts w:hint="default" w:ascii="Times New Roman" w:hAnsi="Times New Roman" w:cs="Times New Roman"/>
          <w:color w:val="auto"/>
          <w:highlight w:val="none"/>
        </w:rPr>
        <w:object>
          <v:shape id="_x0000_i1028" o:spt="75" type="#_x0000_t75" style="height:65.55pt;width:411.5pt;" o:ole="t" filled="f" stroked="f" coordsize="21600,21600">
            <v:path/>
            <v:fill on="f" focussize="0,0"/>
            <v:stroke on="f"/>
            <v:imagedata r:id="rId30" cropleft="4720f" croptop="21545f" cropright="4286f" cropbottom="25981f" o:title=""/>
            <o:lock v:ext="edit" aspectratio="t"/>
            <w10:wrap type="none"/>
            <w10:anchorlock/>
          </v:shape>
          <o:OLEObject Type="Embed" ProgID="GstarCAD.Drawing.18" ShapeID="_x0000_i1028" DrawAspect="Content" ObjectID="_1468075728" r:id="rId29">
            <o:LockedField>false</o:LockedField>
          </o:OLEObject>
        </w:object>
      </w:r>
      <w:r>
        <w:rPr>
          <w:rFonts w:hint="default" w:ascii="Times New Roman" w:hAnsi="Times New Roman" w:cs="Times New Roman"/>
          <w:b/>
          <w:color w:val="auto"/>
          <w:sz w:val="24"/>
          <w:highlight w:val="none"/>
        </w:rPr>
        <w:t>图</w:t>
      </w:r>
      <w:r>
        <w:rPr>
          <w:rFonts w:hint="default" w:ascii="Times New Roman" w:hAnsi="Times New Roman" w:cs="Times New Roman"/>
          <w:b/>
          <w:color w:val="auto"/>
          <w:sz w:val="24"/>
          <w:highlight w:val="none"/>
          <w:lang w:val="en-US" w:eastAsia="zh-CN"/>
        </w:rPr>
        <w:t>2.1.4-</w:t>
      </w:r>
      <w:r>
        <w:rPr>
          <w:rFonts w:hint="default" w:ascii="Times New Roman" w:hAnsi="Times New Roman" w:cs="Times New Roman"/>
          <w:b/>
          <w:color w:val="auto"/>
          <w:sz w:val="24"/>
          <w:highlight w:val="none"/>
        </w:rPr>
        <w:t>3   堡子煤矿拟调整矿权范围示意图</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-9    堡子煤矿规划矿权范围拐点坐标表（2000坐标系）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1540"/>
        <w:gridCol w:w="1548"/>
        <w:gridCol w:w="1022"/>
        <w:gridCol w:w="1558"/>
        <w:gridCol w:w="1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9" w:type="dxa"/>
            <w:noWrap w:val="0"/>
            <w:vAlign w:val="center"/>
          </w:tcPr>
          <w:p>
            <w:pPr>
              <w:pStyle w:val="22"/>
              <w:bidi w:val="0"/>
              <w:rPr>
                <w:rFonts w:hint="default"/>
                <w:color w:val="auto"/>
                <w:highlight w:val="none"/>
              </w:rPr>
            </w:pPr>
            <w:r>
              <w:rPr>
                <w:rFonts w:hint="default"/>
                <w:color w:val="auto"/>
                <w:highlight w:val="none"/>
              </w:rPr>
              <w:t>拐点号</w:t>
            </w:r>
          </w:p>
        </w:tc>
        <w:tc>
          <w:tcPr>
            <w:tcW w:w="1540" w:type="dxa"/>
            <w:noWrap w:val="0"/>
            <w:vAlign w:val="center"/>
          </w:tcPr>
          <w:p>
            <w:pPr>
              <w:pStyle w:val="22"/>
              <w:bidi w:val="0"/>
              <w:rPr>
                <w:rFonts w:hint="default"/>
                <w:color w:val="auto"/>
                <w:highlight w:val="none"/>
              </w:rPr>
            </w:pPr>
            <w:r>
              <w:rPr>
                <w:rFonts w:hint="default"/>
                <w:color w:val="auto"/>
                <w:highlight w:val="none"/>
              </w:rPr>
              <w:t>横坐标(X)</w:t>
            </w:r>
          </w:p>
        </w:tc>
        <w:tc>
          <w:tcPr>
            <w:tcW w:w="1548" w:type="dxa"/>
            <w:noWrap w:val="0"/>
            <w:vAlign w:val="center"/>
          </w:tcPr>
          <w:p>
            <w:pPr>
              <w:pStyle w:val="22"/>
              <w:bidi w:val="0"/>
              <w:rPr>
                <w:rFonts w:hint="default"/>
                <w:color w:val="auto"/>
                <w:highlight w:val="none"/>
              </w:rPr>
            </w:pPr>
            <w:r>
              <w:rPr>
                <w:rFonts w:hint="default"/>
                <w:color w:val="auto"/>
                <w:highlight w:val="none"/>
              </w:rPr>
              <w:t>纵坐标(Y)</w:t>
            </w:r>
          </w:p>
        </w:tc>
        <w:tc>
          <w:tcPr>
            <w:tcW w:w="1022" w:type="dxa"/>
            <w:noWrap w:val="0"/>
            <w:vAlign w:val="center"/>
          </w:tcPr>
          <w:p>
            <w:pPr>
              <w:pStyle w:val="22"/>
              <w:bidi w:val="0"/>
              <w:rPr>
                <w:rFonts w:hint="default"/>
                <w:color w:val="auto"/>
                <w:highlight w:val="none"/>
              </w:rPr>
            </w:pPr>
            <w:r>
              <w:rPr>
                <w:rFonts w:hint="default"/>
                <w:color w:val="auto"/>
                <w:highlight w:val="none"/>
              </w:rPr>
              <w:t>拐点号</w:t>
            </w:r>
          </w:p>
        </w:tc>
        <w:tc>
          <w:tcPr>
            <w:tcW w:w="1558" w:type="dxa"/>
            <w:noWrap w:val="0"/>
            <w:vAlign w:val="center"/>
          </w:tcPr>
          <w:p>
            <w:pPr>
              <w:pStyle w:val="22"/>
              <w:bidi w:val="0"/>
              <w:rPr>
                <w:rFonts w:hint="default"/>
                <w:color w:val="auto"/>
                <w:highlight w:val="none"/>
              </w:rPr>
            </w:pPr>
            <w:r>
              <w:rPr>
                <w:rFonts w:hint="default"/>
                <w:color w:val="auto"/>
                <w:highlight w:val="none"/>
              </w:rPr>
              <w:t>横坐标(X)</w:t>
            </w:r>
          </w:p>
        </w:tc>
        <w:tc>
          <w:tcPr>
            <w:tcW w:w="1710"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1</w:t>
            </w:r>
          </w:p>
        </w:tc>
        <w:tc>
          <w:tcPr>
            <w:tcW w:w="1540" w:type="dxa"/>
            <w:noWrap w:val="0"/>
            <w:vAlign w:val="center"/>
          </w:tcPr>
          <w:p>
            <w:pPr>
              <w:pStyle w:val="22"/>
              <w:bidi w:val="0"/>
              <w:rPr>
                <w:rFonts w:hint="default"/>
                <w:color w:val="auto"/>
                <w:highlight w:val="none"/>
              </w:rPr>
            </w:pPr>
            <w:r>
              <w:rPr>
                <w:rFonts w:hint="default"/>
                <w:color w:val="auto"/>
                <w:highlight w:val="none"/>
              </w:rPr>
              <w:t>3395689.21</w:t>
            </w:r>
          </w:p>
        </w:tc>
        <w:tc>
          <w:tcPr>
            <w:tcW w:w="1548" w:type="dxa"/>
            <w:noWrap w:val="0"/>
            <w:vAlign w:val="center"/>
          </w:tcPr>
          <w:p>
            <w:pPr>
              <w:pStyle w:val="22"/>
              <w:bidi w:val="0"/>
              <w:rPr>
                <w:rFonts w:hint="default"/>
                <w:color w:val="auto"/>
                <w:highlight w:val="none"/>
              </w:rPr>
            </w:pPr>
            <w:r>
              <w:rPr>
                <w:rFonts w:hint="default"/>
                <w:color w:val="auto"/>
                <w:highlight w:val="none"/>
              </w:rPr>
              <w:t>36431888.98</w:t>
            </w:r>
          </w:p>
        </w:tc>
        <w:tc>
          <w:tcPr>
            <w:tcW w:w="1022" w:type="dxa"/>
            <w:noWrap w:val="0"/>
            <w:vAlign w:val="center"/>
          </w:tcPr>
          <w:p>
            <w:pPr>
              <w:pStyle w:val="22"/>
              <w:bidi w:val="0"/>
              <w:rPr>
                <w:rFonts w:hint="default"/>
                <w:color w:val="auto"/>
                <w:highlight w:val="none"/>
              </w:rPr>
            </w:pPr>
            <w:r>
              <w:rPr>
                <w:rFonts w:hint="default"/>
                <w:color w:val="auto"/>
                <w:highlight w:val="none"/>
              </w:rPr>
              <w:t>11</w:t>
            </w:r>
          </w:p>
        </w:tc>
        <w:tc>
          <w:tcPr>
            <w:tcW w:w="1558" w:type="dxa"/>
            <w:noWrap w:val="0"/>
            <w:vAlign w:val="center"/>
          </w:tcPr>
          <w:p>
            <w:pPr>
              <w:pStyle w:val="22"/>
              <w:bidi w:val="0"/>
              <w:rPr>
                <w:rFonts w:hint="default"/>
                <w:color w:val="auto"/>
                <w:highlight w:val="none"/>
              </w:rPr>
            </w:pPr>
            <w:r>
              <w:rPr>
                <w:rFonts w:hint="default"/>
                <w:color w:val="auto"/>
                <w:highlight w:val="none"/>
              </w:rPr>
              <w:t>3398917.09</w:t>
            </w:r>
          </w:p>
        </w:tc>
        <w:tc>
          <w:tcPr>
            <w:tcW w:w="1710" w:type="dxa"/>
            <w:noWrap w:val="0"/>
            <w:vAlign w:val="center"/>
          </w:tcPr>
          <w:p>
            <w:pPr>
              <w:pStyle w:val="22"/>
              <w:bidi w:val="0"/>
              <w:rPr>
                <w:rFonts w:hint="default"/>
                <w:color w:val="auto"/>
                <w:highlight w:val="none"/>
              </w:rPr>
            </w:pPr>
            <w:r>
              <w:rPr>
                <w:rFonts w:hint="default"/>
                <w:color w:val="auto"/>
                <w:highlight w:val="none"/>
              </w:rPr>
              <w:t>36432367.22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2</w:t>
            </w:r>
          </w:p>
        </w:tc>
        <w:tc>
          <w:tcPr>
            <w:tcW w:w="1540" w:type="dxa"/>
            <w:noWrap w:val="0"/>
            <w:vAlign w:val="center"/>
          </w:tcPr>
          <w:p>
            <w:pPr>
              <w:pStyle w:val="22"/>
              <w:bidi w:val="0"/>
              <w:rPr>
                <w:rFonts w:hint="default"/>
                <w:color w:val="auto"/>
                <w:highlight w:val="none"/>
              </w:rPr>
            </w:pPr>
            <w:r>
              <w:rPr>
                <w:rFonts w:hint="default"/>
                <w:color w:val="auto"/>
                <w:highlight w:val="none"/>
              </w:rPr>
              <w:t>3395809.21</w:t>
            </w:r>
          </w:p>
        </w:tc>
        <w:tc>
          <w:tcPr>
            <w:tcW w:w="1548" w:type="dxa"/>
            <w:noWrap w:val="0"/>
            <w:vAlign w:val="center"/>
          </w:tcPr>
          <w:p>
            <w:pPr>
              <w:pStyle w:val="22"/>
              <w:bidi w:val="0"/>
              <w:rPr>
                <w:rFonts w:hint="default"/>
                <w:color w:val="auto"/>
                <w:highlight w:val="none"/>
              </w:rPr>
            </w:pPr>
            <w:r>
              <w:rPr>
                <w:rFonts w:hint="default"/>
                <w:color w:val="auto"/>
                <w:highlight w:val="none"/>
              </w:rPr>
              <w:t>36431645.98</w:t>
            </w:r>
          </w:p>
        </w:tc>
        <w:tc>
          <w:tcPr>
            <w:tcW w:w="1022" w:type="dxa"/>
            <w:noWrap w:val="0"/>
            <w:vAlign w:val="center"/>
          </w:tcPr>
          <w:p>
            <w:pPr>
              <w:pStyle w:val="22"/>
              <w:bidi w:val="0"/>
              <w:rPr>
                <w:rFonts w:hint="default"/>
                <w:color w:val="auto"/>
                <w:highlight w:val="none"/>
              </w:rPr>
            </w:pPr>
            <w:r>
              <w:rPr>
                <w:rFonts w:hint="default"/>
                <w:color w:val="auto"/>
                <w:highlight w:val="none"/>
              </w:rPr>
              <w:t>12</w:t>
            </w:r>
          </w:p>
        </w:tc>
        <w:tc>
          <w:tcPr>
            <w:tcW w:w="1558" w:type="dxa"/>
            <w:noWrap w:val="0"/>
            <w:vAlign w:val="center"/>
          </w:tcPr>
          <w:p>
            <w:pPr>
              <w:pStyle w:val="22"/>
              <w:bidi w:val="0"/>
              <w:rPr>
                <w:rFonts w:hint="default"/>
                <w:color w:val="auto"/>
                <w:highlight w:val="none"/>
              </w:rPr>
            </w:pPr>
            <w:r>
              <w:rPr>
                <w:rFonts w:hint="default"/>
                <w:color w:val="auto"/>
                <w:highlight w:val="none"/>
              </w:rPr>
              <w:t>3398439.23</w:t>
            </w:r>
          </w:p>
        </w:tc>
        <w:tc>
          <w:tcPr>
            <w:tcW w:w="1710" w:type="dxa"/>
            <w:noWrap w:val="0"/>
            <w:vAlign w:val="center"/>
          </w:tcPr>
          <w:p>
            <w:pPr>
              <w:pStyle w:val="22"/>
              <w:bidi w:val="0"/>
              <w:rPr>
                <w:rFonts w:hint="default"/>
                <w:color w:val="auto"/>
                <w:highlight w:val="none"/>
              </w:rPr>
            </w:pPr>
            <w:r>
              <w:rPr>
                <w:rFonts w:hint="default"/>
                <w:color w:val="auto"/>
                <w:highlight w:val="none"/>
              </w:rPr>
              <w:t>36432718.98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3</w:t>
            </w:r>
          </w:p>
        </w:tc>
        <w:tc>
          <w:tcPr>
            <w:tcW w:w="1540" w:type="dxa"/>
            <w:noWrap w:val="0"/>
            <w:vAlign w:val="center"/>
          </w:tcPr>
          <w:p>
            <w:pPr>
              <w:pStyle w:val="22"/>
              <w:bidi w:val="0"/>
              <w:rPr>
                <w:rFonts w:hint="default"/>
                <w:color w:val="auto"/>
                <w:highlight w:val="none"/>
              </w:rPr>
            </w:pPr>
            <w:r>
              <w:rPr>
                <w:rFonts w:hint="default"/>
                <w:color w:val="auto"/>
                <w:highlight w:val="none"/>
              </w:rPr>
              <w:t>3395954.21</w:t>
            </w:r>
          </w:p>
        </w:tc>
        <w:tc>
          <w:tcPr>
            <w:tcW w:w="1548" w:type="dxa"/>
            <w:noWrap w:val="0"/>
            <w:vAlign w:val="center"/>
          </w:tcPr>
          <w:p>
            <w:pPr>
              <w:pStyle w:val="22"/>
              <w:bidi w:val="0"/>
              <w:rPr>
                <w:rFonts w:hint="default"/>
                <w:color w:val="auto"/>
                <w:highlight w:val="none"/>
              </w:rPr>
            </w:pPr>
            <w:r>
              <w:rPr>
                <w:rFonts w:hint="default"/>
                <w:color w:val="auto"/>
                <w:highlight w:val="none"/>
              </w:rPr>
              <w:t>36431670.98</w:t>
            </w:r>
          </w:p>
        </w:tc>
        <w:tc>
          <w:tcPr>
            <w:tcW w:w="1022" w:type="dxa"/>
            <w:noWrap w:val="0"/>
            <w:vAlign w:val="center"/>
          </w:tcPr>
          <w:p>
            <w:pPr>
              <w:pStyle w:val="22"/>
              <w:bidi w:val="0"/>
              <w:rPr>
                <w:rFonts w:hint="default"/>
                <w:color w:val="auto"/>
                <w:highlight w:val="none"/>
              </w:rPr>
            </w:pPr>
            <w:r>
              <w:rPr>
                <w:rFonts w:hint="default"/>
                <w:color w:val="auto"/>
                <w:highlight w:val="none"/>
              </w:rPr>
              <w:t>13</w:t>
            </w:r>
          </w:p>
        </w:tc>
        <w:tc>
          <w:tcPr>
            <w:tcW w:w="1558" w:type="dxa"/>
            <w:noWrap w:val="0"/>
            <w:vAlign w:val="center"/>
          </w:tcPr>
          <w:p>
            <w:pPr>
              <w:pStyle w:val="22"/>
              <w:bidi w:val="0"/>
              <w:rPr>
                <w:rFonts w:hint="default"/>
                <w:color w:val="auto"/>
                <w:highlight w:val="none"/>
              </w:rPr>
            </w:pPr>
            <w:r>
              <w:rPr>
                <w:rFonts w:hint="default"/>
                <w:color w:val="auto"/>
                <w:highlight w:val="none"/>
              </w:rPr>
              <w:t>3398199.22</w:t>
            </w:r>
          </w:p>
        </w:tc>
        <w:tc>
          <w:tcPr>
            <w:tcW w:w="1710" w:type="dxa"/>
            <w:noWrap w:val="0"/>
            <w:vAlign w:val="center"/>
          </w:tcPr>
          <w:p>
            <w:pPr>
              <w:pStyle w:val="22"/>
              <w:bidi w:val="0"/>
              <w:rPr>
                <w:rFonts w:hint="default"/>
                <w:color w:val="auto"/>
                <w:highlight w:val="none"/>
              </w:rPr>
            </w:pPr>
            <w:r>
              <w:rPr>
                <w:rFonts w:hint="default"/>
                <w:color w:val="auto"/>
                <w:highlight w:val="none"/>
              </w:rPr>
              <w:t>36432638.98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4</w:t>
            </w:r>
          </w:p>
        </w:tc>
        <w:tc>
          <w:tcPr>
            <w:tcW w:w="1540" w:type="dxa"/>
            <w:noWrap w:val="0"/>
            <w:vAlign w:val="center"/>
          </w:tcPr>
          <w:p>
            <w:pPr>
              <w:pStyle w:val="22"/>
              <w:bidi w:val="0"/>
              <w:rPr>
                <w:rFonts w:hint="default"/>
                <w:color w:val="auto"/>
                <w:highlight w:val="none"/>
              </w:rPr>
            </w:pPr>
            <w:r>
              <w:rPr>
                <w:rFonts w:hint="default"/>
                <w:color w:val="auto"/>
                <w:highlight w:val="none"/>
              </w:rPr>
              <w:t>3396092.21</w:t>
            </w:r>
          </w:p>
        </w:tc>
        <w:tc>
          <w:tcPr>
            <w:tcW w:w="1548" w:type="dxa"/>
            <w:noWrap w:val="0"/>
            <w:vAlign w:val="center"/>
          </w:tcPr>
          <w:p>
            <w:pPr>
              <w:pStyle w:val="22"/>
              <w:bidi w:val="0"/>
              <w:rPr>
                <w:rFonts w:hint="default"/>
                <w:color w:val="auto"/>
                <w:highlight w:val="none"/>
              </w:rPr>
            </w:pPr>
            <w:r>
              <w:rPr>
                <w:rFonts w:hint="default"/>
                <w:color w:val="auto"/>
                <w:highlight w:val="none"/>
              </w:rPr>
              <w:t>36431341.98</w:t>
            </w:r>
          </w:p>
        </w:tc>
        <w:tc>
          <w:tcPr>
            <w:tcW w:w="1022" w:type="dxa"/>
            <w:noWrap w:val="0"/>
            <w:vAlign w:val="center"/>
          </w:tcPr>
          <w:p>
            <w:pPr>
              <w:pStyle w:val="22"/>
              <w:bidi w:val="0"/>
              <w:rPr>
                <w:rFonts w:hint="default"/>
                <w:color w:val="auto"/>
                <w:highlight w:val="none"/>
              </w:rPr>
            </w:pPr>
            <w:r>
              <w:rPr>
                <w:rFonts w:hint="default"/>
                <w:color w:val="auto"/>
                <w:highlight w:val="none"/>
              </w:rPr>
              <w:t>14</w:t>
            </w:r>
          </w:p>
        </w:tc>
        <w:tc>
          <w:tcPr>
            <w:tcW w:w="1558" w:type="dxa"/>
            <w:noWrap w:val="0"/>
            <w:vAlign w:val="center"/>
          </w:tcPr>
          <w:p>
            <w:pPr>
              <w:pStyle w:val="22"/>
              <w:bidi w:val="0"/>
              <w:rPr>
                <w:rFonts w:hint="default"/>
                <w:color w:val="auto"/>
                <w:highlight w:val="none"/>
              </w:rPr>
            </w:pPr>
            <w:r>
              <w:rPr>
                <w:rFonts w:hint="default"/>
                <w:color w:val="auto"/>
                <w:highlight w:val="none"/>
              </w:rPr>
              <w:t>3398210.22</w:t>
            </w:r>
          </w:p>
        </w:tc>
        <w:tc>
          <w:tcPr>
            <w:tcW w:w="1710" w:type="dxa"/>
            <w:noWrap w:val="0"/>
            <w:vAlign w:val="center"/>
          </w:tcPr>
          <w:p>
            <w:pPr>
              <w:pStyle w:val="22"/>
              <w:bidi w:val="0"/>
              <w:rPr>
                <w:rFonts w:hint="default"/>
                <w:color w:val="auto"/>
                <w:highlight w:val="none"/>
              </w:rPr>
            </w:pPr>
            <w:r>
              <w:rPr>
                <w:rFonts w:hint="default"/>
                <w:color w:val="auto"/>
                <w:highlight w:val="none"/>
              </w:rPr>
              <w:t>36432598.98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5</w:t>
            </w:r>
          </w:p>
        </w:tc>
        <w:tc>
          <w:tcPr>
            <w:tcW w:w="1540" w:type="dxa"/>
            <w:noWrap w:val="0"/>
            <w:vAlign w:val="center"/>
          </w:tcPr>
          <w:p>
            <w:pPr>
              <w:pStyle w:val="22"/>
              <w:bidi w:val="0"/>
              <w:rPr>
                <w:rFonts w:hint="default"/>
                <w:color w:val="auto"/>
                <w:highlight w:val="none"/>
              </w:rPr>
            </w:pPr>
            <w:r>
              <w:rPr>
                <w:rFonts w:hint="default"/>
                <w:color w:val="auto"/>
                <w:highlight w:val="none"/>
              </w:rPr>
              <w:t>3397077.22</w:t>
            </w:r>
          </w:p>
        </w:tc>
        <w:tc>
          <w:tcPr>
            <w:tcW w:w="1548" w:type="dxa"/>
            <w:noWrap w:val="0"/>
            <w:vAlign w:val="center"/>
          </w:tcPr>
          <w:p>
            <w:pPr>
              <w:pStyle w:val="22"/>
              <w:bidi w:val="0"/>
              <w:rPr>
                <w:rFonts w:hint="default"/>
                <w:color w:val="auto"/>
                <w:highlight w:val="none"/>
              </w:rPr>
            </w:pPr>
            <w:r>
              <w:rPr>
                <w:rFonts w:hint="default"/>
                <w:color w:val="auto"/>
                <w:highlight w:val="none"/>
              </w:rPr>
              <w:t>36431719.98</w:t>
            </w:r>
          </w:p>
        </w:tc>
        <w:tc>
          <w:tcPr>
            <w:tcW w:w="1022" w:type="dxa"/>
            <w:noWrap w:val="0"/>
            <w:vAlign w:val="center"/>
          </w:tcPr>
          <w:p>
            <w:pPr>
              <w:pStyle w:val="22"/>
              <w:bidi w:val="0"/>
              <w:rPr>
                <w:rFonts w:hint="default"/>
                <w:color w:val="auto"/>
                <w:highlight w:val="none"/>
              </w:rPr>
            </w:pPr>
            <w:r>
              <w:rPr>
                <w:rFonts w:hint="default"/>
                <w:color w:val="auto"/>
                <w:highlight w:val="none"/>
              </w:rPr>
              <w:t>15</w:t>
            </w:r>
          </w:p>
        </w:tc>
        <w:tc>
          <w:tcPr>
            <w:tcW w:w="1558" w:type="dxa"/>
            <w:noWrap w:val="0"/>
            <w:vAlign w:val="center"/>
          </w:tcPr>
          <w:p>
            <w:pPr>
              <w:pStyle w:val="22"/>
              <w:bidi w:val="0"/>
              <w:rPr>
                <w:rFonts w:hint="default"/>
                <w:color w:val="auto"/>
                <w:highlight w:val="none"/>
              </w:rPr>
            </w:pPr>
            <w:r>
              <w:rPr>
                <w:rFonts w:hint="default"/>
                <w:color w:val="auto"/>
                <w:highlight w:val="none"/>
              </w:rPr>
              <w:t>3397429.22</w:t>
            </w:r>
          </w:p>
        </w:tc>
        <w:tc>
          <w:tcPr>
            <w:tcW w:w="1710" w:type="dxa"/>
            <w:noWrap w:val="0"/>
            <w:vAlign w:val="center"/>
          </w:tcPr>
          <w:p>
            <w:pPr>
              <w:pStyle w:val="22"/>
              <w:bidi w:val="0"/>
              <w:rPr>
                <w:rFonts w:hint="default"/>
                <w:color w:val="auto"/>
                <w:highlight w:val="none"/>
              </w:rPr>
            </w:pPr>
            <w:r>
              <w:rPr>
                <w:rFonts w:hint="default"/>
                <w:color w:val="auto"/>
                <w:highlight w:val="none"/>
              </w:rPr>
              <w:t>36432456.98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6</w:t>
            </w:r>
          </w:p>
        </w:tc>
        <w:tc>
          <w:tcPr>
            <w:tcW w:w="1540" w:type="dxa"/>
            <w:noWrap w:val="0"/>
            <w:vAlign w:val="center"/>
          </w:tcPr>
          <w:p>
            <w:pPr>
              <w:pStyle w:val="22"/>
              <w:bidi w:val="0"/>
              <w:rPr>
                <w:rFonts w:hint="default"/>
                <w:color w:val="auto"/>
                <w:highlight w:val="none"/>
              </w:rPr>
            </w:pPr>
            <w:r>
              <w:rPr>
                <w:rFonts w:hint="default"/>
                <w:color w:val="auto"/>
                <w:highlight w:val="none"/>
              </w:rPr>
              <w:t>3397810.22</w:t>
            </w:r>
          </w:p>
        </w:tc>
        <w:tc>
          <w:tcPr>
            <w:tcW w:w="1548" w:type="dxa"/>
            <w:noWrap w:val="0"/>
            <w:vAlign w:val="center"/>
          </w:tcPr>
          <w:p>
            <w:pPr>
              <w:pStyle w:val="22"/>
              <w:bidi w:val="0"/>
              <w:rPr>
                <w:rFonts w:hint="default"/>
                <w:color w:val="auto"/>
                <w:highlight w:val="none"/>
              </w:rPr>
            </w:pPr>
            <w:r>
              <w:rPr>
                <w:rFonts w:hint="default"/>
                <w:color w:val="auto"/>
                <w:highlight w:val="none"/>
              </w:rPr>
              <w:t>36431960.98</w:t>
            </w:r>
          </w:p>
        </w:tc>
        <w:tc>
          <w:tcPr>
            <w:tcW w:w="1022" w:type="dxa"/>
            <w:noWrap w:val="0"/>
            <w:vAlign w:val="center"/>
          </w:tcPr>
          <w:p>
            <w:pPr>
              <w:pStyle w:val="22"/>
              <w:bidi w:val="0"/>
              <w:rPr>
                <w:rFonts w:hint="default"/>
                <w:color w:val="auto"/>
                <w:highlight w:val="none"/>
              </w:rPr>
            </w:pPr>
            <w:r>
              <w:rPr>
                <w:rFonts w:hint="default"/>
                <w:color w:val="auto"/>
                <w:highlight w:val="none"/>
              </w:rPr>
              <w:t>16</w:t>
            </w:r>
          </w:p>
        </w:tc>
        <w:tc>
          <w:tcPr>
            <w:tcW w:w="1558" w:type="dxa"/>
            <w:noWrap w:val="0"/>
            <w:vAlign w:val="center"/>
          </w:tcPr>
          <w:p>
            <w:pPr>
              <w:pStyle w:val="22"/>
              <w:bidi w:val="0"/>
              <w:rPr>
                <w:rFonts w:hint="default"/>
                <w:color w:val="auto"/>
                <w:highlight w:val="none"/>
              </w:rPr>
            </w:pPr>
            <w:r>
              <w:rPr>
                <w:rFonts w:hint="default"/>
                <w:color w:val="auto"/>
                <w:highlight w:val="none"/>
              </w:rPr>
              <w:t>3397449.22</w:t>
            </w:r>
          </w:p>
        </w:tc>
        <w:tc>
          <w:tcPr>
            <w:tcW w:w="1710" w:type="dxa"/>
            <w:noWrap w:val="0"/>
            <w:vAlign w:val="center"/>
          </w:tcPr>
          <w:p>
            <w:pPr>
              <w:pStyle w:val="22"/>
              <w:bidi w:val="0"/>
              <w:rPr>
                <w:rFonts w:hint="default"/>
                <w:color w:val="auto"/>
                <w:highlight w:val="none"/>
              </w:rPr>
            </w:pPr>
            <w:r>
              <w:rPr>
                <w:rFonts w:hint="default"/>
                <w:color w:val="auto"/>
                <w:highlight w:val="none"/>
              </w:rPr>
              <w:t>36432418.98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7</w:t>
            </w:r>
          </w:p>
        </w:tc>
        <w:tc>
          <w:tcPr>
            <w:tcW w:w="1540" w:type="dxa"/>
            <w:noWrap w:val="0"/>
            <w:vAlign w:val="center"/>
          </w:tcPr>
          <w:p>
            <w:pPr>
              <w:pStyle w:val="22"/>
              <w:bidi w:val="0"/>
              <w:rPr>
                <w:rFonts w:hint="default"/>
                <w:color w:val="auto"/>
                <w:highlight w:val="none"/>
              </w:rPr>
            </w:pPr>
            <w:r>
              <w:rPr>
                <w:rFonts w:hint="default"/>
                <w:color w:val="auto"/>
                <w:highlight w:val="none"/>
              </w:rPr>
              <w:t>3398319.22</w:t>
            </w:r>
          </w:p>
        </w:tc>
        <w:tc>
          <w:tcPr>
            <w:tcW w:w="1548" w:type="dxa"/>
            <w:noWrap w:val="0"/>
            <w:vAlign w:val="center"/>
          </w:tcPr>
          <w:p>
            <w:pPr>
              <w:pStyle w:val="22"/>
              <w:bidi w:val="0"/>
              <w:rPr>
                <w:rFonts w:hint="default"/>
                <w:color w:val="auto"/>
                <w:highlight w:val="none"/>
              </w:rPr>
            </w:pPr>
            <w:r>
              <w:rPr>
                <w:rFonts w:hint="default"/>
                <w:color w:val="auto"/>
                <w:highlight w:val="none"/>
              </w:rPr>
              <w:t>36432113.98</w:t>
            </w:r>
          </w:p>
        </w:tc>
        <w:tc>
          <w:tcPr>
            <w:tcW w:w="1022" w:type="dxa"/>
            <w:noWrap w:val="0"/>
            <w:vAlign w:val="center"/>
          </w:tcPr>
          <w:p>
            <w:pPr>
              <w:pStyle w:val="22"/>
              <w:bidi w:val="0"/>
              <w:rPr>
                <w:rFonts w:hint="default"/>
                <w:color w:val="auto"/>
                <w:highlight w:val="none"/>
              </w:rPr>
            </w:pPr>
            <w:r>
              <w:rPr>
                <w:rFonts w:hint="default"/>
                <w:color w:val="auto"/>
                <w:highlight w:val="none"/>
              </w:rPr>
              <w:t>17</w:t>
            </w:r>
          </w:p>
        </w:tc>
        <w:tc>
          <w:tcPr>
            <w:tcW w:w="1558" w:type="dxa"/>
            <w:noWrap w:val="0"/>
            <w:vAlign w:val="center"/>
          </w:tcPr>
          <w:p>
            <w:pPr>
              <w:pStyle w:val="22"/>
              <w:bidi w:val="0"/>
              <w:rPr>
                <w:rFonts w:hint="default"/>
                <w:color w:val="auto"/>
                <w:highlight w:val="none"/>
              </w:rPr>
            </w:pPr>
            <w:r>
              <w:rPr>
                <w:rFonts w:hint="default"/>
                <w:color w:val="auto"/>
                <w:highlight w:val="none"/>
              </w:rPr>
              <w:t>3396904.22</w:t>
            </w:r>
          </w:p>
        </w:tc>
        <w:tc>
          <w:tcPr>
            <w:tcW w:w="1710" w:type="dxa"/>
            <w:noWrap w:val="0"/>
            <w:vAlign w:val="center"/>
          </w:tcPr>
          <w:p>
            <w:pPr>
              <w:pStyle w:val="22"/>
              <w:bidi w:val="0"/>
              <w:rPr>
                <w:rFonts w:hint="default"/>
                <w:color w:val="auto"/>
                <w:highlight w:val="none"/>
              </w:rPr>
            </w:pPr>
            <w:r>
              <w:rPr>
                <w:rFonts w:hint="default"/>
                <w:color w:val="auto"/>
                <w:highlight w:val="none"/>
              </w:rPr>
              <w:t>36432263.98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8</w:t>
            </w:r>
          </w:p>
        </w:tc>
        <w:tc>
          <w:tcPr>
            <w:tcW w:w="1540" w:type="dxa"/>
            <w:noWrap w:val="0"/>
            <w:vAlign w:val="center"/>
          </w:tcPr>
          <w:p>
            <w:pPr>
              <w:pStyle w:val="22"/>
              <w:bidi w:val="0"/>
              <w:rPr>
                <w:rFonts w:hint="default"/>
                <w:color w:val="auto"/>
                <w:highlight w:val="none"/>
              </w:rPr>
            </w:pPr>
            <w:r>
              <w:rPr>
                <w:rFonts w:hint="default"/>
                <w:color w:val="auto"/>
                <w:highlight w:val="none"/>
              </w:rPr>
              <w:t>3398462.23</w:t>
            </w:r>
          </w:p>
        </w:tc>
        <w:tc>
          <w:tcPr>
            <w:tcW w:w="1548" w:type="dxa"/>
            <w:noWrap w:val="0"/>
            <w:vAlign w:val="center"/>
          </w:tcPr>
          <w:p>
            <w:pPr>
              <w:pStyle w:val="22"/>
              <w:bidi w:val="0"/>
              <w:rPr>
                <w:rFonts w:hint="default"/>
                <w:color w:val="auto"/>
                <w:highlight w:val="none"/>
              </w:rPr>
            </w:pPr>
            <w:r>
              <w:rPr>
                <w:rFonts w:hint="default"/>
                <w:color w:val="auto"/>
                <w:highlight w:val="none"/>
              </w:rPr>
              <w:t>36432167.98</w:t>
            </w:r>
          </w:p>
        </w:tc>
        <w:tc>
          <w:tcPr>
            <w:tcW w:w="1022" w:type="dxa"/>
            <w:noWrap w:val="0"/>
            <w:vAlign w:val="center"/>
          </w:tcPr>
          <w:p>
            <w:pPr>
              <w:pStyle w:val="22"/>
              <w:bidi w:val="0"/>
              <w:rPr>
                <w:rFonts w:hint="default"/>
                <w:color w:val="auto"/>
                <w:highlight w:val="none"/>
              </w:rPr>
            </w:pPr>
            <w:r>
              <w:rPr>
                <w:rFonts w:hint="default"/>
                <w:color w:val="auto"/>
                <w:highlight w:val="none"/>
              </w:rPr>
              <w:t>18</w:t>
            </w:r>
          </w:p>
        </w:tc>
        <w:tc>
          <w:tcPr>
            <w:tcW w:w="1558" w:type="dxa"/>
            <w:noWrap w:val="0"/>
            <w:vAlign w:val="center"/>
          </w:tcPr>
          <w:p>
            <w:pPr>
              <w:pStyle w:val="22"/>
              <w:bidi w:val="0"/>
              <w:rPr>
                <w:rFonts w:hint="default"/>
                <w:color w:val="auto"/>
                <w:highlight w:val="none"/>
              </w:rPr>
            </w:pPr>
            <w:r>
              <w:rPr>
                <w:rFonts w:hint="default"/>
                <w:color w:val="auto"/>
                <w:highlight w:val="none"/>
              </w:rPr>
              <w:t>3396171.21</w:t>
            </w:r>
          </w:p>
        </w:tc>
        <w:tc>
          <w:tcPr>
            <w:tcW w:w="1710" w:type="dxa"/>
            <w:noWrap w:val="0"/>
            <w:vAlign w:val="center"/>
          </w:tcPr>
          <w:p>
            <w:pPr>
              <w:pStyle w:val="22"/>
              <w:bidi w:val="0"/>
              <w:rPr>
                <w:rFonts w:hint="default"/>
                <w:color w:val="auto"/>
                <w:highlight w:val="none"/>
              </w:rPr>
            </w:pPr>
            <w:r>
              <w:rPr>
                <w:rFonts w:hint="default"/>
                <w:color w:val="auto"/>
                <w:highlight w:val="none"/>
              </w:rPr>
              <w:t>36432043.98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9</w:t>
            </w:r>
          </w:p>
        </w:tc>
        <w:tc>
          <w:tcPr>
            <w:tcW w:w="1540" w:type="dxa"/>
            <w:noWrap w:val="0"/>
            <w:vAlign w:val="center"/>
          </w:tcPr>
          <w:p>
            <w:pPr>
              <w:pStyle w:val="22"/>
              <w:bidi w:val="0"/>
              <w:rPr>
                <w:rFonts w:hint="default"/>
                <w:color w:val="auto"/>
                <w:highlight w:val="none"/>
              </w:rPr>
            </w:pPr>
            <w:r>
              <w:rPr>
                <w:rFonts w:hint="default"/>
                <w:color w:val="auto"/>
                <w:highlight w:val="none"/>
              </w:rPr>
              <w:t>3398637.23</w:t>
            </w:r>
          </w:p>
        </w:tc>
        <w:tc>
          <w:tcPr>
            <w:tcW w:w="1548" w:type="dxa"/>
            <w:noWrap w:val="0"/>
            <w:vAlign w:val="center"/>
          </w:tcPr>
          <w:p>
            <w:pPr>
              <w:pStyle w:val="22"/>
              <w:bidi w:val="0"/>
              <w:rPr>
                <w:rFonts w:hint="default"/>
                <w:color w:val="auto"/>
                <w:highlight w:val="none"/>
              </w:rPr>
            </w:pPr>
            <w:r>
              <w:rPr>
                <w:rFonts w:hint="default"/>
                <w:color w:val="auto"/>
                <w:highlight w:val="none"/>
              </w:rPr>
              <w:t>36432281.98</w:t>
            </w:r>
          </w:p>
        </w:tc>
        <w:tc>
          <w:tcPr>
            <w:tcW w:w="1022" w:type="dxa"/>
            <w:noWrap w:val="0"/>
            <w:vAlign w:val="center"/>
          </w:tcPr>
          <w:p>
            <w:pPr>
              <w:pStyle w:val="22"/>
              <w:bidi w:val="0"/>
              <w:rPr>
                <w:rFonts w:hint="default"/>
                <w:color w:val="auto"/>
                <w:highlight w:val="none"/>
              </w:rPr>
            </w:pPr>
            <w:r>
              <w:rPr>
                <w:rFonts w:hint="default"/>
                <w:color w:val="auto"/>
                <w:highlight w:val="none"/>
              </w:rPr>
              <w:t>19</w:t>
            </w:r>
          </w:p>
        </w:tc>
        <w:tc>
          <w:tcPr>
            <w:tcW w:w="1558" w:type="dxa"/>
            <w:noWrap w:val="0"/>
            <w:vAlign w:val="center"/>
          </w:tcPr>
          <w:p>
            <w:pPr>
              <w:pStyle w:val="22"/>
              <w:bidi w:val="0"/>
              <w:rPr>
                <w:rFonts w:hint="default"/>
                <w:color w:val="auto"/>
                <w:highlight w:val="none"/>
              </w:rPr>
            </w:pPr>
            <w:r>
              <w:rPr>
                <w:rFonts w:hint="default"/>
                <w:color w:val="auto"/>
                <w:highlight w:val="none"/>
              </w:rPr>
              <w:t>3396174.21</w:t>
            </w:r>
          </w:p>
        </w:tc>
        <w:tc>
          <w:tcPr>
            <w:tcW w:w="1710" w:type="dxa"/>
            <w:noWrap w:val="0"/>
            <w:vAlign w:val="center"/>
          </w:tcPr>
          <w:p>
            <w:pPr>
              <w:pStyle w:val="22"/>
              <w:bidi w:val="0"/>
              <w:rPr>
                <w:rFonts w:hint="default"/>
                <w:color w:val="auto"/>
                <w:highlight w:val="none"/>
              </w:rPr>
            </w:pPr>
            <w:r>
              <w:rPr>
                <w:rFonts w:hint="default"/>
                <w:color w:val="auto"/>
                <w:highlight w:val="none"/>
              </w:rPr>
              <w:t>36432033.98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9" w:type="dxa"/>
            <w:noWrap w:val="0"/>
            <w:vAlign w:val="center"/>
          </w:tcPr>
          <w:p>
            <w:pPr>
              <w:pStyle w:val="22"/>
              <w:bidi w:val="0"/>
              <w:rPr>
                <w:rFonts w:hint="default"/>
                <w:color w:val="auto"/>
                <w:highlight w:val="none"/>
              </w:rPr>
            </w:pPr>
            <w:r>
              <w:rPr>
                <w:rFonts w:hint="default"/>
                <w:color w:val="auto"/>
                <w:highlight w:val="none"/>
              </w:rPr>
              <w:t>10</w:t>
            </w:r>
          </w:p>
        </w:tc>
        <w:tc>
          <w:tcPr>
            <w:tcW w:w="1540" w:type="dxa"/>
            <w:noWrap w:val="0"/>
            <w:vAlign w:val="center"/>
          </w:tcPr>
          <w:p>
            <w:pPr>
              <w:pStyle w:val="22"/>
              <w:bidi w:val="0"/>
              <w:rPr>
                <w:rFonts w:hint="default"/>
                <w:color w:val="auto"/>
                <w:highlight w:val="none"/>
              </w:rPr>
            </w:pPr>
            <w:r>
              <w:rPr>
                <w:rFonts w:hint="default"/>
                <w:color w:val="auto"/>
                <w:highlight w:val="none"/>
              </w:rPr>
              <w:t>3398797.23</w:t>
            </w:r>
          </w:p>
        </w:tc>
        <w:tc>
          <w:tcPr>
            <w:tcW w:w="1548" w:type="dxa"/>
            <w:noWrap w:val="0"/>
            <w:vAlign w:val="center"/>
          </w:tcPr>
          <w:p>
            <w:pPr>
              <w:pStyle w:val="22"/>
              <w:bidi w:val="0"/>
              <w:rPr>
                <w:rFonts w:hint="default"/>
                <w:color w:val="auto"/>
                <w:highlight w:val="none"/>
              </w:rPr>
            </w:pPr>
            <w:r>
              <w:rPr>
                <w:rFonts w:hint="default"/>
                <w:color w:val="auto"/>
                <w:highlight w:val="none"/>
              </w:rPr>
              <w:t>36432338.98</w:t>
            </w:r>
          </w:p>
        </w:tc>
        <w:tc>
          <w:tcPr>
            <w:tcW w:w="1022" w:type="dxa"/>
            <w:noWrap w:val="0"/>
            <w:vAlign w:val="center"/>
          </w:tcPr>
          <w:p>
            <w:pPr>
              <w:pStyle w:val="22"/>
              <w:bidi w:val="0"/>
              <w:rPr>
                <w:rFonts w:hint="default"/>
                <w:color w:val="auto"/>
                <w:highlight w:val="none"/>
              </w:rPr>
            </w:pPr>
            <w:r>
              <w:rPr>
                <w:rFonts w:hint="default"/>
                <w:color w:val="auto"/>
                <w:highlight w:val="none"/>
              </w:rPr>
              <w:t>　</w:t>
            </w:r>
          </w:p>
        </w:tc>
        <w:tc>
          <w:tcPr>
            <w:tcW w:w="1558" w:type="dxa"/>
            <w:noWrap w:val="0"/>
            <w:vAlign w:val="center"/>
          </w:tcPr>
          <w:p>
            <w:pPr>
              <w:pStyle w:val="22"/>
              <w:bidi w:val="0"/>
              <w:rPr>
                <w:rFonts w:hint="default"/>
                <w:color w:val="auto"/>
                <w:highlight w:val="none"/>
              </w:rPr>
            </w:pPr>
            <w:r>
              <w:rPr>
                <w:rFonts w:hint="default"/>
                <w:color w:val="auto"/>
                <w:highlight w:val="none"/>
              </w:rPr>
              <w:t>　</w:t>
            </w:r>
          </w:p>
        </w:tc>
        <w:tc>
          <w:tcPr>
            <w:tcW w:w="1710"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拟设矿权面积1.6532km</w:t>
            </w:r>
            <w:r>
              <w:rPr>
                <w:rFonts w:hint="default"/>
                <w:color w:val="auto"/>
                <w:highlight w:val="none"/>
                <w:vertAlign w:val="superscript"/>
              </w:rPr>
              <w:t>2</w:t>
            </w:r>
            <w:r>
              <w:rPr>
                <w:rFonts w:hint="default"/>
                <w:color w:val="auto"/>
                <w:highlight w:val="none"/>
              </w:rPr>
              <w:t>，开采标高+420m～-30m，开采外大连、内大连、蛮炭、三夹连煤层。为2000国家大地坐标系。</w:t>
            </w:r>
          </w:p>
        </w:tc>
      </w:tr>
    </w:tbl>
    <w:p>
      <w:pPr>
        <w:bidi w:val="0"/>
        <w:rPr>
          <w:rFonts w:hint="default"/>
          <w:color w:val="auto"/>
          <w:highlight w:val="none"/>
          <w:lang w:val="en-US" w:eastAsia="zh-CN"/>
        </w:rPr>
      </w:pPr>
      <w:r>
        <w:rPr>
          <w:rFonts w:hint="default"/>
          <w:color w:val="auto"/>
          <w:highlight w:val="none"/>
          <w:lang w:val="en-US" w:eastAsia="zh-CN"/>
        </w:rPr>
        <w:t>2、荣华煤矿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（1）荣华煤矿现有矿权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大竹县荣华煤矿于2020年10月领取了由四川省国土资源厅颁发的采矿许可证，证号为C5100002016051120142028，有效期为2020年7月8日至2022年10月19日，矿权范围由4个拐点坐标圈闭（详见表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-10），面积为0.6567km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，开采标高+350m～+50m，矿井核定生产能力为15万吨/年。</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-10       荣华煤矿现有矿权范围拐点坐标表（2000坐标系）</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60"/>
        <w:gridCol w:w="1703"/>
        <w:gridCol w:w="978"/>
        <w:gridCol w:w="1611"/>
        <w:gridCol w:w="15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noWrap w:val="0"/>
            <w:vAlign w:val="center"/>
          </w:tcPr>
          <w:p>
            <w:pPr>
              <w:pStyle w:val="22"/>
              <w:bidi w:val="0"/>
              <w:rPr>
                <w:rFonts w:hint="default"/>
                <w:color w:val="auto"/>
                <w:highlight w:val="none"/>
              </w:rPr>
            </w:pPr>
            <w:r>
              <w:rPr>
                <w:rFonts w:hint="default"/>
                <w:color w:val="auto"/>
                <w:highlight w:val="none"/>
              </w:rPr>
              <w:t>拐点号</w:t>
            </w:r>
          </w:p>
        </w:tc>
        <w:tc>
          <w:tcPr>
            <w:tcW w:w="1560" w:type="dxa"/>
            <w:noWrap w:val="0"/>
            <w:vAlign w:val="center"/>
          </w:tcPr>
          <w:p>
            <w:pPr>
              <w:pStyle w:val="22"/>
              <w:bidi w:val="0"/>
              <w:rPr>
                <w:rFonts w:hint="default"/>
                <w:color w:val="auto"/>
                <w:highlight w:val="none"/>
              </w:rPr>
            </w:pPr>
            <w:r>
              <w:rPr>
                <w:rFonts w:hint="default"/>
                <w:color w:val="auto"/>
                <w:highlight w:val="none"/>
              </w:rPr>
              <w:t>横坐标(X)</w:t>
            </w:r>
          </w:p>
        </w:tc>
        <w:tc>
          <w:tcPr>
            <w:tcW w:w="1703" w:type="dxa"/>
            <w:noWrap w:val="0"/>
            <w:vAlign w:val="center"/>
          </w:tcPr>
          <w:p>
            <w:pPr>
              <w:pStyle w:val="22"/>
              <w:bidi w:val="0"/>
              <w:rPr>
                <w:rFonts w:hint="default"/>
                <w:color w:val="auto"/>
                <w:highlight w:val="none"/>
              </w:rPr>
            </w:pPr>
            <w:r>
              <w:rPr>
                <w:rFonts w:hint="default"/>
                <w:color w:val="auto"/>
                <w:highlight w:val="none"/>
              </w:rPr>
              <w:t>纵坐标(Y)</w:t>
            </w:r>
          </w:p>
        </w:tc>
        <w:tc>
          <w:tcPr>
            <w:tcW w:w="978" w:type="dxa"/>
            <w:noWrap w:val="0"/>
            <w:vAlign w:val="center"/>
          </w:tcPr>
          <w:p>
            <w:pPr>
              <w:pStyle w:val="22"/>
              <w:bidi w:val="0"/>
              <w:rPr>
                <w:rFonts w:hint="default"/>
                <w:color w:val="auto"/>
                <w:highlight w:val="none"/>
              </w:rPr>
            </w:pPr>
            <w:r>
              <w:rPr>
                <w:rFonts w:hint="default"/>
                <w:color w:val="auto"/>
                <w:highlight w:val="none"/>
              </w:rPr>
              <w:t>拐点号</w:t>
            </w:r>
          </w:p>
        </w:tc>
        <w:tc>
          <w:tcPr>
            <w:tcW w:w="1611" w:type="dxa"/>
            <w:noWrap w:val="0"/>
            <w:vAlign w:val="center"/>
          </w:tcPr>
          <w:p>
            <w:pPr>
              <w:pStyle w:val="22"/>
              <w:bidi w:val="0"/>
              <w:rPr>
                <w:rFonts w:hint="default"/>
                <w:color w:val="auto"/>
                <w:highlight w:val="none"/>
              </w:rPr>
            </w:pPr>
            <w:r>
              <w:rPr>
                <w:rFonts w:hint="default"/>
                <w:color w:val="auto"/>
                <w:highlight w:val="none"/>
              </w:rPr>
              <w:t>横坐标(X)</w:t>
            </w:r>
          </w:p>
        </w:tc>
        <w:tc>
          <w:tcPr>
            <w:tcW w:w="1570"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noWrap w:val="0"/>
            <w:vAlign w:val="center"/>
          </w:tcPr>
          <w:p>
            <w:pPr>
              <w:pStyle w:val="22"/>
              <w:bidi w:val="0"/>
              <w:rPr>
                <w:rFonts w:hint="default"/>
                <w:color w:val="auto"/>
                <w:highlight w:val="none"/>
              </w:rPr>
            </w:pPr>
            <w:r>
              <w:rPr>
                <w:rFonts w:hint="default"/>
                <w:color w:val="auto"/>
                <w:highlight w:val="none"/>
              </w:rPr>
              <w:t>1</w:t>
            </w:r>
          </w:p>
        </w:tc>
        <w:tc>
          <w:tcPr>
            <w:tcW w:w="1560" w:type="dxa"/>
            <w:noWrap w:val="0"/>
            <w:vAlign w:val="top"/>
          </w:tcPr>
          <w:p>
            <w:pPr>
              <w:pStyle w:val="22"/>
              <w:bidi w:val="0"/>
              <w:rPr>
                <w:rFonts w:hint="default"/>
                <w:color w:val="auto"/>
                <w:highlight w:val="none"/>
              </w:rPr>
            </w:pPr>
            <w:r>
              <w:rPr>
                <w:rFonts w:hint="default"/>
                <w:color w:val="auto"/>
                <w:highlight w:val="none"/>
              </w:rPr>
              <w:t>3385048.36</w:t>
            </w:r>
          </w:p>
        </w:tc>
        <w:tc>
          <w:tcPr>
            <w:tcW w:w="1703" w:type="dxa"/>
            <w:noWrap w:val="0"/>
            <w:vAlign w:val="top"/>
          </w:tcPr>
          <w:p>
            <w:pPr>
              <w:pStyle w:val="22"/>
              <w:bidi w:val="0"/>
              <w:rPr>
                <w:rFonts w:hint="default"/>
                <w:color w:val="auto"/>
                <w:highlight w:val="none"/>
              </w:rPr>
            </w:pPr>
            <w:r>
              <w:rPr>
                <w:rFonts w:hint="default"/>
                <w:color w:val="auto"/>
                <w:highlight w:val="none"/>
              </w:rPr>
              <w:t xml:space="preserve">36425184.72 </w:t>
            </w:r>
          </w:p>
        </w:tc>
        <w:tc>
          <w:tcPr>
            <w:tcW w:w="978" w:type="dxa"/>
            <w:noWrap w:val="0"/>
            <w:vAlign w:val="center"/>
          </w:tcPr>
          <w:p>
            <w:pPr>
              <w:pStyle w:val="22"/>
              <w:bidi w:val="0"/>
              <w:rPr>
                <w:rFonts w:hint="default"/>
                <w:color w:val="auto"/>
                <w:highlight w:val="none"/>
              </w:rPr>
            </w:pPr>
            <w:r>
              <w:rPr>
                <w:rFonts w:hint="default"/>
                <w:color w:val="auto"/>
                <w:highlight w:val="none"/>
              </w:rPr>
              <w:t>3</w:t>
            </w:r>
          </w:p>
        </w:tc>
        <w:tc>
          <w:tcPr>
            <w:tcW w:w="1611" w:type="dxa"/>
            <w:noWrap w:val="0"/>
            <w:vAlign w:val="top"/>
          </w:tcPr>
          <w:p>
            <w:pPr>
              <w:pStyle w:val="22"/>
              <w:bidi w:val="0"/>
              <w:rPr>
                <w:rFonts w:hint="default"/>
                <w:color w:val="auto"/>
                <w:highlight w:val="none"/>
              </w:rPr>
            </w:pPr>
            <w:r>
              <w:rPr>
                <w:rFonts w:hint="default"/>
                <w:color w:val="auto"/>
                <w:highlight w:val="none"/>
              </w:rPr>
              <w:t>3383720.35</w:t>
            </w:r>
          </w:p>
        </w:tc>
        <w:tc>
          <w:tcPr>
            <w:tcW w:w="1570" w:type="dxa"/>
            <w:noWrap w:val="0"/>
            <w:vAlign w:val="top"/>
          </w:tcPr>
          <w:p>
            <w:pPr>
              <w:pStyle w:val="22"/>
              <w:bidi w:val="0"/>
              <w:rPr>
                <w:rFonts w:hint="default"/>
                <w:color w:val="auto"/>
                <w:highlight w:val="none"/>
              </w:rPr>
            </w:pPr>
            <w:r>
              <w:rPr>
                <w:rFonts w:hint="default"/>
                <w:color w:val="auto"/>
                <w:highlight w:val="none"/>
              </w:rPr>
              <w:t>36423653.71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noWrap w:val="0"/>
            <w:vAlign w:val="center"/>
          </w:tcPr>
          <w:p>
            <w:pPr>
              <w:pStyle w:val="22"/>
              <w:bidi w:val="0"/>
              <w:rPr>
                <w:rFonts w:hint="default"/>
                <w:color w:val="auto"/>
                <w:highlight w:val="none"/>
              </w:rPr>
            </w:pPr>
            <w:r>
              <w:rPr>
                <w:rFonts w:hint="default"/>
                <w:color w:val="auto"/>
                <w:highlight w:val="none"/>
              </w:rPr>
              <w:t>2</w:t>
            </w:r>
          </w:p>
        </w:tc>
        <w:tc>
          <w:tcPr>
            <w:tcW w:w="1560" w:type="dxa"/>
            <w:noWrap w:val="0"/>
            <w:vAlign w:val="top"/>
          </w:tcPr>
          <w:p>
            <w:pPr>
              <w:pStyle w:val="22"/>
              <w:bidi w:val="0"/>
              <w:rPr>
                <w:rFonts w:hint="default"/>
                <w:color w:val="auto"/>
                <w:highlight w:val="none"/>
              </w:rPr>
            </w:pPr>
            <w:r>
              <w:rPr>
                <w:rFonts w:hint="default"/>
                <w:color w:val="auto"/>
                <w:highlight w:val="none"/>
              </w:rPr>
              <w:t>3385255.36</w:t>
            </w:r>
          </w:p>
        </w:tc>
        <w:tc>
          <w:tcPr>
            <w:tcW w:w="1703" w:type="dxa"/>
            <w:noWrap w:val="0"/>
            <w:vAlign w:val="top"/>
          </w:tcPr>
          <w:p>
            <w:pPr>
              <w:pStyle w:val="22"/>
              <w:bidi w:val="0"/>
              <w:rPr>
                <w:rFonts w:hint="default"/>
                <w:color w:val="auto"/>
                <w:highlight w:val="none"/>
              </w:rPr>
            </w:pPr>
            <w:r>
              <w:rPr>
                <w:rFonts w:hint="default"/>
                <w:color w:val="auto"/>
                <w:highlight w:val="none"/>
              </w:rPr>
              <w:t xml:space="preserve">36424948.72 </w:t>
            </w:r>
          </w:p>
        </w:tc>
        <w:tc>
          <w:tcPr>
            <w:tcW w:w="978" w:type="dxa"/>
            <w:noWrap w:val="0"/>
            <w:vAlign w:val="center"/>
          </w:tcPr>
          <w:p>
            <w:pPr>
              <w:pStyle w:val="22"/>
              <w:bidi w:val="0"/>
              <w:rPr>
                <w:rFonts w:hint="default"/>
                <w:color w:val="auto"/>
                <w:highlight w:val="none"/>
              </w:rPr>
            </w:pPr>
            <w:r>
              <w:rPr>
                <w:rFonts w:hint="default"/>
                <w:color w:val="auto"/>
                <w:highlight w:val="none"/>
              </w:rPr>
              <w:t>4</w:t>
            </w:r>
          </w:p>
        </w:tc>
        <w:tc>
          <w:tcPr>
            <w:tcW w:w="1611" w:type="dxa"/>
            <w:noWrap w:val="0"/>
            <w:vAlign w:val="top"/>
          </w:tcPr>
          <w:p>
            <w:pPr>
              <w:pStyle w:val="22"/>
              <w:bidi w:val="0"/>
              <w:rPr>
                <w:rFonts w:hint="default"/>
                <w:color w:val="auto"/>
                <w:highlight w:val="none"/>
              </w:rPr>
            </w:pPr>
            <w:r>
              <w:rPr>
                <w:rFonts w:hint="default"/>
                <w:color w:val="auto"/>
                <w:highlight w:val="none"/>
              </w:rPr>
              <w:t>3383502.35</w:t>
            </w:r>
          </w:p>
        </w:tc>
        <w:tc>
          <w:tcPr>
            <w:tcW w:w="1570" w:type="dxa"/>
            <w:noWrap w:val="0"/>
            <w:vAlign w:val="top"/>
          </w:tcPr>
          <w:p>
            <w:pPr>
              <w:pStyle w:val="22"/>
              <w:bidi w:val="0"/>
              <w:rPr>
                <w:rFonts w:hint="default"/>
                <w:color w:val="auto"/>
                <w:highlight w:val="none"/>
              </w:rPr>
            </w:pPr>
            <w:r>
              <w:rPr>
                <w:rFonts w:hint="default"/>
                <w:color w:val="auto"/>
                <w:highlight w:val="none"/>
              </w:rPr>
              <w:t xml:space="preserve">36423916.71 </w:t>
            </w: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（2）荣华煤矿规划矿权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根据《四川省国土资源厅关于达州市达州区等7个县级矿产资源总体规划（2016-2020年）的复函》(川国土资函〔2017〕746号)等文件，荣华煤矿属第三轮矿产资源规划调整矿权面积，本规划按调整后的采矿权，</w:t>
      </w:r>
      <w:r>
        <w:rPr>
          <w:rFonts w:hint="default" w:ascii="Times New Roman" w:hAnsi="Times New Roman" w:cs="Times New Roman"/>
          <w:color w:val="auto"/>
          <w:sz w:val="24"/>
          <w:szCs w:val="24"/>
          <w:highlight w:val="none"/>
          <w:u w:val="single"/>
        </w:rPr>
        <w:t>调整后的荣华煤矿准采正连、鸡毛炭煤层</w:t>
      </w:r>
      <w:r>
        <w:rPr>
          <w:rFonts w:hint="default" w:ascii="Times New Roman" w:hAnsi="Times New Roman" w:cs="Times New Roman"/>
          <w:color w:val="auto"/>
          <w:sz w:val="24"/>
          <w:szCs w:val="24"/>
          <w:highlight w:val="none"/>
        </w:rPr>
        <w:t>，矿权范围由6个拐点坐标圈闭（详见表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-11），开采标高+350m～-100m，矿权面积为</w:t>
      </w:r>
      <w:r>
        <w:rPr>
          <w:rFonts w:hint="default" w:ascii="Times New Roman" w:hAnsi="Times New Roman" w:eastAsia="仿宋" w:cs="Times New Roman"/>
          <w:color w:val="auto"/>
          <w:sz w:val="24"/>
          <w:szCs w:val="24"/>
          <w:highlight w:val="none"/>
        </w:rPr>
        <w:t>2.867km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w:t>
      </w:r>
      <w:r>
        <w:rPr>
          <w:rFonts w:hint="default" w:ascii="Times New Roman" w:hAnsi="Times New Roman" w:cs="Times New Roman"/>
          <w:color w:val="auto"/>
          <w:sz w:val="24"/>
          <w:szCs w:val="24"/>
          <w:highlight w:val="none"/>
        </w:rPr>
        <w:t>同时拟增加三夹连煤层。</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2.4.1</w:t>
      </w:r>
      <w:r>
        <w:rPr>
          <w:rFonts w:hint="default"/>
          <w:color w:val="auto"/>
          <w:highlight w:val="none"/>
        </w:rPr>
        <w:t>-11    荣华煤矿规划矿权范围拐点坐标表（2000坐标系）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9"/>
        <w:gridCol w:w="1650"/>
        <w:gridCol w:w="1548"/>
        <w:gridCol w:w="881"/>
        <w:gridCol w:w="1699"/>
        <w:gridCol w:w="1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49" w:type="dxa"/>
            <w:noWrap w:val="0"/>
            <w:vAlign w:val="center"/>
          </w:tcPr>
          <w:p>
            <w:pPr>
              <w:pStyle w:val="22"/>
              <w:bidi w:val="0"/>
              <w:rPr>
                <w:rFonts w:hint="default"/>
                <w:color w:val="auto"/>
                <w:highlight w:val="none"/>
              </w:rPr>
            </w:pPr>
            <w:r>
              <w:rPr>
                <w:rFonts w:hint="default"/>
                <w:color w:val="auto"/>
                <w:highlight w:val="none"/>
              </w:rPr>
              <w:t>拐点号</w:t>
            </w:r>
          </w:p>
        </w:tc>
        <w:tc>
          <w:tcPr>
            <w:tcW w:w="1650" w:type="dxa"/>
            <w:noWrap w:val="0"/>
            <w:vAlign w:val="center"/>
          </w:tcPr>
          <w:p>
            <w:pPr>
              <w:pStyle w:val="22"/>
              <w:bidi w:val="0"/>
              <w:rPr>
                <w:rFonts w:hint="default"/>
                <w:color w:val="auto"/>
                <w:highlight w:val="none"/>
              </w:rPr>
            </w:pPr>
            <w:r>
              <w:rPr>
                <w:rFonts w:hint="default"/>
                <w:color w:val="auto"/>
                <w:highlight w:val="none"/>
              </w:rPr>
              <w:t>横坐标(X)</w:t>
            </w:r>
          </w:p>
        </w:tc>
        <w:tc>
          <w:tcPr>
            <w:tcW w:w="1548" w:type="dxa"/>
            <w:noWrap w:val="0"/>
            <w:vAlign w:val="center"/>
          </w:tcPr>
          <w:p>
            <w:pPr>
              <w:pStyle w:val="22"/>
              <w:bidi w:val="0"/>
              <w:rPr>
                <w:rFonts w:hint="default"/>
                <w:color w:val="auto"/>
                <w:highlight w:val="none"/>
              </w:rPr>
            </w:pPr>
            <w:r>
              <w:rPr>
                <w:rFonts w:hint="default"/>
                <w:color w:val="auto"/>
                <w:highlight w:val="none"/>
              </w:rPr>
              <w:t>纵坐标(Y)</w:t>
            </w:r>
          </w:p>
        </w:tc>
        <w:tc>
          <w:tcPr>
            <w:tcW w:w="881" w:type="dxa"/>
            <w:noWrap w:val="0"/>
            <w:vAlign w:val="center"/>
          </w:tcPr>
          <w:p>
            <w:pPr>
              <w:pStyle w:val="22"/>
              <w:bidi w:val="0"/>
              <w:rPr>
                <w:rFonts w:hint="default"/>
                <w:color w:val="auto"/>
                <w:highlight w:val="none"/>
              </w:rPr>
            </w:pPr>
            <w:r>
              <w:rPr>
                <w:rFonts w:hint="default"/>
                <w:color w:val="auto"/>
                <w:highlight w:val="none"/>
              </w:rPr>
              <w:t>拐点号</w:t>
            </w:r>
          </w:p>
        </w:tc>
        <w:tc>
          <w:tcPr>
            <w:tcW w:w="1699" w:type="dxa"/>
            <w:noWrap w:val="0"/>
            <w:vAlign w:val="center"/>
          </w:tcPr>
          <w:p>
            <w:pPr>
              <w:pStyle w:val="22"/>
              <w:bidi w:val="0"/>
              <w:rPr>
                <w:rFonts w:hint="default"/>
                <w:color w:val="auto"/>
                <w:highlight w:val="none"/>
              </w:rPr>
            </w:pPr>
            <w:r>
              <w:rPr>
                <w:rFonts w:hint="default"/>
                <w:color w:val="auto"/>
                <w:highlight w:val="none"/>
              </w:rPr>
              <w:t>横坐标(X)</w:t>
            </w:r>
          </w:p>
        </w:tc>
        <w:tc>
          <w:tcPr>
            <w:tcW w:w="1710"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1</w:t>
            </w:r>
          </w:p>
        </w:tc>
        <w:tc>
          <w:tcPr>
            <w:tcW w:w="1650" w:type="dxa"/>
            <w:noWrap w:val="0"/>
            <w:vAlign w:val="center"/>
          </w:tcPr>
          <w:p>
            <w:pPr>
              <w:pStyle w:val="22"/>
              <w:bidi w:val="0"/>
              <w:rPr>
                <w:rFonts w:hint="default"/>
                <w:color w:val="auto"/>
                <w:highlight w:val="none"/>
              </w:rPr>
            </w:pPr>
            <w:r>
              <w:rPr>
                <w:rFonts w:hint="default"/>
                <w:color w:val="auto"/>
                <w:highlight w:val="none"/>
              </w:rPr>
              <w:t>3386779.70</w:t>
            </w:r>
          </w:p>
        </w:tc>
        <w:tc>
          <w:tcPr>
            <w:tcW w:w="1548" w:type="dxa"/>
            <w:noWrap w:val="0"/>
            <w:vAlign w:val="center"/>
          </w:tcPr>
          <w:p>
            <w:pPr>
              <w:pStyle w:val="22"/>
              <w:bidi w:val="0"/>
              <w:rPr>
                <w:rFonts w:hint="default"/>
                <w:color w:val="auto"/>
                <w:highlight w:val="none"/>
              </w:rPr>
            </w:pPr>
            <w:r>
              <w:rPr>
                <w:rFonts w:hint="default"/>
                <w:color w:val="auto"/>
                <w:highlight w:val="none"/>
              </w:rPr>
              <w:t>36426459.12</w:t>
            </w:r>
          </w:p>
        </w:tc>
        <w:tc>
          <w:tcPr>
            <w:tcW w:w="881" w:type="dxa"/>
            <w:noWrap w:val="0"/>
            <w:vAlign w:val="center"/>
          </w:tcPr>
          <w:p>
            <w:pPr>
              <w:pStyle w:val="22"/>
              <w:bidi w:val="0"/>
              <w:rPr>
                <w:rFonts w:hint="default"/>
                <w:color w:val="auto"/>
                <w:highlight w:val="none"/>
              </w:rPr>
            </w:pPr>
            <w:r>
              <w:rPr>
                <w:rFonts w:hint="default"/>
                <w:color w:val="auto"/>
                <w:highlight w:val="none"/>
              </w:rPr>
              <w:t>4</w:t>
            </w:r>
          </w:p>
        </w:tc>
        <w:tc>
          <w:tcPr>
            <w:tcW w:w="1699" w:type="dxa"/>
            <w:noWrap w:val="0"/>
            <w:vAlign w:val="center"/>
          </w:tcPr>
          <w:p>
            <w:pPr>
              <w:pStyle w:val="22"/>
              <w:bidi w:val="0"/>
              <w:rPr>
                <w:rFonts w:hint="default"/>
                <w:color w:val="auto"/>
                <w:highlight w:val="none"/>
              </w:rPr>
            </w:pPr>
            <w:r>
              <w:rPr>
                <w:rFonts w:hint="default"/>
                <w:color w:val="auto"/>
                <w:highlight w:val="none"/>
              </w:rPr>
              <w:t>3383886.68</w:t>
            </w:r>
          </w:p>
        </w:tc>
        <w:tc>
          <w:tcPr>
            <w:tcW w:w="1710" w:type="dxa"/>
            <w:noWrap w:val="0"/>
            <w:vAlign w:val="center"/>
          </w:tcPr>
          <w:p>
            <w:pPr>
              <w:pStyle w:val="22"/>
              <w:bidi w:val="0"/>
              <w:rPr>
                <w:rFonts w:hint="default"/>
                <w:color w:val="auto"/>
                <w:highlight w:val="none"/>
              </w:rPr>
            </w:pPr>
            <w:r>
              <w:rPr>
                <w:rFonts w:hint="default"/>
                <w:color w:val="auto"/>
                <w:highlight w:val="none"/>
              </w:rPr>
              <w:t>36423450.15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2</w:t>
            </w:r>
          </w:p>
        </w:tc>
        <w:tc>
          <w:tcPr>
            <w:tcW w:w="1650" w:type="dxa"/>
            <w:noWrap w:val="0"/>
            <w:vAlign w:val="center"/>
          </w:tcPr>
          <w:p>
            <w:pPr>
              <w:pStyle w:val="22"/>
              <w:bidi w:val="0"/>
              <w:rPr>
                <w:rFonts w:hint="default"/>
                <w:color w:val="auto"/>
                <w:highlight w:val="none"/>
              </w:rPr>
            </w:pPr>
            <w:r>
              <w:rPr>
                <w:rFonts w:hint="default"/>
                <w:color w:val="auto"/>
                <w:highlight w:val="none"/>
              </w:rPr>
              <w:t>3385047.69</w:t>
            </w:r>
          </w:p>
        </w:tc>
        <w:tc>
          <w:tcPr>
            <w:tcW w:w="1548" w:type="dxa"/>
            <w:noWrap w:val="0"/>
            <w:vAlign w:val="center"/>
          </w:tcPr>
          <w:p>
            <w:pPr>
              <w:pStyle w:val="22"/>
              <w:bidi w:val="0"/>
              <w:rPr>
                <w:rFonts w:hint="default"/>
                <w:color w:val="auto"/>
                <w:highlight w:val="none"/>
              </w:rPr>
            </w:pPr>
            <w:r>
              <w:rPr>
                <w:rFonts w:hint="default"/>
                <w:color w:val="auto"/>
                <w:highlight w:val="none"/>
              </w:rPr>
              <w:t>36425185.14</w:t>
            </w:r>
          </w:p>
        </w:tc>
        <w:tc>
          <w:tcPr>
            <w:tcW w:w="881" w:type="dxa"/>
            <w:noWrap w:val="0"/>
            <w:vAlign w:val="center"/>
          </w:tcPr>
          <w:p>
            <w:pPr>
              <w:pStyle w:val="22"/>
              <w:bidi w:val="0"/>
              <w:rPr>
                <w:rFonts w:hint="default"/>
                <w:color w:val="auto"/>
                <w:highlight w:val="none"/>
              </w:rPr>
            </w:pPr>
            <w:r>
              <w:rPr>
                <w:rFonts w:hint="default"/>
                <w:color w:val="auto"/>
                <w:highlight w:val="none"/>
              </w:rPr>
              <w:t>5</w:t>
            </w:r>
          </w:p>
        </w:tc>
        <w:tc>
          <w:tcPr>
            <w:tcW w:w="1699" w:type="dxa"/>
            <w:noWrap w:val="0"/>
            <w:vAlign w:val="center"/>
          </w:tcPr>
          <w:p>
            <w:pPr>
              <w:pStyle w:val="22"/>
              <w:bidi w:val="0"/>
              <w:rPr>
                <w:rFonts w:hint="default"/>
                <w:color w:val="auto"/>
                <w:highlight w:val="none"/>
              </w:rPr>
            </w:pPr>
            <w:r>
              <w:rPr>
                <w:rFonts w:hint="default"/>
                <w:color w:val="auto"/>
                <w:highlight w:val="none"/>
              </w:rPr>
              <w:t>3385464.69</w:t>
            </w:r>
          </w:p>
        </w:tc>
        <w:tc>
          <w:tcPr>
            <w:tcW w:w="1710" w:type="dxa"/>
            <w:noWrap w:val="0"/>
            <w:vAlign w:val="center"/>
          </w:tcPr>
          <w:p>
            <w:pPr>
              <w:pStyle w:val="22"/>
              <w:bidi w:val="0"/>
              <w:rPr>
                <w:rFonts w:hint="default"/>
                <w:color w:val="auto"/>
                <w:highlight w:val="none"/>
              </w:rPr>
            </w:pPr>
            <w:r>
              <w:rPr>
                <w:rFonts w:hint="default"/>
                <w:color w:val="auto"/>
                <w:highlight w:val="none"/>
              </w:rPr>
              <w:t>36424545.14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3</w:t>
            </w:r>
          </w:p>
        </w:tc>
        <w:tc>
          <w:tcPr>
            <w:tcW w:w="1650" w:type="dxa"/>
            <w:noWrap w:val="0"/>
            <w:vAlign w:val="center"/>
          </w:tcPr>
          <w:p>
            <w:pPr>
              <w:pStyle w:val="22"/>
              <w:bidi w:val="0"/>
              <w:rPr>
                <w:rFonts w:hint="default"/>
                <w:color w:val="auto"/>
                <w:highlight w:val="none"/>
              </w:rPr>
            </w:pPr>
            <w:r>
              <w:rPr>
                <w:rFonts w:hint="default"/>
                <w:color w:val="auto"/>
                <w:highlight w:val="none"/>
              </w:rPr>
              <w:t>3383501.69</w:t>
            </w:r>
          </w:p>
        </w:tc>
        <w:tc>
          <w:tcPr>
            <w:tcW w:w="1548" w:type="dxa"/>
            <w:noWrap w:val="0"/>
            <w:vAlign w:val="center"/>
          </w:tcPr>
          <w:p>
            <w:pPr>
              <w:pStyle w:val="22"/>
              <w:bidi w:val="0"/>
              <w:rPr>
                <w:rFonts w:hint="default"/>
                <w:color w:val="auto"/>
                <w:highlight w:val="none"/>
              </w:rPr>
            </w:pPr>
            <w:r>
              <w:rPr>
                <w:rFonts w:hint="default"/>
                <w:color w:val="auto"/>
                <w:highlight w:val="none"/>
              </w:rPr>
              <w:t>36423917.16</w:t>
            </w:r>
          </w:p>
        </w:tc>
        <w:tc>
          <w:tcPr>
            <w:tcW w:w="881" w:type="dxa"/>
            <w:noWrap w:val="0"/>
            <w:vAlign w:val="center"/>
          </w:tcPr>
          <w:p>
            <w:pPr>
              <w:pStyle w:val="22"/>
              <w:bidi w:val="0"/>
              <w:rPr>
                <w:rFonts w:hint="default"/>
                <w:color w:val="auto"/>
                <w:highlight w:val="none"/>
              </w:rPr>
            </w:pPr>
            <w:r>
              <w:rPr>
                <w:rFonts w:hint="default"/>
                <w:color w:val="auto"/>
                <w:highlight w:val="none"/>
              </w:rPr>
              <w:t>6</w:t>
            </w:r>
          </w:p>
        </w:tc>
        <w:tc>
          <w:tcPr>
            <w:tcW w:w="1699" w:type="dxa"/>
            <w:noWrap w:val="0"/>
            <w:vAlign w:val="center"/>
          </w:tcPr>
          <w:p>
            <w:pPr>
              <w:pStyle w:val="22"/>
              <w:bidi w:val="0"/>
              <w:rPr>
                <w:rFonts w:hint="default"/>
                <w:color w:val="auto"/>
                <w:highlight w:val="none"/>
              </w:rPr>
            </w:pPr>
            <w:r>
              <w:rPr>
                <w:rFonts w:hint="default"/>
                <w:color w:val="auto"/>
                <w:highlight w:val="none"/>
              </w:rPr>
              <w:t>3387156.70</w:t>
            </w:r>
          </w:p>
        </w:tc>
        <w:tc>
          <w:tcPr>
            <w:tcW w:w="1710" w:type="dxa"/>
            <w:noWrap w:val="0"/>
            <w:vAlign w:val="center"/>
          </w:tcPr>
          <w:p>
            <w:pPr>
              <w:pStyle w:val="22"/>
              <w:bidi w:val="0"/>
              <w:rPr>
                <w:rFonts w:hint="default"/>
                <w:color w:val="auto"/>
                <w:highlight w:val="none"/>
              </w:rPr>
            </w:pPr>
            <w:r>
              <w:rPr>
                <w:rFonts w:hint="default"/>
                <w:color w:val="auto"/>
                <w:highlight w:val="none"/>
              </w:rPr>
              <w:t>36425930.12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拟设矿权面积2.867km</w:t>
            </w:r>
            <w:r>
              <w:rPr>
                <w:rFonts w:hint="default"/>
                <w:color w:val="auto"/>
                <w:highlight w:val="none"/>
                <w:vertAlign w:val="superscript"/>
              </w:rPr>
              <w:t>2</w:t>
            </w:r>
            <w:r>
              <w:rPr>
                <w:rFonts w:hint="default"/>
                <w:color w:val="auto"/>
                <w:highlight w:val="none"/>
              </w:rPr>
              <w:t>，开采标高+350m～-100m，开采正连、三夹连、鸡毛炭煤层。为2000国家大地坐标系。</w:t>
            </w:r>
          </w:p>
        </w:tc>
      </w:tr>
    </w:tbl>
    <w:p>
      <w:pPr>
        <w:adjustRightInd w:val="0"/>
        <w:snapToGrid w:val="0"/>
        <w:spacing w:line="360" w:lineRule="auto"/>
        <w:ind w:firstLine="48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4"/>
          <w:szCs w:val="24"/>
          <w:highlight w:val="none"/>
        </w:rPr>
        <w:t>截至2020年10月31日，新设釆矿权范围累计查明资源量461.90万吨，保有资源量为360.10万吨，其中保有控制资源量226.90万吨，推断资源量133.20万吨，动用资源量101.80万吨。</w:t>
      </w:r>
    </w:p>
    <w:p>
      <w:pPr>
        <w:bidi w:val="0"/>
        <w:rPr>
          <w:rFonts w:hint="default"/>
          <w:color w:val="auto"/>
          <w:highlight w:val="none"/>
          <w:lang w:val="en-US" w:eastAsia="zh-CN"/>
        </w:rPr>
      </w:pPr>
      <w:r>
        <w:rPr>
          <w:rFonts w:hint="default"/>
          <w:color w:val="auto"/>
          <w:highlight w:val="none"/>
          <w:lang w:val="en-US" w:eastAsia="zh-CN"/>
        </w:rPr>
        <w:t>3、华家沟煤矿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大竹县永兴矿业有限责任公司华家沟煤矿于2020年7月31日取得四川省自然资源厅颁发的采矿许可证，证号为C5100002010101120077935，有效期为2020年5月31日至2022年7月31日，矿权范围由10个拐点坐标圈闭（见表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-12），面积1.0554km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。开采标高为+470m～+100m，开采K</w:t>
      </w:r>
      <w:r>
        <w:rPr>
          <w:rFonts w:hint="default" w:ascii="Times New Roman" w:hAnsi="Times New Roman" w:cs="Times New Roman"/>
          <w:color w:val="auto"/>
          <w:sz w:val="24"/>
          <w:szCs w:val="24"/>
          <w:highlight w:val="none"/>
          <w:vertAlign w:val="subscript"/>
        </w:rPr>
        <w:t>9</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煤层。矿井生产能力为9万吨/年。</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-12      华家沟煤矿矿权范围拐点坐标表（2000坐标系）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9"/>
        <w:gridCol w:w="1650"/>
        <w:gridCol w:w="1548"/>
        <w:gridCol w:w="1039"/>
        <w:gridCol w:w="1541"/>
        <w:gridCol w:w="1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49" w:type="dxa"/>
            <w:noWrap w:val="0"/>
            <w:vAlign w:val="center"/>
          </w:tcPr>
          <w:p>
            <w:pPr>
              <w:pStyle w:val="22"/>
              <w:bidi w:val="0"/>
              <w:rPr>
                <w:rFonts w:hint="default"/>
                <w:color w:val="auto"/>
                <w:highlight w:val="none"/>
              </w:rPr>
            </w:pPr>
            <w:r>
              <w:rPr>
                <w:rFonts w:hint="default"/>
                <w:color w:val="auto"/>
                <w:highlight w:val="none"/>
              </w:rPr>
              <w:t>拐点号</w:t>
            </w:r>
          </w:p>
        </w:tc>
        <w:tc>
          <w:tcPr>
            <w:tcW w:w="1650" w:type="dxa"/>
            <w:noWrap w:val="0"/>
            <w:vAlign w:val="center"/>
          </w:tcPr>
          <w:p>
            <w:pPr>
              <w:pStyle w:val="22"/>
              <w:bidi w:val="0"/>
              <w:rPr>
                <w:rFonts w:hint="default"/>
                <w:color w:val="auto"/>
                <w:highlight w:val="none"/>
              </w:rPr>
            </w:pPr>
            <w:r>
              <w:rPr>
                <w:rFonts w:hint="default"/>
                <w:color w:val="auto"/>
                <w:highlight w:val="none"/>
              </w:rPr>
              <w:t>横坐标(X)</w:t>
            </w:r>
          </w:p>
        </w:tc>
        <w:tc>
          <w:tcPr>
            <w:tcW w:w="1548" w:type="dxa"/>
            <w:noWrap w:val="0"/>
            <w:vAlign w:val="center"/>
          </w:tcPr>
          <w:p>
            <w:pPr>
              <w:pStyle w:val="22"/>
              <w:bidi w:val="0"/>
              <w:rPr>
                <w:rFonts w:hint="default"/>
                <w:color w:val="auto"/>
                <w:highlight w:val="none"/>
              </w:rPr>
            </w:pPr>
            <w:r>
              <w:rPr>
                <w:rFonts w:hint="default"/>
                <w:color w:val="auto"/>
                <w:highlight w:val="none"/>
              </w:rPr>
              <w:t>纵坐标(Y)</w:t>
            </w:r>
          </w:p>
        </w:tc>
        <w:tc>
          <w:tcPr>
            <w:tcW w:w="1039" w:type="dxa"/>
            <w:noWrap w:val="0"/>
            <w:vAlign w:val="center"/>
          </w:tcPr>
          <w:p>
            <w:pPr>
              <w:pStyle w:val="22"/>
              <w:bidi w:val="0"/>
              <w:rPr>
                <w:rFonts w:hint="default"/>
                <w:color w:val="auto"/>
                <w:highlight w:val="none"/>
              </w:rPr>
            </w:pPr>
            <w:r>
              <w:rPr>
                <w:rFonts w:hint="default"/>
                <w:color w:val="auto"/>
                <w:highlight w:val="none"/>
              </w:rPr>
              <w:t>拐点号</w:t>
            </w:r>
          </w:p>
        </w:tc>
        <w:tc>
          <w:tcPr>
            <w:tcW w:w="1541" w:type="dxa"/>
            <w:noWrap w:val="0"/>
            <w:vAlign w:val="center"/>
          </w:tcPr>
          <w:p>
            <w:pPr>
              <w:pStyle w:val="22"/>
              <w:bidi w:val="0"/>
              <w:rPr>
                <w:rFonts w:hint="default"/>
                <w:color w:val="auto"/>
                <w:highlight w:val="none"/>
              </w:rPr>
            </w:pPr>
            <w:r>
              <w:rPr>
                <w:rFonts w:hint="default"/>
                <w:color w:val="auto"/>
                <w:highlight w:val="none"/>
              </w:rPr>
              <w:t>横坐标(X)</w:t>
            </w:r>
          </w:p>
        </w:tc>
        <w:tc>
          <w:tcPr>
            <w:tcW w:w="1710"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1</w:t>
            </w:r>
          </w:p>
        </w:tc>
        <w:tc>
          <w:tcPr>
            <w:tcW w:w="1650" w:type="dxa"/>
            <w:noWrap w:val="0"/>
            <w:vAlign w:val="center"/>
          </w:tcPr>
          <w:p>
            <w:pPr>
              <w:pStyle w:val="22"/>
              <w:bidi w:val="0"/>
              <w:rPr>
                <w:rFonts w:hint="default"/>
                <w:color w:val="auto"/>
                <w:highlight w:val="none"/>
              </w:rPr>
            </w:pPr>
            <w:r>
              <w:rPr>
                <w:rFonts w:hint="default"/>
                <w:color w:val="auto"/>
                <w:highlight w:val="none"/>
              </w:rPr>
              <w:t>3410310.31</w:t>
            </w:r>
          </w:p>
        </w:tc>
        <w:tc>
          <w:tcPr>
            <w:tcW w:w="1548" w:type="dxa"/>
            <w:noWrap w:val="0"/>
            <w:vAlign w:val="center"/>
          </w:tcPr>
          <w:p>
            <w:pPr>
              <w:pStyle w:val="22"/>
              <w:bidi w:val="0"/>
              <w:rPr>
                <w:rFonts w:hint="default"/>
                <w:color w:val="auto"/>
                <w:highlight w:val="none"/>
              </w:rPr>
            </w:pPr>
            <w:r>
              <w:rPr>
                <w:rFonts w:hint="default"/>
                <w:color w:val="auto"/>
                <w:highlight w:val="none"/>
              </w:rPr>
              <w:t>36443448.04</w:t>
            </w:r>
          </w:p>
        </w:tc>
        <w:tc>
          <w:tcPr>
            <w:tcW w:w="1039" w:type="dxa"/>
            <w:noWrap w:val="0"/>
            <w:vAlign w:val="center"/>
          </w:tcPr>
          <w:p>
            <w:pPr>
              <w:pStyle w:val="22"/>
              <w:bidi w:val="0"/>
              <w:rPr>
                <w:rFonts w:hint="default"/>
                <w:color w:val="auto"/>
                <w:highlight w:val="none"/>
              </w:rPr>
            </w:pPr>
            <w:r>
              <w:rPr>
                <w:rFonts w:hint="default"/>
                <w:color w:val="auto"/>
                <w:highlight w:val="none"/>
              </w:rPr>
              <w:t>6</w:t>
            </w:r>
          </w:p>
        </w:tc>
        <w:tc>
          <w:tcPr>
            <w:tcW w:w="1541" w:type="dxa"/>
            <w:noWrap w:val="0"/>
            <w:vAlign w:val="center"/>
          </w:tcPr>
          <w:p>
            <w:pPr>
              <w:pStyle w:val="22"/>
              <w:bidi w:val="0"/>
              <w:rPr>
                <w:rFonts w:hint="default"/>
                <w:color w:val="auto"/>
                <w:highlight w:val="none"/>
              </w:rPr>
            </w:pPr>
            <w:r>
              <w:rPr>
                <w:rFonts w:hint="default"/>
                <w:color w:val="auto"/>
                <w:highlight w:val="none"/>
              </w:rPr>
              <w:t>3414435.22</w:t>
            </w:r>
          </w:p>
        </w:tc>
        <w:tc>
          <w:tcPr>
            <w:tcW w:w="1710" w:type="dxa"/>
            <w:noWrap w:val="0"/>
            <w:vAlign w:val="center"/>
          </w:tcPr>
          <w:p>
            <w:pPr>
              <w:pStyle w:val="22"/>
              <w:bidi w:val="0"/>
              <w:rPr>
                <w:rFonts w:hint="default"/>
                <w:color w:val="auto"/>
                <w:highlight w:val="none"/>
              </w:rPr>
            </w:pPr>
            <w:r>
              <w:rPr>
                <w:rFonts w:hint="default"/>
                <w:color w:val="auto"/>
                <w:highlight w:val="none"/>
              </w:rPr>
              <w:t>36446122.55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2</w:t>
            </w:r>
          </w:p>
        </w:tc>
        <w:tc>
          <w:tcPr>
            <w:tcW w:w="1650" w:type="dxa"/>
            <w:noWrap w:val="0"/>
            <w:vAlign w:val="center"/>
          </w:tcPr>
          <w:p>
            <w:pPr>
              <w:pStyle w:val="22"/>
              <w:bidi w:val="0"/>
              <w:rPr>
                <w:rFonts w:hint="default"/>
                <w:color w:val="auto"/>
                <w:highlight w:val="none"/>
              </w:rPr>
            </w:pPr>
            <w:r>
              <w:rPr>
                <w:rFonts w:hint="default"/>
                <w:color w:val="auto"/>
                <w:highlight w:val="none"/>
              </w:rPr>
              <w:t>3411067.31</w:t>
            </w:r>
          </w:p>
        </w:tc>
        <w:tc>
          <w:tcPr>
            <w:tcW w:w="1548" w:type="dxa"/>
            <w:noWrap w:val="0"/>
            <w:vAlign w:val="center"/>
          </w:tcPr>
          <w:p>
            <w:pPr>
              <w:pStyle w:val="22"/>
              <w:bidi w:val="0"/>
              <w:rPr>
                <w:rFonts w:hint="default"/>
                <w:color w:val="auto"/>
                <w:highlight w:val="none"/>
              </w:rPr>
            </w:pPr>
            <w:r>
              <w:rPr>
                <w:rFonts w:hint="default"/>
                <w:color w:val="auto"/>
                <w:highlight w:val="none"/>
              </w:rPr>
              <w:t>36444102.05</w:t>
            </w:r>
          </w:p>
        </w:tc>
        <w:tc>
          <w:tcPr>
            <w:tcW w:w="1039" w:type="dxa"/>
            <w:noWrap w:val="0"/>
            <w:vAlign w:val="center"/>
          </w:tcPr>
          <w:p>
            <w:pPr>
              <w:pStyle w:val="22"/>
              <w:bidi w:val="0"/>
              <w:rPr>
                <w:rFonts w:hint="default"/>
                <w:color w:val="auto"/>
                <w:highlight w:val="none"/>
              </w:rPr>
            </w:pPr>
            <w:r>
              <w:rPr>
                <w:rFonts w:hint="default"/>
                <w:color w:val="auto"/>
                <w:highlight w:val="none"/>
              </w:rPr>
              <w:t>7</w:t>
            </w:r>
          </w:p>
        </w:tc>
        <w:tc>
          <w:tcPr>
            <w:tcW w:w="1541" w:type="dxa"/>
            <w:noWrap w:val="0"/>
            <w:vAlign w:val="center"/>
          </w:tcPr>
          <w:p>
            <w:pPr>
              <w:pStyle w:val="22"/>
              <w:bidi w:val="0"/>
              <w:rPr>
                <w:rFonts w:hint="default"/>
                <w:color w:val="auto"/>
                <w:highlight w:val="none"/>
              </w:rPr>
            </w:pPr>
            <w:r>
              <w:rPr>
                <w:rFonts w:hint="default"/>
                <w:color w:val="auto"/>
                <w:highlight w:val="none"/>
              </w:rPr>
              <w:t>3414332.33</w:t>
            </w:r>
          </w:p>
        </w:tc>
        <w:tc>
          <w:tcPr>
            <w:tcW w:w="1710" w:type="dxa"/>
            <w:noWrap w:val="0"/>
            <w:vAlign w:val="center"/>
          </w:tcPr>
          <w:p>
            <w:pPr>
              <w:pStyle w:val="22"/>
              <w:bidi w:val="0"/>
              <w:rPr>
                <w:rFonts w:hint="default"/>
                <w:color w:val="auto"/>
                <w:highlight w:val="none"/>
              </w:rPr>
            </w:pPr>
            <w:r>
              <w:rPr>
                <w:rFonts w:hint="default"/>
                <w:color w:val="auto"/>
                <w:highlight w:val="none"/>
              </w:rPr>
              <w:t>36446267.06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3</w:t>
            </w:r>
          </w:p>
        </w:tc>
        <w:tc>
          <w:tcPr>
            <w:tcW w:w="1650" w:type="dxa"/>
            <w:noWrap w:val="0"/>
            <w:vAlign w:val="center"/>
          </w:tcPr>
          <w:p>
            <w:pPr>
              <w:pStyle w:val="22"/>
              <w:bidi w:val="0"/>
              <w:rPr>
                <w:rFonts w:hint="default"/>
                <w:color w:val="auto"/>
                <w:highlight w:val="none"/>
              </w:rPr>
            </w:pPr>
            <w:r>
              <w:rPr>
                <w:rFonts w:hint="default"/>
                <w:color w:val="auto"/>
                <w:highlight w:val="none"/>
              </w:rPr>
              <w:t>3412300.32</w:t>
            </w:r>
          </w:p>
        </w:tc>
        <w:tc>
          <w:tcPr>
            <w:tcW w:w="1548" w:type="dxa"/>
            <w:noWrap w:val="0"/>
            <w:vAlign w:val="center"/>
          </w:tcPr>
          <w:p>
            <w:pPr>
              <w:pStyle w:val="22"/>
              <w:bidi w:val="0"/>
              <w:rPr>
                <w:rFonts w:hint="default"/>
                <w:color w:val="auto"/>
                <w:highlight w:val="none"/>
              </w:rPr>
            </w:pPr>
            <w:r>
              <w:rPr>
                <w:rFonts w:hint="default"/>
                <w:color w:val="auto"/>
                <w:highlight w:val="none"/>
              </w:rPr>
              <w:t>36444932.05</w:t>
            </w:r>
          </w:p>
        </w:tc>
        <w:tc>
          <w:tcPr>
            <w:tcW w:w="1039" w:type="dxa"/>
            <w:noWrap w:val="0"/>
            <w:vAlign w:val="center"/>
          </w:tcPr>
          <w:p>
            <w:pPr>
              <w:pStyle w:val="22"/>
              <w:bidi w:val="0"/>
              <w:rPr>
                <w:rFonts w:hint="default"/>
                <w:color w:val="auto"/>
                <w:highlight w:val="none"/>
              </w:rPr>
            </w:pPr>
            <w:r>
              <w:rPr>
                <w:rFonts w:hint="default"/>
                <w:color w:val="auto"/>
                <w:highlight w:val="none"/>
              </w:rPr>
              <w:t>8</w:t>
            </w:r>
          </w:p>
        </w:tc>
        <w:tc>
          <w:tcPr>
            <w:tcW w:w="1541" w:type="dxa"/>
            <w:noWrap w:val="0"/>
            <w:vAlign w:val="center"/>
          </w:tcPr>
          <w:p>
            <w:pPr>
              <w:pStyle w:val="22"/>
              <w:bidi w:val="0"/>
              <w:rPr>
                <w:rFonts w:hint="default"/>
                <w:color w:val="auto"/>
                <w:highlight w:val="none"/>
              </w:rPr>
            </w:pPr>
            <w:r>
              <w:rPr>
                <w:rFonts w:hint="default"/>
                <w:color w:val="auto"/>
                <w:highlight w:val="none"/>
              </w:rPr>
              <w:t>3412174.32</w:t>
            </w:r>
          </w:p>
        </w:tc>
        <w:tc>
          <w:tcPr>
            <w:tcW w:w="1710" w:type="dxa"/>
            <w:noWrap w:val="0"/>
            <w:vAlign w:val="center"/>
          </w:tcPr>
          <w:p>
            <w:pPr>
              <w:pStyle w:val="22"/>
              <w:bidi w:val="0"/>
              <w:rPr>
                <w:rFonts w:hint="default"/>
                <w:color w:val="auto"/>
                <w:highlight w:val="none"/>
              </w:rPr>
            </w:pPr>
            <w:r>
              <w:rPr>
                <w:rFonts w:hint="default"/>
                <w:color w:val="auto"/>
                <w:highlight w:val="none"/>
              </w:rPr>
              <w:t>36445118.05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4</w:t>
            </w:r>
          </w:p>
        </w:tc>
        <w:tc>
          <w:tcPr>
            <w:tcW w:w="1650" w:type="dxa"/>
            <w:noWrap w:val="0"/>
            <w:vAlign w:val="center"/>
          </w:tcPr>
          <w:p>
            <w:pPr>
              <w:pStyle w:val="22"/>
              <w:bidi w:val="0"/>
              <w:rPr>
                <w:rFonts w:hint="default"/>
                <w:color w:val="auto"/>
                <w:highlight w:val="none"/>
              </w:rPr>
            </w:pPr>
            <w:r>
              <w:rPr>
                <w:rFonts w:hint="default"/>
                <w:color w:val="auto"/>
                <w:highlight w:val="none"/>
              </w:rPr>
              <w:t>3413547.36</w:t>
            </w:r>
          </w:p>
        </w:tc>
        <w:tc>
          <w:tcPr>
            <w:tcW w:w="1548" w:type="dxa"/>
            <w:noWrap w:val="0"/>
            <w:vAlign w:val="center"/>
          </w:tcPr>
          <w:p>
            <w:pPr>
              <w:pStyle w:val="22"/>
              <w:bidi w:val="0"/>
              <w:rPr>
                <w:rFonts w:hint="default"/>
                <w:color w:val="auto"/>
                <w:highlight w:val="none"/>
              </w:rPr>
            </w:pPr>
            <w:r>
              <w:rPr>
                <w:rFonts w:hint="default"/>
                <w:color w:val="auto"/>
                <w:highlight w:val="none"/>
              </w:rPr>
              <w:t>36445595.63</w:t>
            </w:r>
          </w:p>
        </w:tc>
        <w:tc>
          <w:tcPr>
            <w:tcW w:w="1039" w:type="dxa"/>
            <w:noWrap w:val="0"/>
            <w:vAlign w:val="center"/>
          </w:tcPr>
          <w:p>
            <w:pPr>
              <w:pStyle w:val="22"/>
              <w:bidi w:val="0"/>
              <w:rPr>
                <w:rFonts w:hint="default"/>
                <w:color w:val="auto"/>
                <w:highlight w:val="none"/>
              </w:rPr>
            </w:pPr>
            <w:r>
              <w:rPr>
                <w:rFonts w:hint="default"/>
                <w:color w:val="auto"/>
                <w:highlight w:val="none"/>
              </w:rPr>
              <w:t>9</w:t>
            </w:r>
          </w:p>
        </w:tc>
        <w:tc>
          <w:tcPr>
            <w:tcW w:w="1541" w:type="dxa"/>
            <w:noWrap w:val="0"/>
            <w:vAlign w:val="center"/>
          </w:tcPr>
          <w:p>
            <w:pPr>
              <w:pStyle w:val="22"/>
              <w:bidi w:val="0"/>
              <w:rPr>
                <w:rFonts w:hint="default"/>
                <w:color w:val="auto"/>
                <w:highlight w:val="none"/>
              </w:rPr>
            </w:pPr>
            <w:r>
              <w:rPr>
                <w:rFonts w:hint="default"/>
                <w:color w:val="auto"/>
                <w:highlight w:val="none"/>
              </w:rPr>
              <w:t>3410952.31</w:t>
            </w:r>
          </w:p>
        </w:tc>
        <w:tc>
          <w:tcPr>
            <w:tcW w:w="1710" w:type="dxa"/>
            <w:noWrap w:val="0"/>
            <w:vAlign w:val="center"/>
          </w:tcPr>
          <w:p>
            <w:pPr>
              <w:pStyle w:val="22"/>
              <w:bidi w:val="0"/>
              <w:rPr>
                <w:rFonts w:hint="default"/>
                <w:color w:val="auto"/>
                <w:highlight w:val="none"/>
              </w:rPr>
            </w:pPr>
            <w:r>
              <w:rPr>
                <w:rFonts w:hint="default"/>
                <w:color w:val="auto"/>
                <w:highlight w:val="none"/>
              </w:rPr>
              <w:t>36444291.05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5</w:t>
            </w:r>
          </w:p>
        </w:tc>
        <w:tc>
          <w:tcPr>
            <w:tcW w:w="1650" w:type="dxa"/>
            <w:noWrap w:val="0"/>
            <w:vAlign w:val="center"/>
          </w:tcPr>
          <w:p>
            <w:pPr>
              <w:pStyle w:val="22"/>
              <w:bidi w:val="0"/>
              <w:rPr>
                <w:rFonts w:hint="default"/>
                <w:color w:val="auto"/>
                <w:highlight w:val="none"/>
              </w:rPr>
            </w:pPr>
            <w:r>
              <w:rPr>
                <w:rFonts w:hint="default"/>
                <w:color w:val="auto"/>
                <w:highlight w:val="none"/>
              </w:rPr>
              <w:t>3413524.9</w:t>
            </w:r>
          </w:p>
        </w:tc>
        <w:tc>
          <w:tcPr>
            <w:tcW w:w="1548" w:type="dxa"/>
            <w:noWrap w:val="0"/>
            <w:vAlign w:val="center"/>
          </w:tcPr>
          <w:p>
            <w:pPr>
              <w:pStyle w:val="22"/>
              <w:bidi w:val="0"/>
              <w:rPr>
                <w:rFonts w:hint="default"/>
                <w:color w:val="auto"/>
                <w:highlight w:val="none"/>
              </w:rPr>
            </w:pPr>
            <w:r>
              <w:rPr>
                <w:rFonts w:hint="default"/>
                <w:color w:val="auto"/>
                <w:highlight w:val="none"/>
              </w:rPr>
              <w:t>36445640.31</w:t>
            </w:r>
          </w:p>
        </w:tc>
        <w:tc>
          <w:tcPr>
            <w:tcW w:w="1039" w:type="dxa"/>
            <w:noWrap w:val="0"/>
            <w:vAlign w:val="center"/>
          </w:tcPr>
          <w:p>
            <w:pPr>
              <w:pStyle w:val="22"/>
              <w:bidi w:val="0"/>
              <w:rPr>
                <w:rFonts w:hint="default"/>
                <w:color w:val="auto"/>
                <w:highlight w:val="none"/>
              </w:rPr>
            </w:pPr>
            <w:r>
              <w:rPr>
                <w:rFonts w:hint="default"/>
                <w:color w:val="auto"/>
                <w:highlight w:val="none"/>
              </w:rPr>
              <w:t>10</w:t>
            </w:r>
          </w:p>
        </w:tc>
        <w:tc>
          <w:tcPr>
            <w:tcW w:w="1541" w:type="dxa"/>
            <w:noWrap w:val="0"/>
            <w:vAlign w:val="center"/>
          </w:tcPr>
          <w:p>
            <w:pPr>
              <w:pStyle w:val="22"/>
              <w:bidi w:val="0"/>
              <w:rPr>
                <w:rFonts w:hint="default"/>
                <w:color w:val="auto"/>
                <w:highlight w:val="none"/>
              </w:rPr>
            </w:pPr>
            <w:r>
              <w:rPr>
                <w:rFonts w:hint="default"/>
                <w:color w:val="auto"/>
                <w:highlight w:val="none"/>
              </w:rPr>
              <w:t>3410175.31</w:t>
            </w:r>
          </w:p>
        </w:tc>
        <w:tc>
          <w:tcPr>
            <w:tcW w:w="1710" w:type="dxa"/>
            <w:noWrap w:val="0"/>
            <w:vAlign w:val="center"/>
          </w:tcPr>
          <w:p>
            <w:pPr>
              <w:pStyle w:val="22"/>
              <w:bidi w:val="0"/>
              <w:rPr>
                <w:rFonts w:hint="default"/>
                <w:color w:val="auto"/>
                <w:highlight w:val="none"/>
              </w:rPr>
            </w:pPr>
            <w:r>
              <w:rPr>
                <w:rFonts w:hint="default"/>
                <w:color w:val="auto"/>
                <w:highlight w:val="none"/>
              </w:rPr>
              <w:t>36443643.04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矿权面积1.0554km</w:t>
            </w:r>
            <w:r>
              <w:rPr>
                <w:rFonts w:hint="default"/>
                <w:color w:val="auto"/>
                <w:highlight w:val="none"/>
                <w:vertAlign w:val="superscript"/>
              </w:rPr>
              <w:t>2</w:t>
            </w:r>
            <w:r>
              <w:rPr>
                <w:rFonts w:hint="default"/>
                <w:color w:val="auto"/>
                <w:highlight w:val="none"/>
              </w:rPr>
              <w:t>，开采标高+470m～-165m，开采K7、K9、K10煤层。为2000国家大地坐标系。</w:t>
            </w: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华家沟煤矿规划矿权平面范围不变，开采标高调整为+470m～-165m</w:t>
      </w:r>
      <w:r>
        <w:rPr>
          <w:rFonts w:hint="default" w:ascii="Times New Roman" w:hAnsi="Times New Roman" w:cs="Times New Roman"/>
          <w:color w:val="auto"/>
          <w:sz w:val="24"/>
          <w:szCs w:val="24"/>
          <w:highlight w:val="none"/>
        </w:rPr>
        <w:t>。矿井资源计算范围为矿权平面范围，深部标高下延至-165m，并增设K</w:t>
      </w:r>
      <w:r>
        <w:rPr>
          <w:rFonts w:hint="default" w:ascii="Times New Roman" w:hAnsi="Times New Roman" w:cs="Times New Roman"/>
          <w:color w:val="auto"/>
          <w:sz w:val="24"/>
          <w:szCs w:val="24"/>
          <w:highlight w:val="none"/>
          <w:vertAlign w:val="subscript"/>
        </w:rPr>
        <w:t>7</w:t>
      </w:r>
      <w:r>
        <w:rPr>
          <w:rFonts w:hint="default" w:ascii="Times New Roman" w:hAnsi="Times New Roman" w:cs="Times New Roman"/>
          <w:color w:val="auto"/>
          <w:sz w:val="24"/>
          <w:szCs w:val="24"/>
          <w:highlight w:val="none"/>
        </w:rPr>
        <w:t>煤层。截至2020年12月31日，累计查明资源量516.40万吨，动用资源量85.10万吨。保有资源量431.30万吨，其中控制资源量191.40万吨，推断资源量239.90万吨。</w:t>
      </w:r>
    </w:p>
    <w:p>
      <w:pPr>
        <w:bidi w:val="0"/>
        <w:rPr>
          <w:rFonts w:hint="default"/>
          <w:color w:val="auto"/>
          <w:highlight w:val="none"/>
          <w:lang w:val="en-US" w:eastAsia="zh-CN"/>
        </w:rPr>
      </w:pPr>
      <w:r>
        <w:rPr>
          <w:rFonts w:hint="default"/>
          <w:color w:val="auto"/>
          <w:highlight w:val="none"/>
          <w:lang w:val="en-US" w:eastAsia="zh-CN"/>
        </w:rPr>
        <w:t>4、孔家沟煤矿</w:t>
      </w:r>
    </w:p>
    <w:p>
      <w:pPr>
        <w:bidi w:val="0"/>
        <w:rPr>
          <w:rFonts w:hint="default"/>
          <w:color w:val="auto"/>
          <w:highlight w:val="none"/>
        </w:rPr>
      </w:pPr>
      <w:r>
        <w:rPr>
          <w:rFonts w:hint="default"/>
          <w:color w:val="auto"/>
          <w:highlight w:val="none"/>
        </w:rPr>
        <w:t>规划孔家沟煤矿作为主体对石桥铺煤矿(已关闭)及空白区进行兼并重组升级改造。</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（1）孔家沟煤矿现有矿权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达州市全新能源发展有限公司孔家沟煤矿于2020年10月28日由四川省自然资源厅颁发了采矿许可证，证号：C5100002009121120052072，矿权范围由9个拐点坐标圈闭（详见表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-13），面积3.4115km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，批准开采K</w:t>
      </w:r>
      <w:r>
        <w:rPr>
          <w:rFonts w:hint="default" w:ascii="Times New Roman" w:hAnsi="Times New Roman" w:cs="Times New Roman"/>
          <w:color w:val="auto"/>
          <w:sz w:val="24"/>
          <w:szCs w:val="24"/>
          <w:highlight w:val="none"/>
          <w:vertAlign w:val="subscript"/>
        </w:rPr>
        <w:t>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9</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11</w:t>
      </w:r>
      <w:r>
        <w:rPr>
          <w:rFonts w:hint="default" w:ascii="Times New Roman" w:hAnsi="Times New Roman" w:cs="Times New Roman"/>
          <w:color w:val="auto"/>
          <w:sz w:val="24"/>
          <w:szCs w:val="24"/>
          <w:highlight w:val="none"/>
        </w:rPr>
        <w:t>煤层，开采标高+350m～±0m，有效期为2020年10月28日至2022年10月28日，生产能力为15万吨/年。</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-13       孔家沟煤矿现有矿权范围拐点坐标表（2000坐标系）</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542"/>
        <w:gridCol w:w="1686"/>
        <w:gridCol w:w="961"/>
        <w:gridCol w:w="1594"/>
        <w:gridCol w:w="1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拐点号</w:t>
            </w:r>
          </w:p>
        </w:tc>
        <w:tc>
          <w:tcPr>
            <w:tcW w:w="1542" w:type="dxa"/>
            <w:noWrap w:val="0"/>
            <w:vAlign w:val="center"/>
          </w:tcPr>
          <w:p>
            <w:pPr>
              <w:pStyle w:val="22"/>
              <w:bidi w:val="0"/>
              <w:rPr>
                <w:rFonts w:hint="default"/>
                <w:color w:val="auto"/>
                <w:highlight w:val="none"/>
              </w:rPr>
            </w:pPr>
            <w:r>
              <w:rPr>
                <w:rFonts w:hint="default"/>
                <w:color w:val="auto"/>
                <w:highlight w:val="none"/>
              </w:rPr>
              <w:t>横坐标(X)</w:t>
            </w:r>
          </w:p>
        </w:tc>
        <w:tc>
          <w:tcPr>
            <w:tcW w:w="1686" w:type="dxa"/>
            <w:noWrap w:val="0"/>
            <w:vAlign w:val="center"/>
          </w:tcPr>
          <w:p>
            <w:pPr>
              <w:pStyle w:val="22"/>
              <w:bidi w:val="0"/>
              <w:rPr>
                <w:rFonts w:hint="default"/>
                <w:color w:val="auto"/>
                <w:highlight w:val="none"/>
              </w:rPr>
            </w:pPr>
            <w:r>
              <w:rPr>
                <w:rFonts w:hint="default"/>
                <w:color w:val="auto"/>
                <w:highlight w:val="none"/>
              </w:rPr>
              <w:t>纵坐标(Y)</w:t>
            </w:r>
          </w:p>
        </w:tc>
        <w:tc>
          <w:tcPr>
            <w:tcW w:w="961" w:type="dxa"/>
            <w:noWrap w:val="0"/>
            <w:vAlign w:val="center"/>
          </w:tcPr>
          <w:p>
            <w:pPr>
              <w:pStyle w:val="22"/>
              <w:bidi w:val="0"/>
              <w:rPr>
                <w:rFonts w:hint="default"/>
                <w:color w:val="auto"/>
                <w:highlight w:val="none"/>
              </w:rPr>
            </w:pPr>
            <w:r>
              <w:rPr>
                <w:rFonts w:hint="default"/>
                <w:color w:val="auto"/>
                <w:highlight w:val="none"/>
              </w:rPr>
              <w:t>拐点号</w:t>
            </w:r>
          </w:p>
        </w:tc>
        <w:tc>
          <w:tcPr>
            <w:tcW w:w="1594" w:type="dxa"/>
            <w:noWrap w:val="0"/>
            <w:vAlign w:val="center"/>
          </w:tcPr>
          <w:p>
            <w:pPr>
              <w:pStyle w:val="22"/>
              <w:bidi w:val="0"/>
              <w:rPr>
                <w:rFonts w:hint="default"/>
                <w:color w:val="auto"/>
                <w:highlight w:val="none"/>
              </w:rPr>
            </w:pPr>
            <w:r>
              <w:rPr>
                <w:rFonts w:hint="default"/>
                <w:color w:val="auto"/>
                <w:highlight w:val="none"/>
              </w:rPr>
              <w:t>横坐标(X)</w:t>
            </w:r>
          </w:p>
        </w:tc>
        <w:tc>
          <w:tcPr>
            <w:tcW w:w="1657"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1</w:t>
            </w:r>
          </w:p>
        </w:tc>
        <w:tc>
          <w:tcPr>
            <w:tcW w:w="1542" w:type="dxa"/>
            <w:noWrap w:val="0"/>
            <w:vAlign w:val="center"/>
          </w:tcPr>
          <w:p>
            <w:pPr>
              <w:pStyle w:val="22"/>
              <w:bidi w:val="0"/>
              <w:rPr>
                <w:rFonts w:hint="default"/>
                <w:color w:val="auto"/>
                <w:highlight w:val="none"/>
              </w:rPr>
            </w:pPr>
            <w:r>
              <w:rPr>
                <w:rFonts w:hint="default"/>
                <w:color w:val="auto"/>
                <w:highlight w:val="none"/>
              </w:rPr>
              <w:t>3399024.65</w:t>
            </w:r>
          </w:p>
        </w:tc>
        <w:tc>
          <w:tcPr>
            <w:tcW w:w="1686" w:type="dxa"/>
            <w:noWrap w:val="0"/>
            <w:vAlign w:val="center"/>
          </w:tcPr>
          <w:p>
            <w:pPr>
              <w:pStyle w:val="22"/>
              <w:bidi w:val="0"/>
              <w:rPr>
                <w:rFonts w:hint="default"/>
                <w:color w:val="auto"/>
                <w:highlight w:val="none"/>
              </w:rPr>
            </w:pPr>
            <w:r>
              <w:rPr>
                <w:rFonts w:hint="default"/>
                <w:color w:val="auto"/>
                <w:highlight w:val="none"/>
              </w:rPr>
              <w:t>36438389.43</w:t>
            </w:r>
          </w:p>
        </w:tc>
        <w:tc>
          <w:tcPr>
            <w:tcW w:w="961" w:type="dxa"/>
            <w:noWrap w:val="0"/>
            <w:vAlign w:val="center"/>
          </w:tcPr>
          <w:p>
            <w:pPr>
              <w:pStyle w:val="22"/>
              <w:bidi w:val="0"/>
              <w:rPr>
                <w:rFonts w:hint="default"/>
                <w:color w:val="auto"/>
                <w:highlight w:val="none"/>
              </w:rPr>
            </w:pPr>
            <w:r>
              <w:rPr>
                <w:rFonts w:hint="default"/>
                <w:color w:val="auto"/>
                <w:highlight w:val="none"/>
              </w:rPr>
              <w:t>6</w:t>
            </w:r>
          </w:p>
        </w:tc>
        <w:tc>
          <w:tcPr>
            <w:tcW w:w="1594" w:type="dxa"/>
            <w:noWrap w:val="0"/>
            <w:vAlign w:val="center"/>
          </w:tcPr>
          <w:p>
            <w:pPr>
              <w:pStyle w:val="22"/>
              <w:bidi w:val="0"/>
              <w:rPr>
                <w:rFonts w:hint="default"/>
                <w:color w:val="auto"/>
                <w:highlight w:val="none"/>
              </w:rPr>
            </w:pPr>
            <w:r>
              <w:rPr>
                <w:rFonts w:hint="default"/>
                <w:color w:val="auto"/>
                <w:highlight w:val="none"/>
              </w:rPr>
              <w:t>3403754.67</w:t>
            </w:r>
          </w:p>
        </w:tc>
        <w:tc>
          <w:tcPr>
            <w:tcW w:w="1657" w:type="dxa"/>
            <w:noWrap w:val="0"/>
            <w:vAlign w:val="center"/>
          </w:tcPr>
          <w:p>
            <w:pPr>
              <w:pStyle w:val="22"/>
              <w:bidi w:val="0"/>
              <w:rPr>
                <w:rFonts w:hint="default"/>
                <w:color w:val="auto"/>
                <w:highlight w:val="none"/>
              </w:rPr>
            </w:pPr>
            <w:r>
              <w:rPr>
                <w:rFonts w:hint="default"/>
                <w:color w:val="auto"/>
                <w:highlight w:val="none"/>
              </w:rPr>
              <w:t>36439889.43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2</w:t>
            </w:r>
          </w:p>
        </w:tc>
        <w:tc>
          <w:tcPr>
            <w:tcW w:w="1542" w:type="dxa"/>
            <w:noWrap w:val="0"/>
            <w:vAlign w:val="center"/>
          </w:tcPr>
          <w:p>
            <w:pPr>
              <w:pStyle w:val="22"/>
              <w:bidi w:val="0"/>
              <w:rPr>
                <w:rFonts w:hint="default"/>
                <w:color w:val="auto"/>
                <w:highlight w:val="none"/>
              </w:rPr>
            </w:pPr>
            <w:r>
              <w:rPr>
                <w:rFonts w:hint="default"/>
                <w:color w:val="auto"/>
                <w:highlight w:val="none"/>
              </w:rPr>
              <w:t>3402569.66</w:t>
            </w:r>
          </w:p>
        </w:tc>
        <w:tc>
          <w:tcPr>
            <w:tcW w:w="1686" w:type="dxa"/>
            <w:noWrap w:val="0"/>
            <w:vAlign w:val="center"/>
          </w:tcPr>
          <w:p>
            <w:pPr>
              <w:pStyle w:val="22"/>
              <w:bidi w:val="0"/>
              <w:rPr>
                <w:rFonts w:hint="default"/>
                <w:color w:val="auto"/>
                <w:highlight w:val="none"/>
              </w:rPr>
            </w:pPr>
            <w:r>
              <w:rPr>
                <w:rFonts w:hint="default"/>
                <w:color w:val="auto"/>
                <w:highlight w:val="none"/>
              </w:rPr>
              <w:t>36438859.43</w:t>
            </w:r>
          </w:p>
        </w:tc>
        <w:tc>
          <w:tcPr>
            <w:tcW w:w="961" w:type="dxa"/>
            <w:noWrap w:val="0"/>
            <w:vAlign w:val="center"/>
          </w:tcPr>
          <w:p>
            <w:pPr>
              <w:pStyle w:val="22"/>
              <w:bidi w:val="0"/>
              <w:rPr>
                <w:rFonts w:hint="default"/>
                <w:color w:val="auto"/>
                <w:highlight w:val="none"/>
              </w:rPr>
            </w:pPr>
            <w:r>
              <w:rPr>
                <w:rFonts w:hint="default"/>
                <w:color w:val="auto"/>
                <w:highlight w:val="none"/>
              </w:rPr>
              <w:t>7</w:t>
            </w:r>
          </w:p>
        </w:tc>
        <w:tc>
          <w:tcPr>
            <w:tcW w:w="1594" w:type="dxa"/>
            <w:noWrap w:val="0"/>
            <w:vAlign w:val="center"/>
          </w:tcPr>
          <w:p>
            <w:pPr>
              <w:pStyle w:val="22"/>
              <w:bidi w:val="0"/>
              <w:rPr>
                <w:rFonts w:hint="default"/>
                <w:color w:val="auto"/>
                <w:highlight w:val="none"/>
              </w:rPr>
            </w:pPr>
            <w:r>
              <w:rPr>
                <w:rFonts w:hint="default"/>
                <w:color w:val="auto"/>
                <w:highlight w:val="none"/>
              </w:rPr>
              <w:t>3402324.67</w:t>
            </w:r>
          </w:p>
        </w:tc>
        <w:tc>
          <w:tcPr>
            <w:tcW w:w="1657" w:type="dxa"/>
            <w:noWrap w:val="0"/>
            <w:vAlign w:val="center"/>
          </w:tcPr>
          <w:p>
            <w:pPr>
              <w:pStyle w:val="22"/>
              <w:bidi w:val="0"/>
              <w:rPr>
                <w:rFonts w:hint="default"/>
                <w:color w:val="auto"/>
                <w:highlight w:val="none"/>
              </w:rPr>
            </w:pPr>
            <w:r>
              <w:rPr>
                <w:rFonts w:hint="default"/>
                <w:color w:val="auto"/>
                <w:highlight w:val="none"/>
              </w:rPr>
              <w:t>36439474.43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3</w:t>
            </w:r>
          </w:p>
        </w:tc>
        <w:tc>
          <w:tcPr>
            <w:tcW w:w="1542" w:type="dxa"/>
            <w:noWrap w:val="0"/>
            <w:vAlign w:val="center"/>
          </w:tcPr>
          <w:p>
            <w:pPr>
              <w:pStyle w:val="22"/>
              <w:bidi w:val="0"/>
              <w:rPr>
                <w:rFonts w:hint="default"/>
                <w:color w:val="auto"/>
                <w:highlight w:val="none"/>
              </w:rPr>
            </w:pPr>
            <w:r>
              <w:rPr>
                <w:rFonts w:hint="default"/>
                <w:color w:val="auto"/>
                <w:highlight w:val="none"/>
              </w:rPr>
              <w:t>3405309.67</w:t>
            </w:r>
          </w:p>
        </w:tc>
        <w:tc>
          <w:tcPr>
            <w:tcW w:w="1686" w:type="dxa"/>
            <w:noWrap w:val="0"/>
            <w:vAlign w:val="center"/>
          </w:tcPr>
          <w:p>
            <w:pPr>
              <w:pStyle w:val="22"/>
              <w:bidi w:val="0"/>
              <w:rPr>
                <w:rFonts w:hint="default"/>
                <w:color w:val="auto"/>
                <w:highlight w:val="none"/>
              </w:rPr>
            </w:pPr>
            <w:r>
              <w:rPr>
                <w:rFonts w:hint="default"/>
                <w:color w:val="auto"/>
                <w:highlight w:val="none"/>
              </w:rPr>
              <w:t>36439979.43</w:t>
            </w:r>
          </w:p>
        </w:tc>
        <w:tc>
          <w:tcPr>
            <w:tcW w:w="961" w:type="dxa"/>
            <w:noWrap w:val="0"/>
            <w:vAlign w:val="center"/>
          </w:tcPr>
          <w:p>
            <w:pPr>
              <w:pStyle w:val="22"/>
              <w:bidi w:val="0"/>
              <w:rPr>
                <w:rFonts w:hint="default"/>
                <w:color w:val="auto"/>
                <w:highlight w:val="none"/>
              </w:rPr>
            </w:pPr>
            <w:r>
              <w:rPr>
                <w:rFonts w:hint="default"/>
                <w:color w:val="auto"/>
                <w:highlight w:val="none"/>
              </w:rPr>
              <w:t>8</w:t>
            </w:r>
          </w:p>
        </w:tc>
        <w:tc>
          <w:tcPr>
            <w:tcW w:w="1594" w:type="dxa"/>
            <w:noWrap w:val="0"/>
            <w:vAlign w:val="center"/>
          </w:tcPr>
          <w:p>
            <w:pPr>
              <w:pStyle w:val="22"/>
              <w:bidi w:val="0"/>
              <w:rPr>
                <w:rFonts w:hint="default"/>
                <w:color w:val="auto"/>
                <w:highlight w:val="none"/>
              </w:rPr>
            </w:pPr>
            <w:r>
              <w:rPr>
                <w:rFonts w:hint="default"/>
                <w:color w:val="auto"/>
                <w:highlight w:val="none"/>
              </w:rPr>
              <w:t>3401309.66</w:t>
            </w:r>
          </w:p>
        </w:tc>
        <w:tc>
          <w:tcPr>
            <w:tcW w:w="1657" w:type="dxa"/>
            <w:noWrap w:val="0"/>
            <w:vAlign w:val="center"/>
          </w:tcPr>
          <w:p>
            <w:pPr>
              <w:pStyle w:val="22"/>
              <w:bidi w:val="0"/>
              <w:rPr>
                <w:rFonts w:hint="default"/>
                <w:color w:val="auto"/>
                <w:highlight w:val="none"/>
              </w:rPr>
            </w:pPr>
            <w:r>
              <w:rPr>
                <w:rFonts w:hint="default"/>
                <w:color w:val="auto"/>
                <w:highlight w:val="none"/>
              </w:rPr>
              <w:t>36439269.43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4</w:t>
            </w:r>
          </w:p>
        </w:tc>
        <w:tc>
          <w:tcPr>
            <w:tcW w:w="1542" w:type="dxa"/>
            <w:noWrap w:val="0"/>
            <w:vAlign w:val="center"/>
          </w:tcPr>
          <w:p>
            <w:pPr>
              <w:pStyle w:val="22"/>
              <w:bidi w:val="0"/>
              <w:rPr>
                <w:rFonts w:hint="default"/>
                <w:color w:val="auto"/>
                <w:highlight w:val="none"/>
              </w:rPr>
            </w:pPr>
            <w:r>
              <w:rPr>
                <w:rFonts w:hint="default"/>
                <w:color w:val="auto"/>
                <w:highlight w:val="none"/>
              </w:rPr>
              <w:t>3405064.67</w:t>
            </w:r>
          </w:p>
        </w:tc>
        <w:tc>
          <w:tcPr>
            <w:tcW w:w="1686" w:type="dxa"/>
            <w:noWrap w:val="0"/>
            <w:vAlign w:val="center"/>
          </w:tcPr>
          <w:p>
            <w:pPr>
              <w:pStyle w:val="22"/>
              <w:bidi w:val="0"/>
              <w:rPr>
                <w:rFonts w:hint="default"/>
                <w:color w:val="auto"/>
                <w:highlight w:val="none"/>
              </w:rPr>
            </w:pPr>
            <w:r>
              <w:rPr>
                <w:rFonts w:hint="default"/>
                <w:color w:val="auto"/>
                <w:highlight w:val="none"/>
              </w:rPr>
              <w:t>36440474.43</w:t>
            </w:r>
          </w:p>
        </w:tc>
        <w:tc>
          <w:tcPr>
            <w:tcW w:w="961" w:type="dxa"/>
            <w:noWrap w:val="0"/>
            <w:vAlign w:val="center"/>
          </w:tcPr>
          <w:p>
            <w:pPr>
              <w:pStyle w:val="22"/>
              <w:bidi w:val="0"/>
              <w:rPr>
                <w:rFonts w:hint="default"/>
                <w:color w:val="auto"/>
                <w:highlight w:val="none"/>
              </w:rPr>
            </w:pPr>
            <w:r>
              <w:rPr>
                <w:rFonts w:hint="default"/>
                <w:color w:val="auto"/>
                <w:highlight w:val="none"/>
              </w:rPr>
              <w:t>9</w:t>
            </w:r>
          </w:p>
        </w:tc>
        <w:tc>
          <w:tcPr>
            <w:tcW w:w="1594" w:type="dxa"/>
            <w:noWrap w:val="0"/>
            <w:vAlign w:val="center"/>
          </w:tcPr>
          <w:p>
            <w:pPr>
              <w:pStyle w:val="22"/>
              <w:bidi w:val="0"/>
              <w:rPr>
                <w:rFonts w:hint="default"/>
                <w:color w:val="auto"/>
                <w:highlight w:val="none"/>
              </w:rPr>
            </w:pPr>
            <w:r>
              <w:rPr>
                <w:rFonts w:hint="default"/>
                <w:color w:val="auto"/>
                <w:highlight w:val="none"/>
              </w:rPr>
              <w:t>3399024.65</w:t>
            </w:r>
          </w:p>
        </w:tc>
        <w:tc>
          <w:tcPr>
            <w:tcW w:w="1657" w:type="dxa"/>
            <w:noWrap w:val="0"/>
            <w:vAlign w:val="center"/>
          </w:tcPr>
          <w:p>
            <w:pPr>
              <w:pStyle w:val="22"/>
              <w:bidi w:val="0"/>
              <w:rPr>
                <w:rFonts w:hint="default"/>
                <w:color w:val="auto"/>
                <w:highlight w:val="none"/>
              </w:rPr>
            </w:pPr>
            <w:r>
              <w:rPr>
                <w:rFonts w:hint="default"/>
                <w:color w:val="auto"/>
                <w:highlight w:val="none"/>
              </w:rPr>
              <w:t>36438789.43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5</w:t>
            </w:r>
          </w:p>
        </w:tc>
        <w:tc>
          <w:tcPr>
            <w:tcW w:w="1542" w:type="dxa"/>
            <w:noWrap w:val="0"/>
            <w:vAlign w:val="center"/>
          </w:tcPr>
          <w:p>
            <w:pPr>
              <w:pStyle w:val="22"/>
              <w:bidi w:val="0"/>
              <w:rPr>
                <w:rFonts w:hint="default"/>
                <w:color w:val="auto"/>
                <w:highlight w:val="none"/>
              </w:rPr>
            </w:pPr>
            <w:r>
              <w:rPr>
                <w:rFonts w:hint="default"/>
                <w:color w:val="auto"/>
                <w:highlight w:val="none"/>
              </w:rPr>
              <w:t>3404404.67</w:t>
            </w:r>
          </w:p>
        </w:tc>
        <w:tc>
          <w:tcPr>
            <w:tcW w:w="1686" w:type="dxa"/>
            <w:noWrap w:val="0"/>
            <w:vAlign w:val="center"/>
          </w:tcPr>
          <w:p>
            <w:pPr>
              <w:pStyle w:val="22"/>
              <w:bidi w:val="0"/>
              <w:rPr>
                <w:rFonts w:hint="default"/>
                <w:color w:val="auto"/>
                <w:highlight w:val="none"/>
              </w:rPr>
            </w:pPr>
            <w:r>
              <w:rPr>
                <w:rFonts w:hint="default"/>
                <w:color w:val="auto"/>
                <w:highlight w:val="none"/>
              </w:rPr>
              <w:t>36440119.43</w:t>
            </w:r>
          </w:p>
        </w:tc>
        <w:tc>
          <w:tcPr>
            <w:tcW w:w="961" w:type="dxa"/>
            <w:noWrap w:val="0"/>
            <w:vAlign w:val="center"/>
          </w:tcPr>
          <w:p>
            <w:pPr>
              <w:pStyle w:val="22"/>
              <w:bidi w:val="0"/>
              <w:rPr>
                <w:rFonts w:hint="default"/>
                <w:color w:val="auto"/>
                <w:highlight w:val="none"/>
              </w:rPr>
            </w:pPr>
            <w:r>
              <w:rPr>
                <w:rFonts w:hint="default"/>
                <w:color w:val="auto"/>
                <w:highlight w:val="none"/>
              </w:rPr>
              <w:t>10</w:t>
            </w:r>
          </w:p>
        </w:tc>
        <w:tc>
          <w:tcPr>
            <w:tcW w:w="1594" w:type="dxa"/>
            <w:noWrap w:val="0"/>
            <w:vAlign w:val="center"/>
          </w:tcPr>
          <w:p>
            <w:pPr>
              <w:pStyle w:val="22"/>
              <w:bidi w:val="0"/>
              <w:rPr>
                <w:rFonts w:hint="default"/>
                <w:color w:val="auto"/>
                <w:highlight w:val="none"/>
              </w:rPr>
            </w:pPr>
          </w:p>
        </w:tc>
        <w:tc>
          <w:tcPr>
            <w:tcW w:w="1657" w:type="dxa"/>
            <w:noWrap w:val="0"/>
            <w:vAlign w:val="center"/>
          </w:tcPr>
          <w:p>
            <w:pPr>
              <w:pStyle w:val="22"/>
              <w:bidi w:val="0"/>
              <w:rPr>
                <w:rFonts w:hint="default"/>
                <w:color w:val="auto"/>
                <w:highlight w:val="none"/>
              </w:rPr>
            </w:pP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（2）石桥铺煤矿原有矿权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大竹县石桥煤业有限责任公司石桥铺煤矿于2010年12月31日经原四川省国土资源厅颁发了采矿许可证，证号C5100002009031120006157，有效期至2019年3月31日，矿权范围由6个拐点坐标圈闭(详见表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-14)，面积1.5441km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，批准开采三夹连(K</w:t>
      </w:r>
      <w:r>
        <w:rPr>
          <w:rFonts w:hint="default" w:ascii="Times New Roman" w:hAnsi="Times New Roman" w:cs="Times New Roman"/>
          <w:color w:val="auto"/>
          <w:sz w:val="24"/>
          <w:szCs w:val="24"/>
          <w:highlight w:val="none"/>
          <w:vertAlign w:val="subscript"/>
        </w:rPr>
        <w:t>6</w:t>
      </w:r>
      <w:r>
        <w:rPr>
          <w:rFonts w:hint="default" w:ascii="Times New Roman" w:hAnsi="Times New Roman" w:cs="Times New Roman"/>
          <w:color w:val="auto"/>
          <w:sz w:val="24"/>
          <w:szCs w:val="24"/>
          <w:highlight w:val="none"/>
        </w:rPr>
        <w:t>)、二连子煤层(K</w:t>
      </w:r>
      <w:r>
        <w:rPr>
          <w:rFonts w:hint="default" w:ascii="Times New Roman" w:hAnsi="Times New Roman" w:cs="Times New Roman"/>
          <w:color w:val="auto"/>
          <w:sz w:val="24"/>
          <w:szCs w:val="24"/>
          <w:highlight w:val="none"/>
          <w:vertAlign w:val="subscript"/>
        </w:rPr>
        <w:t>9</w:t>
      </w:r>
      <w:r>
        <w:rPr>
          <w:rFonts w:hint="default" w:ascii="Times New Roman" w:hAnsi="Times New Roman" w:cs="Times New Roman"/>
          <w:color w:val="auto"/>
          <w:sz w:val="24"/>
          <w:szCs w:val="24"/>
          <w:highlight w:val="none"/>
        </w:rPr>
        <w:t>)，开采标高为+478m～+150m，生产能力为9万吨/年。于2017年12月6日关闭。</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-14     石桥铺煤矿原有矿权范围拐点坐标表（2000坐标系）</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542"/>
        <w:gridCol w:w="1686"/>
        <w:gridCol w:w="961"/>
        <w:gridCol w:w="1594"/>
        <w:gridCol w:w="1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拐点号</w:t>
            </w:r>
          </w:p>
        </w:tc>
        <w:tc>
          <w:tcPr>
            <w:tcW w:w="1542" w:type="dxa"/>
            <w:noWrap w:val="0"/>
            <w:vAlign w:val="center"/>
          </w:tcPr>
          <w:p>
            <w:pPr>
              <w:pStyle w:val="22"/>
              <w:bidi w:val="0"/>
              <w:rPr>
                <w:rFonts w:hint="default"/>
                <w:color w:val="auto"/>
                <w:highlight w:val="none"/>
              </w:rPr>
            </w:pPr>
            <w:r>
              <w:rPr>
                <w:rFonts w:hint="default"/>
                <w:color w:val="auto"/>
                <w:highlight w:val="none"/>
              </w:rPr>
              <w:t>横坐标(X)</w:t>
            </w:r>
          </w:p>
        </w:tc>
        <w:tc>
          <w:tcPr>
            <w:tcW w:w="1686" w:type="dxa"/>
            <w:noWrap w:val="0"/>
            <w:vAlign w:val="center"/>
          </w:tcPr>
          <w:p>
            <w:pPr>
              <w:pStyle w:val="22"/>
              <w:bidi w:val="0"/>
              <w:rPr>
                <w:rFonts w:hint="default"/>
                <w:color w:val="auto"/>
                <w:highlight w:val="none"/>
              </w:rPr>
            </w:pPr>
            <w:r>
              <w:rPr>
                <w:rFonts w:hint="default"/>
                <w:color w:val="auto"/>
                <w:highlight w:val="none"/>
              </w:rPr>
              <w:t>纵坐标(Y)</w:t>
            </w:r>
          </w:p>
        </w:tc>
        <w:tc>
          <w:tcPr>
            <w:tcW w:w="961" w:type="dxa"/>
            <w:noWrap w:val="0"/>
            <w:vAlign w:val="center"/>
          </w:tcPr>
          <w:p>
            <w:pPr>
              <w:pStyle w:val="22"/>
              <w:bidi w:val="0"/>
              <w:rPr>
                <w:rFonts w:hint="default"/>
                <w:color w:val="auto"/>
                <w:highlight w:val="none"/>
              </w:rPr>
            </w:pPr>
            <w:r>
              <w:rPr>
                <w:rFonts w:hint="default"/>
                <w:color w:val="auto"/>
                <w:highlight w:val="none"/>
              </w:rPr>
              <w:t>拐点号</w:t>
            </w:r>
          </w:p>
        </w:tc>
        <w:tc>
          <w:tcPr>
            <w:tcW w:w="1594" w:type="dxa"/>
            <w:noWrap w:val="0"/>
            <w:vAlign w:val="center"/>
          </w:tcPr>
          <w:p>
            <w:pPr>
              <w:pStyle w:val="22"/>
              <w:bidi w:val="0"/>
              <w:rPr>
                <w:rFonts w:hint="default"/>
                <w:color w:val="auto"/>
                <w:highlight w:val="none"/>
              </w:rPr>
            </w:pPr>
            <w:r>
              <w:rPr>
                <w:rFonts w:hint="default"/>
                <w:color w:val="auto"/>
                <w:highlight w:val="none"/>
              </w:rPr>
              <w:t>横坐标(X)</w:t>
            </w:r>
          </w:p>
        </w:tc>
        <w:tc>
          <w:tcPr>
            <w:tcW w:w="1657"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1</w:t>
            </w:r>
          </w:p>
        </w:tc>
        <w:tc>
          <w:tcPr>
            <w:tcW w:w="1542" w:type="dxa"/>
            <w:noWrap w:val="0"/>
            <w:vAlign w:val="center"/>
          </w:tcPr>
          <w:p>
            <w:pPr>
              <w:pStyle w:val="22"/>
              <w:bidi w:val="0"/>
              <w:rPr>
                <w:rFonts w:hint="default"/>
                <w:color w:val="auto"/>
                <w:highlight w:val="none"/>
              </w:rPr>
            </w:pPr>
            <w:r>
              <w:rPr>
                <w:rFonts w:hint="default"/>
                <w:color w:val="auto"/>
                <w:highlight w:val="none"/>
              </w:rPr>
              <w:t>3405716.03</w:t>
            </w:r>
          </w:p>
        </w:tc>
        <w:tc>
          <w:tcPr>
            <w:tcW w:w="1686" w:type="dxa"/>
            <w:noWrap w:val="0"/>
            <w:vAlign w:val="center"/>
          </w:tcPr>
          <w:p>
            <w:pPr>
              <w:pStyle w:val="22"/>
              <w:bidi w:val="0"/>
              <w:rPr>
                <w:rFonts w:hint="default"/>
                <w:color w:val="auto"/>
                <w:highlight w:val="none"/>
              </w:rPr>
            </w:pPr>
            <w:r>
              <w:rPr>
                <w:rFonts w:hint="default"/>
                <w:color w:val="auto"/>
                <w:highlight w:val="none"/>
              </w:rPr>
              <w:t>36439527.7</w:t>
            </w:r>
          </w:p>
        </w:tc>
        <w:tc>
          <w:tcPr>
            <w:tcW w:w="961" w:type="dxa"/>
            <w:noWrap w:val="0"/>
            <w:vAlign w:val="center"/>
          </w:tcPr>
          <w:p>
            <w:pPr>
              <w:pStyle w:val="22"/>
              <w:bidi w:val="0"/>
              <w:rPr>
                <w:rFonts w:hint="default"/>
                <w:color w:val="auto"/>
                <w:highlight w:val="none"/>
              </w:rPr>
            </w:pPr>
            <w:r>
              <w:rPr>
                <w:rFonts w:hint="default"/>
                <w:color w:val="auto"/>
                <w:highlight w:val="none"/>
              </w:rPr>
              <w:t>4</w:t>
            </w:r>
          </w:p>
        </w:tc>
        <w:tc>
          <w:tcPr>
            <w:tcW w:w="1594" w:type="dxa"/>
            <w:noWrap w:val="0"/>
            <w:vAlign w:val="center"/>
          </w:tcPr>
          <w:p>
            <w:pPr>
              <w:pStyle w:val="22"/>
              <w:bidi w:val="0"/>
              <w:rPr>
                <w:rFonts w:hint="default"/>
                <w:color w:val="auto"/>
                <w:highlight w:val="none"/>
              </w:rPr>
            </w:pPr>
            <w:r>
              <w:rPr>
                <w:rFonts w:hint="default"/>
                <w:color w:val="auto"/>
                <w:highlight w:val="none"/>
              </w:rPr>
              <w:t>3408676.03</w:t>
            </w:r>
          </w:p>
        </w:tc>
        <w:tc>
          <w:tcPr>
            <w:tcW w:w="1657" w:type="dxa"/>
            <w:noWrap w:val="0"/>
            <w:vAlign w:val="center"/>
          </w:tcPr>
          <w:p>
            <w:pPr>
              <w:pStyle w:val="22"/>
              <w:bidi w:val="0"/>
              <w:rPr>
                <w:rFonts w:hint="default"/>
                <w:color w:val="auto"/>
                <w:highlight w:val="none"/>
              </w:rPr>
            </w:pPr>
            <w:r>
              <w:rPr>
                <w:rFonts w:hint="default"/>
                <w:color w:val="auto"/>
                <w:highlight w:val="none"/>
              </w:rPr>
              <w:t>36442598.66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2</w:t>
            </w:r>
          </w:p>
        </w:tc>
        <w:tc>
          <w:tcPr>
            <w:tcW w:w="1542" w:type="dxa"/>
            <w:noWrap w:val="0"/>
            <w:vAlign w:val="center"/>
          </w:tcPr>
          <w:p>
            <w:pPr>
              <w:pStyle w:val="22"/>
              <w:bidi w:val="0"/>
              <w:rPr>
                <w:rFonts w:hint="default"/>
                <w:color w:val="auto"/>
                <w:highlight w:val="none"/>
              </w:rPr>
            </w:pPr>
            <w:r>
              <w:rPr>
                <w:rFonts w:hint="default"/>
                <w:color w:val="auto"/>
                <w:highlight w:val="none"/>
              </w:rPr>
              <w:t>3408066.02</w:t>
            </w:r>
          </w:p>
        </w:tc>
        <w:tc>
          <w:tcPr>
            <w:tcW w:w="1686" w:type="dxa"/>
            <w:noWrap w:val="0"/>
            <w:vAlign w:val="center"/>
          </w:tcPr>
          <w:p>
            <w:pPr>
              <w:pStyle w:val="22"/>
              <w:bidi w:val="0"/>
              <w:rPr>
                <w:rFonts w:hint="default"/>
                <w:color w:val="auto"/>
                <w:highlight w:val="none"/>
              </w:rPr>
            </w:pPr>
            <w:r>
              <w:rPr>
                <w:rFonts w:hint="default"/>
                <w:color w:val="auto"/>
                <w:highlight w:val="none"/>
              </w:rPr>
              <w:t>36441420.67</w:t>
            </w:r>
          </w:p>
        </w:tc>
        <w:tc>
          <w:tcPr>
            <w:tcW w:w="961" w:type="dxa"/>
            <w:noWrap w:val="0"/>
            <w:vAlign w:val="center"/>
          </w:tcPr>
          <w:p>
            <w:pPr>
              <w:pStyle w:val="22"/>
              <w:bidi w:val="0"/>
              <w:rPr>
                <w:rFonts w:hint="default"/>
                <w:color w:val="auto"/>
                <w:highlight w:val="none"/>
              </w:rPr>
            </w:pPr>
            <w:r>
              <w:rPr>
                <w:rFonts w:hint="default"/>
                <w:color w:val="auto"/>
                <w:highlight w:val="none"/>
              </w:rPr>
              <w:t>5</w:t>
            </w:r>
          </w:p>
        </w:tc>
        <w:tc>
          <w:tcPr>
            <w:tcW w:w="1594" w:type="dxa"/>
            <w:noWrap w:val="0"/>
            <w:vAlign w:val="center"/>
          </w:tcPr>
          <w:p>
            <w:pPr>
              <w:pStyle w:val="22"/>
              <w:bidi w:val="0"/>
              <w:rPr>
                <w:rFonts w:hint="default"/>
                <w:color w:val="auto"/>
                <w:highlight w:val="none"/>
              </w:rPr>
            </w:pPr>
            <w:r>
              <w:rPr>
                <w:rFonts w:hint="default"/>
                <w:color w:val="auto"/>
                <w:highlight w:val="none"/>
              </w:rPr>
              <w:t>3407956.03</w:t>
            </w:r>
          </w:p>
        </w:tc>
        <w:tc>
          <w:tcPr>
            <w:tcW w:w="1657" w:type="dxa"/>
            <w:noWrap w:val="0"/>
            <w:vAlign w:val="center"/>
          </w:tcPr>
          <w:p>
            <w:pPr>
              <w:pStyle w:val="22"/>
              <w:bidi w:val="0"/>
              <w:rPr>
                <w:rFonts w:hint="default"/>
                <w:color w:val="auto"/>
                <w:highlight w:val="none"/>
              </w:rPr>
            </w:pPr>
            <w:r>
              <w:rPr>
                <w:rFonts w:hint="default"/>
                <w:color w:val="auto"/>
                <w:highlight w:val="none"/>
              </w:rPr>
              <w:t>36441767.67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3</w:t>
            </w:r>
          </w:p>
        </w:tc>
        <w:tc>
          <w:tcPr>
            <w:tcW w:w="1542" w:type="dxa"/>
            <w:noWrap w:val="0"/>
            <w:vAlign w:val="center"/>
          </w:tcPr>
          <w:p>
            <w:pPr>
              <w:pStyle w:val="22"/>
              <w:bidi w:val="0"/>
              <w:rPr>
                <w:rFonts w:hint="default"/>
                <w:color w:val="auto"/>
                <w:highlight w:val="none"/>
              </w:rPr>
            </w:pPr>
            <w:r>
              <w:rPr>
                <w:rFonts w:hint="default"/>
                <w:color w:val="auto"/>
                <w:highlight w:val="none"/>
              </w:rPr>
              <w:t>3408915.02</w:t>
            </w:r>
          </w:p>
        </w:tc>
        <w:tc>
          <w:tcPr>
            <w:tcW w:w="1686" w:type="dxa"/>
            <w:noWrap w:val="0"/>
            <w:vAlign w:val="center"/>
          </w:tcPr>
          <w:p>
            <w:pPr>
              <w:pStyle w:val="22"/>
              <w:bidi w:val="0"/>
              <w:rPr>
                <w:rFonts w:hint="default"/>
                <w:color w:val="auto"/>
                <w:highlight w:val="none"/>
              </w:rPr>
            </w:pPr>
            <w:r>
              <w:rPr>
                <w:rFonts w:hint="default"/>
                <w:color w:val="auto"/>
                <w:highlight w:val="none"/>
              </w:rPr>
              <w:t>36442368.66</w:t>
            </w:r>
          </w:p>
        </w:tc>
        <w:tc>
          <w:tcPr>
            <w:tcW w:w="961" w:type="dxa"/>
            <w:noWrap w:val="0"/>
            <w:vAlign w:val="center"/>
          </w:tcPr>
          <w:p>
            <w:pPr>
              <w:pStyle w:val="22"/>
              <w:bidi w:val="0"/>
              <w:rPr>
                <w:rFonts w:hint="default"/>
                <w:color w:val="auto"/>
                <w:highlight w:val="none"/>
              </w:rPr>
            </w:pPr>
            <w:r>
              <w:rPr>
                <w:rFonts w:hint="default"/>
                <w:color w:val="auto"/>
                <w:highlight w:val="none"/>
              </w:rPr>
              <w:t>6</w:t>
            </w:r>
          </w:p>
        </w:tc>
        <w:tc>
          <w:tcPr>
            <w:tcW w:w="1594" w:type="dxa"/>
            <w:noWrap w:val="0"/>
            <w:vAlign w:val="center"/>
          </w:tcPr>
          <w:p>
            <w:pPr>
              <w:pStyle w:val="22"/>
              <w:bidi w:val="0"/>
              <w:rPr>
                <w:rFonts w:hint="default"/>
                <w:color w:val="auto"/>
                <w:highlight w:val="none"/>
              </w:rPr>
            </w:pPr>
            <w:r>
              <w:rPr>
                <w:rFonts w:hint="default"/>
                <w:color w:val="auto"/>
                <w:highlight w:val="none"/>
              </w:rPr>
              <w:t>3405452.03</w:t>
            </w:r>
          </w:p>
        </w:tc>
        <w:tc>
          <w:tcPr>
            <w:tcW w:w="1657" w:type="dxa"/>
            <w:noWrap w:val="0"/>
            <w:vAlign w:val="center"/>
          </w:tcPr>
          <w:p>
            <w:pPr>
              <w:pStyle w:val="22"/>
              <w:bidi w:val="0"/>
              <w:rPr>
                <w:rFonts w:hint="default"/>
                <w:color w:val="auto"/>
                <w:highlight w:val="none"/>
              </w:rPr>
            </w:pPr>
            <w:r>
              <w:rPr>
                <w:rFonts w:hint="default"/>
                <w:color w:val="auto"/>
                <w:highlight w:val="none"/>
              </w:rPr>
              <w:t>36439844.7</w:t>
            </w: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（3）孔家沟煤矿规划矿权</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大竹县自然资源局关于&lt;关于对全县30万吨/年以下煤矿可增划资源储量核实的函&gt;的复函》(竹自然资函[2019]387号)文件：原孔家沟煤矿作为主体对大竹县石桥煤业有限责任公司石桥铺煤矿(已关闭)及空白区进行兼并重组，重组后更名为达州市全新能源发展有限公司孔家沟煤矿。</w:t>
      </w:r>
      <w:r>
        <w:rPr>
          <w:rFonts w:hint="default" w:ascii="Times New Roman" w:hAnsi="Times New Roman" w:cs="Times New Roman"/>
          <w:color w:val="auto"/>
          <w:sz w:val="24"/>
          <w:szCs w:val="24"/>
          <w:highlight w:val="none"/>
          <w:u w:val="single"/>
        </w:rPr>
        <w:t>规划孔家沟煤矿按</w:t>
      </w:r>
      <w:r>
        <w:rPr>
          <w:rFonts w:hint="default" w:ascii="Times New Roman" w:hAnsi="Times New Roman" w:cs="Times New Roman"/>
          <w:color w:val="auto"/>
          <w:spacing w:val="-4"/>
          <w:sz w:val="24"/>
          <w:szCs w:val="24"/>
          <w:highlight w:val="none"/>
          <w:u w:val="single"/>
        </w:rPr>
        <w:t>兼并重组进行升级改造，</w:t>
      </w:r>
      <w:r>
        <w:rPr>
          <w:rFonts w:hint="default" w:ascii="Times New Roman" w:hAnsi="Times New Roman" w:cs="Times New Roman"/>
          <w:color w:val="auto"/>
          <w:sz w:val="24"/>
          <w:szCs w:val="24"/>
          <w:highlight w:val="none"/>
          <w:u w:val="single"/>
        </w:rPr>
        <w:t>升级改造后矿权范围由19个拐点圈定</w:t>
      </w:r>
      <w:r>
        <w:rPr>
          <w:rFonts w:hint="default" w:ascii="Times New Roman" w:hAnsi="Times New Roman" w:cs="Times New Roman"/>
          <w:color w:val="auto"/>
          <w:sz w:val="24"/>
          <w:szCs w:val="24"/>
          <w:highlight w:val="none"/>
        </w:rPr>
        <w:t>(详见表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-15)，面积7.5833km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，开采标高+478m～±0m，开采K</w:t>
      </w:r>
      <w:r>
        <w:rPr>
          <w:rFonts w:hint="default" w:ascii="Times New Roman" w:hAnsi="Times New Roman" w:cs="Times New Roman"/>
          <w:color w:val="auto"/>
          <w:sz w:val="24"/>
          <w:szCs w:val="24"/>
          <w:highlight w:val="none"/>
          <w:vertAlign w:val="subscript"/>
        </w:rPr>
        <w:t>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9</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11</w:t>
      </w:r>
      <w:r>
        <w:rPr>
          <w:rFonts w:hint="default" w:ascii="Times New Roman" w:hAnsi="Times New Roman" w:cs="Times New Roman"/>
          <w:color w:val="auto"/>
          <w:sz w:val="24"/>
          <w:szCs w:val="24"/>
          <w:highlight w:val="none"/>
        </w:rPr>
        <w:t>煤层，规划升级改造后矿井生产能力为30万吨/年。</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-15       孔家沟煤矿拟设矿权范围拐点坐标表(2000坐标系)</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568"/>
        <w:gridCol w:w="1548"/>
        <w:gridCol w:w="1079"/>
        <w:gridCol w:w="1697"/>
        <w:gridCol w:w="14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拐点编号</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横坐标(X)</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纵坐标(Y)</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拐点编号</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横坐标(X)</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3407988.13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36441357.94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11</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3399024.65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36438789.43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2</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3407730.88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36441859.33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12</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3399024.65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36438389.43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3</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3407109.08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36441426.91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13</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3401042.33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36438656.94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4</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3405927.28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36440776.57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3401117.43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36438345.20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5</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3405122.25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36440358.05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15</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3402602.83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36438447.97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6</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3405064.65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36440474.43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16</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3403364.91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36438681.95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7</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3404404.65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36440119.43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17</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3404595.38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36439239.92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8</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3403754.65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36439889.43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18</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3405649.58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36439607.48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9</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3402324.65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36439474.43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19</w:t>
            </w: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3405716.02 </w:t>
            </w: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36439527.70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35" w:type="dxa"/>
            <w:tcBorders>
              <w:top w:val="single" w:color="auto" w:sz="4" w:space="0"/>
              <w:left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56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3401309.65 </w:t>
            </w:r>
          </w:p>
        </w:tc>
        <w:tc>
          <w:tcPr>
            <w:tcW w:w="1548" w:type="dxa"/>
            <w:tcBorders>
              <w:top w:val="single" w:color="auto" w:sz="4" w:space="0"/>
              <w:bottom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36439269.43 </w:t>
            </w:r>
          </w:p>
        </w:tc>
        <w:tc>
          <w:tcPr>
            <w:tcW w:w="1079" w:type="dxa"/>
            <w:tcBorders>
              <w:top w:val="single" w:color="auto" w:sz="4" w:space="0"/>
              <w:bottom w:val="single" w:color="auto" w:sz="4" w:space="0"/>
            </w:tcBorders>
            <w:noWrap w:val="0"/>
            <w:vAlign w:val="center"/>
          </w:tcPr>
          <w:p>
            <w:pPr>
              <w:pStyle w:val="22"/>
              <w:bidi w:val="0"/>
              <w:rPr>
                <w:rFonts w:hint="default"/>
                <w:color w:val="auto"/>
                <w:highlight w:val="none"/>
              </w:rPr>
            </w:pPr>
          </w:p>
        </w:tc>
        <w:tc>
          <w:tcPr>
            <w:tcW w:w="1697" w:type="dxa"/>
            <w:tcBorders>
              <w:top w:val="single" w:color="auto" w:sz="4" w:space="0"/>
              <w:bottom w:val="single" w:color="auto" w:sz="4" w:space="0"/>
            </w:tcBorders>
            <w:noWrap w:val="0"/>
            <w:vAlign w:val="center"/>
          </w:tcPr>
          <w:p>
            <w:pPr>
              <w:pStyle w:val="22"/>
              <w:bidi w:val="0"/>
              <w:rPr>
                <w:rFonts w:hint="default"/>
                <w:color w:val="auto"/>
                <w:highlight w:val="none"/>
              </w:rPr>
            </w:pPr>
          </w:p>
        </w:tc>
        <w:tc>
          <w:tcPr>
            <w:tcW w:w="1495" w:type="dxa"/>
            <w:tcBorders>
              <w:top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拟设矿权面积7.5833km</w:t>
            </w:r>
            <w:r>
              <w:rPr>
                <w:rFonts w:hint="default"/>
                <w:color w:val="auto"/>
                <w:highlight w:val="none"/>
                <w:vertAlign w:val="superscript"/>
              </w:rPr>
              <w:t>2</w:t>
            </w:r>
            <w:r>
              <w:rPr>
                <w:rFonts w:hint="default"/>
                <w:color w:val="auto"/>
                <w:highlight w:val="none"/>
              </w:rPr>
              <w:t>、开采标高：+478m～±0m，开采煤层：K6、K9、K11煤层。为2000国家大地坐标系。</w:t>
            </w: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截止2020年12月底，拟设矿权范围内</w:t>
      </w:r>
      <w:r>
        <w:rPr>
          <w:rFonts w:hint="default" w:ascii="Times New Roman" w:hAnsi="Times New Roman" w:cs="Times New Roman"/>
          <w:color w:val="auto"/>
          <w:sz w:val="24"/>
          <w:szCs w:val="24"/>
          <w:highlight w:val="none"/>
          <w:lang w:val="zh-CN"/>
        </w:rPr>
        <w:t>累计查明煤炭资源量</w:t>
      </w:r>
      <w:r>
        <w:rPr>
          <w:rFonts w:hint="default" w:ascii="Times New Roman" w:hAnsi="Times New Roman" w:cs="Times New Roman"/>
          <w:color w:val="auto"/>
          <w:sz w:val="24"/>
          <w:szCs w:val="24"/>
          <w:highlight w:val="none"/>
        </w:rPr>
        <w:t>610.3</w:t>
      </w:r>
      <w:r>
        <w:rPr>
          <w:rFonts w:hint="default" w:ascii="Times New Roman" w:hAnsi="Times New Roman" w:cs="Times New Roman"/>
          <w:color w:val="auto"/>
          <w:sz w:val="24"/>
          <w:szCs w:val="24"/>
          <w:highlight w:val="none"/>
          <w:lang w:val="zh-CN"/>
        </w:rPr>
        <w:t>万吨，其中动用煤炭资源量</w:t>
      </w:r>
      <w:r>
        <w:rPr>
          <w:rFonts w:hint="default" w:ascii="Times New Roman" w:hAnsi="Times New Roman" w:cs="Times New Roman"/>
          <w:color w:val="auto"/>
          <w:sz w:val="24"/>
          <w:szCs w:val="24"/>
          <w:highlight w:val="none"/>
        </w:rPr>
        <w:t>139.50</w:t>
      </w:r>
      <w:r>
        <w:rPr>
          <w:rFonts w:hint="default" w:ascii="Times New Roman" w:hAnsi="Times New Roman" w:cs="Times New Roman"/>
          <w:color w:val="auto"/>
          <w:sz w:val="24"/>
          <w:szCs w:val="24"/>
          <w:highlight w:val="none"/>
          <w:lang w:val="zh-CN"/>
        </w:rPr>
        <w:t>万吨，保有资源量</w:t>
      </w:r>
      <w:r>
        <w:rPr>
          <w:rFonts w:hint="default" w:ascii="Times New Roman" w:hAnsi="Times New Roman" w:cs="Times New Roman"/>
          <w:color w:val="auto"/>
          <w:sz w:val="24"/>
          <w:szCs w:val="24"/>
          <w:highlight w:val="none"/>
        </w:rPr>
        <w:t>470.80万吨</w:t>
      </w:r>
      <w:r>
        <w:rPr>
          <w:rFonts w:hint="default" w:ascii="Times New Roman" w:hAnsi="Times New Roman" w:cs="Times New Roman"/>
          <w:color w:val="auto"/>
          <w:sz w:val="24"/>
          <w:szCs w:val="24"/>
          <w:highlight w:val="none"/>
          <w:lang w:val="zh-CN"/>
        </w:rPr>
        <w:t>，其中</w:t>
      </w:r>
      <w:r>
        <w:rPr>
          <w:rFonts w:hint="default" w:ascii="Times New Roman" w:hAnsi="Times New Roman" w:cs="Times New Roman"/>
          <w:color w:val="auto"/>
          <w:sz w:val="24"/>
          <w:szCs w:val="24"/>
          <w:highlight w:val="none"/>
        </w:rPr>
        <w:t>控制资源量336.90万吨，推断资源量133.90万吨。</w:t>
      </w:r>
    </w:p>
    <w:p>
      <w:pPr>
        <w:bidi w:val="0"/>
        <w:rPr>
          <w:rFonts w:hint="default"/>
          <w:color w:val="auto"/>
          <w:highlight w:val="none"/>
          <w:lang w:val="en-US" w:eastAsia="zh-CN"/>
        </w:rPr>
      </w:pPr>
      <w:r>
        <w:rPr>
          <w:rFonts w:hint="default"/>
          <w:color w:val="auto"/>
          <w:highlight w:val="none"/>
          <w:lang w:val="en-US" w:eastAsia="zh-CN"/>
        </w:rPr>
        <w:t>5、刘家沟联合煤矿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大竹县双溪乡刘家沟联合煤矿于2013年8月由原四川省国土资源厅颁发了采矿许可证，证号C5100002009051120017657，有效期至2021年8月（矿井目前正在补办新的采矿许可证）。矿权范围由5个拐点坐标圈闭（详见表</w:t>
      </w:r>
      <w:r>
        <w:rPr>
          <w:rFonts w:hint="default" w:ascii="Times New Roman" w:hAnsi="Times New Roman" w:cs="Times New Roman"/>
          <w:color w:val="auto"/>
          <w:sz w:val="24"/>
          <w:szCs w:val="24"/>
          <w:highlight w:val="none"/>
          <w:lang w:val="en-US" w:eastAsia="zh-CN"/>
        </w:rPr>
        <w:t>2.1.4</w:t>
      </w:r>
      <w:r>
        <w:rPr>
          <w:rFonts w:hint="default" w:ascii="Times New Roman" w:hAnsi="Times New Roman" w:cs="Times New Roman"/>
          <w:color w:val="auto"/>
          <w:sz w:val="24"/>
          <w:szCs w:val="24"/>
          <w:highlight w:val="none"/>
        </w:rPr>
        <w:t>-16），面积2.029km²，批准开采K</w:t>
      </w:r>
      <w:r>
        <w:rPr>
          <w:rFonts w:hint="default" w:ascii="Times New Roman" w:hAnsi="Times New Roman" w:cs="Times New Roman"/>
          <w:color w:val="auto"/>
          <w:sz w:val="24"/>
          <w:szCs w:val="24"/>
          <w:highlight w:val="none"/>
          <w:vertAlign w:val="subscript"/>
        </w:rPr>
        <w:t>14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煤层，开采标高+650m～+300m。生产能力为9万吨/年。</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-16    刘家沟联合煤矿矿权范围拐点坐标表（2000坐标系）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9"/>
        <w:gridCol w:w="1650"/>
        <w:gridCol w:w="1548"/>
        <w:gridCol w:w="961"/>
        <w:gridCol w:w="1619"/>
        <w:gridCol w:w="1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49" w:type="dxa"/>
            <w:noWrap w:val="0"/>
            <w:vAlign w:val="center"/>
          </w:tcPr>
          <w:p>
            <w:pPr>
              <w:pStyle w:val="22"/>
              <w:bidi w:val="0"/>
              <w:rPr>
                <w:rFonts w:hint="default"/>
                <w:color w:val="auto"/>
                <w:highlight w:val="none"/>
              </w:rPr>
            </w:pPr>
            <w:r>
              <w:rPr>
                <w:rFonts w:hint="default"/>
                <w:color w:val="auto"/>
                <w:highlight w:val="none"/>
              </w:rPr>
              <w:t>拐点号</w:t>
            </w:r>
          </w:p>
        </w:tc>
        <w:tc>
          <w:tcPr>
            <w:tcW w:w="1650" w:type="dxa"/>
            <w:noWrap w:val="0"/>
            <w:vAlign w:val="center"/>
          </w:tcPr>
          <w:p>
            <w:pPr>
              <w:pStyle w:val="22"/>
              <w:bidi w:val="0"/>
              <w:rPr>
                <w:rFonts w:hint="default"/>
                <w:color w:val="auto"/>
                <w:highlight w:val="none"/>
              </w:rPr>
            </w:pPr>
            <w:r>
              <w:rPr>
                <w:rFonts w:hint="default"/>
                <w:color w:val="auto"/>
                <w:highlight w:val="none"/>
              </w:rPr>
              <w:t>横坐标(X)</w:t>
            </w:r>
          </w:p>
        </w:tc>
        <w:tc>
          <w:tcPr>
            <w:tcW w:w="1548" w:type="dxa"/>
            <w:noWrap w:val="0"/>
            <w:vAlign w:val="center"/>
          </w:tcPr>
          <w:p>
            <w:pPr>
              <w:pStyle w:val="22"/>
              <w:bidi w:val="0"/>
              <w:rPr>
                <w:rFonts w:hint="default"/>
                <w:color w:val="auto"/>
                <w:highlight w:val="none"/>
              </w:rPr>
            </w:pPr>
            <w:r>
              <w:rPr>
                <w:rFonts w:hint="default"/>
                <w:color w:val="auto"/>
                <w:highlight w:val="none"/>
              </w:rPr>
              <w:t>纵坐标(Y)</w:t>
            </w:r>
          </w:p>
        </w:tc>
        <w:tc>
          <w:tcPr>
            <w:tcW w:w="961" w:type="dxa"/>
            <w:noWrap w:val="0"/>
            <w:vAlign w:val="center"/>
          </w:tcPr>
          <w:p>
            <w:pPr>
              <w:pStyle w:val="22"/>
              <w:bidi w:val="0"/>
              <w:rPr>
                <w:rFonts w:hint="default"/>
                <w:color w:val="auto"/>
                <w:highlight w:val="none"/>
              </w:rPr>
            </w:pPr>
            <w:r>
              <w:rPr>
                <w:rFonts w:hint="default"/>
                <w:color w:val="auto"/>
                <w:highlight w:val="none"/>
              </w:rPr>
              <w:t>拐点号</w:t>
            </w:r>
          </w:p>
        </w:tc>
        <w:tc>
          <w:tcPr>
            <w:tcW w:w="1619" w:type="dxa"/>
            <w:noWrap w:val="0"/>
            <w:vAlign w:val="center"/>
          </w:tcPr>
          <w:p>
            <w:pPr>
              <w:pStyle w:val="22"/>
              <w:bidi w:val="0"/>
              <w:rPr>
                <w:rFonts w:hint="default"/>
                <w:color w:val="auto"/>
                <w:highlight w:val="none"/>
              </w:rPr>
            </w:pPr>
            <w:r>
              <w:rPr>
                <w:rFonts w:hint="default"/>
                <w:color w:val="auto"/>
                <w:highlight w:val="none"/>
              </w:rPr>
              <w:t>横坐标(X)</w:t>
            </w:r>
          </w:p>
        </w:tc>
        <w:tc>
          <w:tcPr>
            <w:tcW w:w="1710"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1</w:t>
            </w:r>
          </w:p>
        </w:tc>
        <w:tc>
          <w:tcPr>
            <w:tcW w:w="1650" w:type="dxa"/>
            <w:noWrap w:val="0"/>
            <w:vAlign w:val="center"/>
          </w:tcPr>
          <w:p>
            <w:pPr>
              <w:pStyle w:val="22"/>
              <w:bidi w:val="0"/>
              <w:rPr>
                <w:rFonts w:hint="default"/>
                <w:color w:val="auto"/>
                <w:highlight w:val="none"/>
              </w:rPr>
            </w:pPr>
            <w:r>
              <w:rPr>
                <w:rFonts w:hint="default"/>
                <w:color w:val="auto"/>
                <w:highlight w:val="none"/>
              </w:rPr>
              <w:t>3396254.44</w:t>
            </w:r>
          </w:p>
        </w:tc>
        <w:tc>
          <w:tcPr>
            <w:tcW w:w="1548" w:type="dxa"/>
            <w:noWrap w:val="0"/>
            <w:vAlign w:val="center"/>
          </w:tcPr>
          <w:p>
            <w:pPr>
              <w:pStyle w:val="22"/>
              <w:bidi w:val="0"/>
              <w:rPr>
                <w:rFonts w:hint="default"/>
                <w:color w:val="auto"/>
                <w:highlight w:val="none"/>
              </w:rPr>
            </w:pPr>
            <w:r>
              <w:rPr>
                <w:rFonts w:hint="default"/>
                <w:color w:val="auto"/>
                <w:highlight w:val="none"/>
              </w:rPr>
              <w:t>36436923.83</w:t>
            </w:r>
          </w:p>
        </w:tc>
        <w:tc>
          <w:tcPr>
            <w:tcW w:w="961" w:type="dxa"/>
            <w:noWrap w:val="0"/>
            <w:vAlign w:val="center"/>
          </w:tcPr>
          <w:p>
            <w:pPr>
              <w:pStyle w:val="22"/>
              <w:bidi w:val="0"/>
              <w:rPr>
                <w:rFonts w:hint="default"/>
                <w:color w:val="auto"/>
                <w:highlight w:val="none"/>
              </w:rPr>
            </w:pPr>
            <w:r>
              <w:rPr>
                <w:rFonts w:hint="default"/>
                <w:color w:val="auto"/>
                <w:highlight w:val="none"/>
              </w:rPr>
              <w:t>4</w:t>
            </w:r>
          </w:p>
        </w:tc>
        <w:tc>
          <w:tcPr>
            <w:tcW w:w="1619" w:type="dxa"/>
            <w:noWrap w:val="0"/>
            <w:vAlign w:val="center"/>
          </w:tcPr>
          <w:p>
            <w:pPr>
              <w:pStyle w:val="22"/>
              <w:bidi w:val="0"/>
              <w:rPr>
                <w:rFonts w:hint="default"/>
                <w:color w:val="auto"/>
                <w:highlight w:val="none"/>
              </w:rPr>
            </w:pPr>
            <w:r>
              <w:rPr>
                <w:rFonts w:hint="default"/>
                <w:color w:val="auto"/>
                <w:highlight w:val="none"/>
              </w:rPr>
              <w:t>3393654.44</w:t>
            </w:r>
          </w:p>
        </w:tc>
        <w:tc>
          <w:tcPr>
            <w:tcW w:w="1710" w:type="dxa"/>
            <w:noWrap w:val="0"/>
            <w:vAlign w:val="center"/>
          </w:tcPr>
          <w:p>
            <w:pPr>
              <w:pStyle w:val="22"/>
              <w:bidi w:val="0"/>
              <w:rPr>
                <w:rFonts w:hint="default"/>
                <w:color w:val="auto"/>
                <w:highlight w:val="none"/>
              </w:rPr>
            </w:pPr>
            <w:r>
              <w:rPr>
                <w:rFonts w:hint="default"/>
                <w:color w:val="auto"/>
                <w:highlight w:val="none"/>
              </w:rPr>
              <w:t>36436938.83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2</w:t>
            </w:r>
          </w:p>
        </w:tc>
        <w:tc>
          <w:tcPr>
            <w:tcW w:w="1650" w:type="dxa"/>
            <w:noWrap w:val="0"/>
            <w:vAlign w:val="center"/>
          </w:tcPr>
          <w:p>
            <w:pPr>
              <w:pStyle w:val="22"/>
              <w:bidi w:val="0"/>
              <w:rPr>
                <w:rFonts w:hint="default"/>
                <w:color w:val="auto"/>
                <w:highlight w:val="none"/>
              </w:rPr>
            </w:pPr>
            <w:r>
              <w:rPr>
                <w:rFonts w:hint="default"/>
                <w:color w:val="auto"/>
                <w:highlight w:val="none"/>
              </w:rPr>
              <w:t>3395304.44</w:t>
            </w:r>
          </w:p>
        </w:tc>
        <w:tc>
          <w:tcPr>
            <w:tcW w:w="1548" w:type="dxa"/>
            <w:noWrap w:val="0"/>
            <w:vAlign w:val="center"/>
          </w:tcPr>
          <w:p>
            <w:pPr>
              <w:pStyle w:val="22"/>
              <w:bidi w:val="0"/>
              <w:rPr>
                <w:rFonts w:hint="default"/>
                <w:color w:val="auto"/>
                <w:highlight w:val="none"/>
              </w:rPr>
            </w:pPr>
            <w:r>
              <w:rPr>
                <w:rFonts w:hint="default"/>
                <w:color w:val="auto"/>
                <w:highlight w:val="none"/>
              </w:rPr>
              <w:t>36436583.83</w:t>
            </w:r>
          </w:p>
        </w:tc>
        <w:tc>
          <w:tcPr>
            <w:tcW w:w="961" w:type="dxa"/>
            <w:noWrap w:val="0"/>
            <w:vAlign w:val="center"/>
          </w:tcPr>
          <w:p>
            <w:pPr>
              <w:pStyle w:val="22"/>
              <w:bidi w:val="0"/>
              <w:rPr>
                <w:rFonts w:hint="default"/>
                <w:color w:val="auto"/>
                <w:highlight w:val="none"/>
              </w:rPr>
            </w:pPr>
            <w:r>
              <w:rPr>
                <w:rFonts w:hint="default"/>
                <w:color w:val="auto"/>
                <w:highlight w:val="none"/>
              </w:rPr>
              <w:t>5</w:t>
            </w:r>
          </w:p>
        </w:tc>
        <w:tc>
          <w:tcPr>
            <w:tcW w:w="1619" w:type="dxa"/>
            <w:noWrap w:val="0"/>
            <w:vAlign w:val="center"/>
          </w:tcPr>
          <w:p>
            <w:pPr>
              <w:pStyle w:val="22"/>
              <w:bidi w:val="0"/>
              <w:rPr>
                <w:rFonts w:hint="default"/>
                <w:color w:val="auto"/>
                <w:highlight w:val="none"/>
              </w:rPr>
            </w:pPr>
            <w:r>
              <w:rPr>
                <w:rFonts w:hint="default"/>
                <w:color w:val="auto"/>
                <w:highlight w:val="none"/>
              </w:rPr>
              <w:t>3396049.44</w:t>
            </w:r>
          </w:p>
        </w:tc>
        <w:tc>
          <w:tcPr>
            <w:tcW w:w="1710" w:type="dxa"/>
            <w:noWrap w:val="0"/>
            <w:vAlign w:val="center"/>
          </w:tcPr>
          <w:p>
            <w:pPr>
              <w:pStyle w:val="22"/>
              <w:bidi w:val="0"/>
              <w:rPr>
                <w:rFonts w:hint="default"/>
                <w:color w:val="auto"/>
                <w:highlight w:val="none"/>
              </w:rPr>
            </w:pPr>
            <w:r>
              <w:rPr>
                <w:rFonts w:hint="default"/>
                <w:color w:val="auto"/>
                <w:highlight w:val="none"/>
              </w:rPr>
              <w:t>36437638.83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3</w:t>
            </w:r>
          </w:p>
        </w:tc>
        <w:tc>
          <w:tcPr>
            <w:tcW w:w="1650" w:type="dxa"/>
            <w:noWrap w:val="0"/>
            <w:vAlign w:val="center"/>
          </w:tcPr>
          <w:p>
            <w:pPr>
              <w:pStyle w:val="22"/>
              <w:bidi w:val="0"/>
              <w:rPr>
                <w:rFonts w:hint="default"/>
                <w:color w:val="auto"/>
                <w:highlight w:val="none"/>
              </w:rPr>
            </w:pPr>
            <w:r>
              <w:rPr>
                <w:rFonts w:hint="default"/>
                <w:color w:val="auto"/>
                <w:highlight w:val="none"/>
              </w:rPr>
              <w:t>3393839.44</w:t>
            </w:r>
          </w:p>
        </w:tc>
        <w:tc>
          <w:tcPr>
            <w:tcW w:w="1548" w:type="dxa"/>
            <w:noWrap w:val="0"/>
            <w:vAlign w:val="center"/>
          </w:tcPr>
          <w:p>
            <w:pPr>
              <w:pStyle w:val="22"/>
              <w:bidi w:val="0"/>
              <w:rPr>
                <w:rFonts w:hint="default"/>
                <w:color w:val="auto"/>
                <w:highlight w:val="none"/>
              </w:rPr>
            </w:pPr>
            <w:r>
              <w:rPr>
                <w:rFonts w:hint="default"/>
                <w:color w:val="auto"/>
                <w:highlight w:val="none"/>
              </w:rPr>
              <w:t>36436108.83</w:t>
            </w:r>
          </w:p>
        </w:tc>
        <w:tc>
          <w:tcPr>
            <w:tcW w:w="961" w:type="dxa"/>
            <w:noWrap w:val="0"/>
            <w:vAlign w:val="center"/>
          </w:tcPr>
          <w:p>
            <w:pPr>
              <w:pStyle w:val="22"/>
              <w:bidi w:val="0"/>
              <w:rPr>
                <w:rFonts w:hint="default"/>
                <w:color w:val="auto"/>
                <w:highlight w:val="none"/>
              </w:rPr>
            </w:pPr>
            <w:r>
              <w:rPr>
                <w:rFonts w:hint="default"/>
                <w:color w:val="auto"/>
                <w:highlight w:val="none"/>
              </w:rPr>
              <w:t>6</w:t>
            </w:r>
          </w:p>
        </w:tc>
        <w:tc>
          <w:tcPr>
            <w:tcW w:w="1619" w:type="dxa"/>
            <w:noWrap w:val="0"/>
            <w:vAlign w:val="center"/>
          </w:tcPr>
          <w:p>
            <w:pPr>
              <w:pStyle w:val="22"/>
              <w:bidi w:val="0"/>
              <w:rPr>
                <w:rFonts w:hint="default"/>
                <w:color w:val="auto"/>
                <w:highlight w:val="none"/>
              </w:rPr>
            </w:pPr>
            <w:r>
              <w:rPr>
                <w:rFonts w:hint="default"/>
                <w:color w:val="auto"/>
                <w:highlight w:val="none"/>
              </w:rPr>
              <w:t>　</w:t>
            </w:r>
          </w:p>
        </w:tc>
        <w:tc>
          <w:tcPr>
            <w:tcW w:w="1710"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矿权面积2.029km</w:t>
            </w:r>
            <w:r>
              <w:rPr>
                <w:rFonts w:hint="default"/>
                <w:color w:val="auto"/>
                <w:highlight w:val="none"/>
                <w:vertAlign w:val="superscript"/>
              </w:rPr>
              <w:t>2</w:t>
            </w:r>
            <w:r>
              <w:rPr>
                <w:rFonts w:hint="default"/>
                <w:color w:val="auto"/>
                <w:highlight w:val="none"/>
              </w:rPr>
              <w:t>，开采标高+650m～+300m，开采K14、K6、K4、K3、K2煤层。为2000国家大地坐标系。</w:t>
            </w: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矿井规划矿权平面范围不变，开采标高调整为+650m～+100m</w:t>
      </w:r>
      <w:r>
        <w:rPr>
          <w:rFonts w:hint="default" w:ascii="Times New Roman" w:hAnsi="Times New Roman" w:cs="Times New Roman"/>
          <w:color w:val="auto"/>
          <w:sz w:val="24"/>
          <w:szCs w:val="24"/>
          <w:highlight w:val="none"/>
        </w:rPr>
        <w:t>。矿井储量计算范围为矿权平面范围，深部标高下延至+100m。截至2020年4月，矿权平面范围内（含标高范围外）累计查明资源量581.45万吨，其中累计动用量30.93万吨。保有资源量392.83万吨，其中控制资源量233.89万吨，推断资源量158.94万吨。另外在平面内标高外存在预测资源量157.71万吨（本部分资源暂不计入规划资源量内）。</w:t>
      </w:r>
    </w:p>
    <w:p>
      <w:pPr>
        <w:bidi w:val="0"/>
        <w:rPr>
          <w:rFonts w:hint="default"/>
          <w:color w:val="auto"/>
          <w:highlight w:val="none"/>
          <w:lang w:val="en-US" w:eastAsia="zh-CN"/>
        </w:rPr>
      </w:pPr>
      <w:r>
        <w:rPr>
          <w:rFonts w:hint="default"/>
          <w:color w:val="auto"/>
          <w:highlight w:val="none"/>
          <w:lang w:val="en-US" w:eastAsia="zh-CN"/>
        </w:rPr>
        <w:t>6、牛郎沟煤矿</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sz w:val="24"/>
          <w:szCs w:val="24"/>
          <w:highlight w:val="none"/>
        </w:rPr>
        <w:t>规划以</w:t>
      </w:r>
      <w:r>
        <w:rPr>
          <w:rFonts w:hint="default" w:ascii="Times New Roman" w:hAnsi="Times New Roman" w:cs="Times New Roman"/>
          <w:color w:val="auto"/>
          <w:sz w:val="24"/>
          <w:szCs w:val="24"/>
          <w:highlight w:val="none"/>
          <w:u w:val="single"/>
        </w:rPr>
        <w:t>牛郎沟煤矿为主体煤矿对芋子沟煤矿进行兼并重组升级改造</w:t>
      </w:r>
      <w:r>
        <w:rPr>
          <w:rFonts w:hint="default" w:ascii="Times New Roman" w:hAnsi="Times New Roman" w:cs="Times New Roman"/>
          <w:color w:val="auto"/>
          <w:sz w:val="24"/>
          <w:szCs w:val="24"/>
          <w:highlight w:val="none"/>
        </w:rPr>
        <w:t>。</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（1）牛郎沟煤矿现有矿权</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sz w:val="24"/>
          <w:szCs w:val="24"/>
          <w:highlight w:val="none"/>
        </w:rPr>
        <w:t>大竹县牛郎沟煤业有限公司牛郎沟煤矿</w:t>
      </w:r>
      <w:r>
        <w:rPr>
          <w:rFonts w:hint="default" w:ascii="Times New Roman" w:hAnsi="Times New Roman" w:cs="Times New Roman"/>
          <w:color w:val="auto"/>
          <w:kern w:val="2"/>
          <w:sz w:val="24"/>
          <w:szCs w:val="24"/>
          <w:highlight w:val="none"/>
        </w:rPr>
        <w:t>于2020年12月14日由四川省自然资源厅颁发了采矿许可证，证号为C5100002009101120041005，有效期限至2021年12月14日。矿权范围由4个拐点坐标圈闭（详见表</w:t>
      </w:r>
      <w:r>
        <w:rPr>
          <w:rFonts w:hint="default" w:ascii="Times New Roman" w:hAnsi="Times New Roman" w:cs="Times New Roman"/>
          <w:color w:val="auto"/>
          <w:kern w:val="2"/>
          <w:sz w:val="24"/>
          <w:szCs w:val="24"/>
          <w:highlight w:val="none"/>
          <w:lang w:val="en-US" w:eastAsia="zh-CN"/>
        </w:rPr>
        <w:t>2.1.4</w:t>
      </w:r>
      <w:r>
        <w:rPr>
          <w:rFonts w:hint="default" w:ascii="Times New Roman" w:hAnsi="Times New Roman" w:cs="Times New Roman"/>
          <w:color w:val="auto"/>
          <w:kern w:val="2"/>
          <w:sz w:val="24"/>
          <w:szCs w:val="24"/>
          <w:highlight w:val="none"/>
        </w:rPr>
        <w:t>-17），面积1.1553km</w:t>
      </w:r>
      <w:r>
        <w:rPr>
          <w:rFonts w:hint="default" w:ascii="Times New Roman" w:hAnsi="Times New Roman" w:cs="Times New Roman"/>
          <w:color w:val="auto"/>
          <w:kern w:val="2"/>
          <w:sz w:val="24"/>
          <w:szCs w:val="24"/>
          <w:highlight w:val="none"/>
          <w:vertAlign w:val="superscript"/>
        </w:rPr>
        <w:t>2</w:t>
      </w:r>
      <w:r>
        <w:rPr>
          <w:rFonts w:hint="default" w:ascii="Times New Roman" w:hAnsi="Times New Roman" w:cs="Times New Roman"/>
          <w:color w:val="auto"/>
          <w:kern w:val="2"/>
          <w:sz w:val="24"/>
          <w:szCs w:val="24"/>
          <w:highlight w:val="none"/>
        </w:rPr>
        <w:t>，批准开采K</w:t>
      </w:r>
      <w:r>
        <w:rPr>
          <w:rFonts w:hint="default" w:ascii="Times New Roman" w:hAnsi="Times New Roman" w:cs="Times New Roman"/>
          <w:color w:val="auto"/>
          <w:kern w:val="2"/>
          <w:sz w:val="24"/>
          <w:szCs w:val="24"/>
          <w:highlight w:val="none"/>
          <w:vertAlign w:val="subscript"/>
        </w:rPr>
        <w:t>7</w:t>
      </w:r>
      <w:r>
        <w:rPr>
          <w:rFonts w:hint="default" w:ascii="Times New Roman" w:hAnsi="Times New Roman" w:cs="Times New Roman"/>
          <w:color w:val="auto"/>
          <w:kern w:val="2"/>
          <w:sz w:val="24"/>
          <w:szCs w:val="24"/>
          <w:highlight w:val="none"/>
        </w:rPr>
        <w:t>、K</w:t>
      </w:r>
      <w:r>
        <w:rPr>
          <w:rFonts w:hint="default" w:ascii="Times New Roman" w:hAnsi="Times New Roman" w:cs="Times New Roman"/>
          <w:color w:val="auto"/>
          <w:kern w:val="2"/>
          <w:sz w:val="24"/>
          <w:szCs w:val="24"/>
          <w:highlight w:val="none"/>
          <w:vertAlign w:val="subscript"/>
        </w:rPr>
        <w:t>8</w:t>
      </w:r>
      <w:r>
        <w:rPr>
          <w:rFonts w:hint="default" w:ascii="Times New Roman" w:hAnsi="Times New Roman" w:cs="Times New Roman"/>
          <w:color w:val="auto"/>
          <w:kern w:val="2"/>
          <w:sz w:val="24"/>
          <w:szCs w:val="24"/>
          <w:highlight w:val="none"/>
        </w:rPr>
        <w:t>、K</w:t>
      </w:r>
      <w:r>
        <w:rPr>
          <w:rFonts w:hint="default" w:ascii="Times New Roman" w:hAnsi="Times New Roman" w:cs="Times New Roman"/>
          <w:color w:val="auto"/>
          <w:kern w:val="2"/>
          <w:sz w:val="24"/>
          <w:szCs w:val="24"/>
          <w:highlight w:val="none"/>
          <w:vertAlign w:val="subscript"/>
        </w:rPr>
        <w:t>13</w:t>
      </w:r>
      <w:r>
        <w:rPr>
          <w:rFonts w:hint="default" w:ascii="Times New Roman" w:hAnsi="Times New Roman" w:cs="Times New Roman"/>
          <w:color w:val="auto"/>
          <w:kern w:val="2"/>
          <w:sz w:val="24"/>
          <w:szCs w:val="24"/>
          <w:highlight w:val="none"/>
        </w:rPr>
        <w:t>、K</w:t>
      </w:r>
      <w:r>
        <w:rPr>
          <w:rFonts w:hint="default" w:ascii="Times New Roman" w:hAnsi="Times New Roman" w:cs="Times New Roman"/>
          <w:color w:val="auto"/>
          <w:kern w:val="2"/>
          <w:sz w:val="24"/>
          <w:szCs w:val="24"/>
          <w:highlight w:val="none"/>
          <w:vertAlign w:val="subscript"/>
        </w:rPr>
        <w:t>14</w:t>
      </w:r>
      <w:r>
        <w:rPr>
          <w:rFonts w:hint="default" w:ascii="Times New Roman" w:hAnsi="Times New Roman" w:cs="Times New Roman"/>
          <w:color w:val="auto"/>
          <w:kern w:val="2"/>
          <w:sz w:val="24"/>
          <w:szCs w:val="24"/>
          <w:highlight w:val="none"/>
        </w:rPr>
        <w:t>煤层，开采标高为+582m～+200m。证载生产能力为9</w:t>
      </w:r>
      <w:r>
        <w:rPr>
          <w:rFonts w:hint="default" w:ascii="Times New Roman" w:hAnsi="Times New Roman" w:cs="Times New Roman"/>
          <w:color w:val="auto"/>
          <w:sz w:val="24"/>
          <w:szCs w:val="24"/>
          <w:highlight w:val="none"/>
        </w:rPr>
        <w:t>万吨/年</w:t>
      </w:r>
      <w:r>
        <w:rPr>
          <w:rFonts w:hint="default" w:ascii="Times New Roman" w:hAnsi="Times New Roman" w:cs="Times New Roman"/>
          <w:color w:val="auto"/>
          <w:kern w:val="2"/>
          <w:sz w:val="24"/>
          <w:szCs w:val="24"/>
          <w:highlight w:val="none"/>
        </w:rPr>
        <w:t>，核定生产能力15</w:t>
      </w:r>
      <w:r>
        <w:rPr>
          <w:rFonts w:hint="default" w:ascii="Times New Roman" w:hAnsi="Times New Roman" w:cs="Times New Roman"/>
          <w:color w:val="auto"/>
          <w:sz w:val="24"/>
          <w:szCs w:val="24"/>
          <w:highlight w:val="none"/>
        </w:rPr>
        <w:t>万吨/年</w:t>
      </w:r>
      <w:r>
        <w:rPr>
          <w:rFonts w:hint="default" w:ascii="Times New Roman" w:hAnsi="Times New Roman" w:cs="Times New Roman"/>
          <w:color w:val="auto"/>
          <w:kern w:val="2"/>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-17      牛郎沟煤矿矿权范围拐点坐标表（2000坐标系）</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542"/>
        <w:gridCol w:w="1686"/>
        <w:gridCol w:w="961"/>
        <w:gridCol w:w="1594"/>
        <w:gridCol w:w="1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拐点号</w:t>
            </w:r>
          </w:p>
        </w:tc>
        <w:tc>
          <w:tcPr>
            <w:tcW w:w="1542" w:type="dxa"/>
            <w:noWrap w:val="0"/>
            <w:vAlign w:val="center"/>
          </w:tcPr>
          <w:p>
            <w:pPr>
              <w:pStyle w:val="22"/>
              <w:bidi w:val="0"/>
              <w:rPr>
                <w:rFonts w:hint="default"/>
                <w:color w:val="auto"/>
                <w:highlight w:val="none"/>
              </w:rPr>
            </w:pPr>
            <w:r>
              <w:rPr>
                <w:rFonts w:hint="default"/>
                <w:color w:val="auto"/>
                <w:highlight w:val="none"/>
              </w:rPr>
              <w:t>横坐标(X)</w:t>
            </w:r>
          </w:p>
        </w:tc>
        <w:tc>
          <w:tcPr>
            <w:tcW w:w="1686" w:type="dxa"/>
            <w:noWrap w:val="0"/>
            <w:vAlign w:val="center"/>
          </w:tcPr>
          <w:p>
            <w:pPr>
              <w:pStyle w:val="22"/>
              <w:bidi w:val="0"/>
              <w:rPr>
                <w:rFonts w:hint="default"/>
                <w:color w:val="auto"/>
                <w:highlight w:val="none"/>
              </w:rPr>
            </w:pPr>
            <w:r>
              <w:rPr>
                <w:rFonts w:hint="default"/>
                <w:color w:val="auto"/>
                <w:highlight w:val="none"/>
              </w:rPr>
              <w:t>纵坐标(Y)</w:t>
            </w:r>
          </w:p>
        </w:tc>
        <w:tc>
          <w:tcPr>
            <w:tcW w:w="961" w:type="dxa"/>
            <w:noWrap w:val="0"/>
            <w:vAlign w:val="center"/>
          </w:tcPr>
          <w:p>
            <w:pPr>
              <w:pStyle w:val="22"/>
              <w:bidi w:val="0"/>
              <w:rPr>
                <w:rFonts w:hint="default"/>
                <w:color w:val="auto"/>
                <w:highlight w:val="none"/>
              </w:rPr>
            </w:pPr>
            <w:r>
              <w:rPr>
                <w:rFonts w:hint="default"/>
                <w:color w:val="auto"/>
                <w:highlight w:val="none"/>
              </w:rPr>
              <w:t>拐点号</w:t>
            </w:r>
          </w:p>
        </w:tc>
        <w:tc>
          <w:tcPr>
            <w:tcW w:w="1594" w:type="dxa"/>
            <w:noWrap w:val="0"/>
            <w:vAlign w:val="center"/>
          </w:tcPr>
          <w:p>
            <w:pPr>
              <w:pStyle w:val="22"/>
              <w:bidi w:val="0"/>
              <w:rPr>
                <w:rFonts w:hint="default"/>
                <w:color w:val="auto"/>
                <w:highlight w:val="none"/>
              </w:rPr>
            </w:pPr>
            <w:r>
              <w:rPr>
                <w:rFonts w:hint="default"/>
                <w:color w:val="auto"/>
                <w:highlight w:val="none"/>
              </w:rPr>
              <w:t>横坐标(X)</w:t>
            </w:r>
          </w:p>
        </w:tc>
        <w:tc>
          <w:tcPr>
            <w:tcW w:w="1657"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1</w:t>
            </w:r>
          </w:p>
        </w:tc>
        <w:tc>
          <w:tcPr>
            <w:tcW w:w="1542" w:type="dxa"/>
            <w:noWrap w:val="0"/>
            <w:vAlign w:val="center"/>
          </w:tcPr>
          <w:p>
            <w:pPr>
              <w:pStyle w:val="22"/>
              <w:bidi w:val="0"/>
              <w:rPr>
                <w:rFonts w:hint="default"/>
                <w:color w:val="auto"/>
                <w:highlight w:val="none"/>
              </w:rPr>
            </w:pPr>
            <w:r>
              <w:rPr>
                <w:rFonts w:hint="default"/>
                <w:color w:val="auto"/>
                <w:highlight w:val="none"/>
              </w:rPr>
              <w:t>3391309.43</w:t>
            </w:r>
          </w:p>
        </w:tc>
        <w:tc>
          <w:tcPr>
            <w:tcW w:w="1686" w:type="dxa"/>
            <w:noWrap w:val="0"/>
            <w:vAlign w:val="center"/>
          </w:tcPr>
          <w:p>
            <w:pPr>
              <w:pStyle w:val="22"/>
              <w:bidi w:val="0"/>
              <w:rPr>
                <w:rFonts w:hint="default"/>
                <w:color w:val="auto"/>
                <w:highlight w:val="none"/>
              </w:rPr>
            </w:pPr>
            <w:r>
              <w:rPr>
                <w:rFonts w:hint="default"/>
                <w:color w:val="auto"/>
                <w:highlight w:val="none"/>
              </w:rPr>
              <w:t>36435323.77</w:t>
            </w:r>
          </w:p>
        </w:tc>
        <w:tc>
          <w:tcPr>
            <w:tcW w:w="961" w:type="dxa"/>
            <w:noWrap w:val="0"/>
            <w:vAlign w:val="center"/>
          </w:tcPr>
          <w:p>
            <w:pPr>
              <w:pStyle w:val="22"/>
              <w:bidi w:val="0"/>
              <w:rPr>
                <w:rFonts w:hint="default"/>
                <w:color w:val="auto"/>
                <w:highlight w:val="none"/>
              </w:rPr>
            </w:pPr>
            <w:r>
              <w:rPr>
                <w:rFonts w:hint="default"/>
                <w:color w:val="auto"/>
                <w:highlight w:val="none"/>
              </w:rPr>
              <w:t>3</w:t>
            </w:r>
          </w:p>
        </w:tc>
        <w:tc>
          <w:tcPr>
            <w:tcW w:w="1594" w:type="dxa"/>
            <w:noWrap w:val="0"/>
            <w:vAlign w:val="center"/>
          </w:tcPr>
          <w:p>
            <w:pPr>
              <w:pStyle w:val="22"/>
              <w:bidi w:val="0"/>
              <w:rPr>
                <w:rFonts w:hint="default"/>
                <w:color w:val="auto"/>
                <w:highlight w:val="none"/>
              </w:rPr>
            </w:pPr>
            <w:r>
              <w:rPr>
                <w:rFonts w:hint="default"/>
                <w:color w:val="auto"/>
                <w:highlight w:val="none"/>
              </w:rPr>
              <w:t>3388593.41</w:t>
            </w:r>
          </w:p>
        </w:tc>
        <w:tc>
          <w:tcPr>
            <w:tcW w:w="1657" w:type="dxa"/>
            <w:noWrap w:val="0"/>
            <w:vAlign w:val="center"/>
          </w:tcPr>
          <w:p>
            <w:pPr>
              <w:pStyle w:val="22"/>
              <w:bidi w:val="0"/>
              <w:rPr>
                <w:rFonts w:hint="default"/>
                <w:color w:val="auto"/>
                <w:highlight w:val="none"/>
              </w:rPr>
            </w:pPr>
            <w:r>
              <w:rPr>
                <w:rFonts w:hint="default"/>
                <w:color w:val="auto"/>
                <w:highlight w:val="none"/>
              </w:rPr>
              <w:t>36434495.77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2</w:t>
            </w:r>
          </w:p>
        </w:tc>
        <w:tc>
          <w:tcPr>
            <w:tcW w:w="1542" w:type="dxa"/>
            <w:noWrap w:val="0"/>
            <w:vAlign w:val="center"/>
          </w:tcPr>
          <w:p>
            <w:pPr>
              <w:pStyle w:val="22"/>
              <w:bidi w:val="0"/>
              <w:rPr>
                <w:rFonts w:hint="default"/>
                <w:color w:val="auto"/>
                <w:highlight w:val="none"/>
              </w:rPr>
            </w:pPr>
            <w:r>
              <w:rPr>
                <w:rFonts w:hint="default"/>
                <w:color w:val="auto"/>
                <w:highlight w:val="none"/>
              </w:rPr>
              <w:t>3391129.43</w:t>
            </w:r>
          </w:p>
        </w:tc>
        <w:tc>
          <w:tcPr>
            <w:tcW w:w="1686" w:type="dxa"/>
            <w:noWrap w:val="0"/>
            <w:vAlign w:val="center"/>
          </w:tcPr>
          <w:p>
            <w:pPr>
              <w:pStyle w:val="22"/>
              <w:bidi w:val="0"/>
              <w:rPr>
                <w:rFonts w:hint="default"/>
                <w:color w:val="auto"/>
                <w:highlight w:val="none"/>
              </w:rPr>
            </w:pPr>
            <w:r>
              <w:rPr>
                <w:rFonts w:hint="default"/>
                <w:color w:val="auto"/>
                <w:highlight w:val="none"/>
              </w:rPr>
              <w:t>36435708.78</w:t>
            </w:r>
          </w:p>
        </w:tc>
        <w:tc>
          <w:tcPr>
            <w:tcW w:w="961" w:type="dxa"/>
            <w:noWrap w:val="0"/>
            <w:vAlign w:val="center"/>
          </w:tcPr>
          <w:p>
            <w:pPr>
              <w:pStyle w:val="22"/>
              <w:bidi w:val="0"/>
              <w:rPr>
                <w:rFonts w:hint="default"/>
                <w:color w:val="auto"/>
                <w:highlight w:val="none"/>
              </w:rPr>
            </w:pPr>
            <w:r>
              <w:rPr>
                <w:rFonts w:hint="default"/>
                <w:color w:val="auto"/>
                <w:highlight w:val="none"/>
              </w:rPr>
              <w:t>4</w:t>
            </w:r>
          </w:p>
        </w:tc>
        <w:tc>
          <w:tcPr>
            <w:tcW w:w="1594" w:type="dxa"/>
            <w:noWrap w:val="0"/>
            <w:vAlign w:val="center"/>
          </w:tcPr>
          <w:p>
            <w:pPr>
              <w:pStyle w:val="22"/>
              <w:bidi w:val="0"/>
              <w:rPr>
                <w:rFonts w:hint="default"/>
                <w:color w:val="auto"/>
                <w:highlight w:val="none"/>
              </w:rPr>
            </w:pPr>
            <w:r>
              <w:rPr>
                <w:rFonts w:hint="default"/>
                <w:color w:val="auto"/>
                <w:highlight w:val="none"/>
              </w:rPr>
              <w:t>3388832.41</w:t>
            </w:r>
          </w:p>
        </w:tc>
        <w:tc>
          <w:tcPr>
            <w:tcW w:w="1657" w:type="dxa"/>
            <w:noWrap w:val="0"/>
            <w:vAlign w:val="center"/>
          </w:tcPr>
          <w:p>
            <w:pPr>
              <w:pStyle w:val="22"/>
              <w:bidi w:val="0"/>
              <w:rPr>
                <w:rFonts w:hint="default"/>
                <w:color w:val="auto"/>
                <w:highlight w:val="none"/>
              </w:rPr>
            </w:pPr>
            <w:r>
              <w:rPr>
                <w:rFonts w:hint="default"/>
                <w:color w:val="auto"/>
                <w:highlight w:val="none"/>
              </w:rPr>
              <w:t>36434157.77</w:t>
            </w: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（2）芋子沟煤矿原有矿权</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大竹县平桥煤业有限公司芋子沟煤矿于2015年9月22日取得由原四川省国土资源厅颁发的采矿许可证，证号为C5100002010121120103678，有效期限至2020年12月29日。采矿权范围由4个拐点坐标圈闭（详见表</w:t>
      </w:r>
      <w:r>
        <w:rPr>
          <w:rFonts w:hint="default" w:ascii="Times New Roman" w:hAnsi="Times New Roman" w:cs="Times New Roman"/>
          <w:color w:val="auto"/>
          <w:kern w:val="2"/>
          <w:sz w:val="24"/>
          <w:szCs w:val="24"/>
          <w:highlight w:val="none"/>
          <w:lang w:val="en-US" w:eastAsia="zh-CN"/>
        </w:rPr>
        <w:t>2.1.4</w:t>
      </w:r>
      <w:r>
        <w:rPr>
          <w:rFonts w:hint="default" w:ascii="Times New Roman" w:hAnsi="Times New Roman" w:cs="Times New Roman"/>
          <w:color w:val="auto"/>
          <w:kern w:val="2"/>
          <w:sz w:val="24"/>
          <w:szCs w:val="24"/>
          <w:highlight w:val="none"/>
        </w:rPr>
        <w:t>-18），面积1.3632km</w:t>
      </w:r>
      <w:r>
        <w:rPr>
          <w:rFonts w:hint="default" w:ascii="Times New Roman" w:hAnsi="Times New Roman" w:cs="Times New Roman"/>
          <w:color w:val="auto"/>
          <w:kern w:val="2"/>
          <w:sz w:val="24"/>
          <w:szCs w:val="24"/>
          <w:highlight w:val="none"/>
          <w:vertAlign w:val="superscript"/>
        </w:rPr>
        <w:t>2</w:t>
      </w:r>
      <w:r>
        <w:rPr>
          <w:rFonts w:hint="default" w:ascii="Times New Roman" w:hAnsi="Times New Roman" w:cs="Times New Roman"/>
          <w:color w:val="auto"/>
          <w:kern w:val="2"/>
          <w:sz w:val="24"/>
          <w:szCs w:val="24"/>
          <w:highlight w:val="none"/>
        </w:rPr>
        <w:t>，批准开采K</w:t>
      </w:r>
      <w:r>
        <w:rPr>
          <w:rFonts w:hint="default" w:ascii="Times New Roman" w:hAnsi="Times New Roman" w:cs="Times New Roman"/>
          <w:color w:val="auto"/>
          <w:kern w:val="2"/>
          <w:sz w:val="24"/>
          <w:szCs w:val="24"/>
          <w:highlight w:val="none"/>
          <w:vertAlign w:val="subscript"/>
        </w:rPr>
        <w:t>4</w:t>
      </w:r>
      <w:r>
        <w:rPr>
          <w:rFonts w:hint="default" w:ascii="Times New Roman" w:hAnsi="Times New Roman" w:cs="Times New Roman"/>
          <w:color w:val="auto"/>
          <w:kern w:val="2"/>
          <w:sz w:val="24"/>
          <w:szCs w:val="24"/>
          <w:highlight w:val="none"/>
        </w:rPr>
        <w:t>、K</w:t>
      </w:r>
      <w:r>
        <w:rPr>
          <w:rFonts w:hint="default" w:ascii="Times New Roman" w:hAnsi="Times New Roman" w:cs="Times New Roman"/>
          <w:color w:val="auto"/>
          <w:kern w:val="2"/>
          <w:sz w:val="24"/>
          <w:szCs w:val="24"/>
          <w:highlight w:val="none"/>
          <w:vertAlign w:val="subscript"/>
        </w:rPr>
        <w:t>5</w:t>
      </w:r>
      <w:r>
        <w:rPr>
          <w:rFonts w:hint="default" w:ascii="Times New Roman" w:hAnsi="Times New Roman" w:cs="Times New Roman"/>
          <w:color w:val="auto"/>
          <w:kern w:val="2"/>
          <w:sz w:val="24"/>
          <w:szCs w:val="24"/>
          <w:highlight w:val="none"/>
        </w:rPr>
        <w:t>、K</w:t>
      </w:r>
      <w:r>
        <w:rPr>
          <w:rFonts w:hint="default" w:ascii="Times New Roman" w:hAnsi="Times New Roman" w:cs="Times New Roman"/>
          <w:color w:val="auto"/>
          <w:kern w:val="2"/>
          <w:sz w:val="24"/>
          <w:szCs w:val="24"/>
          <w:highlight w:val="none"/>
          <w:vertAlign w:val="subscript"/>
        </w:rPr>
        <w:t>13</w:t>
      </w:r>
      <w:r>
        <w:rPr>
          <w:rFonts w:hint="default" w:ascii="Times New Roman" w:hAnsi="Times New Roman" w:cs="Times New Roman"/>
          <w:color w:val="auto"/>
          <w:kern w:val="2"/>
          <w:sz w:val="24"/>
          <w:szCs w:val="24"/>
          <w:highlight w:val="none"/>
        </w:rPr>
        <w:t>、K</w:t>
      </w:r>
      <w:r>
        <w:rPr>
          <w:rFonts w:hint="default" w:ascii="Times New Roman" w:hAnsi="Times New Roman" w:cs="Times New Roman"/>
          <w:color w:val="auto"/>
          <w:kern w:val="2"/>
          <w:sz w:val="24"/>
          <w:szCs w:val="24"/>
          <w:highlight w:val="none"/>
          <w:vertAlign w:val="subscript"/>
        </w:rPr>
        <w:t>14</w:t>
      </w:r>
      <w:r>
        <w:rPr>
          <w:rFonts w:hint="default" w:ascii="Times New Roman" w:hAnsi="Times New Roman" w:cs="Times New Roman"/>
          <w:color w:val="auto"/>
          <w:kern w:val="2"/>
          <w:sz w:val="24"/>
          <w:szCs w:val="24"/>
          <w:highlight w:val="none"/>
        </w:rPr>
        <w:t>煤层，开采标高+530m～+120m，生产能力9</w:t>
      </w:r>
      <w:r>
        <w:rPr>
          <w:rFonts w:hint="default" w:ascii="Times New Roman" w:hAnsi="Times New Roman" w:cs="Times New Roman"/>
          <w:color w:val="auto"/>
          <w:sz w:val="24"/>
          <w:szCs w:val="24"/>
          <w:highlight w:val="none"/>
        </w:rPr>
        <w:t>万吨/年</w:t>
      </w:r>
      <w:r>
        <w:rPr>
          <w:rFonts w:hint="default" w:ascii="Times New Roman" w:hAnsi="Times New Roman" w:cs="Times New Roman"/>
          <w:color w:val="auto"/>
          <w:kern w:val="2"/>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-18     芋子沟煤矿矿权范围拐点坐标表（2000坐标系）</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542"/>
        <w:gridCol w:w="1686"/>
        <w:gridCol w:w="961"/>
        <w:gridCol w:w="1594"/>
        <w:gridCol w:w="1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拐点号</w:t>
            </w:r>
          </w:p>
        </w:tc>
        <w:tc>
          <w:tcPr>
            <w:tcW w:w="1542" w:type="dxa"/>
            <w:noWrap w:val="0"/>
            <w:vAlign w:val="center"/>
          </w:tcPr>
          <w:p>
            <w:pPr>
              <w:pStyle w:val="22"/>
              <w:bidi w:val="0"/>
              <w:rPr>
                <w:rFonts w:hint="default"/>
                <w:color w:val="auto"/>
                <w:highlight w:val="none"/>
              </w:rPr>
            </w:pPr>
            <w:r>
              <w:rPr>
                <w:rFonts w:hint="default"/>
                <w:color w:val="auto"/>
                <w:highlight w:val="none"/>
              </w:rPr>
              <w:t>横坐标(X)</w:t>
            </w:r>
          </w:p>
        </w:tc>
        <w:tc>
          <w:tcPr>
            <w:tcW w:w="1686" w:type="dxa"/>
            <w:noWrap w:val="0"/>
            <w:vAlign w:val="center"/>
          </w:tcPr>
          <w:p>
            <w:pPr>
              <w:pStyle w:val="22"/>
              <w:bidi w:val="0"/>
              <w:rPr>
                <w:rFonts w:hint="default"/>
                <w:color w:val="auto"/>
                <w:highlight w:val="none"/>
              </w:rPr>
            </w:pPr>
            <w:r>
              <w:rPr>
                <w:rFonts w:hint="default"/>
                <w:color w:val="auto"/>
                <w:highlight w:val="none"/>
              </w:rPr>
              <w:t>纵坐标(Y)</w:t>
            </w:r>
          </w:p>
        </w:tc>
        <w:tc>
          <w:tcPr>
            <w:tcW w:w="961" w:type="dxa"/>
            <w:noWrap w:val="0"/>
            <w:vAlign w:val="center"/>
          </w:tcPr>
          <w:p>
            <w:pPr>
              <w:pStyle w:val="22"/>
              <w:bidi w:val="0"/>
              <w:rPr>
                <w:rFonts w:hint="default"/>
                <w:color w:val="auto"/>
                <w:highlight w:val="none"/>
              </w:rPr>
            </w:pPr>
            <w:r>
              <w:rPr>
                <w:rFonts w:hint="default"/>
                <w:color w:val="auto"/>
                <w:highlight w:val="none"/>
              </w:rPr>
              <w:t>拐点号</w:t>
            </w:r>
          </w:p>
        </w:tc>
        <w:tc>
          <w:tcPr>
            <w:tcW w:w="1594" w:type="dxa"/>
            <w:noWrap w:val="0"/>
            <w:vAlign w:val="center"/>
          </w:tcPr>
          <w:p>
            <w:pPr>
              <w:pStyle w:val="22"/>
              <w:bidi w:val="0"/>
              <w:rPr>
                <w:rFonts w:hint="default"/>
                <w:color w:val="auto"/>
                <w:highlight w:val="none"/>
              </w:rPr>
            </w:pPr>
            <w:r>
              <w:rPr>
                <w:rFonts w:hint="default"/>
                <w:color w:val="auto"/>
                <w:highlight w:val="none"/>
              </w:rPr>
              <w:t>横坐标(X)</w:t>
            </w:r>
          </w:p>
        </w:tc>
        <w:tc>
          <w:tcPr>
            <w:tcW w:w="1657"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1</w:t>
            </w:r>
          </w:p>
        </w:tc>
        <w:tc>
          <w:tcPr>
            <w:tcW w:w="1542" w:type="dxa"/>
            <w:noWrap w:val="0"/>
            <w:vAlign w:val="center"/>
          </w:tcPr>
          <w:p>
            <w:pPr>
              <w:pStyle w:val="22"/>
              <w:bidi w:val="0"/>
              <w:rPr>
                <w:rFonts w:hint="default"/>
                <w:color w:val="auto"/>
                <w:highlight w:val="none"/>
              </w:rPr>
            </w:pPr>
            <w:r>
              <w:rPr>
                <w:rFonts w:hint="default"/>
                <w:color w:val="auto"/>
                <w:highlight w:val="none"/>
              </w:rPr>
              <w:t>3393739.52</w:t>
            </w:r>
          </w:p>
        </w:tc>
        <w:tc>
          <w:tcPr>
            <w:tcW w:w="1686" w:type="dxa"/>
            <w:noWrap w:val="0"/>
            <w:vAlign w:val="center"/>
          </w:tcPr>
          <w:p>
            <w:pPr>
              <w:pStyle w:val="22"/>
              <w:bidi w:val="0"/>
              <w:rPr>
                <w:rFonts w:hint="default"/>
                <w:color w:val="auto"/>
                <w:highlight w:val="none"/>
              </w:rPr>
            </w:pPr>
            <w:r>
              <w:rPr>
                <w:rFonts w:hint="default"/>
                <w:color w:val="auto"/>
                <w:highlight w:val="none"/>
              </w:rPr>
              <w:t>36436299.79</w:t>
            </w:r>
          </w:p>
        </w:tc>
        <w:tc>
          <w:tcPr>
            <w:tcW w:w="961" w:type="dxa"/>
            <w:noWrap w:val="0"/>
            <w:vAlign w:val="center"/>
          </w:tcPr>
          <w:p>
            <w:pPr>
              <w:pStyle w:val="22"/>
              <w:bidi w:val="0"/>
              <w:rPr>
                <w:rFonts w:hint="default"/>
                <w:color w:val="auto"/>
                <w:highlight w:val="none"/>
              </w:rPr>
            </w:pPr>
            <w:r>
              <w:rPr>
                <w:rFonts w:hint="default"/>
                <w:color w:val="auto"/>
                <w:highlight w:val="none"/>
              </w:rPr>
              <w:t>3</w:t>
            </w:r>
          </w:p>
        </w:tc>
        <w:tc>
          <w:tcPr>
            <w:tcW w:w="1594" w:type="dxa"/>
            <w:noWrap w:val="0"/>
            <w:vAlign w:val="center"/>
          </w:tcPr>
          <w:p>
            <w:pPr>
              <w:pStyle w:val="22"/>
              <w:bidi w:val="0"/>
              <w:rPr>
                <w:rFonts w:hint="default"/>
                <w:color w:val="auto"/>
                <w:highlight w:val="none"/>
              </w:rPr>
            </w:pPr>
            <w:r>
              <w:rPr>
                <w:rFonts w:hint="default"/>
                <w:color w:val="auto"/>
                <w:highlight w:val="none"/>
              </w:rPr>
              <w:t>3391159.52</w:t>
            </w:r>
          </w:p>
        </w:tc>
        <w:tc>
          <w:tcPr>
            <w:tcW w:w="1657" w:type="dxa"/>
            <w:noWrap w:val="0"/>
            <w:vAlign w:val="center"/>
          </w:tcPr>
          <w:p>
            <w:pPr>
              <w:pStyle w:val="22"/>
              <w:bidi w:val="0"/>
              <w:rPr>
                <w:rFonts w:hint="default"/>
                <w:color w:val="auto"/>
                <w:highlight w:val="none"/>
              </w:rPr>
            </w:pPr>
            <w:r>
              <w:rPr>
                <w:rFonts w:hint="default"/>
                <w:color w:val="auto"/>
                <w:highlight w:val="none"/>
              </w:rPr>
              <w:t>36435769.79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dxa"/>
            <w:noWrap w:val="0"/>
            <w:vAlign w:val="center"/>
          </w:tcPr>
          <w:p>
            <w:pPr>
              <w:pStyle w:val="22"/>
              <w:bidi w:val="0"/>
              <w:rPr>
                <w:rFonts w:hint="default"/>
                <w:color w:val="auto"/>
                <w:highlight w:val="none"/>
              </w:rPr>
            </w:pPr>
            <w:r>
              <w:rPr>
                <w:rFonts w:hint="default"/>
                <w:color w:val="auto"/>
                <w:highlight w:val="none"/>
              </w:rPr>
              <w:t>2</w:t>
            </w:r>
          </w:p>
        </w:tc>
        <w:tc>
          <w:tcPr>
            <w:tcW w:w="1542" w:type="dxa"/>
            <w:noWrap w:val="0"/>
            <w:vAlign w:val="center"/>
          </w:tcPr>
          <w:p>
            <w:pPr>
              <w:pStyle w:val="22"/>
              <w:bidi w:val="0"/>
              <w:rPr>
                <w:rFonts w:hint="default"/>
                <w:color w:val="auto"/>
                <w:highlight w:val="none"/>
              </w:rPr>
            </w:pPr>
            <w:r>
              <w:rPr>
                <w:rFonts w:hint="default"/>
                <w:color w:val="auto"/>
                <w:highlight w:val="none"/>
              </w:rPr>
              <w:t>3393619.52</w:t>
            </w:r>
          </w:p>
        </w:tc>
        <w:tc>
          <w:tcPr>
            <w:tcW w:w="1686" w:type="dxa"/>
            <w:noWrap w:val="0"/>
            <w:vAlign w:val="center"/>
          </w:tcPr>
          <w:p>
            <w:pPr>
              <w:pStyle w:val="22"/>
              <w:bidi w:val="0"/>
              <w:rPr>
                <w:rFonts w:hint="default"/>
                <w:color w:val="auto"/>
                <w:highlight w:val="none"/>
              </w:rPr>
            </w:pPr>
            <w:r>
              <w:rPr>
                <w:rFonts w:hint="default"/>
                <w:color w:val="auto"/>
                <w:highlight w:val="none"/>
              </w:rPr>
              <w:t>36436839.79</w:t>
            </w:r>
          </w:p>
        </w:tc>
        <w:tc>
          <w:tcPr>
            <w:tcW w:w="961" w:type="dxa"/>
            <w:noWrap w:val="0"/>
            <w:vAlign w:val="center"/>
          </w:tcPr>
          <w:p>
            <w:pPr>
              <w:pStyle w:val="22"/>
              <w:bidi w:val="0"/>
              <w:rPr>
                <w:rFonts w:hint="default"/>
                <w:color w:val="auto"/>
                <w:highlight w:val="none"/>
              </w:rPr>
            </w:pPr>
            <w:r>
              <w:rPr>
                <w:rFonts w:hint="default"/>
                <w:color w:val="auto"/>
                <w:highlight w:val="none"/>
              </w:rPr>
              <w:t>4</w:t>
            </w:r>
          </w:p>
        </w:tc>
        <w:tc>
          <w:tcPr>
            <w:tcW w:w="1594" w:type="dxa"/>
            <w:noWrap w:val="0"/>
            <w:vAlign w:val="center"/>
          </w:tcPr>
          <w:p>
            <w:pPr>
              <w:pStyle w:val="22"/>
              <w:bidi w:val="0"/>
              <w:rPr>
                <w:rFonts w:hint="default"/>
                <w:color w:val="auto"/>
                <w:highlight w:val="none"/>
              </w:rPr>
            </w:pPr>
            <w:r>
              <w:rPr>
                <w:rFonts w:hint="default"/>
                <w:color w:val="auto"/>
                <w:highlight w:val="none"/>
              </w:rPr>
              <w:t>3391364.52</w:t>
            </w:r>
          </w:p>
        </w:tc>
        <w:tc>
          <w:tcPr>
            <w:tcW w:w="1657" w:type="dxa"/>
            <w:noWrap w:val="0"/>
            <w:vAlign w:val="center"/>
          </w:tcPr>
          <w:p>
            <w:pPr>
              <w:pStyle w:val="22"/>
              <w:bidi w:val="0"/>
              <w:rPr>
                <w:rFonts w:hint="default"/>
                <w:color w:val="auto"/>
                <w:highlight w:val="none"/>
              </w:rPr>
            </w:pPr>
            <w:r>
              <w:rPr>
                <w:rFonts w:hint="default"/>
                <w:color w:val="auto"/>
                <w:highlight w:val="none"/>
              </w:rPr>
              <w:t>36435319.79</w:t>
            </w: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（3）牛郎沟煤矿规划矿权</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sz w:val="24"/>
          <w:szCs w:val="24"/>
          <w:highlight w:val="none"/>
        </w:rPr>
        <w:t>根据矿井资源条件及开采技术条件，规划以牛郎沟煤矿为主体煤矿对大竹县平桥煤业有限公司芋子沟煤矿进行兼并重组升级改造。升级改造后生产能力为30万吨/年。</w:t>
      </w:r>
      <w:r>
        <w:rPr>
          <w:rFonts w:hint="default" w:ascii="Times New Roman" w:hAnsi="Times New Roman" w:cs="Times New Roman"/>
          <w:color w:val="auto"/>
          <w:kern w:val="2"/>
          <w:sz w:val="24"/>
          <w:szCs w:val="24"/>
          <w:highlight w:val="none"/>
        </w:rPr>
        <w:t>规划采矿权范围由8个拐点坐标圈闭（详见表</w:t>
      </w:r>
      <w:r>
        <w:rPr>
          <w:rFonts w:hint="default" w:ascii="Times New Roman" w:hAnsi="Times New Roman" w:cs="Times New Roman"/>
          <w:color w:val="auto"/>
          <w:kern w:val="2"/>
          <w:sz w:val="24"/>
          <w:szCs w:val="24"/>
          <w:highlight w:val="none"/>
          <w:lang w:val="en-US" w:eastAsia="zh-CN"/>
        </w:rPr>
        <w:t>2.1.4</w:t>
      </w:r>
      <w:r>
        <w:rPr>
          <w:rFonts w:hint="default" w:ascii="Times New Roman" w:hAnsi="Times New Roman" w:cs="Times New Roman"/>
          <w:color w:val="auto"/>
          <w:kern w:val="2"/>
          <w:sz w:val="24"/>
          <w:szCs w:val="24"/>
          <w:highlight w:val="none"/>
        </w:rPr>
        <w:t>-19），面积2.8232km</w:t>
      </w:r>
      <w:r>
        <w:rPr>
          <w:rFonts w:hint="default" w:ascii="Times New Roman" w:hAnsi="Times New Roman" w:cs="Times New Roman"/>
          <w:color w:val="auto"/>
          <w:kern w:val="2"/>
          <w:sz w:val="24"/>
          <w:szCs w:val="24"/>
          <w:highlight w:val="none"/>
          <w:vertAlign w:val="superscript"/>
        </w:rPr>
        <w:t>2</w:t>
      </w:r>
      <w:r>
        <w:rPr>
          <w:rFonts w:hint="default" w:ascii="Times New Roman" w:hAnsi="Times New Roman" w:cs="Times New Roman"/>
          <w:color w:val="auto"/>
          <w:kern w:val="2"/>
          <w:sz w:val="24"/>
          <w:szCs w:val="24"/>
          <w:highlight w:val="none"/>
        </w:rPr>
        <w:t>，开采标高为+582m～+120m，开采</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13</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8</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7</w:t>
      </w:r>
      <w:r>
        <w:rPr>
          <w:rFonts w:hint="default" w:ascii="Times New Roman" w:hAnsi="Times New Roman" w:cs="Times New Roman"/>
          <w:color w:val="auto"/>
          <w:sz w:val="24"/>
          <w:szCs w:val="24"/>
          <w:highlight w:val="none"/>
        </w:rPr>
        <w:t>煤层</w:t>
      </w:r>
      <w:r>
        <w:rPr>
          <w:rFonts w:hint="default" w:ascii="Times New Roman" w:hAnsi="Times New Roman" w:cs="Times New Roman"/>
          <w:color w:val="auto"/>
          <w:kern w:val="2"/>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2.1.4</w:t>
      </w:r>
      <w:r>
        <w:rPr>
          <w:rFonts w:hint="default"/>
          <w:color w:val="auto"/>
          <w:highlight w:val="none"/>
        </w:rPr>
        <w:t>-19       牛郎沟煤矿规划矿权范围拐点坐标表（2000坐标系）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9"/>
        <w:gridCol w:w="1650"/>
        <w:gridCol w:w="1548"/>
        <w:gridCol w:w="894"/>
        <w:gridCol w:w="1686"/>
        <w:gridCol w:w="1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49" w:type="dxa"/>
            <w:noWrap w:val="0"/>
            <w:vAlign w:val="center"/>
          </w:tcPr>
          <w:p>
            <w:pPr>
              <w:pStyle w:val="22"/>
              <w:bidi w:val="0"/>
              <w:rPr>
                <w:rFonts w:hint="default"/>
                <w:color w:val="auto"/>
                <w:highlight w:val="none"/>
              </w:rPr>
            </w:pPr>
            <w:r>
              <w:rPr>
                <w:rFonts w:hint="default"/>
                <w:color w:val="auto"/>
                <w:highlight w:val="none"/>
              </w:rPr>
              <w:t>拐点号</w:t>
            </w:r>
          </w:p>
        </w:tc>
        <w:tc>
          <w:tcPr>
            <w:tcW w:w="1650" w:type="dxa"/>
            <w:noWrap w:val="0"/>
            <w:vAlign w:val="center"/>
          </w:tcPr>
          <w:p>
            <w:pPr>
              <w:pStyle w:val="22"/>
              <w:bidi w:val="0"/>
              <w:rPr>
                <w:rFonts w:hint="default"/>
                <w:color w:val="auto"/>
                <w:highlight w:val="none"/>
              </w:rPr>
            </w:pPr>
            <w:r>
              <w:rPr>
                <w:rFonts w:hint="default"/>
                <w:color w:val="auto"/>
                <w:highlight w:val="none"/>
              </w:rPr>
              <w:t>横坐标(X)</w:t>
            </w:r>
          </w:p>
        </w:tc>
        <w:tc>
          <w:tcPr>
            <w:tcW w:w="1548" w:type="dxa"/>
            <w:noWrap w:val="0"/>
            <w:vAlign w:val="center"/>
          </w:tcPr>
          <w:p>
            <w:pPr>
              <w:pStyle w:val="22"/>
              <w:bidi w:val="0"/>
              <w:rPr>
                <w:rFonts w:hint="default"/>
                <w:color w:val="auto"/>
                <w:highlight w:val="none"/>
              </w:rPr>
            </w:pPr>
            <w:r>
              <w:rPr>
                <w:rFonts w:hint="default"/>
                <w:color w:val="auto"/>
                <w:highlight w:val="none"/>
              </w:rPr>
              <w:t>纵坐标(Y)</w:t>
            </w:r>
          </w:p>
        </w:tc>
        <w:tc>
          <w:tcPr>
            <w:tcW w:w="894" w:type="dxa"/>
            <w:noWrap w:val="0"/>
            <w:vAlign w:val="center"/>
          </w:tcPr>
          <w:p>
            <w:pPr>
              <w:pStyle w:val="22"/>
              <w:bidi w:val="0"/>
              <w:rPr>
                <w:rFonts w:hint="default"/>
                <w:color w:val="auto"/>
                <w:highlight w:val="none"/>
              </w:rPr>
            </w:pPr>
            <w:r>
              <w:rPr>
                <w:rFonts w:hint="default"/>
                <w:color w:val="auto"/>
                <w:highlight w:val="none"/>
              </w:rPr>
              <w:t>拐点号</w:t>
            </w:r>
          </w:p>
        </w:tc>
        <w:tc>
          <w:tcPr>
            <w:tcW w:w="1686" w:type="dxa"/>
            <w:noWrap w:val="0"/>
            <w:vAlign w:val="center"/>
          </w:tcPr>
          <w:p>
            <w:pPr>
              <w:pStyle w:val="22"/>
              <w:bidi w:val="0"/>
              <w:rPr>
                <w:rFonts w:hint="default"/>
                <w:color w:val="auto"/>
                <w:highlight w:val="none"/>
              </w:rPr>
            </w:pPr>
            <w:r>
              <w:rPr>
                <w:rFonts w:hint="default"/>
                <w:color w:val="auto"/>
                <w:highlight w:val="none"/>
              </w:rPr>
              <w:t>横坐标(X)</w:t>
            </w:r>
          </w:p>
        </w:tc>
        <w:tc>
          <w:tcPr>
            <w:tcW w:w="1710" w:type="dxa"/>
            <w:noWrap w:val="0"/>
            <w:vAlign w:val="center"/>
          </w:tcPr>
          <w:p>
            <w:pPr>
              <w:pStyle w:val="22"/>
              <w:bidi w:val="0"/>
              <w:rPr>
                <w:rFonts w:hint="default"/>
                <w:color w:val="auto"/>
                <w:highlight w:val="none"/>
              </w:rPr>
            </w:pPr>
            <w:r>
              <w:rPr>
                <w:rFonts w:hint="default"/>
                <w:color w:val="auto"/>
                <w:highlight w:val="none"/>
              </w:rPr>
              <w:t>纵坐标(Y)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1</w:t>
            </w:r>
          </w:p>
        </w:tc>
        <w:tc>
          <w:tcPr>
            <w:tcW w:w="1650" w:type="dxa"/>
            <w:noWrap w:val="0"/>
            <w:vAlign w:val="center"/>
          </w:tcPr>
          <w:p>
            <w:pPr>
              <w:pStyle w:val="22"/>
              <w:bidi w:val="0"/>
              <w:rPr>
                <w:rFonts w:hint="default"/>
                <w:color w:val="auto"/>
                <w:highlight w:val="none"/>
              </w:rPr>
            </w:pPr>
            <w:r>
              <w:rPr>
                <w:rFonts w:hint="default"/>
                <w:color w:val="auto"/>
                <w:highlight w:val="none"/>
              </w:rPr>
              <w:t>3393739.45</w:t>
            </w:r>
          </w:p>
        </w:tc>
        <w:tc>
          <w:tcPr>
            <w:tcW w:w="1548" w:type="dxa"/>
            <w:noWrap w:val="0"/>
            <w:vAlign w:val="center"/>
          </w:tcPr>
          <w:p>
            <w:pPr>
              <w:pStyle w:val="22"/>
              <w:bidi w:val="0"/>
              <w:rPr>
                <w:rFonts w:hint="default"/>
                <w:color w:val="auto"/>
                <w:highlight w:val="none"/>
              </w:rPr>
            </w:pPr>
            <w:r>
              <w:rPr>
                <w:rFonts w:hint="default"/>
                <w:color w:val="auto"/>
                <w:highlight w:val="none"/>
              </w:rPr>
              <w:t>36436299.78</w:t>
            </w:r>
          </w:p>
        </w:tc>
        <w:tc>
          <w:tcPr>
            <w:tcW w:w="894" w:type="dxa"/>
            <w:noWrap w:val="0"/>
            <w:vAlign w:val="center"/>
          </w:tcPr>
          <w:p>
            <w:pPr>
              <w:pStyle w:val="22"/>
              <w:bidi w:val="0"/>
              <w:rPr>
                <w:rFonts w:hint="default"/>
                <w:color w:val="auto"/>
                <w:highlight w:val="none"/>
              </w:rPr>
            </w:pPr>
            <w:r>
              <w:rPr>
                <w:rFonts w:hint="default"/>
                <w:color w:val="auto"/>
                <w:highlight w:val="none"/>
              </w:rPr>
              <w:t>5</w:t>
            </w:r>
          </w:p>
        </w:tc>
        <w:tc>
          <w:tcPr>
            <w:tcW w:w="1686" w:type="dxa"/>
            <w:noWrap w:val="0"/>
            <w:vAlign w:val="center"/>
          </w:tcPr>
          <w:p>
            <w:pPr>
              <w:pStyle w:val="22"/>
              <w:bidi w:val="0"/>
              <w:rPr>
                <w:rFonts w:hint="default"/>
                <w:color w:val="auto"/>
                <w:highlight w:val="none"/>
              </w:rPr>
            </w:pPr>
            <w:r>
              <w:rPr>
                <w:rFonts w:hint="default"/>
                <w:color w:val="auto"/>
                <w:highlight w:val="none"/>
              </w:rPr>
              <w:t>3388574.45</w:t>
            </w:r>
          </w:p>
        </w:tc>
        <w:tc>
          <w:tcPr>
            <w:tcW w:w="1710" w:type="dxa"/>
            <w:noWrap w:val="0"/>
            <w:vAlign w:val="center"/>
          </w:tcPr>
          <w:p>
            <w:pPr>
              <w:pStyle w:val="22"/>
              <w:bidi w:val="0"/>
              <w:rPr>
                <w:rFonts w:hint="default"/>
                <w:color w:val="auto"/>
                <w:highlight w:val="none"/>
              </w:rPr>
            </w:pPr>
            <w:r>
              <w:rPr>
                <w:rFonts w:hint="default"/>
                <w:color w:val="auto"/>
                <w:highlight w:val="none"/>
              </w:rPr>
              <w:t>36434522.78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2</w:t>
            </w:r>
          </w:p>
        </w:tc>
        <w:tc>
          <w:tcPr>
            <w:tcW w:w="1650" w:type="dxa"/>
            <w:noWrap w:val="0"/>
            <w:vAlign w:val="center"/>
          </w:tcPr>
          <w:p>
            <w:pPr>
              <w:pStyle w:val="22"/>
              <w:bidi w:val="0"/>
              <w:rPr>
                <w:rFonts w:hint="default"/>
                <w:color w:val="auto"/>
                <w:highlight w:val="none"/>
              </w:rPr>
            </w:pPr>
            <w:r>
              <w:rPr>
                <w:rFonts w:hint="default"/>
                <w:color w:val="auto"/>
                <w:highlight w:val="none"/>
              </w:rPr>
              <w:t>3393612.45</w:t>
            </w:r>
          </w:p>
        </w:tc>
        <w:tc>
          <w:tcPr>
            <w:tcW w:w="1548" w:type="dxa"/>
            <w:noWrap w:val="0"/>
            <w:vAlign w:val="center"/>
          </w:tcPr>
          <w:p>
            <w:pPr>
              <w:pStyle w:val="22"/>
              <w:bidi w:val="0"/>
              <w:rPr>
                <w:rFonts w:hint="default"/>
                <w:color w:val="auto"/>
                <w:highlight w:val="none"/>
              </w:rPr>
            </w:pPr>
            <w:r>
              <w:rPr>
                <w:rFonts w:hint="default"/>
                <w:color w:val="auto"/>
                <w:highlight w:val="none"/>
              </w:rPr>
              <w:t>36436870.78</w:t>
            </w:r>
          </w:p>
        </w:tc>
        <w:tc>
          <w:tcPr>
            <w:tcW w:w="894" w:type="dxa"/>
            <w:noWrap w:val="0"/>
            <w:vAlign w:val="center"/>
          </w:tcPr>
          <w:p>
            <w:pPr>
              <w:pStyle w:val="22"/>
              <w:bidi w:val="0"/>
              <w:rPr>
                <w:rFonts w:hint="default"/>
                <w:color w:val="auto"/>
                <w:highlight w:val="none"/>
              </w:rPr>
            </w:pPr>
            <w:r>
              <w:rPr>
                <w:rFonts w:hint="default"/>
                <w:color w:val="auto"/>
                <w:highlight w:val="none"/>
              </w:rPr>
              <w:t>6</w:t>
            </w:r>
          </w:p>
        </w:tc>
        <w:tc>
          <w:tcPr>
            <w:tcW w:w="1686" w:type="dxa"/>
            <w:noWrap w:val="0"/>
            <w:vAlign w:val="center"/>
          </w:tcPr>
          <w:p>
            <w:pPr>
              <w:pStyle w:val="22"/>
              <w:bidi w:val="0"/>
              <w:rPr>
                <w:rFonts w:hint="default"/>
                <w:color w:val="auto"/>
                <w:highlight w:val="none"/>
              </w:rPr>
            </w:pPr>
            <w:r>
              <w:rPr>
                <w:rFonts w:hint="default"/>
                <w:color w:val="auto"/>
                <w:highlight w:val="none"/>
              </w:rPr>
              <w:t>3388832.43</w:t>
            </w:r>
          </w:p>
        </w:tc>
        <w:tc>
          <w:tcPr>
            <w:tcW w:w="1710" w:type="dxa"/>
            <w:noWrap w:val="0"/>
            <w:vAlign w:val="center"/>
          </w:tcPr>
          <w:p>
            <w:pPr>
              <w:pStyle w:val="22"/>
              <w:bidi w:val="0"/>
              <w:rPr>
                <w:rFonts w:hint="default"/>
                <w:color w:val="auto"/>
                <w:highlight w:val="none"/>
              </w:rPr>
            </w:pPr>
            <w:r>
              <w:rPr>
                <w:rFonts w:hint="default"/>
                <w:color w:val="auto"/>
                <w:highlight w:val="none"/>
              </w:rPr>
              <w:t>36434157.78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3</w:t>
            </w:r>
          </w:p>
        </w:tc>
        <w:tc>
          <w:tcPr>
            <w:tcW w:w="1650" w:type="dxa"/>
            <w:noWrap w:val="0"/>
            <w:vAlign w:val="center"/>
          </w:tcPr>
          <w:p>
            <w:pPr>
              <w:pStyle w:val="22"/>
              <w:bidi w:val="0"/>
              <w:rPr>
                <w:rFonts w:hint="default"/>
                <w:color w:val="auto"/>
                <w:highlight w:val="none"/>
              </w:rPr>
            </w:pPr>
            <w:r>
              <w:rPr>
                <w:rFonts w:hint="default"/>
                <w:color w:val="auto"/>
                <w:highlight w:val="none"/>
              </w:rPr>
              <w:t>3391096.45</w:t>
            </w:r>
          </w:p>
        </w:tc>
        <w:tc>
          <w:tcPr>
            <w:tcW w:w="1548" w:type="dxa"/>
            <w:noWrap w:val="0"/>
            <w:vAlign w:val="center"/>
          </w:tcPr>
          <w:p>
            <w:pPr>
              <w:pStyle w:val="22"/>
              <w:bidi w:val="0"/>
              <w:rPr>
                <w:rFonts w:hint="default"/>
                <w:color w:val="auto"/>
                <w:highlight w:val="none"/>
              </w:rPr>
            </w:pPr>
            <w:r>
              <w:rPr>
                <w:rFonts w:hint="default"/>
                <w:color w:val="auto"/>
                <w:highlight w:val="none"/>
              </w:rPr>
              <w:t>36435779.78</w:t>
            </w:r>
          </w:p>
        </w:tc>
        <w:tc>
          <w:tcPr>
            <w:tcW w:w="894" w:type="dxa"/>
            <w:noWrap w:val="0"/>
            <w:vAlign w:val="center"/>
          </w:tcPr>
          <w:p>
            <w:pPr>
              <w:pStyle w:val="22"/>
              <w:bidi w:val="0"/>
              <w:rPr>
                <w:rFonts w:hint="default"/>
                <w:color w:val="auto"/>
                <w:highlight w:val="none"/>
              </w:rPr>
            </w:pPr>
            <w:r>
              <w:rPr>
                <w:rFonts w:hint="default"/>
                <w:color w:val="auto"/>
                <w:highlight w:val="none"/>
              </w:rPr>
              <w:t>7</w:t>
            </w:r>
          </w:p>
        </w:tc>
        <w:tc>
          <w:tcPr>
            <w:tcW w:w="1686" w:type="dxa"/>
            <w:noWrap w:val="0"/>
            <w:vAlign w:val="center"/>
          </w:tcPr>
          <w:p>
            <w:pPr>
              <w:pStyle w:val="22"/>
              <w:bidi w:val="0"/>
              <w:rPr>
                <w:rFonts w:hint="default"/>
                <w:color w:val="auto"/>
                <w:highlight w:val="none"/>
              </w:rPr>
            </w:pPr>
            <w:r>
              <w:rPr>
                <w:rFonts w:hint="default"/>
                <w:color w:val="auto"/>
                <w:highlight w:val="none"/>
              </w:rPr>
              <w:t>3391309.45</w:t>
            </w:r>
          </w:p>
        </w:tc>
        <w:tc>
          <w:tcPr>
            <w:tcW w:w="1710" w:type="dxa"/>
            <w:noWrap w:val="0"/>
            <w:vAlign w:val="center"/>
          </w:tcPr>
          <w:p>
            <w:pPr>
              <w:pStyle w:val="22"/>
              <w:bidi w:val="0"/>
              <w:rPr>
                <w:rFonts w:hint="default"/>
                <w:color w:val="auto"/>
                <w:highlight w:val="none"/>
              </w:rPr>
            </w:pPr>
            <w:r>
              <w:rPr>
                <w:rFonts w:hint="default"/>
                <w:color w:val="auto"/>
                <w:highlight w:val="none"/>
              </w:rPr>
              <w:t>36435323.78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9" w:type="dxa"/>
            <w:noWrap w:val="0"/>
            <w:vAlign w:val="center"/>
          </w:tcPr>
          <w:p>
            <w:pPr>
              <w:pStyle w:val="22"/>
              <w:bidi w:val="0"/>
              <w:rPr>
                <w:rFonts w:hint="default"/>
                <w:color w:val="auto"/>
                <w:highlight w:val="none"/>
              </w:rPr>
            </w:pPr>
            <w:r>
              <w:rPr>
                <w:rFonts w:hint="default"/>
                <w:color w:val="auto"/>
                <w:highlight w:val="none"/>
              </w:rPr>
              <w:t>4</w:t>
            </w:r>
          </w:p>
        </w:tc>
        <w:tc>
          <w:tcPr>
            <w:tcW w:w="1650" w:type="dxa"/>
            <w:noWrap w:val="0"/>
            <w:vAlign w:val="center"/>
          </w:tcPr>
          <w:p>
            <w:pPr>
              <w:pStyle w:val="22"/>
              <w:bidi w:val="0"/>
              <w:rPr>
                <w:rFonts w:hint="default"/>
                <w:color w:val="auto"/>
                <w:highlight w:val="none"/>
              </w:rPr>
            </w:pPr>
            <w:r>
              <w:rPr>
                <w:rFonts w:hint="default"/>
                <w:color w:val="auto"/>
                <w:highlight w:val="none"/>
              </w:rPr>
              <w:t>3389918.45</w:t>
            </w:r>
          </w:p>
        </w:tc>
        <w:tc>
          <w:tcPr>
            <w:tcW w:w="1548" w:type="dxa"/>
            <w:noWrap w:val="0"/>
            <w:vAlign w:val="center"/>
          </w:tcPr>
          <w:p>
            <w:pPr>
              <w:pStyle w:val="22"/>
              <w:bidi w:val="0"/>
              <w:rPr>
                <w:rFonts w:hint="default"/>
                <w:color w:val="auto"/>
                <w:highlight w:val="none"/>
              </w:rPr>
            </w:pPr>
            <w:r>
              <w:rPr>
                <w:rFonts w:hint="default"/>
                <w:color w:val="auto"/>
                <w:highlight w:val="none"/>
              </w:rPr>
              <w:t>36435219.78</w:t>
            </w:r>
          </w:p>
        </w:tc>
        <w:tc>
          <w:tcPr>
            <w:tcW w:w="894" w:type="dxa"/>
            <w:noWrap w:val="0"/>
            <w:vAlign w:val="center"/>
          </w:tcPr>
          <w:p>
            <w:pPr>
              <w:pStyle w:val="22"/>
              <w:bidi w:val="0"/>
              <w:rPr>
                <w:rFonts w:hint="default"/>
                <w:color w:val="auto"/>
                <w:highlight w:val="none"/>
              </w:rPr>
            </w:pPr>
            <w:r>
              <w:rPr>
                <w:rFonts w:hint="default"/>
                <w:color w:val="auto"/>
                <w:highlight w:val="none"/>
              </w:rPr>
              <w:t>8</w:t>
            </w:r>
          </w:p>
        </w:tc>
        <w:tc>
          <w:tcPr>
            <w:tcW w:w="1686" w:type="dxa"/>
            <w:noWrap w:val="0"/>
            <w:vAlign w:val="center"/>
          </w:tcPr>
          <w:p>
            <w:pPr>
              <w:pStyle w:val="22"/>
              <w:bidi w:val="0"/>
              <w:rPr>
                <w:rFonts w:hint="default"/>
                <w:color w:val="auto"/>
                <w:highlight w:val="none"/>
              </w:rPr>
            </w:pPr>
            <w:r>
              <w:rPr>
                <w:rFonts w:hint="default"/>
                <w:color w:val="auto"/>
                <w:highlight w:val="none"/>
              </w:rPr>
              <w:t>3391364.45</w:t>
            </w:r>
          </w:p>
        </w:tc>
        <w:tc>
          <w:tcPr>
            <w:tcW w:w="1710" w:type="dxa"/>
            <w:noWrap w:val="0"/>
            <w:vAlign w:val="center"/>
          </w:tcPr>
          <w:p>
            <w:pPr>
              <w:pStyle w:val="22"/>
              <w:bidi w:val="0"/>
              <w:rPr>
                <w:rFonts w:hint="default"/>
                <w:color w:val="auto"/>
                <w:highlight w:val="none"/>
              </w:rPr>
            </w:pPr>
            <w:r>
              <w:rPr>
                <w:rFonts w:hint="default"/>
                <w:color w:val="auto"/>
                <w:highlight w:val="none"/>
              </w:rPr>
              <w:t>36435319.78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7" w:type="dxa"/>
            <w:gridSpan w:val="6"/>
            <w:noWrap w:val="0"/>
            <w:vAlign w:val="top"/>
          </w:tcPr>
          <w:p>
            <w:pPr>
              <w:pStyle w:val="22"/>
              <w:bidi w:val="0"/>
              <w:rPr>
                <w:rFonts w:hint="default"/>
                <w:color w:val="auto"/>
                <w:highlight w:val="none"/>
              </w:rPr>
            </w:pPr>
            <w:r>
              <w:rPr>
                <w:rFonts w:hint="default"/>
                <w:color w:val="auto"/>
                <w:highlight w:val="none"/>
              </w:rPr>
              <w:t>拟设矿权面积2.8232km</w:t>
            </w:r>
            <w:r>
              <w:rPr>
                <w:rFonts w:hint="default"/>
                <w:color w:val="auto"/>
                <w:highlight w:val="none"/>
                <w:vertAlign w:val="superscript"/>
              </w:rPr>
              <w:t>2</w:t>
            </w:r>
            <w:r>
              <w:rPr>
                <w:rFonts w:hint="default"/>
                <w:color w:val="auto"/>
                <w:highlight w:val="none"/>
              </w:rPr>
              <w:t>，开采标高+582m～+120m，开采K14、K13、K8、K7煤层。为2000国家大地坐标系。</w:t>
            </w: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原牛郎沟煤矿和芋子沟煤矿兼并重组升级改造后，将牛郎沟煤矿最低可采标高延伸至+120m，且包括牛郎沟煤矿和芋子沟煤矿之间的空白带。</w:t>
      </w:r>
      <w:r>
        <w:rPr>
          <w:rFonts w:hint="default" w:ascii="Times New Roman" w:hAnsi="Times New Roman" w:cs="Times New Roman"/>
          <w:color w:val="auto"/>
          <w:sz w:val="24"/>
          <w:szCs w:val="24"/>
          <w:highlight w:val="none"/>
        </w:rPr>
        <w:t xml:space="preserve">截止2020年2月底，规划矿权范围累计查明资源量611.40万吨，累计动用基础储量313.40万吨。保有资源量298.0万吨，其中控制资源量220.70万吨，推断资源量77.30万吨。 </w:t>
      </w:r>
    </w:p>
    <w:p>
      <w:pPr>
        <w:pStyle w:val="6"/>
        <w:bidi w:val="0"/>
        <w:rPr>
          <w:rFonts w:hint="default"/>
          <w:color w:val="auto"/>
          <w:highlight w:val="none"/>
          <w:lang w:val="en-US" w:eastAsia="zh-CN"/>
        </w:rPr>
      </w:pPr>
      <w:bookmarkStart w:id="109" w:name="_Toc14031"/>
      <w:bookmarkStart w:id="110" w:name="_Toc9675"/>
      <w:r>
        <w:rPr>
          <w:rFonts w:hint="default"/>
          <w:color w:val="auto"/>
          <w:highlight w:val="none"/>
          <w:lang w:val="en-US" w:eastAsia="zh-CN"/>
        </w:rPr>
        <w:t>2.1.5 井田开拓方式及规划生产能力</w:t>
      </w:r>
      <w:bookmarkEnd w:id="109"/>
      <w:bookmarkEnd w:id="110"/>
    </w:p>
    <w:p>
      <w:pPr>
        <w:bidi w:val="0"/>
        <w:rPr>
          <w:rFonts w:hint="default"/>
          <w:color w:val="auto"/>
          <w:highlight w:val="none"/>
        </w:rPr>
      </w:pPr>
      <w:r>
        <w:rPr>
          <w:rFonts w:hint="default"/>
          <w:color w:val="auto"/>
          <w:highlight w:val="none"/>
        </w:rPr>
        <w:t>大竹县规划设置14个采矿权，其中华蓥山北段矿区规划设置有6个采矿权，分别为柏林煤矿、大硐坪煤矿、大河沟煤矿、田坝煤矿、黑滩煤矿和新桥红星煤矿，矿区规划生产能力为165万吨/年；中山明月峡矿区规划设置有8个采矿权，分别为堡子煤矿、荣华煤矿、华家沟煤矿、孔家沟煤矿、刘家沟联合煤矿、牛郎沟煤矿、平桥煤矿和观音煤矿，矿区规划生产能力为225万吨/年。大竹县规划生产能力总计为390万吨/年。</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矿井开拓方式和规划生产能力见表</w:t>
      </w:r>
      <w:r>
        <w:rPr>
          <w:rFonts w:hint="default" w:ascii="Times New Roman" w:hAnsi="Times New Roman" w:cs="Times New Roman"/>
          <w:color w:val="auto"/>
          <w:sz w:val="24"/>
          <w:szCs w:val="24"/>
          <w:highlight w:val="none"/>
          <w:lang w:val="en-US" w:eastAsia="zh-CN"/>
        </w:rPr>
        <w:t>2.1.5</w:t>
      </w:r>
      <w:r>
        <w:rPr>
          <w:rFonts w:hint="default" w:ascii="Times New Roman" w:hAnsi="Times New Roman" w:cs="Times New Roman"/>
          <w:color w:val="auto"/>
          <w:sz w:val="24"/>
          <w:szCs w:val="24"/>
          <w:highlight w:val="none"/>
        </w:rPr>
        <w:t>-1。</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sectPr>
          <w:pgSz w:w="11906" w:h="16838"/>
          <w:pgMar w:top="1440" w:right="1800" w:bottom="1440" w:left="1800" w:header="851" w:footer="992" w:gutter="0"/>
          <w:pgNumType w:fmt="decimal"/>
          <w:cols w:space="720" w:num="1"/>
          <w:docGrid w:type="lines" w:linePitch="312" w:charSpace="0"/>
        </w:sectPr>
      </w:pP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2.1.5</w:t>
      </w:r>
      <w:r>
        <w:rPr>
          <w:rFonts w:hint="default"/>
          <w:color w:val="auto"/>
          <w:highlight w:val="none"/>
        </w:rPr>
        <w:t>-1                        矿井开拓方式及规划生产能力统计表</w:t>
      </w:r>
    </w:p>
    <w:tbl>
      <w:tblPr>
        <w:tblStyle w:val="17"/>
        <w:tblW w:w="0" w:type="auto"/>
        <w:jc w:val="center"/>
        <w:tblLayout w:type="fixed"/>
        <w:tblCellMar>
          <w:top w:w="0" w:type="dxa"/>
          <w:left w:w="108" w:type="dxa"/>
          <w:bottom w:w="0" w:type="dxa"/>
          <w:right w:w="108" w:type="dxa"/>
        </w:tblCellMar>
      </w:tblPr>
      <w:tblGrid>
        <w:gridCol w:w="452"/>
        <w:gridCol w:w="1928"/>
        <w:gridCol w:w="1056"/>
        <w:gridCol w:w="1280"/>
        <w:gridCol w:w="1233"/>
        <w:gridCol w:w="1211"/>
        <w:gridCol w:w="1147"/>
        <w:gridCol w:w="1356"/>
        <w:gridCol w:w="1149"/>
        <w:gridCol w:w="1147"/>
        <w:gridCol w:w="2068"/>
      </w:tblGrid>
      <w:tr>
        <w:tblPrEx>
          <w:tblCellMar>
            <w:top w:w="0" w:type="dxa"/>
            <w:left w:w="108" w:type="dxa"/>
            <w:bottom w:w="0" w:type="dxa"/>
            <w:right w:w="108" w:type="dxa"/>
          </w:tblCellMar>
        </w:tblPrEx>
        <w:trPr>
          <w:trHeight w:val="584" w:hRule="atLeast"/>
          <w:jc w:val="center"/>
        </w:trPr>
        <w:tc>
          <w:tcPr>
            <w:tcW w:w="452"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顺序</w:t>
            </w:r>
          </w:p>
        </w:tc>
        <w:tc>
          <w:tcPr>
            <w:tcW w:w="192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名称</w:t>
            </w:r>
          </w:p>
        </w:tc>
        <w:tc>
          <w:tcPr>
            <w:tcW w:w="233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资源量（万吨）</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规划生产能力（万吨/年）</w:t>
            </w:r>
          </w:p>
        </w:tc>
        <w:tc>
          <w:tcPr>
            <w:tcW w:w="121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服务年限（年）</w:t>
            </w:r>
          </w:p>
        </w:tc>
        <w:tc>
          <w:tcPr>
            <w:tcW w:w="114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开拓方式</w:t>
            </w:r>
          </w:p>
        </w:tc>
        <w:tc>
          <w:tcPr>
            <w:tcW w:w="135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工业场地高程（m）</w:t>
            </w:r>
          </w:p>
        </w:tc>
        <w:tc>
          <w:tcPr>
            <w:tcW w:w="229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水平划分</w:t>
            </w:r>
          </w:p>
        </w:tc>
        <w:tc>
          <w:tcPr>
            <w:tcW w:w="206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备注</w:t>
            </w:r>
          </w:p>
        </w:tc>
      </w:tr>
      <w:tr>
        <w:tblPrEx>
          <w:tblCellMar>
            <w:top w:w="0" w:type="dxa"/>
            <w:left w:w="108" w:type="dxa"/>
            <w:bottom w:w="0" w:type="dxa"/>
            <w:right w:w="108" w:type="dxa"/>
          </w:tblCellMar>
        </w:tblPrEx>
        <w:trPr>
          <w:trHeight w:val="270" w:hRule="atLeast"/>
          <w:jc w:val="center"/>
        </w:trPr>
        <w:tc>
          <w:tcPr>
            <w:tcW w:w="452"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92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资源量</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可采储量</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21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35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第一水平</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水平数量</w:t>
            </w:r>
          </w:p>
        </w:tc>
        <w:tc>
          <w:tcPr>
            <w:tcW w:w="206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270" w:hRule="atLeast"/>
          <w:jc w:val="center"/>
        </w:trPr>
        <w:tc>
          <w:tcPr>
            <w:tcW w:w="238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华蓥山北段矿区</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2410.62</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1952.29</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165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柏林煤矿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881.72</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749.46</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12.8</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+348</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+350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生产矿井</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田坝煤矿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274.70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234.0</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+375</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+224</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独立升级改造</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黑滩煤矿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355.40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269.53</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6.9</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平硐斜井</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+393</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+200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独立升级改造</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大河沟煤矿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323.84</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259.07</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13.3</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+467</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保留矿井</w:t>
            </w:r>
          </w:p>
        </w:tc>
      </w:tr>
      <w:tr>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大硐坪煤矿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204.66</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163.73</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8.4</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+463</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+463</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保留矿井</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新桥红星煤矿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370.30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276.5</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7.1</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+377</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兼并重组</w:t>
            </w:r>
          </w:p>
        </w:tc>
      </w:tr>
      <w:tr>
        <w:tblPrEx>
          <w:tblCellMar>
            <w:top w:w="0" w:type="dxa"/>
            <w:left w:w="108" w:type="dxa"/>
            <w:bottom w:w="0" w:type="dxa"/>
            <w:right w:w="108" w:type="dxa"/>
          </w:tblCellMar>
        </w:tblPrEx>
        <w:trPr>
          <w:trHeight w:val="270" w:hRule="atLeast"/>
          <w:jc w:val="center"/>
        </w:trPr>
        <w:tc>
          <w:tcPr>
            <w:tcW w:w="238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中山明月峡矿区</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2695.78</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2161.11</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225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堡子煤矿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277.20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221.76</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5.7</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+426</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生产矿井</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荣华煤矿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360.10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306.09</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7.8</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+367</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+83</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独立升级改造</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华家沟煤矿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431.30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283.27</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7.3</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+432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+262</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独立升级改造</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孔家沟煤矿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470.80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371.52</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9.5</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+493</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+240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兼并重组</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刘家沟联合煤矿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392.83</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333.91</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8.6</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+456</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+645</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独立升级改造</w:t>
            </w:r>
          </w:p>
        </w:tc>
      </w:tr>
      <w:tr>
        <w:tblPrEx>
          <w:tblCellMar>
            <w:top w:w="0" w:type="dxa"/>
            <w:left w:w="108" w:type="dxa"/>
            <w:bottom w:w="0" w:type="dxa"/>
            <w:right w:w="108" w:type="dxa"/>
          </w:tblCellMar>
        </w:tblPrEx>
        <w:trPr>
          <w:trHeight w:val="316"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牛郎沟煤矿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298.0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252.05</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6.5</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平硐斜井</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+414</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+245</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兼并重组</w:t>
            </w:r>
          </w:p>
        </w:tc>
      </w:tr>
      <w:tr>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平桥煤矿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325.40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270.58</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7.0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斜井平硐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+410</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兼并重组</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8</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观音煤矿</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140.15</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121.93</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6.3</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平硐</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+511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+200</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保留矿井</w:t>
            </w:r>
          </w:p>
        </w:tc>
      </w:tr>
      <w:tr>
        <w:tblPrEx>
          <w:tblCellMar>
            <w:top w:w="0" w:type="dxa"/>
            <w:left w:w="108" w:type="dxa"/>
            <w:bottom w:w="0" w:type="dxa"/>
            <w:right w:w="108" w:type="dxa"/>
          </w:tblCellMar>
        </w:tblPrEx>
        <w:trPr>
          <w:trHeight w:val="270" w:hRule="atLeast"/>
          <w:jc w:val="center"/>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合计</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5106.40</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4113.40</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390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color w:val="auto"/>
                <w:highlight w:val="none"/>
              </w:rPr>
            </w:pP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7"/>
        <w:bidi w:val="0"/>
        <w:rPr>
          <w:rFonts w:hint="default"/>
          <w:color w:val="auto"/>
          <w:highlight w:val="none"/>
          <w:lang w:val="en-US" w:eastAsia="zh-CN"/>
        </w:rPr>
      </w:pPr>
      <w:r>
        <w:rPr>
          <w:rFonts w:hint="default"/>
          <w:color w:val="auto"/>
          <w:highlight w:val="none"/>
          <w:lang w:val="en-US" w:eastAsia="zh-CN"/>
        </w:rPr>
        <w:t>2.1.5.1华蓥山北段矿区</w:t>
      </w:r>
    </w:p>
    <w:p>
      <w:pPr>
        <w:bidi w:val="0"/>
        <w:rPr>
          <w:rFonts w:hint="default"/>
          <w:color w:val="auto"/>
          <w:highlight w:val="none"/>
          <w:lang w:val="en-US" w:eastAsia="zh-CN"/>
        </w:rPr>
      </w:pPr>
      <w:r>
        <w:rPr>
          <w:rFonts w:hint="default"/>
          <w:color w:val="auto"/>
          <w:highlight w:val="none"/>
          <w:lang w:val="en-US" w:eastAsia="zh-CN"/>
        </w:rPr>
        <w:t>1、柏林煤矿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川川煤华荣能源有限责任公司柏林煤矿为四川煤炭产业集团下的达竹煤电（集团）有限责任公司所属煤矿，具有独立采矿权人，是以生产原煤为主的国有煤炭企业。柏林煤矿位于大竹县县城北4°方向，直距约25km，距达州市城区70km，行政区划属大竹县柏林镇、清河镇所辖。</w:t>
      </w:r>
    </w:p>
    <w:p>
      <w:pPr>
        <w:topLinePunct/>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为合法的生产矿井，本次规划柏林煤矿开拓方式和工业场地布置维持原有不变，即为斜井开拓，分四个水平（+350m、+230m、±0m、-200m），矿井出地表的井筒有6条，即主斜井、副斜井、进风斜井、行人斜井、风井、+350m平硐。目前矿井开采-200m水平，-200m水平划分为5个采区，分别-241、-242、-243、-244、-245采区。</w:t>
      </w:r>
    </w:p>
    <w:p>
      <w:pPr>
        <w:adjustRightInd w:val="0"/>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矿井属合法生产矿井，其规划生产能力不变，即为核定生产能力45万吨/年，矿井保有资源量为881.72万吨，设计可采资源量749.46万吨，剩余服务年限为12.8年。</w:t>
      </w:r>
    </w:p>
    <w:p>
      <w:pPr>
        <w:bidi w:val="0"/>
        <w:rPr>
          <w:rFonts w:hint="default"/>
          <w:color w:val="auto"/>
          <w:highlight w:val="none"/>
          <w:lang w:val="en-US" w:eastAsia="zh-CN"/>
        </w:rPr>
      </w:pPr>
      <w:r>
        <w:rPr>
          <w:rFonts w:hint="default"/>
          <w:color w:val="auto"/>
          <w:highlight w:val="none"/>
          <w:lang w:val="en-US" w:eastAsia="zh-CN"/>
        </w:rPr>
        <w:t>2、田坝煤矿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大竹县红旗煤业有限责任公司田坝煤矿位于大竹县县城352°方向、直距约15km，行政区划属大竹县田坝乡所辖。</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开拓方式、井筒布置、水平划分维持现状，即矿井采用斜井开拓，共布置3个井筒开拓全井田，分别为主斜井、副斜井和回风平硐。矿井划分一个水平(+224m水平)，南翼划分为一采区，北翼划分为二、三采区，共划分为3个采区，采用上下山开采。</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根据矿井资源条件及开采技术条件，规划矿井进行独立升级改造，升级改造后生产能力为30万吨/年，田坝煤矿保有资源量274.70万吨，设计可采资源量234.0万吨，矿井服务年限为6.0年。</w:t>
      </w:r>
    </w:p>
    <w:p>
      <w:pPr>
        <w:bidi w:val="0"/>
        <w:rPr>
          <w:rFonts w:hint="default"/>
          <w:color w:val="auto"/>
          <w:highlight w:val="none"/>
          <w:lang w:val="en-US" w:eastAsia="zh-CN"/>
        </w:rPr>
      </w:pPr>
      <w:r>
        <w:rPr>
          <w:rFonts w:hint="default"/>
          <w:color w:val="auto"/>
          <w:highlight w:val="none"/>
          <w:lang w:val="en-US" w:eastAsia="zh-CN"/>
        </w:rPr>
        <w:t>3、黑滩煤矿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达州市黑滩煤业有限公司黑滩煤矿位于大竹县城343°方向、直距10km处，行政区划属大竹县中华乡白雀村。</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根据矿井资源条件及开采技术条件，规划矿井进行独立升级改造，升级改造后生产能力为30万吨/年，规划开采标高至-60m，保有资源量355.40万吨，设计可采资源量269.53万吨，矿井服务年限为6.9年。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矿井采用平硐斜井开拓，布置3条井筒，即主平硐、材料斜井、回风平硐。划分为1个水平，即+200m水平，为上、下山开采，共划分为2个采区，一采区为上山采区、二采区为下山采区。</w:t>
      </w:r>
    </w:p>
    <w:p>
      <w:pPr>
        <w:bidi w:val="0"/>
        <w:rPr>
          <w:rFonts w:hint="default"/>
          <w:color w:val="auto"/>
          <w:highlight w:val="none"/>
          <w:lang w:val="en-US" w:eastAsia="zh-CN"/>
        </w:rPr>
      </w:pPr>
      <w:r>
        <w:rPr>
          <w:rFonts w:hint="default"/>
          <w:color w:val="auto"/>
          <w:highlight w:val="none"/>
          <w:lang w:val="en-US" w:eastAsia="zh-CN"/>
        </w:rPr>
        <w:t>4、大河沟煤矿</w:t>
      </w:r>
    </w:p>
    <w:p>
      <w:pPr>
        <w:adjustRightInd w:val="0"/>
        <w:snapToGrid w:val="0"/>
        <w:spacing w:line="360" w:lineRule="auto"/>
        <w:ind w:firstLine="464" w:firstLineChars="200"/>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大竹县清水大河沟煤矿</w:t>
      </w:r>
      <w:r>
        <w:rPr>
          <w:rFonts w:hint="default" w:ascii="Times New Roman" w:hAnsi="Times New Roman" w:cs="Times New Roman"/>
          <w:color w:val="auto"/>
          <w:sz w:val="24"/>
          <w:szCs w:val="24"/>
          <w:highlight w:val="none"/>
        </w:rPr>
        <w:t>位于</w:t>
      </w:r>
      <w:r>
        <w:rPr>
          <w:rFonts w:hint="default" w:ascii="Times New Roman" w:hAnsi="Times New Roman" w:cs="Times New Roman"/>
          <w:color w:val="auto"/>
          <w:spacing w:val="-4"/>
          <w:sz w:val="24"/>
          <w:szCs w:val="24"/>
          <w:highlight w:val="none"/>
        </w:rPr>
        <w:t>大竹县县城255°方向，直距约13km，行政区划隶属大竹县民主乡白云村五组。</w:t>
      </w:r>
    </w:p>
    <w:p>
      <w:pPr>
        <w:adjustRightInd w:val="0"/>
        <w:snapToGrid w:val="0"/>
        <w:spacing w:line="360" w:lineRule="auto"/>
        <w:ind w:firstLine="46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矿井采用斜井+平硐综合开拓方式，投产时共布置+467m主斜井、+467m副平硐、+535m</w:t>
      </w:r>
      <w:r>
        <w:rPr>
          <w:rFonts w:hint="default" w:ascii="Times New Roman" w:hAnsi="Times New Roman" w:cs="Times New Roman"/>
          <w:color w:val="auto"/>
          <w:sz w:val="24"/>
          <w:szCs w:val="24"/>
          <w:highlight w:val="none"/>
        </w:rPr>
        <w:t>回风平硐共3个井筒，后期开采一采区时，利用原设计+620m回风平硐作为辅助进风井筒使用。全矿划分为+330m一个水平，另设+470m辅助水平。矿井以+470m辅助水平为界划分为2个采区，+470m辅助水平以上为一采区，+470m辅助水平以下为二采区。</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根据矿井资源条件及开采技术条件，规划矿井生产能力不变，即生产能力为15万吨/年，矿井保有资源量323.84万吨，设计可采资源量259.07万吨，则矿井服务年限为13.3年。</w:t>
      </w:r>
    </w:p>
    <w:p>
      <w:pPr>
        <w:bidi w:val="0"/>
        <w:rPr>
          <w:rFonts w:hint="default"/>
          <w:color w:val="auto"/>
          <w:highlight w:val="none"/>
          <w:lang w:val="en-US" w:eastAsia="zh-CN"/>
        </w:rPr>
      </w:pPr>
      <w:r>
        <w:rPr>
          <w:rFonts w:hint="default"/>
          <w:color w:val="auto"/>
          <w:highlight w:val="none"/>
          <w:lang w:val="en-US" w:eastAsia="zh-CN"/>
        </w:rPr>
        <w:t>5、大硐坪煤矿</w:t>
      </w:r>
    </w:p>
    <w:p>
      <w:pPr>
        <w:snapToGrid w:val="0"/>
        <w:spacing w:line="360" w:lineRule="auto"/>
        <w:ind w:firstLine="46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大竹县大硐坪煤矿</w:t>
      </w:r>
      <w:r>
        <w:rPr>
          <w:rFonts w:hint="default" w:ascii="Times New Roman" w:hAnsi="Times New Roman" w:cs="Times New Roman"/>
          <w:color w:val="auto"/>
          <w:sz w:val="24"/>
          <w:szCs w:val="24"/>
          <w:highlight w:val="none"/>
        </w:rPr>
        <w:t>位于大竹县城225°方向直线距离13.1km行政区划属大竹县清水镇何家村。</w:t>
      </w:r>
    </w:p>
    <w:p>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平硐开拓，布置有3条出地表井筒，即+463m主平硐（初期）、+362m主平硐（后期）和+534m回风平硐。划分为+463m与+362m两个水平。采用各煤层联合布置。全矿共分为4个采区，其中一水平划分为2个采区，即一、二采区；二水平也划分为2采区，即三、四采区，其中三采区为上山开采，四采区为下山开采。</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pacing w:val="-4"/>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根据矿井资源条件及开采技术条件，规划矿井生产能力不变，即生产能力为15万吨/年，矿井保有资源量204.66万吨，设计可采资源量163.73万吨，则矿井服务年限为8.4年。</w:t>
      </w:r>
    </w:p>
    <w:p>
      <w:pPr>
        <w:bidi w:val="0"/>
        <w:rPr>
          <w:rFonts w:hint="default"/>
          <w:color w:val="auto"/>
          <w:highlight w:val="none"/>
          <w:lang w:val="en-US" w:eastAsia="zh-CN"/>
        </w:rPr>
      </w:pPr>
      <w:r>
        <w:rPr>
          <w:rFonts w:hint="default"/>
          <w:color w:val="auto"/>
          <w:highlight w:val="none"/>
          <w:lang w:val="en-US" w:eastAsia="zh-CN"/>
        </w:rPr>
        <w:t>6、新桥红星煤矿</w:t>
      </w:r>
    </w:p>
    <w:p>
      <w:pPr>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大竹县新桥红星煤矿位于大竹县城210°方向，直距约12.5km，行政区划隶属大竹县庙坝镇所辖。</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根据矿井资源条件及开采技术条件，及2017年省煤矿兼并重组办、省煤炭化解过剩产能办《关于大竹县新桥红星煤矿实施减量重组的批复》（川煤重组办函〔2017〕36号）文批复重组方案。即以红星煤矿为主体矿，实施异地减量化兼并重组达州市宣汉巫山峡煤矿。</w:t>
      </w:r>
      <w:r>
        <w:rPr>
          <w:rFonts w:hint="default" w:ascii="Times New Roman" w:hAnsi="Times New Roman" w:cs="Times New Roman"/>
          <w:color w:val="auto"/>
          <w:sz w:val="24"/>
          <w:szCs w:val="24"/>
          <w:highlight w:val="none"/>
          <w:u w:val="single"/>
        </w:rPr>
        <w:t>规划矿井进行兼并重组升级改造，升级改造后生产能力为30万吨/年，矿井保有资源量370.30万吨，设计可采资源量276.50万吨，矿井服务年限为7.1年。</w:t>
      </w:r>
    </w:p>
    <w:p>
      <w:pPr>
        <w:adjustRightInd w:val="0"/>
        <w:snapToGrid w:val="0"/>
        <w:spacing w:line="360" w:lineRule="auto"/>
        <w:ind w:firstLine="46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矿井采用斜井开拓方式，共布置3个井筒，即+377m主斜井、+380m副斜井和+381m回风平硐。矿井划分为1个水平开采，水平标高±0m，另增设+160m辅助水平。主斜井、副斜井落平至+160m后，布置、副暗斜井至±0m水平，采用上下山开采。全井田划分为5个采区，中部以±0水平标高为界划分为一、二采区，均为双翼采区；南翼沿倾斜方向以+160m辅助水平、±0水平标高为界划分为三、四、五采区，均为单翼采区。</w:t>
      </w:r>
    </w:p>
    <w:p>
      <w:pPr>
        <w:pStyle w:val="7"/>
        <w:bidi w:val="0"/>
        <w:rPr>
          <w:rFonts w:hint="default"/>
          <w:color w:val="auto"/>
          <w:highlight w:val="none"/>
          <w:lang w:val="en-US" w:eastAsia="zh-CN"/>
        </w:rPr>
      </w:pPr>
      <w:r>
        <w:rPr>
          <w:rFonts w:hint="default"/>
          <w:color w:val="auto"/>
          <w:highlight w:val="none"/>
          <w:lang w:val="en-US" w:eastAsia="zh-CN"/>
        </w:rPr>
        <w:t>2.1.5.2 中山明月峡矿区</w:t>
      </w:r>
    </w:p>
    <w:p>
      <w:pPr>
        <w:bidi w:val="0"/>
        <w:rPr>
          <w:rFonts w:hint="default"/>
          <w:color w:val="auto"/>
          <w:highlight w:val="none"/>
          <w:lang w:val="en-US" w:eastAsia="zh-CN"/>
        </w:rPr>
      </w:pPr>
      <w:r>
        <w:rPr>
          <w:rFonts w:hint="default"/>
          <w:color w:val="auto"/>
          <w:highlight w:val="none"/>
          <w:lang w:val="en-US" w:eastAsia="zh-CN"/>
        </w:rPr>
        <w:t>1、堡子煤矿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大竹县堡子矿业有限责任公司堡子煤矿位于大竹县城117°方向、直距约9km处，行政区划属于大竹县乌木镇。</w:t>
      </w:r>
    </w:p>
    <w:p>
      <w:pPr>
        <w:pStyle w:val="16"/>
        <w:widowControl w:val="0"/>
        <w:adjustRightInd w:val="0"/>
        <w:snapToGrid w:val="0"/>
        <w:spacing w:before="0" w:beforeAutospacing="0" w:after="0" w:afterAutospacing="0" w:line="360" w:lineRule="auto"/>
        <w:ind w:firstLine="464"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pacing w:val="-4"/>
          <w:sz w:val="24"/>
          <w:szCs w:val="24"/>
          <w:highlight w:val="none"/>
          <w:u w:val="single"/>
        </w:rPr>
        <w:t>矿井</w:t>
      </w:r>
      <w:r>
        <w:rPr>
          <w:rFonts w:hint="default" w:ascii="Times New Roman" w:hAnsi="Times New Roman" w:cs="Times New Roman"/>
          <w:color w:val="auto"/>
          <w:sz w:val="24"/>
          <w:szCs w:val="24"/>
          <w:highlight w:val="none"/>
          <w:u w:val="single"/>
        </w:rPr>
        <w:t>属在生产</w:t>
      </w:r>
      <w:r>
        <w:rPr>
          <w:rFonts w:hint="default" w:ascii="Times New Roman" w:hAnsi="Times New Roman" w:cs="Times New Roman"/>
          <w:color w:val="auto"/>
          <w:spacing w:val="-4"/>
          <w:sz w:val="24"/>
          <w:szCs w:val="24"/>
          <w:highlight w:val="none"/>
          <w:u w:val="single"/>
        </w:rPr>
        <w:t>矿井，</w:t>
      </w:r>
      <w:r>
        <w:rPr>
          <w:rFonts w:hint="default" w:ascii="Times New Roman" w:hAnsi="Times New Roman" w:cs="Times New Roman"/>
          <w:color w:val="auto"/>
          <w:sz w:val="24"/>
          <w:szCs w:val="24"/>
          <w:highlight w:val="none"/>
          <w:u w:val="single"/>
        </w:rPr>
        <w:t>规划生产能力不变，即生产能力为30万吨/年，矿井保有资源量277.20万吨，设计可采资源量221.76万吨，矿井服务年限为5.7年。</w:t>
      </w:r>
    </w:p>
    <w:p>
      <w:pPr>
        <w:adjustRightInd w:val="0"/>
        <w:snapToGrid w:val="0"/>
        <w:spacing w:line="360" w:lineRule="auto"/>
        <w:ind w:firstLine="46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矿井采用斜井+平硐综合开拓，布置3条出地表的井筒，即+426m主斜井、+426m副平硐和南回风平硐。根据《四川省大竹县堡子井田堡子煤矿资源储量核实报告》，在拟设矿权范围内仅剩+150m～-30m标高的资源，本规划本矿划分为1个水平，即-30m水平，划分为1个采区。</w:t>
      </w:r>
    </w:p>
    <w:p>
      <w:pPr>
        <w:bidi w:val="0"/>
        <w:rPr>
          <w:rFonts w:hint="default"/>
          <w:color w:val="auto"/>
          <w:highlight w:val="none"/>
          <w:lang w:val="en-US" w:eastAsia="zh-CN"/>
        </w:rPr>
      </w:pPr>
      <w:r>
        <w:rPr>
          <w:rFonts w:hint="default"/>
          <w:color w:val="auto"/>
          <w:highlight w:val="none"/>
          <w:lang w:val="en-US" w:eastAsia="zh-CN"/>
        </w:rPr>
        <w:t>2、荣华煤矿</w:t>
      </w:r>
    </w:p>
    <w:p>
      <w:pPr>
        <w:adjustRightInd w:val="0"/>
        <w:snapToGrid w:val="0"/>
        <w:spacing w:line="360" w:lineRule="auto"/>
        <w:ind w:firstLine="464" w:firstLineChars="200"/>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大竹县荣华煤矿位于大竹县城区175°方向，直距约14km。行政区划属于大竹县高穴镇荣华村。</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根据矿井资源条件及开采技术条件，规划矿井进行独立升级改造，升级改造后生产能力为30万吨/年，矿井保有资源量360.10万吨，设计可采资源量306.09万吨，矿井服务年限为7.8年。</w:t>
      </w:r>
    </w:p>
    <w:p>
      <w:pPr>
        <w:adjustRightInd w:val="0"/>
        <w:snapToGrid w:val="0"/>
        <w:spacing w:line="360" w:lineRule="auto"/>
        <w:ind w:firstLine="464" w:firstLineChars="200"/>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矿井采用斜井开拓方式，布置3条出地表的井筒，即+362m主斜井、+367m副平硐和+425m回风平硐。共划分为1个水平，即+83m水平（上、下山开采）。划分为2个采区，上山采区为一采区、下山采区为二采区。</w:t>
      </w:r>
    </w:p>
    <w:p>
      <w:pPr>
        <w:bidi w:val="0"/>
        <w:rPr>
          <w:rFonts w:hint="default"/>
          <w:color w:val="auto"/>
          <w:highlight w:val="none"/>
          <w:lang w:val="en-US" w:eastAsia="zh-CN"/>
        </w:rPr>
      </w:pPr>
      <w:r>
        <w:rPr>
          <w:rFonts w:hint="default"/>
          <w:color w:val="auto"/>
          <w:highlight w:val="none"/>
          <w:lang w:val="en-US" w:eastAsia="zh-CN"/>
        </w:rPr>
        <w:t>3、华家沟煤矿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大竹县永兴矿业有限责任公司华家沟煤矿位于大竹县城62°方向、直线距离约24km，行政区划隶属大竹县永胜乡光明村四组所辖。</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根据矿井资源条件及开采技术条件，规划矿井进行独立升级改造，升级改造后生产能力为30万吨/年，矿井保有资源量431.30万吨，设计可采资源量283.27万吨，矿井服务年限为7.3年。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矿井采用斜井+平硐综合开拓方式，布置3条出地表的井筒，即+455m主斜井、+432m副平硐和+471m回风斜井。共划分为2个水平，即+262m水平（上山开采）和+100m水平（上下山开采）。其中+262m标高以上的K</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9</w:t>
      </w:r>
      <w:r>
        <w:rPr>
          <w:rFonts w:hint="default" w:ascii="Times New Roman" w:hAnsi="Times New Roman" w:cs="Times New Roman"/>
          <w:color w:val="auto"/>
          <w:sz w:val="24"/>
          <w:szCs w:val="24"/>
          <w:highlight w:val="none"/>
        </w:rPr>
        <w:t>煤层已经采完，拟增设K</w:t>
      </w:r>
      <w:r>
        <w:rPr>
          <w:rFonts w:hint="default" w:ascii="Times New Roman" w:hAnsi="Times New Roman" w:cs="Times New Roman"/>
          <w:color w:val="auto"/>
          <w:sz w:val="24"/>
          <w:szCs w:val="24"/>
          <w:highlight w:val="none"/>
          <w:vertAlign w:val="subscript"/>
        </w:rPr>
        <w:t>7</w:t>
      </w:r>
      <w:r>
        <w:rPr>
          <w:rFonts w:hint="default" w:ascii="Times New Roman" w:hAnsi="Times New Roman" w:cs="Times New Roman"/>
          <w:color w:val="auto"/>
          <w:sz w:val="24"/>
          <w:szCs w:val="24"/>
          <w:highlight w:val="none"/>
        </w:rPr>
        <w:t>煤层，+262m水平以上北翼布置1个13采区开采K</w:t>
      </w:r>
      <w:r>
        <w:rPr>
          <w:rFonts w:hint="default" w:ascii="Times New Roman" w:hAnsi="Times New Roman" w:cs="Times New Roman"/>
          <w:color w:val="auto"/>
          <w:sz w:val="24"/>
          <w:szCs w:val="24"/>
          <w:highlight w:val="none"/>
          <w:vertAlign w:val="subscript"/>
        </w:rPr>
        <w:t>7</w:t>
      </w:r>
      <w:r>
        <w:rPr>
          <w:rFonts w:hint="default" w:ascii="Times New Roman" w:hAnsi="Times New Roman" w:cs="Times New Roman"/>
          <w:color w:val="auto"/>
          <w:sz w:val="24"/>
          <w:szCs w:val="24"/>
          <w:highlight w:val="none"/>
        </w:rPr>
        <w:t>煤层；+100m水平划分3个上山采区和2个下山采区。</w:t>
      </w:r>
    </w:p>
    <w:p>
      <w:pPr>
        <w:bidi w:val="0"/>
        <w:rPr>
          <w:rFonts w:hint="default"/>
          <w:color w:val="auto"/>
          <w:highlight w:val="none"/>
          <w:lang w:val="en-US" w:eastAsia="zh-CN"/>
        </w:rPr>
      </w:pPr>
      <w:r>
        <w:rPr>
          <w:rFonts w:hint="default"/>
          <w:color w:val="auto"/>
          <w:highlight w:val="none"/>
          <w:lang w:val="en-US" w:eastAsia="zh-CN"/>
        </w:rPr>
        <w:t>4、孔家沟煤矿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达州市全新能源发展有限公司孔家沟煤矿位于大竹县城86°方向、直线距离约16km处，行政隶属于大竹县新生乡和石桥铺镇。</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根据矿井资源条件及开采技术条件，规划矿井与石桥铺煤矿(已关闭)及空白区进行兼并重组升级改造，升级改造后生产能力为30万吨/年，矿井保有资源量470.80万吨，设计可采资源量371.52万吨，矿井服务年限9.5年。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斜井+平硐开拓，布置有7个井筒，即+507m主斜井、+493m副斜井、+493m行人平硐、+513m北回风斜井、+421m新庙沟排水平硐、+520m老河沟回风平硐和北回风平硐。全矿划分为2个水平，即+240m水平、+60m水平。全矿井划分为5个采区。</w:t>
      </w:r>
    </w:p>
    <w:p>
      <w:pPr>
        <w:bidi w:val="0"/>
        <w:rPr>
          <w:rFonts w:hint="default"/>
          <w:color w:val="auto"/>
          <w:highlight w:val="none"/>
          <w:lang w:val="en-US" w:eastAsia="zh-CN"/>
        </w:rPr>
      </w:pPr>
      <w:r>
        <w:rPr>
          <w:rFonts w:hint="default"/>
          <w:color w:val="auto"/>
          <w:highlight w:val="none"/>
          <w:lang w:val="en-US" w:eastAsia="zh-CN"/>
        </w:rPr>
        <w:t>5、刘家沟联合煤矿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大竹县双溪乡刘家沟联合煤矿位于大竹县城116°方向、直线距离约14km处。行政区划隶属双溪乡矩光村八社所辖。</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根据矿井资源条件及开采技术条件，规划矿井进行独立升级改造，升级改造后生产能力为30万吨/年，矿井保有资源量392.83万吨，设计可采资源量333.91万吨，矿井服务年限为8.6年。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平硐开拓方式，在矿井中央并列布置有+465m主平硐、+563m辅助进风井平硐、+650m回风平硐。共划分为2个水平开采，即+300m水平、+465m水平，划分为4个采区，其中+465m水平划分为2个采区（一采区、二采区）、+300m水平划分为2个采区（三采区为上山采区、四采区为下山采区）。</w:t>
      </w:r>
    </w:p>
    <w:p>
      <w:pPr>
        <w:bidi w:val="0"/>
        <w:rPr>
          <w:rFonts w:hint="default"/>
          <w:color w:val="auto"/>
          <w:highlight w:val="none"/>
          <w:lang w:val="en-US" w:eastAsia="zh-CN"/>
        </w:rPr>
      </w:pPr>
      <w:r>
        <w:rPr>
          <w:rFonts w:hint="default"/>
          <w:color w:val="auto"/>
          <w:highlight w:val="none"/>
          <w:lang w:val="en-US" w:eastAsia="zh-CN"/>
        </w:rPr>
        <w:t>6、牛郎沟煤矿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大竹县牛郎沟煤业有限公司牛郎沟煤矿位于大竹县 136°方向，直线距离约 25km，行政区划属大竹县周家镇所辖。</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根据矿井资源条件及开采技术条件，规划</w:t>
      </w:r>
      <w:r>
        <w:rPr>
          <w:rFonts w:hint="default" w:ascii="Times New Roman" w:hAnsi="Times New Roman" w:cs="Times New Roman"/>
          <w:color w:val="auto"/>
          <w:sz w:val="24"/>
          <w:szCs w:val="24"/>
          <w:highlight w:val="none"/>
          <w:u w:val="single"/>
        </w:rPr>
        <w:t>以牛郎沟煤矿为主体煤矿对芋子沟煤矿进行兼并重组升级改造。升级改造后生产能力为30万吨/年。矿井保有资源量298.0万吨，设计可采资源量252.05万吨，矿井服务年限为6.5年。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平硐+斜井综合开拓方式，共布置5个井筒，即+414m主斜井、+414m南翼副平硐、+499m南翼回风平硐、+414m北翼副平硐和+481m北翼回风平硐。划分为1个水平开采，即+245m水平。共划分4个采区开采。南翼+414m～+245m为一采区，+245m～+120m为三采区，北翼+414m～+245m为二采区，+245m～+120m为四采区。</w:t>
      </w:r>
    </w:p>
    <w:p>
      <w:pPr>
        <w:bidi w:val="0"/>
        <w:rPr>
          <w:rFonts w:hint="default"/>
          <w:color w:val="auto"/>
          <w:highlight w:val="none"/>
          <w:lang w:val="en-US" w:eastAsia="zh-CN"/>
        </w:rPr>
      </w:pPr>
      <w:r>
        <w:rPr>
          <w:rFonts w:hint="default"/>
          <w:color w:val="auto"/>
          <w:highlight w:val="none"/>
          <w:lang w:val="en-US" w:eastAsia="zh-CN"/>
        </w:rPr>
        <w:t>7、平桥煤矿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大竹县平桥煤业有限公司平桥煤矿位于大竹县城151°方向、直距约20Km，行政区隶属于大竹县中和乡平桥村。</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根据矿井资源条件及开采技术条件，规划</w:t>
      </w:r>
      <w:r>
        <w:rPr>
          <w:rFonts w:hint="default" w:ascii="Times New Roman" w:hAnsi="Times New Roman" w:cs="Times New Roman"/>
          <w:color w:val="auto"/>
          <w:sz w:val="24"/>
          <w:szCs w:val="24"/>
          <w:highlight w:val="none"/>
          <w:u w:val="single"/>
        </w:rPr>
        <w:t>以平桥煤矿为主体煤矿对陈家河煤矿进行兼并重组升级改造。升级改造后生产能力为30万吨/年，矿井保有资源量325.40万吨，设计可采资源量270.58万吨，矿井服务年限为7.0年。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斜井+平硐综合开拓，设计布置6个井筒，其中新建2个井筒+利用现有4个井筒，即+406m主斜井（新建）、+410m副斜井、+410m行人斜井、+425m西回风斜井（新建）、+387m东进风平硐、+410m东回风斜井。全矿划分为±0m一个水平，以整合后的矿井拐点4和拐点9为界，划分为2个采区，以西划分为一采区，以东划分为二采区。</w:t>
      </w:r>
    </w:p>
    <w:p>
      <w:pPr>
        <w:bidi w:val="0"/>
        <w:rPr>
          <w:rFonts w:hint="default"/>
          <w:color w:val="auto"/>
          <w:highlight w:val="none"/>
          <w:lang w:val="en-US" w:eastAsia="zh-CN"/>
        </w:rPr>
      </w:pPr>
      <w:r>
        <w:rPr>
          <w:rFonts w:hint="default"/>
          <w:color w:val="auto"/>
          <w:highlight w:val="none"/>
          <w:lang w:val="en-US" w:eastAsia="zh-CN"/>
        </w:rPr>
        <w:t>8、观音煤矿</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四川神州矿业开发有限公司</w:t>
      </w:r>
      <w:r>
        <w:rPr>
          <w:rFonts w:hint="default" w:ascii="Times New Roman" w:hAnsi="Times New Roman" w:cs="Times New Roman"/>
          <w:color w:val="auto"/>
          <w:spacing w:val="-4"/>
          <w:sz w:val="24"/>
          <w:szCs w:val="24"/>
          <w:highlight w:val="none"/>
        </w:rPr>
        <w:t>观音煤矿位于大竹县城120°方向，直线距离约25km处。行政区划隶属大竹县白坝乡高河村13组所辖。</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根据矿井资源条件及开采技术条件，规划矿井生产能力不变，即生产能力为15万吨/年，矿井保有资源量140.15万吨，设计可采资源量121.93万吨，则矿井服务年限为6.3年。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矿井采用平硐开拓，布置3条出地表井筒，即+511m主平硐、+511m副平硐和+562m回风平硐。划分为1个水平，即+200m水平（上下山开采）。共划分5个采区，其中+200m水平上山段3个采区，下山段2个采区。</w:t>
      </w:r>
    </w:p>
    <w:p>
      <w:pPr>
        <w:pStyle w:val="6"/>
        <w:bidi w:val="0"/>
        <w:rPr>
          <w:rFonts w:hint="default"/>
          <w:color w:val="auto"/>
          <w:highlight w:val="none"/>
          <w:lang w:val="en-US" w:eastAsia="zh-CN"/>
        </w:rPr>
      </w:pPr>
      <w:bookmarkStart w:id="111" w:name="_Toc6515"/>
      <w:bookmarkStart w:id="112" w:name="_Toc7631"/>
      <w:r>
        <w:rPr>
          <w:rFonts w:hint="default"/>
          <w:color w:val="auto"/>
          <w:highlight w:val="none"/>
          <w:lang w:val="en-US" w:eastAsia="zh-CN"/>
        </w:rPr>
        <w:t>2.1.6 矿区勘查规划</w:t>
      </w:r>
      <w:bookmarkEnd w:id="111"/>
      <w:bookmarkEnd w:id="112"/>
    </w:p>
    <w:p>
      <w:pPr>
        <w:pStyle w:val="7"/>
        <w:bidi w:val="0"/>
        <w:rPr>
          <w:rFonts w:hint="default"/>
          <w:color w:val="auto"/>
          <w:highlight w:val="none"/>
          <w:lang w:val="en-US" w:eastAsia="zh-CN"/>
        </w:rPr>
      </w:pPr>
      <w:r>
        <w:rPr>
          <w:rFonts w:hint="default"/>
          <w:color w:val="auto"/>
          <w:highlight w:val="none"/>
          <w:lang w:val="en-US" w:eastAsia="zh-CN"/>
        </w:rPr>
        <w:t>2.1.6.1 现有勘查</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iCs/>
          <w:color w:val="auto"/>
          <w:sz w:val="24"/>
          <w:szCs w:val="24"/>
          <w:highlight w:val="none"/>
        </w:rPr>
        <w:t>大竹县</w:t>
      </w:r>
      <w:r>
        <w:rPr>
          <w:rFonts w:hint="default" w:ascii="Times New Roman" w:hAnsi="Times New Roman" w:cs="Times New Roman"/>
          <w:color w:val="auto"/>
          <w:kern w:val="2"/>
          <w:sz w:val="24"/>
          <w:szCs w:val="24"/>
          <w:highlight w:val="none"/>
        </w:rPr>
        <w:t>现设置有</w:t>
      </w:r>
      <w:r>
        <w:rPr>
          <w:rFonts w:hint="default" w:ascii="Times New Roman" w:hAnsi="Times New Roman" w:cs="Times New Roman"/>
          <w:color w:val="auto"/>
          <w:sz w:val="24"/>
          <w:szCs w:val="24"/>
          <w:highlight w:val="none"/>
        </w:rPr>
        <w:t>探矿权</w:t>
      </w:r>
      <w:r>
        <w:rPr>
          <w:rFonts w:hint="default" w:ascii="Times New Roman" w:hAnsi="Times New Roman" w:cs="Times New Roman"/>
          <w:iCs/>
          <w:color w:val="auto"/>
          <w:sz w:val="24"/>
          <w:szCs w:val="24"/>
          <w:highlight w:val="none"/>
        </w:rPr>
        <w:t>1</w:t>
      </w:r>
      <w:r>
        <w:rPr>
          <w:rFonts w:hint="default" w:ascii="Times New Roman" w:hAnsi="Times New Roman" w:cs="Times New Roman"/>
          <w:color w:val="auto"/>
          <w:kern w:val="2"/>
          <w:sz w:val="24"/>
          <w:szCs w:val="24"/>
          <w:highlight w:val="none"/>
        </w:rPr>
        <w:t>个，即中山明月峡矿区设置的四川省</w:t>
      </w:r>
      <w:r>
        <w:rPr>
          <w:rFonts w:hint="default" w:ascii="Times New Roman" w:hAnsi="Times New Roman" w:cs="Times New Roman"/>
          <w:iCs/>
          <w:color w:val="auto"/>
          <w:sz w:val="24"/>
          <w:szCs w:val="24"/>
          <w:highlight w:val="none"/>
        </w:rPr>
        <w:t>大竹县城门洞矿段煤炭</w:t>
      </w:r>
      <w:r>
        <w:rPr>
          <w:rFonts w:hint="default" w:ascii="Times New Roman" w:hAnsi="Times New Roman" w:cs="Times New Roman"/>
          <w:color w:val="auto"/>
          <w:kern w:val="2"/>
          <w:sz w:val="24"/>
          <w:szCs w:val="24"/>
          <w:highlight w:val="none"/>
        </w:rPr>
        <w:t>详查，勘查面积</w:t>
      </w:r>
      <w:r>
        <w:rPr>
          <w:rFonts w:hint="default" w:ascii="Times New Roman" w:hAnsi="Times New Roman" w:cs="Times New Roman"/>
          <w:iCs/>
          <w:color w:val="auto"/>
          <w:sz w:val="24"/>
          <w:szCs w:val="24"/>
          <w:highlight w:val="none"/>
        </w:rPr>
        <w:t>18.79</w:t>
      </w:r>
      <w:r>
        <w:rPr>
          <w:rFonts w:hint="default" w:ascii="Times New Roman" w:hAnsi="Times New Roman" w:cs="Times New Roman"/>
          <w:color w:val="auto"/>
          <w:kern w:val="2"/>
          <w:sz w:val="24"/>
          <w:szCs w:val="24"/>
          <w:highlight w:val="none"/>
        </w:rPr>
        <w:t>km</w:t>
      </w:r>
      <w:r>
        <w:rPr>
          <w:rFonts w:hint="default" w:ascii="Times New Roman" w:hAnsi="Times New Roman" w:cs="Times New Roman"/>
          <w:color w:val="auto"/>
          <w:kern w:val="2"/>
          <w:sz w:val="24"/>
          <w:szCs w:val="24"/>
          <w:highlight w:val="none"/>
          <w:vertAlign w:val="superscript"/>
        </w:rPr>
        <w:t>2</w:t>
      </w:r>
      <w:r>
        <w:rPr>
          <w:rFonts w:hint="default" w:ascii="Times New Roman" w:hAnsi="Times New Roman" w:cs="Times New Roman"/>
          <w:color w:val="auto"/>
          <w:kern w:val="2"/>
          <w:sz w:val="24"/>
          <w:szCs w:val="24"/>
          <w:highlight w:val="none"/>
        </w:rPr>
        <w:t>，勘查许可证有效期为2019年</w:t>
      </w:r>
      <w:r>
        <w:rPr>
          <w:rFonts w:hint="default" w:ascii="Times New Roman" w:hAnsi="Times New Roman" w:cs="Times New Roman"/>
          <w:iCs/>
          <w:color w:val="auto"/>
          <w:sz w:val="24"/>
          <w:szCs w:val="24"/>
          <w:highlight w:val="none"/>
        </w:rPr>
        <w:t>8</w:t>
      </w:r>
      <w:r>
        <w:rPr>
          <w:rFonts w:hint="default" w:ascii="Times New Roman" w:hAnsi="Times New Roman" w:cs="Times New Roman"/>
          <w:color w:val="auto"/>
          <w:kern w:val="2"/>
          <w:sz w:val="24"/>
          <w:szCs w:val="24"/>
          <w:highlight w:val="none"/>
        </w:rPr>
        <w:t>月</w:t>
      </w:r>
      <w:r>
        <w:rPr>
          <w:rFonts w:hint="default" w:ascii="Times New Roman" w:hAnsi="Times New Roman" w:cs="Times New Roman"/>
          <w:iCs/>
          <w:color w:val="auto"/>
          <w:sz w:val="24"/>
          <w:szCs w:val="24"/>
          <w:highlight w:val="none"/>
        </w:rPr>
        <w:t>22</w:t>
      </w:r>
      <w:r>
        <w:rPr>
          <w:rFonts w:hint="default" w:ascii="Times New Roman" w:hAnsi="Times New Roman" w:cs="Times New Roman"/>
          <w:color w:val="auto"/>
          <w:kern w:val="2"/>
          <w:sz w:val="24"/>
          <w:szCs w:val="24"/>
          <w:highlight w:val="none"/>
        </w:rPr>
        <w:t>日至2021年</w:t>
      </w:r>
      <w:r>
        <w:rPr>
          <w:rFonts w:hint="default" w:ascii="Times New Roman" w:hAnsi="Times New Roman" w:cs="Times New Roman"/>
          <w:iCs/>
          <w:color w:val="auto"/>
          <w:sz w:val="24"/>
          <w:szCs w:val="24"/>
          <w:highlight w:val="none"/>
        </w:rPr>
        <w:t>8</w:t>
      </w:r>
      <w:r>
        <w:rPr>
          <w:rFonts w:hint="default" w:ascii="Times New Roman" w:hAnsi="Times New Roman" w:cs="Times New Roman"/>
          <w:color w:val="auto"/>
          <w:kern w:val="2"/>
          <w:sz w:val="24"/>
          <w:szCs w:val="24"/>
          <w:highlight w:val="none"/>
        </w:rPr>
        <w:t>月</w:t>
      </w:r>
      <w:r>
        <w:rPr>
          <w:rFonts w:hint="default" w:ascii="Times New Roman" w:hAnsi="Times New Roman" w:cs="Times New Roman"/>
          <w:iCs/>
          <w:color w:val="auto"/>
          <w:sz w:val="24"/>
          <w:szCs w:val="24"/>
          <w:highlight w:val="none"/>
        </w:rPr>
        <w:t>22</w:t>
      </w:r>
      <w:r>
        <w:rPr>
          <w:rFonts w:hint="default" w:ascii="Times New Roman" w:hAnsi="Times New Roman" w:cs="Times New Roman"/>
          <w:color w:val="auto"/>
          <w:kern w:val="2"/>
          <w:sz w:val="24"/>
          <w:szCs w:val="24"/>
          <w:highlight w:val="none"/>
        </w:rPr>
        <w:t>日，由12个拐点坐标圈定，见表</w:t>
      </w:r>
      <w:r>
        <w:rPr>
          <w:rFonts w:hint="default" w:ascii="Times New Roman" w:hAnsi="Times New Roman" w:cs="Times New Roman"/>
          <w:color w:val="auto"/>
          <w:kern w:val="2"/>
          <w:sz w:val="24"/>
          <w:szCs w:val="24"/>
          <w:highlight w:val="none"/>
          <w:lang w:val="en-US" w:eastAsia="zh-CN"/>
        </w:rPr>
        <w:t>2.1.6-1</w:t>
      </w:r>
      <w:r>
        <w:rPr>
          <w:rFonts w:hint="default" w:ascii="Times New Roman" w:hAnsi="Times New Roman" w:cs="Times New Roman"/>
          <w:color w:val="auto"/>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2.6.1-1</w:t>
      </w:r>
      <w:r>
        <w:rPr>
          <w:rFonts w:hint="default"/>
          <w:color w:val="auto"/>
          <w:highlight w:val="none"/>
        </w:rPr>
        <w:t xml:space="preserve">     城门洞矿段煤炭详查范围拐点坐标表（2000坐标系）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0"/>
        <w:gridCol w:w="1524"/>
        <w:gridCol w:w="1667"/>
        <w:gridCol w:w="2148"/>
        <w:gridCol w:w="23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拐点</w:t>
            </w:r>
          </w:p>
        </w:tc>
        <w:tc>
          <w:tcPr>
            <w:tcW w:w="1524" w:type="dxa"/>
            <w:noWrap w:val="0"/>
            <w:vAlign w:val="center"/>
          </w:tcPr>
          <w:p>
            <w:pPr>
              <w:pStyle w:val="22"/>
              <w:bidi w:val="0"/>
              <w:rPr>
                <w:rFonts w:hint="default"/>
                <w:color w:val="auto"/>
                <w:highlight w:val="none"/>
              </w:rPr>
            </w:pPr>
            <w:r>
              <w:rPr>
                <w:rFonts w:hint="default"/>
                <w:color w:val="auto"/>
                <w:highlight w:val="none"/>
              </w:rPr>
              <w:t>X（m）</w:t>
            </w:r>
          </w:p>
        </w:tc>
        <w:tc>
          <w:tcPr>
            <w:tcW w:w="1667" w:type="dxa"/>
            <w:noWrap w:val="0"/>
            <w:vAlign w:val="center"/>
          </w:tcPr>
          <w:p>
            <w:pPr>
              <w:pStyle w:val="22"/>
              <w:bidi w:val="0"/>
              <w:rPr>
                <w:rFonts w:hint="default"/>
                <w:color w:val="auto"/>
                <w:highlight w:val="none"/>
              </w:rPr>
            </w:pPr>
            <w:r>
              <w:rPr>
                <w:rFonts w:hint="default"/>
                <w:color w:val="auto"/>
                <w:highlight w:val="none"/>
              </w:rPr>
              <w:t>Y（m）</w:t>
            </w:r>
          </w:p>
        </w:tc>
        <w:tc>
          <w:tcPr>
            <w:tcW w:w="2148" w:type="dxa"/>
            <w:noWrap w:val="0"/>
            <w:vAlign w:val="center"/>
          </w:tcPr>
          <w:p>
            <w:pPr>
              <w:pStyle w:val="22"/>
              <w:bidi w:val="0"/>
              <w:rPr>
                <w:rFonts w:hint="default"/>
                <w:color w:val="auto"/>
                <w:highlight w:val="none"/>
              </w:rPr>
            </w:pPr>
            <w:r>
              <w:rPr>
                <w:rFonts w:hint="default"/>
                <w:color w:val="auto"/>
                <w:highlight w:val="none"/>
              </w:rPr>
              <w:t>纬度（°）</w:t>
            </w:r>
          </w:p>
        </w:tc>
        <w:tc>
          <w:tcPr>
            <w:tcW w:w="2323" w:type="dxa"/>
            <w:noWrap w:val="0"/>
            <w:vAlign w:val="center"/>
          </w:tcPr>
          <w:p>
            <w:pPr>
              <w:pStyle w:val="22"/>
              <w:bidi w:val="0"/>
              <w:rPr>
                <w:rFonts w:hint="default"/>
                <w:color w:val="auto"/>
                <w:highlight w:val="none"/>
              </w:rPr>
            </w:pPr>
            <w:r>
              <w:rPr>
                <w:rFonts w:hint="default"/>
                <w:color w:val="auto"/>
                <w:highlight w:val="none"/>
              </w:rPr>
              <w:t>经度（°）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3374434.00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36436552.45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107.2021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30.2918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3378053.66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36439053.24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107.2154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30.3116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3</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3378208.84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36438840.82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107.2146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30.3121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4</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3378546.39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36439056.01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107.2154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30.3132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5</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3378360.12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36439321.58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107.2204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30.3126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6</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3382381.03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36441769.41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107.2335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30.3337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7</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3381636.95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36442698.27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107.2410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30.3313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8</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3380994.08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36441975.18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107.2343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30.3252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9</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3380499.21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36442372.37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107.2358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30.3236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10</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3380128.81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36442530.34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107.2404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30.3224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11</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3379788.64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36442795.11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107.2414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30.3213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12</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3378682.97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36442229.39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107.2353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30.3137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13</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3375306.90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36440104.55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107.2234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14</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3375307.49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36439997.87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107.2230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15</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3375246.49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36439890.86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107.2226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16</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3375247.37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36439730.85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107.2220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30.2945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17</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3375618.26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36439492.90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107.2211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30.2957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18</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3375929.66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36438881.28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107.2148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30.3007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19</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3375409.30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36438318.31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107.2127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30.2950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20</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3374946.31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36438502.36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107.2134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30.2935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21</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3374514.72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36438579.92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107.2137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30.2921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22</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3373925.99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36439216.73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107.2201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30.2902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860" w:type="dxa"/>
            <w:noWrap w:val="0"/>
            <w:vAlign w:val="center"/>
          </w:tcPr>
          <w:p>
            <w:pPr>
              <w:pStyle w:val="22"/>
              <w:bidi w:val="0"/>
              <w:rPr>
                <w:rFonts w:hint="default"/>
                <w:color w:val="auto"/>
                <w:highlight w:val="none"/>
              </w:rPr>
            </w:pPr>
            <w:r>
              <w:rPr>
                <w:rFonts w:hint="default"/>
                <w:color w:val="auto"/>
                <w:highlight w:val="none"/>
              </w:rPr>
              <w:t>23</w:t>
            </w:r>
          </w:p>
        </w:tc>
        <w:tc>
          <w:tcPr>
            <w:tcW w:w="1524" w:type="dxa"/>
            <w:noWrap w:val="0"/>
            <w:vAlign w:val="center"/>
          </w:tcPr>
          <w:p>
            <w:pPr>
              <w:pStyle w:val="22"/>
              <w:bidi w:val="0"/>
              <w:rPr>
                <w:rFonts w:hint="default"/>
                <w:color w:val="auto"/>
                <w:highlight w:val="none"/>
              </w:rPr>
            </w:pPr>
            <w:r>
              <w:rPr>
                <w:rFonts w:hint="default"/>
                <w:color w:val="auto"/>
                <w:highlight w:val="none"/>
              </w:rPr>
              <w:t xml:space="preserve">3373158.81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36438732.29 </w:t>
            </w:r>
          </w:p>
        </w:tc>
        <w:tc>
          <w:tcPr>
            <w:tcW w:w="2148" w:type="dxa"/>
            <w:noWrap w:val="0"/>
            <w:vAlign w:val="center"/>
          </w:tcPr>
          <w:p>
            <w:pPr>
              <w:pStyle w:val="22"/>
              <w:bidi w:val="0"/>
              <w:rPr>
                <w:rFonts w:hint="default"/>
                <w:color w:val="auto"/>
                <w:highlight w:val="none"/>
              </w:rPr>
            </w:pPr>
            <w:r>
              <w:rPr>
                <w:rFonts w:hint="default"/>
                <w:color w:val="auto"/>
                <w:highlight w:val="none"/>
              </w:rPr>
              <w:t xml:space="preserve">107.2143 </w:t>
            </w:r>
          </w:p>
        </w:tc>
        <w:tc>
          <w:tcPr>
            <w:tcW w:w="2323" w:type="dxa"/>
            <w:noWrap w:val="0"/>
            <w:vAlign w:val="center"/>
          </w:tcPr>
          <w:p>
            <w:pPr>
              <w:pStyle w:val="22"/>
              <w:bidi w:val="0"/>
              <w:rPr>
                <w:rFonts w:hint="default"/>
                <w:color w:val="auto"/>
                <w:highlight w:val="none"/>
              </w:rPr>
            </w:pPr>
            <w:r>
              <w:rPr>
                <w:rFonts w:hint="default"/>
                <w:color w:val="auto"/>
                <w:highlight w:val="none"/>
              </w:rPr>
              <w:t xml:space="preserve">30.2837 </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3"/>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2.1.6.2 规划勘查</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kern w:val="2"/>
          <w:sz w:val="24"/>
          <w:szCs w:val="24"/>
          <w:highlight w:val="none"/>
        </w:rPr>
        <w:t>1、华蓥山北段矿区</w:t>
      </w:r>
      <w:r>
        <w:rPr>
          <w:rFonts w:hint="default" w:ascii="Times New Roman" w:hAnsi="Times New Roman" w:cs="Times New Roman"/>
          <w:color w:val="auto"/>
          <w:sz w:val="24"/>
          <w:szCs w:val="24"/>
          <w:highlight w:val="none"/>
        </w:rPr>
        <w:t>柏林煤矿深部无矿权设置，且不能（宜）设置新的采矿权，故规划矿井向其深部勘探。</w:t>
      </w:r>
      <w:r>
        <w:rPr>
          <w:rFonts w:hint="default" w:ascii="Times New Roman" w:hAnsi="Times New Roman" w:cs="Times New Roman"/>
          <w:color w:val="auto"/>
          <w:sz w:val="24"/>
          <w:szCs w:val="24"/>
          <w:highlight w:val="none"/>
          <w:u w:val="single"/>
        </w:rPr>
        <w:t>拟设柏林煤矿延深勘探区位于矿井采矿权</w:t>
      </w:r>
      <w:r>
        <w:rPr>
          <w:rFonts w:hint="default" w:ascii="Times New Roman" w:hAnsi="Times New Roman" w:cs="Times New Roman"/>
          <w:color w:val="auto"/>
          <w:kern w:val="2"/>
          <w:sz w:val="24"/>
          <w:szCs w:val="24"/>
          <w:highlight w:val="none"/>
          <w:u w:val="single"/>
        </w:rPr>
        <w:t>以东</w:t>
      </w:r>
      <w:r>
        <w:rPr>
          <w:rFonts w:hint="default" w:ascii="Times New Roman" w:hAnsi="Times New Roman" w:cs="Times New Roman"/>
          <w:color w:val="auto"/>
          <w:sz w:val="24"/>
          <w:szCs w:val="24"/>
          <w:highlight w:val="none"/>
          <w:u w:val="single"/>
        </w:rPr>
        <w:t>，</w:t>
      </w:r>
      <w:r>
        <w:rPr>
          <w:rFonts w:hint="default" w:ascii="Times New Roman" w:hAnsi="Times New Roman" w:cs="Times New Roman"/>
          <w:color w:val="auto"/>
          <w:kern w:val="2"/>
          <w:sz w:val="24"/>
          <w:szCs w:val="24"/>
          <w:highlight w:val="none"/>
          <w:u w:val="single"/>
        </w:rPr>
        <w:t>勘查区由14个拐点坐标圈闭（见表3-5-1，见图3-5-1），勘查面积</w:t>
      </w:r>
      <w:r>
        <w:rPr>
          <w:rFonts w:hint="default" w:ascii="Times New Roman" w:hAnsi="Times New Roman" w:cs="Times New Roman"/>
          <w:color w:val="auto"/>
          <w:sz w:val="24"/>
          <w:szCs w:val="24"/>
          <w:highlight w:val="none"/>
          <w:u w:val="single"/>
        </w:rPr>
        <w:t>12.52km</w:t>
      </w:r>
      <w:r>
        <w:rPr>
          <w:rFonts w:hint="default" w:ascii="Times New Roman" w:hAnsi="Times New Roman" w:cs="Times New Roman"/>
          <w:color w:val="auto"/>
          <w:sz w:val="24"/>
          <w:szCs w:val="24"/>
          <w:highlight w:val="none"/>
          <w:u w:val="single"/>
          <w:vertAlign w:val="superscript"/>
        </w:rPr>
        <w:t>2</w:t>
      </w:r>
      <w:r>
        <w:rPr>
          <w:rFonts w:hint="default" w:ascii="Times New Roman" w:hAnsi="Times New Roman" w:cs="Times New Roman"/>
          <w:color w:val="auto"/>
          <w:sz w:val="24"/>
          <w:szCs w:val="24"/>
          <w:highlight w:val="none"/>
          <w:u w:val="single"/>
        </w:rPr>
        <w:t>，勘查</w:t>
      </w:r>
      <w:r>
        <w:rPr>
          <w:rFonts w:hint="default" w:ascii="Times New Roman" w:hAnsi="Times New Roman" w:cs="Times New Roman"/>
          <w:color w:val="auto"/>
          <w:kern w:val="2"/>
          <w:sz w:val="24"/>
          <w:szCs w:val="24"/>
          <w:highlight w:val="none"/>
          <w:u w:val="single"/>
        </w:rPr>
        <w:t>标高</w:t>
      </w:r>
      <w:r>
        <w:rPr>
          <w:rFonts w:hint="default" w:ascii="Times New Roman" w:hAnsi="Times New Roman" w:cs="Times New Roman"/>
          <w:color w:val="auto"/>
          <w:sz w:val="24"/>
          <w:szCs w:val="24"/>
          <w:highlight w:val="none"/>
          <w:u w:val="single"/>
        </w:rPr>
        <w:t>：-200m～-600m。</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拟设探矿权范围与自然保护区、森林公园、风景名胜区、大熊猫国家公园、历史文物与名胜古迹保护区域等各类保护区和生态敏感区范围不重叠，也没有国家和地方的重点建设工程项目，不存在对重要查明矿产资源的压覆，且无高压线、铁路、桥梁等重要工业设施。</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2.1.6</w:t>
      </w:r>
      <w:r>
        <w:rPr>
          <w:rFonts w:hint="default"/>
          <w:color w:val="auto"/>
          <w:highlight w:val="none"/>
        </w:rPr>
        <w:t>-1      柏林煤矿延伸探矿权拐点坐标表（2000坐标系）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692"/>
        <w:gridCol w:w="1667"/>
        <w:gridCol w:w="2146"/>
        <w:gridCol w:w="23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拐点</w:t>
            </w:r>
          </w:p>
        </w:tc>
        <w:tc>
          <w:tcPr>
            <w:tcW w:w="1692" w:type="dxa"/>
            <w:noWrap w:val="0"/>
            <w:vAlign w:val="center"/>
          </w:tcPr>
          <w:p>
            <w:pPr>
              <w:pStyle w:val="22"/>
              <w:bidi w:val="0"/>
              <w:rPr>
                <w:rFonts w:hint="default"/>
                <w:color w:val="auto"/>
                <w:highlight w:val="none"/>
              </w:rPr>
            </w:pPr>
            <w:r>
              <w:rPr>
                <w:rFonts w:hint="default"/>
                <w:color w:val="auto"/>
                <w:highlight w:val="none"/>
              </w:rPr>
              <w:t>X（m）</w:t>
            </w:r>
          </w:p>
        </w:tc>
        <w:tc>
          <w:tcPr>
            <w:tcW w:w="1667" w:type="dxa"/>
            <w:noWrap w:val="0"/>
            <w:vAlign w:val="center"/>
          </w:tcPr>
          <w:p>
            <w:pPr>
              <w:pStyle w:val="22"/>
              <w:bidi w:val="0"/>
              <w:rPr>
                <w:rFonts w:hint="default"/>
                <w:color w:val="auto"/>
                <w:highlight w:val="none"/>
              </w:rPr>
            </w:pPr>
            <w:r>
              <w:rPr>
                <w:rFonts w:hint="default"/>
                <w:color w:val="auto"/>
                <w:highlight w:val="none"/>
              </w:rPr>
              <w:t>Y（m）</w:t>
            </w:r>
          </w:p>
        </w:tc>
        <w:tc>
          <w:tcPr>
            <w:tcW w:w="2146" w:type="dxa"/>
            <w:noWrap w:val="0"/>
            <w:vAlign w:val="center"/>
          </w:tcPr>
          <w:p>
            <w:pPr>
              <w:pStyle w:val="22"/>
              <w:bidi w:val="0"/>
              <w:rPr>
                <w:rFonts w:hint="default"/>
                <w:color w:val="auto"/>
                <w:highlight w:val="none"/>
              </w:rPr>
            </w:pPr>
            <w:r>
              <w:rPr>
                <w:rFonts w:hint="default"/>
                <w:color w:val="auto"/>
                <w:highlight w:val="none"/>
              </w:rPr>
              <w:t>纬度（°）</w:t>
            </w:r>
          </w:p>
        </w:tc>
        <w:tc>
          <w:tcPr>
            <w:tcW w:w="2321" w:type="dxa"/>
            <w:noWrap w:val="0"/>
            <w:vAlign w:val="center"/>
          </w:tcPr>
          <w:p>
            <w:pPr>
              <w:pStyle w:val="22"/>
              <w:bidi w:val="0"/>
              <w:rPr>
                <w:rFonts w:hint="default"/>
                <w:color w:val="auto"/>
                <w:highlight w:val="none"/>
              </w:rPr>
            </w:pPr>
            <w:r>
              <w:rPr>
                <w:rFonts w:hint="default"/>
                <w:color w:val="auto"/>
                <w:highlight w:val="none"/>
              </w:rPr>
              <w:t>经度（°）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1</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3419974.00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36423705.00 </w:t>
            </w:r>
          </w:p>
        </w:tc>
        <w:tc>
          <w:tcPr>
            <w:tcW w:w="2146" w:type="dxa"/>
            <w:noWrap w:val="0"/>
            <w:vAlign w:val="center"/>
          </w:tcPr>
          <w:p>
            <w:pPr>
              <w:pStyle w:val="22"/>
              <w:bidi w:val="0"/>
              <w:rPr>
                <w:rFonts w:hint="default"/>
                <w:color w:val="auto"/>
                <w:highlight w:val="none"/>
              </w:rPr>
            </w:pPr>
            <w:r>
              <w:rPr>
                <w:rFonts w:hint="default"/>
                <w:color w:val="auto"/>
                <w:highlight w:val="none"/>
              </w:rPr>
              <w:t>30°53′53.95″</w:t>
            </w:r>
          </w:p>
        </w:tc>
        <w:tc>
          <w:tcPr>
            <w:tcW w:w="2321" w:type="dxa"/>
            <w:noWrap w:val="0"/>
            <w:vAlign w:val="center"/>
          </w:tcPr>
          <w:p>
            <w:pPr>
              <w:pStyle w:val="22"/>
              <w:bidi w:val="0"/>
              <w:rPr>
                <w:rFonts w:hint="default"/>
                <w:color w:val="auto"/>
                <w:highlight w:val="none"/>
              </w:rPr>
            </w:pPr>
            <w:r>
              <w:rPr>
                <w:rFonts w:hint="default"/>
                <w:color w:val="auto"/>
                <w:highlight w:val="none"/>
              </w:rPr>
              <w:t>107°12′07.17″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2</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3422019.00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36424451.00 </w:t>
            </w:r>
          </w:p>
        </w:tc>
        <w:tc>
          <w:tcPr>
            <w:tcW w:w="2146" w:type="dxa"/>
            <w:noWrap w:val="0"/>
            <w:vAlign w:val="center"/>
          </w:tcPr>
          <w:p>
            <w:pPr>
              <w:pStyle w:val="22"/>
              <w:bidi w:val="0"/>
              <w:rPr>
                <w:rFonts w:hint="default"/>
                <w:color w:val="auto"/>
                <w:highlight w:val="none"/>
              </w:rPr>
            </w:pPr>
            <w:r>
              <w:rPr>
                <w:rFonts w:hint="default"/>
                <w:color w:val="auto"/>
                <w:highlight w:val="none"/>
              </w:rPr>
              <w:t>30°55′00.52″</w:t>
            </w:r>
          </w:p>
        </w:tc>
        <w:tc>
          <w:tcPr>
            <w:tcW w:w="2321" w:type="dxa"/>
            <w:noWrap w:val="0"/>
            <w:vAlign w:val="center"/>
          </w:tcPr>
          <w:p>
            <w:pPr>
              <w:pStyle w:val="22"/>
              <w:bidi w:val="0"/>
              <w:rPr>
                <w:rFonts w:hint="default"/>
                <w:color w:val="auto"/>
                <w:highlight w:val="none"/>
              </w:rPr>
            </w:pPr>
            <w:r>
              <w:rPr>
                <w:rFonts w:hint="default"/>
                <w:color w:val="auto"/>
                <w:highlight w:val="none"/>
              </w:rPr>
              <w:t>107°12′34.72″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3</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3423487.00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36425041.00 </w:t>
            </w:r>
          </w:p>
        </w:tc>
        <w:tc>
          <w:tcPr>
            <w:tcW w:w="2146" w:type="dxa"/>
            <w:noWrap w:val="0"/>
            <w:vAlign w:val="center"/>
          </w:tcPr>
          <w:p>
            <w:pPr>
              <w:pStyle w:val="22"/>
              <w:bidi w:val="0"/>
              <w:rPr>
                <w:rFonts w:hint="default"/>
                <w:color w:val="auto"/>
                <w:highlight w:val="none"/>
              </w:rPr>
            </w:pPr>
            <w:r>
              <w:rPr>
                <w:rFonts w:hint="default"/>
                <w:color w:val="auto"/>
                <w:highlight w:val="none"/>
              </w:rPr>
              <w:t>30°55′48.32″</w:t>
            </w:r>
          </w:p>
        </w:tc>
        <w:tc>
          <w:tcPr>
            <w:tcW w:w="2321" w:type="dxa"/>
            <w:noWrap w:val="0"/>
            <w:vAlign w:val="center"/>
          </w:tcPr>
          <w:p>
            <w:pPr>
              <w:pStyle w:val="22"/>
              <w:bidi w:val="0"/>
              <w:rPr>
                <w:rFonts w:hint="default"/>
                <w:color w:val="auto"/>
                <w:highlight w:val="none"/>
              </w:rPr>
            </w:pPr>
            <w:r>
              <w:rPr>
                <w:rFonts w:hint="default"/>
                <w:color w:val="auto"/>
                <w:highlight w:val="none"/>
              </w:rPr>
              <w:t>107°12′56.55″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4</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3425415.00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36425690.00 </w:t>
            </w:r>
          </w:p>
        </w:tc>
        <w:tc>
          <w:tcPr>
            <w:tcW w:w="2146" w:type="dxa"/>
            <w:noWrap w:val="0"/>
            <w:vAlign w:val="center"/>
          </w:tcPr>
          <w:p>
            <w:pPr>
              <w:pStyle w:val="22"/>
              <w:bidi w:val="0"/>
              <w:rPr>
                <w:rFonts w:hint="default"/>
                <w:color w:val="auto"/>
                <w:highlight w:val="none"/>
              </w:rPr>
            </w:pPr>
            <w:r>
              <w:rPr>
                <w:rFonts w:hint="default"/>
                <w:color w:val="auto"/>
                <w:highlight w:val="none"/>
              </w:rPr>
              <w:t>30°56′51.06″</w:t>
            </w:r>
          </w:p>
        </w:tc>
        <w:tc>
          <w:tcPr>
            <w:tcW w:w="2321" w:type="dxa"/>
            <w:noWrap w:val="0"/>
            <w:vAlign w:val="center"/>
          </w:tcPr>
          <w:p>
            <w:pPr>
              <w:pStyle w:val="22"/>
              <w:bidi w:val="0"/>
              <w:rPr>
                <w:rFonts w:hint="default"/>
                <w:color w:val="auto"/>
                <w:highlight w:val="none"/>
              </w:rPr>
            </w:pPr>
            <w:r>
              <w:rPr>
                <w:rFonts w:hint="default"/>
                <w:color w:val="auto"/>
                <w:highlight w:val="none"/>
              </w:rPr>
              <w:t>107°13′20.48″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5</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3426532.00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36426085.00 </w:t>
            </w:r>
          </w:p>
        </w:tc>
        <w:tc>
          <w:tcPr>
            <w:tcW w:w="2146" w:type="dxa"/>
            <w:noWrap w:val="0"/>
            <w:vAlign w:val="center"/>
          </w:tcPr>
          <w:p>
            <w:pPr>
              <w:pStyle w:val="22"/>
              <w:bidi w:val="0"/>
              <w:rPr>
                <w:rFonts w:hint="default"/>
                <w:color w:val="auto"/>
                <w:highlight w:val="none"/>
              </w:rPr>
            </w:pPr>
            <w:r>
              <w:rPr>
                <w:rFonts w:hint="default"/>
                <w:color w:val="auto"/>
                <w:highlight w:val="none"/>
              </w:rPr>
              <w:t>30°57′27.42″</w:t>
            </w:r>
          </w:p>
        </w:tc>
        <w:tc>
          <w:tcPr>
            <w:tcW w:w="2321" w:type="dxa"/>
            <w:noWrap w:val="0"/>
            <w:vAlign w:val="center"/>
          </w:tcPr>
          <w:p>
            <w:pPr>
              <w:pStyle w:val="22"/>
              <w:bidi w:val="0"/>
              <w:rPr>
                <w:rFonts w:hint="default"/>
                <w:color w:val="auto"/>
                <w:highlight w:val="none"/>
              </w:rPr>
            </w:pPr>
            <w:r>
              <w:rPr>
                <w:rFonts w:hint="default"/>
                <w:color w:val="auto"/>
                <w:highlight w:val="none"/>
              </w:rPr>
              <w:t>107°13′35.07″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6</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3427511.00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36426498.00 </w:t>
            </w:r>
          </w:p>
        </w:tc>
        <w:tc>
          <w:tcPr>
            <w:tcW w:w="2146" w:type="dxa"/>
            <w:noWrap w:val="0"/>
            <w:vAlign w:val="center"/>
          </w:tcPr>
          <w:p>
            <w:pPr>
              <w:pStyle w:val="22"/>
              <w:bidi w:val="0"/>
              <w:rPr>
                <w:rFonts w:hint="default"/>
                <w:color w:val="auto"/>
                <w:highlight w:val="none"/>
              </w:rPr>
            </w:pPr>
            <w:r>
              <w:rPr>
                <w:rFonts w:hint="default"/>
                <w:color w:val="auto"/>
                <w:highlight w:val="none"/>
              </w:rPr>
              <w:t>30°57′59.30″</w:t>
            </w:r>
          </w:p>
        </w:tc>
        <w:tc>
          <w:tcPr>
            <w:tcW w:w="2321" w:type="dxa"/>
            <w:noWrap w:val="0"/>
            <w:vAlign w:val="center"/>
          </w:tcPr>
          <w:p>
            <w:pPr>
              <w:pStyle w:val="22"/>
              <w:bidi w:val="0"/>
              <w:rPr>
                <w:rFonts w:hint="default"/>
                <w:color w:val="auto"/>
                <w:highlight w:val="none"/>
              </w:rPr>
            </w:pPr>
            <w:r>
              <w:rPr>
                <w:rFonts w:hint="default"/>
                <w:color w:val="auto"/>
                <w:highlight w:val="none"/>
              </w:rPr>
              <w:t>107°13′50.38″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7</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3427575.00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36426375.00 </w:t>
            </w:r>
          </w:p>
        </w:tc>
        <w:tc>
          <w:tcPr>
            <w:tcW w:w="2146" w:type="dxa"/>
            <w:noWrap w:val="0"/>
            <w:vAlign w:val="center"/>
          </w:tcPr>
          <w:p>
            <w:pPr>
              <w:pStyle w:val="22"/>
              <w:bidi w:val="0"/>
              <w:rPr>
                <w:rFonts w:hint="default"/>
                <w:color w:val="auto"/>
                <w:highlight w:val="none"/>
              </w:rPr>
            </w:pPr>
            <w:r>
              <w:rPr>
                <w:rFonts w:hint="default"/>
                <w:color w:val="auto"/>
                <w:highlight w:val="none"/>
              </w:rPr>
              <w:t>30°58′01.35″</w:t>
            </w:r>
          </w:p>
        </w:tc>
        <w:tc>
          <w:tcPr>
            <w:tcW w:w="2321" w:type="dxa"/>
            <w:noWrap w:val="0"/>
            <w:vAlign w:val="center"/>
          </w:tcPr>
          <w:p>
            <w:pPr>
              <w:pStyle w:val="22"/>
              <w:bidi w:val="0"/>
              <w:rPr>
                <w:rFonts w:hint="default"/>
                <w:color w:val="auto"/>
                <w:highlight w:val="none"/>
              </w:rPr>
            </w:pPr>
            <w:r>
              <w:rPr>
                <w:rFonts w:hint="default"/>
                <w:color w:val="auto"/>
                <w:highlight w:val="none"/>
              </w:rPr>
              <w:t>107°13′45.72″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8</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3427856.00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36426506.00 </w:t>
            </w:r>
          </w:p>
        </w:tc>
        <w:tc>
          <w:tcPr>
            <w:tcW w:w="2146" w:type="dxa"/>
            <w:noWrap w:val="0"/>
            <w:vAlign w:val="center"/>
          </w:tcPr>
          <w:p>
            <w:pPr>
              <w:pStyle w:val="22"/>
              <w:bidi w:val="0"/>
              <w:rPr>
                <w:rFonts w:hint="default"/>
                <w:color w:val="auto"/>
                <w:highlight w:val="none"/>
              </w:rPr>
            </w:pPr>
            <w:r>
              <w:rPr>
                <w:rFonts w:hint="default"/>
                <w:color w:val="auto"/>
                <w:highlight w:val="none"/>
              </w:rPr>
              <w:t>30°58′10.50″</w:t>
            </w:r>
          </w:p>
        </w:tc>
        <w:tc>
          <w:tcPr>
            <w:tcW w:w="2321" w:type="dxa"/>
            <w:noWrap w:val="0"/>
            <w:vAlign w:val="center"/>
          </w:tcPr>
          <w:p>
            <w:pPr>
              <w:pStyle w:val="22"/>
              <w:bidi w:val="0"/>
              <w:rPr>
                <w:rFonts w:hint="default"/>
                <w:color w:val="auto"/>
                <w:highlight w:val="none"/>
              </w:rPr>
            </w:pPr>
            <w:r>
              <w:rPr>
                <w:rFonts w:hint="default"/>
                <w:color w:val="auto"/>
                <w:highlight w:val="none"/>
              </w:rPr>
              <w:t>107°13′50.59″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9</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3427452.00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36427751.00 </w:t>
            </w:r>
          </w:p>
        </w:tc>
        <w:tc>
          <w:tcPr>
            <w:tcW w:w="2146" w:type="dxa"/>
            <w:noWrap w:val="0"/>
            <w:vAlign w:val="center"/>
          </w:tcPr>
          <w:p>
            <w:pPr>
              <w:pStyle w:val="22"/>
              <w:bidi w:val="0"/>
              <w:rPr>
                <w:rFonts w:hint="default"/>
                <w:color w:val="auto"/>
                <w:highlight w:val="none"/>
              </w:rPr>
            </w:pPr>
            <w:r>
              <w:rPr>
                <w:rFonts w:hint="default"/>
                <w:color w:val="auto"/>
                <w:highlight w:val="none"/>
              </w:rPr>
              <w:t>30°57′57.66″</w:t>
            </w:r>
          </w:p>
        </w:tc>
        <w:tc>
          <w:tcPr>
            <w:tcW w:w="2321" w:type="dxa"/>
            <w:noWrap w:val="0"/>
            <w:vAlign w:val="center"/>
          </w:tcPr>
          <w:p>
            <w:pPr>
              <w:pStyle w:val="22"/>
              <w:bidi w:val="0"/>
              <w:rPr>
                <w:rFonts w:hint="default"/>
                <w:color w:val="auto"/>
                <w:highlight w:val="none"/>
              </w:rPr>
            </w:pPr>
            <w:r>
              <w:rPr>
                <w:rFonts w:hint="default"/>
                <w:color w:val="auto"/>
                <w:highlight w:val="none"/>
              </w:rPr>
              <w:t>107°14′37.60″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10</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3426252.00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36427929.00 </w:t>
            </w:r>
          </w:p>
        </w:tc>
        <w:tc>
          <w:tcPr>
            <w:tcW w:w="2146" w:type="dxa"/>
            <w:noWrap w:val="0"/>
            <w:vAlign w:val="center"/>
          </w:tcPr>
          <w:p>
            <w:pPr>
              <w:pStyle w:val="22"/>
              <w:bidi w:val="0"/>
              <w:rPr>
                <w:rFonts w:hint="default"/>
                <w:color w:val="auto"/>
                <w:highlight w:val="none"/>
              </w:rPr>
            </w:pPr>
            <w:r>
              <w:rPr>
                <w:rFonts w:hint="default"/>
                <w:color w:val="auto"/>
                <w:highlight w:val="none"/>
              </w:rPr>
              <w:t>30°57′18.74″</w:t>
            </w:r>
          </w:p>
        </w:tc>
        <w:tc>
          <w:tcPr>
            <w:tcW w:w="2321" w:type="dxa"/>
            <w:noWrap w:val="0"/>
            <w:vAlign w:val="center"/>
          </w:tcPr>
          <w:p>
            <w:pPr>
              <w:pStyle w:val="22"/>
              <w:bidi w:val="0"/>
              <w:rPr>
                <w:rFonts w:hint="default"/>
                <w:color w:val="auto"/>
                <w:highlight w:val="none"/>
              </w:rPr>
            </w:pPr>
            <w:r>
              <w:rPr>
                <w:rFonts w:hint="default"/>
                <w:color w:val="auto"/>
                <w:highlight w:val="none"/>
              </w:rPr>
              <w:t>107°14′44.61″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11</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3425336.00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36427628.00 </w:t>
            </w:r>
          </w:p>
        </w:tc>
        <w:tc>
          <w:tcPr>
            <w:tcW w:w="2146" w:type="dxa"/>
            <w:noWrap w:val="0"/>
            <w:vAlign w:val="center"/>
          </w:tcPr>
          <w:p>
            <w:pPr>
              <w:pStyle w:val="22"/>
              <w:bidi w:val="0"/>
              <w:rPr>
                <w:rFonts w:hint="default"/>
                <w:color w:val="auto"/>
                <w:highlight w:val="none"/>
              </w:rPr>
            </w:pPr>
            <w:r>
              <w:rPr>
                <w:rFonts w:hint="default"/>
                <w:color w:val="auto"/>
                <w:highlight w:val="none"/>
              </w:rPr>
              <w:t>30°56′48.93″</w:t>
            </w:r>
          </w:p>
        </w:tc>
        <w:tc>
          <w:tcPr>
            <w:tcW w:w="2321" w:type="dxa"/>
            <w:noWrap w:val="0"/>
            <w:vAlign w:val="center"/>
          </w:tcPr>
          <w:p>
            <w:pPr>
              <w:pStyle w:val="22"/>
              <w:bidi w:val="0"/>
              <w:rPr>
                <w:rFonts w:hint="default"/>
                <w:color w:val="auto"/>
                <w:highlight w:val="none"/>
              </w:rPr>
            </w:pPr>
            <w:r>
              <w:rPr>
                <w:rFonts w:hint="default"/>
                <w:color w:val="auto"/>
                <w:highlight w:val="none"/>
              </w:rPr>
              <w:t>107°14′33.51″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12</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3424081.00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36426937.00 </w:t>
            </w:r>
          </w:p>
        </w:tc>
        <w:tc>
          <w:tcPr>
            <w:tcW w:w="2146" w:type="dxa"/>
            <w:noWrap w:val="0"/>
            <w:vAlign w:val="center"/>
          </w:tcPr>
          <w:p>
            <w:pPr>
              <w:pStyle w:val="22"/>
              <w:bidi w:val="0"/>
              <w:rPr>
                <w:rFonts w:hint="default"/>
                <w:color w:val="auto"/>
                <w:highlight w:val="none"/>
              </w:rPr>
            </w:pPr>
            <w:r>
              <w:rPr>
                <w:rFonts w:hint="default"/>
                <w:color w:val="auto"/>
                <w:highlight w:val="none"/>
              </w:rPr>
              <w:t>30°56′08.03″</w:t>
            </w:r>
          </w:p>
        </w:tc>
        <w:tc>
          <w:tcPr>
            <w:tcW w:w="2321" w:type="dxa"/>
            <w:noWrap w:val="0"/>
            <w:vAlign w:val="center"/>
          </w:tcPr>
          <w:p>
            <w:pPr>
              <w:pStyle w:val="22"/>
              <w:bidi w:val="0"/>
              <w:rPr>
                <w:rFonts w:hint="default"/>
                <w:color w:val="auto"/>
                <w:highlight w:val="none"/>
              </w:rPr>
            </w:pPr>
            <w:r>
              <w:rPr>
                <w:rFonts w:hint="default"/>
                <w:color w:val="auto"/>
                <w:highlight w:val="none"/>
              </w:rPr>
              <w:t>107°14′07.80″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13</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3422132.00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36425965.00 </w:t>
            </w:r>
          </w:p>
        </w:tc>
        <w:tc>
          <w:tcPr>
            <w:tcW w:w="2146" w:type="dxa"/>
            <w:noWrap w:val="0"/>
            <w:vAlign w:val="center"/>
          </w:tcPr>
          <w:p>
            <w:pPr>
              <w:pStyle w:val="22"/>
              <w:bidi w:val="0"/>
              <w:rPr>
                <w:rFonts w:hint="default"/>
                <w:color w:val="auto"/>
                <w:highlight w:val="none"/>
              </w:rPr>
            </w:pPr>
            <w:r>
              <w:rPr>
                <w:rFonts w:hint="default"/>
                <w:color w:val="auto"/>
                <w:highlight w:val="none"/>
              </w:rPr>
              <w:t>30°55′04.53″</w:t>
            </w:r>
          </w:p>
        </w:tc>
        <w:tc>
          <w:tcPr>
            <w:tcW w:w="2321" w:type="dxa"/>
            <w:noWrap w:val="0"/>
            <w:vAlign w:val="center"/>
          </w:tcPr>
          <w:p>
            <w:pPr>
              <w:pStyle w:val="22"/>
              <w:bidi w:val="0"/>
              <w:rPr>
                <w:rFonts w:hint="default"/>
                <w:color w:val="auto"/>
                <w:highlight w:val="none"/>
              </w:rPr>
            </w:pPr>
            <w:r>
              <w:rPr>
                <w:rFonts w:hint="default"/>
                <w:color w:val="auto"/>
                <w:highlight w:val="none"/>
              </w:rPr>
              <w:t>107°13′31.70″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696" w:type="dxa"/>
            <w:noWrap w:val="0"/>
            <w:vAlign w:val="center"/>
          </w:tcPr>
          <w:p>
            <w:pPr>
              <w:pStyle w:val="22"/>
              <w:bidi w:val="0"/>
              <w:rPr>
                <w:rFonts w:hint="default"/>
                <w:color w:val="auto"/>
                <w:highlight w:val="none"/>
              </w:rPr>
            </w:pPr>
            <w:r>
              <w:rPr>
                <w:rFonts w:hint="default"/>
                <w:color w:val="auto"/>
                <w:highlight w:val="none"/>
              </w:rPr>
              <w:t>14</w:t>
            </w:r>
          </w:p>
        </w:tc>
        <w:tc>
          <w:tcPr>
            <w:tcW w:w="1692" w:type="dxa"/>
            <w:noWrap w:val="0"/>
            <w:vAlign w:val="center"/>
          </w:tcPr>
          <w:p>
            <w:pPr>
              <w:pStyle w:val="22"/>
              <w:bidi w:val="0"/>
              <w:rPr>
                <w:rFonts w:hint="default"/>
                <w:color w:val="auto"/>
                <w:highlight w:val="none"/>
              </w:rPr>
            </w:pPr>
            <w:r>
              <w:rPr>
                <w:rFonts w:hint="default"/>
                <w:color w:val="auto"/>
                <w:highlight w:val="none"/>
              </w:rPr>
              <w:t xml:space="preserve">3419640.00 </w:t>
            </w:r>
          </w:p>
        </w:tc>
        <w:tc>
          <w:tcPr>
            <w:tcW w:w="1667" w:type="dxa"/>
            <w:noWrap w:val="0"/>
            <w:vAlign w:val="center"/>
          </w:tcPr>
          <w:p>
            <w:pPr>
              <w:pStyle w:val="22"/>
              <w:bidi w:val="0"/>
              <w:rPr>
                <w:rFonts w:hint="default"/>
                <w:color w:val="auto"/>
                <w:highlight w:val="none"/>
              </w:rPr>
            </w:pPr>
            <w:r>
              <w:rPr>
                <w:rFonts w:hint="default"/>
                <w:color w:val="auto"/>
                <w:highlight w:val="none"/>
              </w:rPr>
              <w:t xml:space="preserve">36424814.00 </w:t>
            </w:r>
          </w:p>
        </w:tc>
        <w:tc>
          <w:tcPr>
            <w:tcW w:w="2146" w:type="dxa"/>
            <w:noWrap w:val="0"/>
            <w:vAlign w:val="center"/>
          </w:tcPr>
          <w:p>
            <w:pPr>
              <w:pStyle w:val="22"/>
              <w:bidi w:val="0"/>
              <w:rPr>
                <w:rFonts w:hint="default"/>
                <w:color w:val="auto"/>
                <w:highlight w:val="none"/>
              </w:rPr>
            </w:pPr>
            <w:r>
              <w:rPr>
                <w:rFonts w:hint="default"/>
                <w:color w:val="auto"/>
                <w:highlight w:val="none"/>
              </w:rPr>
              <w:t>30°53′43.36″</w:t>
            </w:r>
          </w:p>
        </w:tc>
        <w:tc>
          <w:tcPr>
            <w:tcW w:w="2321" w:type="dxa"/>
            <w:noWrap w:val="0"/>
            <w:vAlign w:val="center"/>
          </w:tcPr>
          <w:p>
            <w:pPr>
              <w:pStyle w:val="22"/>
              <w:bidi w:val="0"/>
              <w:rPr>
                <w:rFonts w:hint="default"/>
                <w:color w:val="auto"/>
                <w:highlight w:val="none"/>
              </w:rPr>
            </w:pPr>
            <w:r>
              <w:rPr>
                <w:rFonts w:hint="default"/>
                <w:color w:val="auto"/>
                <w:highlight w:val="none"/>
              </w:rPr>
              <w:t>107°12′49.02″</w:t>
            </w:r>
          </w:p>
        </w:tc>
      </w:tr>
    </w:tbl>
    <w:p>
      <w:pPr>
        <w:pStyle w:val="16"/>
        <w:adjustRightInd w:val="0"/>
        <w:snapToGrid w:val="0"/>
        <w:spacing w:before="0" w:beforeAutospacing="0" w:after="0" w:afterAutospacing="0" w:line="360" w:lineRule="auto"/>
        <w:jc w:val="center"/>
        <w:rPr>
          <w:rFonts w:hint="default" w:ascii="Times New Roman" w:hAnsi="Times New Roman" w:cs="Times New Roman"/>
          <w:b/>
          <w:bCs/>
          <w:color w:val="auto"/>
          <w:kern w:val="2"/>
          <w:highlight w:val="none"/>
        </w:rPr>
      </w:pPr>
      <w:r>
        <w:rPr>
          <w:rFonts w:hint="default" w:ascii="Times New Roman" w:hAnsi="Times New Roman" w:cs="Times New Roman"/>
          <w:b/>
          <w:bCs/>
          <w:color w:val="auto"/>
          <w:kern w:val="2"/>
          <w:highlight w:val="none"/>
        </w:rPr>
        <w:t>图</w:t>
      </w:r>
      <w:r>
        <w:rPr>
          <w:rFonts w:hint="default" w:ascii="Times New Roman" w:hAnsi="Times New Roman" w:cs="Times New Roman"/>
          <w:b/>
          <w:bCs/>
          <w:color w:val="auto"/>
          <w:kern w:val="2"/>
          <w:highlight w:val="none"/>
          <w:lang w:val="en-US" w:eastAsia="zh-CN"/>
        </w:rPr>
        <w:t>2.1.6</w:t>
      </w:r>
      <w:r>
        <w:rPr>
          <w:rFonts w:hint="default" w:ascii="Times New Roman" w:hAnsi="Times New Roman" w:cs="Times New Roman"/>
          <w:b/>
          <w:bCs/>
          <w:color w:val="auto"/>
          <w:kern w:val="2"/>
          <w:highlight w:val="none"/>
        </w:rPr>
        <w:t>-1  柏林煤矿延深勘查示意图</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kern w:val="2"/>
          <w:sz w:val="24"/>
          <w:szCs w:val="24"/>
          <w:highlight w:val="none"/>
        </w:rPr>
        <w:t>2、中山明月峡矿区</w:t>
      </w:r>
      <w:r>
        <w:rPr>
          <w:rFonts w:hint="default" w:ascii="Times New Roman" w:hAnsi="Times New Roman" w:cs="Times New Roman"/>
          <w:color w:val="auto"/>
          <w:sz w:val="24"/>
          <w:szCs w:val="24"/>
          <w:highlight w:val="none"/>
        </w:rPr>
        <w:t>堡子煤矿深部和南部无矿权设置，且不宜设置新的采矿权，故规划矿井向其深部及其南部勘探。故</w:t>
      </w:r>
      <w:r>
        <w:rPr>
          <w:rFonts w:hint="default" w:ascii="Times New Roman" w:hAnsi="Times New Roman" w:cs="Times New Roman"/>
          <w:color w:val="auto"/>
          <w:kern w:val="2"/>
          <w:sz w:val="24"/>
          <w:szCs w:val="24"/>
          <w:highlight w:val="none"/>
        </w:rPr>
        <w:t>规划在中山明月峡矿区拟设置1个新的探矿权，即四川省大竹县堡子煤矿煤炭延伸勘探勘查区，</w:t>
      </w:r>
      <w:r>
        <w:rPr>
          <w:rFonts w:hint="default" w:ascii="Times New Roman" w:hAnsi="Times New Roman" w:cs="Times New Roman"/>
          <w:color w:val="auto"/>
          <w:sz w:val="24"/>
          <w:szCs w:val="24"/>
          <w:highlight w:val="none"/>
        </w:rPr>
        <w:t>拟设置延伸勘查规划区块范围由现矿权和延伸扩大两部份组成，共20个拐点圈定（见表</w:t>
      </w:r>
      <w:r>
        <w:rPr>
          <w:rFonts w:hint="default" w:ascii="Times New Roman" w:hAnsi="Times New Roman" w:cs="Times New Roman"/>
          <w:color w:val="auto"/>
          <w:sz w:val="24"/>
          <w:szCs w:val="24"/>
          <w:highlight w:val="none"/>
          <w:lang w:val="en-US" w:eastAsia="zh-CN"/>
        </w:rPr>
        <w:t>2.1.5</w:t>
      </w:r>
      <w:r>
        <w:rPr>
          <w:rFonts w:hint="default" w:ascii="Times New Roman" w:hAnsi="Times New Roman" w:cs="Times New Roman"/>
          <w:color w:val="auto"/>
          <w:sz w:val="24"/>
          <w:szCs w:val="24"/>
          <w:highlight w:val="none"/>
        </w:rPr>
        <w:t>-2，见图</w:t>
      </w:r>
      <w:r>
        <w:rPr>
          <w:rFonts w:hint="default" w:ascii="Times New Roman" w:hAnsi="Times New Roman" w:cs="Times New Roman"/>
          <w:color w:val="auto"/>
          <w:sz w:val="24"/>
          <w:szCs w:val="24"/>
          <w:highlight w:val="none"/>
          <w:lang w:val="en-US" w:eastAsia="zh-CN"/>
        </w:rPr>
        <w:t>2.1.6</w:t>
      </w:r>
      <w:r>
        <w:rPr>
          <w:rFonts w:hint="default" w:ascii="Times New Roman" w:hAnsi="Times New Roman" w:cs="Times New Roman"/>
          <w:color w:val="auto"/>
          <w:sz w:val="24"/>
          <w:szCs w:val="24"/>
          <w:highlight w:val="none"/>
        </w:rPr>
        <w:t>-2），走向长约10.362km，倾向宽约0.946km，面积9.8005km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。拟开采煤层为夹子连、外大连、内大连、蛮炭、泡炭、三夹连、四夹连、</w:t>
      </w:r>
      <w:r>
        <w:rPr>
          <w:rFonts w:hint="default" w:ascii="Times New Roman" w:hAnsi="Times New Roman" w:cs="Times New Roman"/>
          <w:color w:val="auto"/>
          <w:spacing w:val="-6"/>
          <w:sz w:val="24"/>
          <w:szCs w:val="24"/>
          <w:highlight w:val="none"/>
        </w:rPr>
        <w:t>背影煤层共八层煤，拟开采深度：+420～-200m标高。</w:t>
      </w:r>
      <w:r>
        <w:rPr>
          <w:rFonts w:hint="default" w:ascii="Times New Roman" w:hAnsi="Times New Roman" w:cs="Times New Roman"/>
          <w:color w:val="auto"/>
          <w:sz w:val="24"/>
          <w:szCs w:val="24"/>
          <w:highlight w:val="none"/>
        </w:rPr>
        <w:t>拟设置延伸勘查规划区块范围地理坐标：东经107°14′36"～107°17′52"，北纬30°37′07"～30°42′17"，中心位置地理坐标：东经107°16′51″，北纬30°40′03″。</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拟设探矿权范围与自然保护区、森林公园、风景名胜区、大熊猫国家公园、历史文物与名胜古迹保护区域等各类保护区和生态敏感区范围不重叠，也没有国家和地方的重点建设工程项目，不存在对重要查明矿产资源的压覆，且无高压线、铁路、桥梁等重要工业设施。</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其余各矿井根据资源赋存情况，可按有关规定申请深部探矿权延深勘查。</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2.16</w:t>
      </w:r>
      <w:r>
        <w:rPr>
          <w:rFonts w:hint="default"/>
          <w:color w:val="auto"/>
          <w:highlight w:val="none"/>
        </w:rPr>
        <w:t xml:space="preserve">-2   拟设堡子煤矿煤炭延伸勘探勘查规划区块范围拐点坐标一览表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857"/>
        <w:gridCol w:w="2063"/>
        <w:gridCol w:w="1915"/>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exact"/>
          <w:jc w:val="center"/>
        </w:trPr>
        <w:tc>
          <w:tcPr>
            <w:tcW w:w="717" w:type="dxa"/>
            <w:vMerge w:val="restart"/>
            <w:tcBorders>
              <w:top w:val="single" w:color="auto" w:sz="4" w:space="0"/>
              <w:left w:val="single" w:color="auto" w:sz="4" w:space="0"/>
            </w:tcBorders>
            <w:noWrap w:val="0"/>
            <w:vAlign w:val="center"/>
          </w:tcPr>
          <w:p>
            <w:pPr>
              <w:pStyle w:val="22"/>
              <w:bidi w:val="0"/>
              <w:rPr>
                <w:rFonts w:hint="default"/>
                <w:color w:val="auto"/>
                <w:highlight w:val="none"/>
              </w:rPr>
            </w:pPr>
            <w:r>
              <w:rPr>
                <w:rFonts w:hint="default"/>
                <w:color w:val="auto"/>
                <w:highlight w:val="none"/>
              </w:rPr>
              <w:t>拐</w:t>
            </w:r>
          </w:p>
          <w:p>
            <w:pPr>
              <w:pStyle w:val="22"/>
              <w:bidi w:val="0"/>
              <w:rPr>
                <w:rFonts w:hint="default"/>
                <w:color w:val="auto"/>
                <w:highlight w:val="none"/>
              </w:rPr>
            </w:pPr>
            <w:r>
              <w:rPr>
                <w:rFonts w:hint="default"/>
                <w:color w:val="auto"/>
                <w:highlight w:val="none"/>
              </w:rPr>
              <w:t>点</w:t>
            </w:r>
          </w:p>
        </w:tc>
        <w:tc>
          <w:tcPr>
            <w:tcW w:w="3920" w:type="dxa"/>
            <w:gridSpan w:val="2"/>
            <w:tcBorders>
              <w:top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2000年国家大地坐标系</w:t>
            </w:r>
          </w:p>
          <w:p>
            <w:pPr>
              <w:pStyle w:val="22"/>
              <w:bidi w:val="0"/>
              <w:rPr>
                <w:rFonts w:hint="default"/>
                <w:color w:val="auto"/>
                <w:highlight w:val="none"/>
              </w:rPr>
            </w:pPr>
          </w:p>
        </w:tc>
        <w:tc>
          <w:tcPr>
            <w:tcW w:w="3800" w:type="dxa"/>
            <w:gridSpan w:val="2"/>
            <w:tcBorders>
              <w:top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2000年国家地理坐标</w:t>
            </w:r>
          </w:p>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17" w:type="dxa"/>
            <w:vMerge w:val="continue"/>
            <w:tcBorders>
              <w:left w:val="single" w:color="auto" w:sz="4" w:space="0"/>
            </w:tcBorders>
            <w:noWrap w:val="0"/>
            <w:vAlign w:val="center"/>
          </w:tcPr>
          <w:p>
            <w:pPr>
              <w:pStyle w:val="22"/>
              <w:bidi w:val="0"/>
              <w:rPr>
                <w:rFonts w:hint="default"/>
                <w:color w:val="auto"/>
                <w:highlight w:val="none"/>
              </w:rPr>
            </w:pPr>
          </w:p>
        </w:tc>
        <w:tc>
          <w:tcPr>
            <w:tcW w:w="1857" w:type="dxa"/>
            <w:noWrap w:val="0"/>
            <w:vAlign w:val="center"/>
          </w:tcPr>
          <w:p>
            <w:pPr>
              <w:pStyle w:val="22"/>
              <w:bidi w:val="0"/>
              <w:rPr>
                <w:rFonts w:hint="default"/>
                <w:color w:val="auto"/>
                <w:highlight w:val="none"/>
              </w:rPr>
            </w:pPr>
            <w:r>
              <w:rPr>
                <w:rFonts w:hint="default"/>
                <w:color w:val="auto"/>
                <w:highlight w:val="none"/>
              </w:rPr>
              <w:t>X</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Y</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北纬</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东经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w:t>
            </w:r>
          </w:p>
        </w:tc>
        <w:tc>
          <w:tcPr>
            <w:tcW w:w="1857" w:type="dxa"/>
            <w:noWrap w:val="0"/>
            <w:vAlign w:val="center"/>
          </w:tcPr>
          <w:p>
            <w:pPr>
              <w:pStyle w:val="22"/>
              <w:bidi w:val="0"/>
              <w:rPr>
                <w:rFonts w:hint="default"/>
                <w:color w:val="auto"/>
                <w:highlight w:val="none"/>
              </w:rPr>
            </w:pPr>
            <w:r>
              <w:rPr>
                <w:rFonts w:hint="default"/>
                <w:color w:val="auto"/>
                <w:highlight w:val="none"/>
              </w:rPr>
              <w:t>3398439.226</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36432718.983</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107°17′52"</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2</w:t>
            </w:r>
          </w:p>
        </w:tc>
        <w:tc>
          <w:tcPr>
            <w:tcW w:w="1857" w:type="dxa"/>
            <w:noWrap w:val="0"/>
            <w:vAlign w:val="center"/>
          </w:tcPr>
          <w:p>
            <w:pPr>
              <w:pStyle w:val="22"/>
              <w:bidi w:val="0"/>
              <w:rPr>
                <w:rFonts w:hint="default"/>
                <w:color w:val="auto"/>
                <w:highlight w:val="none"/>
              </w:rPr>
            </w:pPr>
            <w:r>
              <w:rPr>
                <w:rFonts w:hint="default"/>
                <w:color w:val="auto"/>
                <w:highlight w:val="none"/>
              </w:rPr>
              <w:t>3398199.225</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36432638.982</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107°17′49"</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3</w:t>
            </w:r>
          </w:p>
        </w:tc>
        <w:tc>
          <w:tcPr>
            <w:tcW w:w="1857" w:type="dxa"/>
            <w:noWrap w:val="0"/>
            <w:vAlign w:val="center"/>
          </w:tcPr>
          <w:p>
            <w:pPr>
              <w:pStyle w:val="22"/>
              <w:bidi w:val="0"/>
              <w:rPr>
                <w:rFonts w:hint="default"/>
                <w:color w:val="auto"/>
                <w:highlight w:val="none"/>
              </w:rPr>
            </w:pPr>
            <w:r>
              <w:rPr>
                <w:rFonts w:hint="default"/>
                <w:color w:val="auto"/>
                <w:highlight w:val="none"/>
              </w:rPr>
              <w:t>3398210.225</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36432598.982</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107°17′47"</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4</w:t>
            </w:r>
          </w:p>
        </w:tc>
        <w:tc>
          <w:tcPr>
            <w:tcW w:w="1857" w:type="dxa"/>
            <w:noWrap w:val="0"/>
            <w:vAlign w:val="center"/>
          </w:tcPr>
          <w:p>
            <w:pPr>
              <w:pStyle w:val="22"/>
              <w:bidi w:val="0"/>
              <w:rPr>
                <w:rFonts w:hint="default"/>
                <w:color w:val="auto"/>
                <w:highlight w:val="none"/>
              </w:rPr>
            </w:pPr>
            <w:r>
              <w:rPr>
                <w:rFonts w:hint="default"/>
                <w:color w:val="auto"/>
                <w:highlight w:val="none"/>
              </w:rPr>
              <w:t>3397429.220</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36432456.982</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107°17′42"</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5</w:t>
            </w:r>
          </w:p>
        </w:tc>
        <w:tc>
          <w:tcPr>
            <w:tcW w:w="1857" w:type="dxa"/>
            <w:noWrap w:val="0"/>
            <w:vAlign w:val="center"/>
          </w:tcPr>
          <w:p>
            <w:pPr>
              <w:pStyle w:val="22"/>
              <w:bidi w:val="0"/>
              <w:rPr>
                <w:rFonts w:hint="default"/>
                <w:color w:val="auto"/>
                <w:highlight w:val="none"/>
              </w:rPr>
            </w:pPr>
            <w:r>
              <w:rPr>
                <w:rFonts w:hint="default"/>
                <w:color w:val="auto"/>
                <w:highlight w:val="none"/>
              </w:rPr>
              <w:t>3397449.220</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36432418.981</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107°17′41"</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6</w:t>
            </w:r>
          </w:p>
        </w:tc>
        <w:tc>
          <w:tcPr>
            <w:tcW w:w="1857" w:type="dxa"/>
            <w:noWrap w:val="0"/>
            <w:vAlign w:val="center"/>
          </w:tcPr>
          <w:p>
            <w:pPr>
              <w:pStyle w:val="22"/>
              <w:bidi w:val="0"/>
              <w:rPr>
                <w:rFonts w:hint="default"/>
                <w:color w:val="auto"/>
                <w:highlight w:val="none"/>
              </w:rPr>
            </w:pPr>
            <w:r>
              <w:rPr>
                <w:rFonts w:hint="default"/>
                <w:color w:val="auto"/>
                <w:highlight w:val="none"/>
              </w:rPr>
              <w:t>3396904.216</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36432263.981</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107°17′35"</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7</w:t>
            </w:r>
          </w:p>
        </w:tc>
        <w:tc>
          <w:tcPr>
            <w:tcW w:w="1857" w:type="dxa"/>
            <w:noWrap w:val="0"/>
            <w:vAlign w:val="center"/>
          </w:tcPr>
          <w:p>
            <w:pPr>
              <w:pStyle w:val="22"/>
              <w:bidi w:val="0"/>
              <w:rPr>
                <w:rFonts w:hint="default"/>
                <w:color w:val="auto"/>
                <w:highlight w:val="none"/>
              </w:rPr>
            </w:pPr>
            <w:r>
              <w:rPr>
                <w:rFonts w:hint="default"/>
                <w:color w:val="auto"/>
                <w:highlight w:val="none"/>
              </w:rPr>
              <w:t>3396171.212</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36432043.978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107°17′27"</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8</w:t>
            </w:r>
          </w:p>
        </w:tc>
        <w:tc>
          <w:tcPr>
            <w:tcW w:w="1857" w:type="dxa"/>
            <w:noWrap w:val="0"/>
            <w:vAlign w:val="center"/>
          </w:tcPr>
          <w:p>
            <w:pPr>
              <w:pStyle w:val="22"/>
              <w:bidi w:val="0"/>
              <w:rPr>
                <w:rFonts w:hint="default"/>
                <w:color w:val="auto"/>
                <w:highlight w:val="none"/>
              </w:rPr>
            </w:pPr>
            <w:r>
              <w:rPr>
                <w:rFonts w:hint="default"/>
                <w:color w:val="auto"/>
                <w:highlight w:val="none"/>
              </w:rPr>
              <w:t>3396174.212</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36432033.980</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107°17′27"</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9</w:t>
            </w:r>
          </w:p>
        </w:tc>
        <w:tc>
          <w:tcPr>
            <w:tcW w:w="1857" w:type="dxa"/>
            <w:noWrap w:val="0"/>
            <w:vAlign w:val="center"/>
          </w:tcPr>
          <w:p>
            <w:pPr>
              <w:pStyle w:val="22"/>
              <w:bidi w:val="0"/>
              <w:rPr>
                <w:rFonts w:hint="default"/>
                <w:color w:val="auto"/>
                <w:highlight w:val="none"/>
              </w:rPr>
            </w:pPr>
            <w:r>
              <w:rPr>
                <w:rFonts w:hint="default"/>
                <w:color w:val="auto"/>
                <w:highlight w:val="none"/>
              </w:rPr>
              <w:t>3395689.209</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36431888.979</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107°17′21"</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857" w:type="dxa"/>
            <w:noWrap w:val="0"/>
            <w:vAlign w:val="center"/>
          </w:tcPr>
          <w:p>
            <w:pPr>
              <w:pStyle w:val="22"/>
              <w:bidi w:val="0"/>
              <w:rPr>
                <w:rFonts w:hint="default"/>
                <w:color w:val="auto"/>
                <w:highlight w:val="none"/>
              </w:rPr>
            </w:pPr>
            <w:r>
              <w:rPr>
                <w:rFonts w:hint="default"/>
                <w:color w:val="auto"/>
                <w:highlight w:val="none"/>
              </w:rPr>
              <w:t>3395849.209</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36431564.039</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107°17′09"</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11</w:t>
            </w:r>
          </w:p>
        </w:tc>
        <w:tc>
          <w:tcPr>
            <w:tcW w:w="1857" w:type="dxa"/>
            <w:noWrap w:val="0"/>
            <w:vAlign w:val="center"/>
          </w:tcPr>
          <w:p>
            <w:pPr>
              <w:pStyle w:val="22"/>
              <w:bidi w:val="0"/>
              <w:rPr>
                <w:rFonts w:hint="default"/>
                <w:color w:val="auto"/>
                <w:highlight w:val="none"/>
              </w:rPr>
            </w:pPr>
            <w:r>
              <w:rPr>
                <w:rFonts w:hint="default"/>
                <w:color w:val="auto"/>
                <w:highlight w:val="none"/>
              </w:rPr>
              <w:t>3394339.739</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36431089.049</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107°16′51"</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12</w:t>
            </w:r>
          </w:p>
        </w:tc>
        <w:tc>
          <w:tcPr>
            <w:tcW w:w="1857" w:type="dxa"/>
            <w:noWrap w:val="0"/>
            <w:vAlign w:val="center"/>
          </w:tcPr>
          <w:p>
            <w:pPr>
              <w:pStyle w:val="22"/>
              <w:bidi w:val="0"/>
              <w:rPr>
                <w:rFonts w:hint="default"/>
                <w:color w:val="auto"/>
                <w:highlight w:val="none"/>
              </w:rPr>
            </w:pPr>
            <w:r>
              <w:rPr>
                <w:rFonts w:hint="default"/>
                <w:color w:val="auto"/>
                <w:highlight w:val="none"/>
              </w:rPr>
              <w:t>3394249.748</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36431309.048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107°17′00"</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13</w:t>
            </w:r>
          </w:p>
        </w:tc>
        <w:tc>
          <w:tcPr>
            <w:tcW w:w="1857" w:type="dxa"/>
            <w:noWrap w:val="0"/>
            <w:vAlign w:val="center"/>
          </w:tcPr>
          <w:p>
            <w:pPr>
              <w:pStyle w:val="22"/>
              <w:bidi w:val="0"/>
              <w:rPr>
                <w:rFonts w:hint="default"/>
                <w:color w:val="auto"/>
                <w:highlight w:val="none"/>
              </w:rPr>
            </w:pPr>
            <w:r>
              <w:rPr>
                <w:rFonts w:hint="default"/>
                <w:color w:val="auto"/>
                <w:highlight w:val="none"/>
              </w:rPr>
              <w:t>3393039.748</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36430769.068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107°16′40"</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c>
          <w:tcPr>
            <w:tcW w:w="1857" w:type="dxa"/>
            <w:noWrap w:val="0"/>
            <w:vAlign w:val="center"/>
          </w:tcPr>
          <w:p>
            <w:pPr>
              <w:pStyle w:val="22"/>
              <w:bidi w:val="0"/>
              <w:rPr>
                <w:rFonts w:hint="default"/>
                <w:color w:val="auto"/>
                <w:highlight w:val="none"/>
              </w:rPr>
            </w:pPr>
            <w:r>
              <w:rPr>
                <w:rFonts w:hint="default"/>
                <w:color w:val="auto"/>
                <w:highlight w:val="none"/>
              </w:rPr>
              <w:t>3391834.748</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36430129.078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107°16′16"</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30°38′42"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15</w:t>
            </w:r>
          </w:p>
        </w:tc>
        <w:tc>
          <w:tcPr>
            <w:tcW w:w="1857" w:type="dxa"/>
            <w:noWrap w:val="0"/>
            <w:vAlign w:val="center"/>
          </w:tcPr>
          <w:p>
            <w:pPr>
              <w:pStyle w:val="22"/>
              <w:bidi w:val="0"/>
              <w:rPr>
                <w:rFonts w:hint="default"/>
                <w:color w:val="auto"/>
                <w:highlight w:val="none"/>
              </w:rPr>
            </w:pPr>
            <w:r>
              <w:rPr>
                <w:rFonts w:hint="default"/>
                <w:color w:val="auto"/>
                <w:highlight w:val="none"/>
              </w:rPr>
              <w:t>3391608.738</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36429598.088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107°15′56"</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30°38′34"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16</w:t>
            </w:r>
          </w:p>
        </w:tc>
        <w:tc>
          <w:tcPr>
            <w:tcW w:w="1857" w:type="dxa"/>
            <w:noWrap w:val="0"/>
            <w:vAlign w:val="center"/>
          </w:tcPr>
          <w:p>
            <w:pPr>
              <w:pStyle w:val="22"/>
              <w:bidi w:val="0"/>
              <w:rPr>
                <w:rFonts w:hint="default"/>
                <w:color w:val="auto"/>
                <w:highlight w:val="none"/>
              </w:rPr>
            </w:pPr>
            <w:r>
              <w:rPr>
                <w:rFonts w:hint="default"/>
                <w:color w:val="auto"/>
                <w:highlight w:val="none"/>
              </w:rPr>
              <w:t>3388929.758</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36428334.118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107°15′09"</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30°37′07"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17</w:t>
            </w:r>
          </w:p>
        </w:tc>
        <w:tc>
          <w:tcPr>
            <w:tcW w:w="1857" w:type="dxa"/>
            <w:noWrap w:val="0"/>
            <w:vAlign w:val="center"/>
          </w:tcPr>
          <w:p>
            <w:pPr>
              <w:pStyle w:val="22"/>
              <w:bidi w:val="0"/>
              <w:rPr>
                <w:rFonts w:hint="default"/>
                <w:color w:val="auto"/>
                <w:highlight w:val="none"/>
              </w:rPr>
            </w:pPr>
            <w:r>
              <w:rPr>
                <w:rFonts w:hint="default"/>
                <w:color w:val="auto"/>
                <w:highlight w:val="none"/>
              </w:rPr>
              <w:t>3389511.738</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36427438.048</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107°14′36"</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30°37′26"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18</w:t>
            </w:r>
          </w:p>
        </w:tc>
        <w:tc>
          <w:tcPr>
            <w:tcW w:w="1857" w:type="dxa"/>
            <w:noWrap w:val="0"/>
            <w:vAlign w:val="center"/>
          </w:tcPr>
          <w:p>
            <w:pPr>
              <w:pStyle w:val="22"/>
              <w:bidi w:val="0"/>
              <w:rPr>
                <w:rFonts w:hint="default"/>
                <w:color w:val="auto"/>
                <w:highlight w:val="none"/>
              </w:rPr>
            </w:pPr>
            <w:r>
              <w:rPr>
                <w:rFonts w:hint="default"/>
                <w:color w:val="auto"/>
                <w:highlight w:val="none"/>
              </w:rPr>
              <w:t>3396103.729</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36431129.059</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107°16′52"</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19</w:t>
            </w:r>
          </w:p>
        </w:tc>
        <w:tc>
          <w:tcPr>
            <w:tcW w:w="1857" w:type="dxa"/>
            <w:noWrap w:val="0"/>
            <w:vAlign w:val="center"/>
          </w:tcPr>
          <w:p>
            <w:pPr>
              <w:pStyle w:val="22"/>
              <w:bidi w:val="0"/>
              <w:rPr>
                <w:rFonts w:hint="default"/>
                <w:color w:val="auto"/>
                <w:highlight w:val="none"/>
              </w:rPr>
            </w:pPr>
            <w:r>
              <w:rPr>
                <w:rFonts w:hint="default"/>
                <w:color w:val="auto"/>
                <w:highlight w:val="none"/>
              </w:rPr>
              <w:t>3397879.746</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36431643.041</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107°17′11"</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717" w:type="dxa"/>
            <w:tcBorders>
              <w:left w:val="single" w:color="auto" w:sz="4" w:space="0"/>
            </w:tcBorders>
            <w:noWrap w:val="0"/>
            <w:vAlign w:val="center"/>
          </w:tcPr>
          <w:p>
            <w:pPr>
              <w:pStyle w:val="22"/>
              <w:bidi w:val="0"/>
              <w:rPr>
                <w:rFonts w:hint="default"/>
                <w:color w:val="auto"/>
                <w:highlight w:val="none"/>
              </w:rPr>
            </w:pPr>
            <w:r>
              <w:rPr>
                <w:rFonts w:hint="default"/>
                <w:color w:val="auto"/>
                <w:highlight w:val="none"/>
              </w:rPr>
              <w:t>20</w:t>
            </w:r>
          </w:p>
        </w:tc>
        <w:tc>
          <w:tcPr>
            <w:tcW w:w="1857" w:type="dxa"/>
            <w:noWrap w:val="0"/>
            <w:vAlign w:val="center"/>
          </w:tcPr>
          <w:p>
            <w:pPr>
              <w:pStyle w:val="22"/>
              <w:bidi w:val="0"/>
              <w:rPr>
                <w:rFonts w:hint="default"/>
                <w:color w:val="auto"/>
                <w:highlight w:val="none"/>
              </w:rPr>
            </w:pPr>
            <w:r>
              <w:rPr>
                <w:rFonts w:hint="default"/>
                <w:color w:val="auto"/>
                <w:highlight w:val="none"/>
              </w:rPr>
              <w:t>3398802.766</w:t>
            </w:r>
          </w:p>
        </w:tc>
        <w:tc>
          <w:tcPr>
            <w:tcW w:w="2063"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36432003.053</w:t>
            </w:r>
          </w:p>
        </w:tc>
        <w:tc>
          <w:tcPr>
            <w:tcW w:w="191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107°17′25"</w:t>
            </w:r>
          </w:p>
        </w:tc>
        <w:tc>
          <w:tcPr>
            <w:tcW w:w="1885" w:type="dxa"/>
            <w:tcBorders>
              <w:right w:val="single" w:color="auto" w:sz="4" w:space="0"/>
            </w:tcBorders>
            <w:noWrap w:val="0"/>
            <w:vAlign w:val="center"/>
          </w:tcPr>
          <w:p>
            <w:pPr>
              <w:pStyle w:val="22"/>
              <w:bidi w:val="0"/>
              <w:rPr>
                <w:rFonts w:hint="default"/>
                <w:color w:val="auto"/>
                <w:highlight w:val="none"/>
              </w:rPr>
            </w:pPr>
            <w:r>
              <w:rPr>
                <w:rFonts w:hint="default"/>
                <w:color w:val="auto"/>
                <w:highlight w:val="none"/>
              </w:rPr>
              <w:t>30°42′28"</w:t>
            </w:r>
          </w:p>
        </w:tc>
      </w:tr>
    </w:tbl>
    <w:p>
      <w:pPr>
        <w:pStyle w:val="16"/>
        <w:adjustRightInd w:val="0"/>
        <w:snapToGrid w:val="0"/>
        <w:spacing w:before="0" w:beforeAutospacing="0" w:after="0" w:afterAutospacing="0" w:line="360" w:lineRule="auto"/>
        <w:jc w:val="center"/>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object>
          <v:shape id="_x0000_i1029" o:spt="75" type="#_x0000_t75" style="height:322.15pt;width:289.55pt;" o:ole="t" filled="f" o:preferrelative="t" stroked="f" coordsize="21600,21600">
            <v:path/>
            <v:fill on="f" focussize="0,0"/>
            <v:stroke on="f"/>
            <v:imagedata r:id="rId32" cropleft="19063f" croptop="9320f" cropright="28910f" cropbottom="11534f" o:title=""/>
            <o:lock v:ext="edit" aspectratio="f"/>
            <w10:wrap type="none"/>
            <w10:anchorlock/>
          </v:shape>
          <o:OLEObject Type="Embed" ProgID="AutoCAD.Drawing.19" ShapeID="_x0000_i1029" DrawAspect="Content" ObjectID="_1468075729" r:id="rId31">
            <o:LockedField>false</o:LockedField>
          </o:OLEObject>
        </w:object>
      </w:r>
    </w:p>
    <w:p>
      <w:pPr>
        <w:pStyle w:val="16"/>
        <w:adjustRightInd w:val="0"/>
        <w:snapToGrid w:val="0"/>
        <w:spacing w:before="0" w:beforeAutospacing="0" w:after="0" w:afterAutospacing="0" w:line="36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w:t>
      </w:r>
      <w:r>
        <w:rPr>
          <w:rFonts w:hint="default" w:ascii="Times New Roman" w:hAnsi="Times New Roman" w:cs="Times New Roman"/>
          <w:b/>
          <w:bCs/>
          <w:color w:val="auto"/>
          <w:highlight w:val="none"/>
          <w:lang w:val="en-US" w:eastAsia="zh-CN"/>
        </w:rPr>
        <w:t>2.1.6</w:t>
      </w:r>
      <w:r>
        <w:rPr>
          <w:rFonts w:hint="default" w:ascii="Times New Roman" w:hAnsi="Times New Roman" w:cs="Times New Roman"/>
          <w:b/>
          <w:bCs/>
          <w:color w:val="auto"/>
          <w:highlight w:val="none"/>
        </w:rPr>
        <w:t>-2   堡子煤矿延伸</w:t>
      </w:r>
      <w:r>
        <w:rPr>
          <w:rFonts w:hint="default" w:ascii="Times New Roman" w:hAnsi="Times New Roman" w:cs="Times New Roman"/>
          <w:b/>
          <w:bCs/>
          <w:color w:val="auto"/>
          <w:highlight w:val="none"/>
          <w:lang w:eastAsia="zh-CN"/>
        </w:rPr>
        <w:t>勘查</w:t>
      </w:r>
      <w:r>
        <w:rPr>
          <w:rFonts w:hint="default" w:ascii="Times New Roman" w:hAnsi="Times New Roman" w:cs="Times New Roman"/>
          <w:b/>
          <w:bCs/>
          <w:color w:val="auto"/>
          <w:highlight w:val="none"/>
        </w:rPr>
        <w:t>示意图</w:t>
      </w:r>
    </w:p>
    <w:p>
      <w:pPr>
        <w:pStyle w:val="6"/>
        <w:bidi w:val="0"/>
        <w:rPr>
          <w:rFonts w:hint="default"/>
          <w:color w:val="auto"/>
          <w:highlight w:val="none"/>
          <w:lang w:val="en-US" w:eastAsia="zh-CN"/>
        </w:rPr>
      </w:pPr>
      <w:bookmarkStart w:id="113" w:name="_Toc27710"/>
      <w:bookmarkStart w:id="114" w:name="_Toc4392"/>
      <w:r>
        <w:rPr>
          <w:rFonts w:hint="default"/>
          <w:color w:val="auto"/>
          <w:highlight w:val="none"/>
          <w:lang w:val="en-US" w:eastAsia="zh-CN"/>
        </w:rPr>
        <w:t>2.1.7 煤矿建设顺序、矿区规划规模和均衡生产年限</w:t>
      </w:r>
      <w:bookmarkEnd w:id="113"/>
      <w:bookmarkEnd w:id="114"/>
    </w:p>
    <w:p>
      <w:pPr>
        <w:pStyle w:val="7"/>
        <w:bidi w:val="0"/>
        <w:rPr>
          <w:rFonts w:hint="default"/>
          <w:color w:val="auto"/>
          <w:highlight w:val="none"/>
          <w:lang w:val="en-US" w:eastAsia="zh-CN"/>
        </w:rPr>
      </w:pPr>
      <w:r>
        <w:rPr>
          <w:rFonts w:hint="default"/>
          <w:color w:val="auto"/>
          <w:highlight w:val="none"/>
          <w:lang w:val="en-US" w:eastAsia="zh-CN"/>
        </w:rPr>
        <w:t>2.1.7.1 矿区建设规模</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大竹县规划设置14个采矿权，其中华蓥山北段矿区规划设置有6个采矿权，分别为柏林煤矿、大硐坪煤矿、大河沟煤矿、田坝煤矿、黑滩煤矿</w:t>
      </w:r>
      <w:r>
        <w:rPr>
          <w:rFonts w:hint="default" w:ascii="Times New Roman" w:hAnsi="Times New Roman" w:cs="Times New Roman"/>
          <w:color w:val="auto"/>
          <w:spacing w:val="-4"/>
          <w:sz w:val="24"/>
          <w:szCs w:val="24"/>
          <w:highlight w:val="none"/>
        </w:rPr>
        <w:t>和</w:t>
      </w:r>
      <w:r>
        <w:rPr>
          <w:rFonts w:hint="default" w:ascii="Times New Roman" w:hAnsi="Times New Roman" w:cs="Times New Roman"/>
          <w:color w:val="auto"/>
          <w:sz w:val="24"/>
          <w:szCs w:val="24"/>
          <w:highlight w:val="none"/>
        </w:rPr>
        <w:t>新桥红星煤矿，矿区规划生产能力为165万吨/年；中山明月峡矿区规划设置有8个采矿权，分别为堡子煤矿、荣华煤矿、华家沟煤矿、孔家沟煤矿、刘家沟联合煤矿、牛郎沟煤矿、平桥煤矿和观音煤矿，矿区规划生产能力为225万吨/年。大竹县规划生产能力总计为390万吨/年。</w:t>
      </w:r>
    </w:p>
    <w:p>
      <w:pPr>
        <w:pStyle w:val="7"/>
        <w:bidi w:val="0"/>
        <w:rPr>
          <w:rFonts w:hint="default"/>
          <w:color w:val="auto"/>
          <w:highlight w:val="none"/>
          <w:lang w:val="en-US" w:eastAsia="zh-CN"/>
        </w:rPr>
      </w:pPr>
      <w:r>
        <w:rPr>
          <w:rFonts w:hint="default"/>
          <w:color w:val="auto"/>
          <w:highlight w:val="none"/>
          <w:lang w:val="en-US" w:eastAsia="zh-CN"/>
        </w:rPr>
        <w:t>2.1.7.2 矿井建设顺序及均衡年限</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各矿井资源条件、开拓开采技术条件等，估算大竹县各矿井服务年限为5.7～13.3年，其中华蓥山北段矿区各矿井服务年限为6.0～13.3年，按现有勘探及生产程度，矿区生产年限为13.3年（为现有采矿权范围或规划矿权范围内的资源剩余服务年限），其中达产期为1.5年，均衡生产期为5.6年（按矿区规划生产能力15%的浮动计算）；中山明月峡矿区各矿井服务年限为5.7～9.5年，按现有勘探及生产程度，矿区生产年限为9.5年（为现有采矿权范围或规划矿权范围内的资源剩余服务年限），其中达产期为3.1年，均衡生产期为4.3年（按矿区规划生产能力15%的浮动计算）。另外堡子煤矿和柏林煤矿规划深部延伸勘探，增加资源，同时区内各矿井周边资源量丰富，可为后备及接替资源，矿区开发潜力较大。各矿井生产能力见表</w:t>
      </w:r>
      <w:r>
        <w:rPr>
          <w:rFonts w:hint="default" w:ascii="Times New Roman" w:hAnsi="Times New Roman" w:cs="Times New Roman"/>
          <w:color w:val="auto"/>
          <w:sz w:val="24"/>
          <w:szCs w:val="24"/>
          <w:highlight w:val="none"/>
          <w:lang w:val="en-US" w:eastAsia="zh-CN"/>
        </w:rPr>
        <w:t>2.7.2</w:t>
      </w:r>
      <w:r>
        <w:rPr>
          <w:rFonts w:hint="default" w:ascii="Times New Roman" w:hAnsi="Times New Roman" w:cs="Times New Roman"/>
          <w:color w:val="auto"/>
          <w:sz w:val="24"/>
          <w:szCs w:val="24"/>
          <w:highlight w:val="none"/>
        </w:rPr>
        <w:t>-1。</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lang w:val="en-US" w:eastAsia="zh-CN"/>
        </w:rPr>
        <w:sectPr>
          <w:pgSz w:w="11906" w:h="16838"/>
          <w:pgMar w:top="1440" w:right="1800" w:bottom="1440" w:left="1800" w:header="851" w:footer="992" w:gutter="0"/>
          <w:pgNumType w:fmt="decimal"/>
          <w:cols w:space="720" w:num="1"/>
          <w:docGrid w:type="lines" w:linePitch="312" w:charSpace="0"/>
        </w:sectPr>
      </w:pP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2.7.2</w:t>
      </w:r>
      <w:r>
        <w:rPr>
          <w:rFonts w:hint="default"/>
          <w:color w:val="auto"/>
          <w:highlight w:val="none"/>
        </w:rPr>
        <w:t>-1                                          各矿井生产能力表</w:t>
      </w:r>
    </w:p>
    <w:tbl>
      <w:tblPr>
        <w:tblStyle w:val="17"/>
        <w:tblW w:w="0" w:type="auto"/>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534"/>
        <w:gridCol w:w="1690"/>
        <w:gridCol w:w="849"/>
        <w:gridCol w:w="951"/>
        <w:gridCol w:w="960"/>
        <w:gridCol w:w="974"/>
        <w:gridCol w:w="974"/>
        <w:gridCol w:w="974"/>
        <w:gridCol w:w="974"/>
        <w:gridCol w:w="974"/>
        <w:gridCol w:w="974"/>
        <w:gridCol w:w="974"/>
        <w:gridCol w:w="974"/>
        <w:gridCol w:w="960"/>
        <w:gridCol w:w="43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534" w:type="dxa"/>
            <w:vMerge w:val="restart"/>
            <w:noWrap w:val="0"/>
            <w:vAlign w:val="top"/>
          </w:tcPr>
          <w:p>
            <w:pPr>
              <w:pStyle w:val="22"/>
              <w:bidi w:val="0"/>
              <w:rPr>
                <w:rFonts w:hint="default"/>
                <w:color w:val="auto"/>
                <w:highlight w:val="none"/>
              </w:rPr>
            </w:pPr>
            <w:r>
              <w:rPr>
                <w:rFonts w:hint="default"/>
                <w:color w:val="auto"/>
                <w:highlight w:val="none"/>
              </w:rPr>
              <w:t>序号</w:t>
            </w:r>
          </w:p>
        </w:tc>
        <w:tc>
          <w:tcPr>
            <w:tcW w:w="1690" w:type="dxa"/>
            <w:vMerge w:val="restart"/>
            <w:noWrap w:val="0"/>
            <w:vAlign w:val="center"/>
          </w:tcPr>
          <w:p>
            <w:pPr>
              <w:pStyle w:val="22"/>
              <w:bidi w:val="0"/>
              <w:rPr>
                <w:rFonts w:hint="default"/>
                <w:color w:val="auto"/>
                <w:highlight w:val="none"/>
              </w:rPr>
            </w:pPr>
            <w:r>
              <w:rPr>
                <w:rFonts w:hint="default"/>
                <w:color w:val="auto"/>
                <w:highlight w:val="none"/>
              </w:rPr>
              <w:t>矿井名称</w:t>
            </w:r>
          </w:p>
        </w:tc>
        <w:tc>
          <w:tcPr>
            <w:tcW w:w="849" w:type="dxa"/>
            <w:vMerge w:val="restart"/>
            <w:noWrap w:val="0"/>
            <w:vAlign w:val="center"/>
          </w:tcPr>
          <w:p>
            <w:pPr>
              <w:pStyle w:val="22"/>
              <w:bidi w:val="0"/>
              <w:rPr>
                <w:rFonts w:hint="default"/>
                <w:color w:val="auto"/>
                <w:highlight w:val="none"/>
              </w:rPr>
            </w:pPr>
            <w:r>
              <w:rPr>
                <w:rFonts w:hint="default"/>
                <w:color w:val="auto"/>
                <w:highlight w:val="none"/>
              </w:rPr>
              <w:t>服务年限（年）</w:t>
            </w:r>
          </w:p>
        </w:tc>
        <w:tc>
          <w:tcPr>
            <w:tcW w:w="951" w:type="dxa"/>
            <w:vMerge w:val="restart"/>
            <w:noWrap w:val="0"/>
            <w:vAlign w:val="center"/>
          </w:tcPr>
          <w:p>
            <w:pPr>
              <w:pStyle w:val="22"/>
              <w:bidi w:val="0"/>
              <w:rPr>
                <w:rFonts w:hint="default"/>
                <w:color w:val="auto"/>
                <w:highlight w:val="none"/>
              </w:rPr>
            </w:pPr>
            <w:r>
              <w:rPr>
                <w:rFonts w:hint="default"/>
                <w:color w:val="auto"/>
                <w:highlight w:val="none"/>
              </w:rPr>
              <w:t>建设工期（年）</w:t>
            </w:r>
          </w:p>
        </w:tc>
        <w:tc>
          <w:tcPr>
            <w:tcW w:w="9712" w:type="dxa"/>
            <w:gridSpan w:val="10"/>
            <w:noWrap w:val="0"/>
            <w:vAlign w:val="center"/>
          </w:tcPr>
          <w:p>
            <w:pPr>
              <w:pStyle w:val="22"/>
              <w:bidi w:val="0"/>
              <w:rPr>
                <w:rFonts w:hint="default"/>
                <w:color w:val="auto"/>
                <w:highlight w:val="none"/>
              </w:rPr>
            </w:pPr>
            <w:r>
              <w:rPr>
                <w:rFonts w:hint="default"/>
                <w:color w:val="auto"/>
                <w:highlight w:val="none"/>
              </w:rPr>
              <w:t>矿井生产能力（万吨/年）</w:t>
            </w:r>
          </w:p>
        </w:tc>
        <w:tc>
          <w:tcPr>
            <w:tcW w:w="438" w:type="dxa"/>
            <w:vMerge w:val="restart"/>
            <w:noWrap w:val="0"/>
            <w:vAlign w:val="center"/>
          </w:tcPr>
          <w:p>
            <w:pPr>
              <w:pStyle w:val="22"/>
              <w:bidi w:val="0"/>
              <w:rPr>
                <w:rFonts w:hint="default"/>
                <w:color w:val="auto"/>
                <w:highlight w:val="none"/>
              </w:rPr>
            </w:pPr>
            <w:r>
              <w:rPr>
                <w:rFonts w:hint="default"/>
                <w:color w:val="auto"/>
                <w:highlight w:val="none"/>
              </w:rPr>
              <w:t>备注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534" w:type="dxa"/>
            <w:vMerge w:val="continue"/>
            <w:noWrap w:val="0"/>
            <w:vAlign w:val="top"/>
          </w:tcPr>
          <w:p>
            <w:pPr>
              <w:pStyle w:val="22"/>
              <w:bidi w:val="0"/>
              <w:rPr>
                <w:rFonts w:hint="default"/>
                <w:color w:val="auto"/>
                <w:highlight w:val="none"/>
              </w:rPr>
            </w:pPr>
          </w:p>
        </w:tc>
        <w:tc>
          <w:tcPr>
            <w:tcW w:w="1690" w:type="dxa"/>
            <w:vMerge w:val="continue"/>
            <w:noWrap w:val="0"/>
            <w:vAlign w:val="center"/>
          </w:tcPr>
          <w:p>
            <w:pPr>
              <w:pStyle w:val="22"/>
              <w:bidi w:val="0"/>
              <w:rPr>
                <w:rFonts w:hint="default"/>
                <w:color w:val="auto"/>
                <w:highlight w:val="none"/>
              </w:rPr>
            </w:pPr>
          </w:p>
        </w:tc>
        <w:tc>
          <w:tcPr>
            <w:tcW w:w="849" w:type="dxa"/>
            <w:vMerge w:val="continue"/>
            <w:noWrap w:val="0"/>
            <w:vAlign w:val="center"/>
          </w:tcPr>
          <w:p>
            <w:pPr>
              <w:pStyle w:val="22"/>
              <w:bidi w:val="0"/>
              <w:rPr>
                <w:rFonts w:hint="default"/>
                <w:color w:val="auto"/>
                <w:highlight w:val="none"/>
              </w:rPr>
            </w:pPr>
          </w:p>
        </w:tc>
        <w:tc>
          <w:tcPr>
            <w:tcW w:w="951" w:type="dxa"/>
            <w:vMerge w:val="continue"/>
            <w:noWrap w:val="0"/>
            <w:vAlign w:val="center"/>
          </w:tcPr>
          <w:p>
            <w:pPr>
              <w:pStyle w:val="22"/>
              <w:bidi w:val="0"/>
              <w:rPr>
                <w:rFonts w:hint="default"/>
                <w:color w:val="auto"/>
                <w:highlight w:val="none"/>
              </w:rPr>
            </w:pPr>
          </w:p>
        </w:tc>
        <w:tc>
          <w:tcPr>
            <w:tcW w:w="960" w:type="dxa"/>
            <w:noWrap w:val="0"/>
            <w:vAlign w:val="center"/>
          </w:tcPr>
          <w:p>
            <w:pPr>
              <w:pStyle w:val="22"/>
              <w:bidi w:val="0"/>
              <w:rPr>
                <w:rFonts w:hint="default"/>
                <w:color w:val="auto"/>
                <w:highlight w:val="none"/>
              </w:rPr>
            </w:pPr>
            <w:r>
              <w:rPr>
                <w:rFonts w:hint="default"/>
                <w:color w:val="auto"/>
                <w:highlight w:val="none"/>
              </w:rPr>
              <w:t>第1年</w:t>
            </w:r>
          </w:p>
        </w:tc>
        <w:tc>
          <w:tcPr>
            <w:tcW w:w="974" w:type="dxa"/>
            <w:noWrap w:val="0"/>
            <w:vAlign w:val="center"/>
          </w:tcPr>
          <w:p>
            <w:pPr>
              <w:pStyle w:val="22"/>
              <w:bidi w:val="0"/>
              <w:rPr>
                <w:rFonts w:hint="default"/>
                <w:color w:val="auto"/>
                <w:highlight w:val="none"/>
              </w:rPr>
            </w:pPr>
            <w:r>
              <w:rPr>
                <w:rFonts w:hint="default"/>
                <w:color w:val="auto"/>
                <w:highlight w:val="none"/>
              </w:rPr>
              <w:t>第2年</w:t>
            </w:r>
          </w:p>
        </w:tc>
        <w:tc>
          <w:tcPr>
            <w:tcW w:w="974" w:type="dxa"/>
            <w:noWrap w:val="0"/>
            <w:vAlign w:val="center"/>
          </w:tcPr>
          <w:p>
            <w:pPr>
              <w:pStyle w:val="22"/>
              <w:bidi w:val="0"/>
              <w:rPr>
                <w:rFonts w:hint="default"/>
                <w:color w:val="auto"/>
                <w:highlight w:val="none"/>
              </w:rPr>
            </w:pPr>
            <w:r>
              <w:rPr>
                <w:rFonts w:hint="default"/>
                <w:color w:val="auto"/>
                <w:highlight w:val="none"/>
              </w:rPr>
              <w:t>第3年</w:t>
            </w:r>
          </w:p>
        </w:tc>
        <w:tc>
          <w:tcPr>
            <w:tcW w:w="974" w:type="dxa"/>
            <w:noWrap w:val="0"/>
            <w:vAlign w:val="center"/>
          </w:tcPr>
          <w:p>
            <w:pPr>
              <w:pStyle w:val="22"/>
              <w:bidi w:val="0"/>
              <w:rPr>
                <w:rFonts w:hint="default"/>
                <w:color w:val="auto"/>
                <w:highlight w:val="none"/>
              </w:rPr>
            </w:pPr>
            <w:r>
              <w:rPr>
                <w:rFonts w:hint="default"/>
                <w:color w:val="auto"/>
                <w:highlight w:val="none"/>
              </w:rPr>
              <w:t>第4年</w:t>
            </w:r>
          </w:p>
        </w:tc>
        <w:tc>
          <w:tcPr>
            <w:tcW w:w="974" w:type="dxa"/>
            <w:noWrap w:val="0"/>
            <w:vAlign w:val="center"/>
          </w:tcPr>
          <w:p>
            <w:pPr>
              <w:pStyle w:val="22"/>
              <w:bidi w:val="0"/>
              <w:rPr>
                <w:rFonts w:hint="default"/>
                <w:color w:val="auto"/>
                <w:highlight w:val="none"/>
              </w:rPr>
            </w:pPr>
            <w:r>
              <w:rPr>
                <w:rFonts w:hint="default"/>
                <w:color w:val="auto"/>
                <w:highlight w:val="none"/>
              </w:rPr>
              <w:t>第5年</w:t>
            </w:r>
          </w:p>
        </w:tc>
        <w:tc>
          <w:tcPr>
            <w:tcW w:w="974" w:type="dxa"/>
            <w:noWrap w:val="0"/>
            <w:vAlign w:val="center"/>
          </w:tcPr>
          <w:p>
            <w:pPr>
              <w:pStyle w:val="22"/>
              <w:bidi w:val="0"/>
              <w:rPr>
                <w:rFonts w:hint="default"/>
                <w:color w:val="auto"/>
                <w:highlight w:val="none"/>
              </w:rPr>
            </w:pPr>
            <w:r>
              <w:rPr>
                <w:rFonts w:hint="default"/>
                <w:color w:val="auto"/>
                <w:highlight w:val="none"/>
              </w:rPr>
              <w:t>第6年</w:t>
            </w:r>
          </w:p>
        </w:tc>
        <w:tc>
          <w:tcPr>
            <w:tcW w:w="974" w:type="dxa"/>
            <w:noWrap w:val="0"/>
            <w:vAlign w:val="center"/>
          </w:tcPr>
          <w:p>
            <w:pPr>
              <w:pStyle w:val="22"/>
              <w:bidi w:val="0"/>
              <w:rPr>
                <w:rFonts w:hint="default"/>
                <w:color w:val="auto"/>
                <w:highlight w:val="none"/>
              </w:rPr>
            </w:pPr>
            <w:r>
              <w:rPr>
                <w:rFonts w:hint="default"/>
                <w:color w:val="auto"/>
                <w:highlight w:val="none"/>
              </w:rPr>
              <w:t>第7年</w:t>
            </w:r>
          </w:p>
        </w:tc>
        <w:tc>
          <w:tcPr>
            <w:tcW w:w="974" w:type="dxa"/>
            <w:noWrap w:val="0"/>
            <w:vAlign w:val="center"/>
          </w:tcPr>
          <w:p>
            <w:pPr>
              <w:pStyle w:val="22"/>
              <w:bidi w:val="0"/>
              <w:rPr>
                <w:rFonts w:hint="default"/>
                <w:color w:val="auto"/>
                <w:highlight w:val="none"/>
              </w:rPr>
            </w:pPr>
            <w:r>
              <w:rPr>
                <w:rFonts w:hint="default"/>
                <w:color w:val="auto"/>
                <w:highlight w:val="none"/>
              </w:rPr>
              <w:t>第8年</w:t>
            </w:r>
          </w:p>
        </w:tc>
        <w:tc>
          <w:tcPr>
            <w:tcW w:w="974" w:type="dxa"/>
            <w:noWrap w:val="0"/>
            <w:vAlign w:val="center"/>
          </w:tcPr>
          <w:p>
            <w:pPr>
              <w:pStyle w:val="22"/>
              <w:bidi w:val="0"/>
              <w:rPr>
                <w:rFonts w:hint="default"/>
                <w:color w:val="auto"/>
                <w:highlight w:val="none"/>
              </w:rPr>
            </w:pPr>
            <w:r>
              <w:rPr>
                <w:rFonts w:hint="default"/>
                <w:color w:val="auto"/>
                <w:highlight w:val="none"/>
              </w:rPr>
              <w:t>第9年</w:t>
            </w:r>
          </w:p>
        </w:tc>
        <w:tc>
          <w:tcPr>
            <w:tcW w:w="960" w:type="dxa"/>
            <w:noWrap w:val="0"/>
            <w:vAlign w:val="center"/>
          </w:tcPr>
          <w:p>
            <w:pPr>
              <w:pStyle w:val="22"/>
              <w:bidi w:val="0"/>
              <w:rPr>
                <w:rFonts w:hint="default"/>
                <w:color w:val="auto"/>
                <w:highlight w:val="none"/>
              </w:rPr>
            </w:pPr>
            <w:r>
              <w:rPr>
                <w:rFonts w:hint="default"/>
                <w:color w:val="auto"/>
                <w:highlight w:val="none"/>
              </w:rPr>
              <w:t>第10年</w:t>
            </w:r>
          </w:p>
        </w:tc>
        <w:tc>
          <w:tcPr>
            <w:tcW w:w="438" w:type="dxa"/>
            <w:vMerge w:val="continue"/>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1</w:t>
            </w:r>
          </w:p>
        </w:tc>
        <w:tc>
          <w:tcPr>
            <w:tcW w:w="1690" w:type="dxa"/>
            <w:noWrap w:val="0"/>
            <w:vAlign w:val="center"/>
          </w:tcPr>
          <w:p>
            <w:pPr>
              <w:pStyle w:val="22"/>
              <w:bidi w:val="0"/>
              <w:rPr>
                <w:rFonts w:hint="default"/>
                <w:color w:val="auto"/>
                <w:highlight w:val="none"/>
              </w:rPr>
            </w:pPr>
            <w:r>
              <w:rPr>
                <w:rFonts w:hint="default"/>
                <w:color w:val="auto"/>
                <w:highlight w:val="none"/>
              </w:rPr>
              <w:t>柏林煤矿</w:t>
            </w:r>
          </w:p>
        </w:tc>
        <w:tc>
          <w:tcPr>
            <w:tcW w:w="849" w:type="dxa"/>
            <w:noWrap w:val="0"/>
            <w:vAlign w:val="center"/>
          </w:tcPr>
          <w:p>
            <w:pPr>
              <w:pStyle w:val="22"/>
              <w:bidi w:val="0"/>
              <w:rPr>
                <w:rFonts w:hint="default"/>
                <w:color w:val="auto"/>
                <w:highlight w:val="none"/>
              </w:rPr>
            </w:pPr>
            <w:r>
              <w:rPr>
                <w:rFonts w:hint="default"/>
                <w:color w:val="auto"/>
                <w:highlight w:val="none"/>
              </w:rPr>
              <w:t>12.8</w:t>
            </w:r>
          </w:p>
        </w:tc>
        <w:tc>
          <w:tcPr>
            <w:tcW w:w="951" w:type="dxa"/>
            <w:noWrap w:val="0"/>
            <w:vAlign w:val="center"/>
          </w:tcPr>
          <w:p>
            <w:pPr>
              <w:pStyle w:val="22"/>
              <w:bidi w:val="0"/>
              <w:rPr>
                <w:rFonts w:hint="default"/>
                <w:color w:val="auto"/>
                <w:highlight w:val="none"/>
              </w:rPr>
            </w:pPr>
            <w:r>
              <w:rPr>
                <w:rFonts w:hint="default"/>
                <w:color w:val="auto"/>
                <w:highlight w:val="none"/>
              </w:rPr>
              <w:t>0</w:t>
            </w:r>
          </w:p>
        </w:tc>
        <w:tc>
          <w:tcPr>
            <w:tcW w:w="960"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45</w:t>
            </w:r>
          </w:p>
        </w:tc>
        <w:tc>
          <w:tcPr>
            <w:tcW w:w="960" w:type="dxa"/>
            <w:noWrap w:val="0"/>
            <w:vAlign w:val="center"/>
          </w:tcPr>
          <w:p>
            <w:pPr>
              <w:pStyle w:val="22"/>
              <w:bidi w:val="0"/>
              <w:rPr>
                <w:rFonts w:hint="default"/>
                <w:color w:val="auto"/>
                <w:highlight w:val="none"/>
              </w:rPr>
            </w:pPr>
            <w:r>
              <w:rPr>
                <w:rFonts w:hint="default"/>
                <w:color w:val="auto"/>
                <w:highlight w:val="none"/>
              </w:rPr>
              <w:t>45</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2</w:t>
            </w:r>
          </w:p>
        </w:tc>
        <w:tc>
          <w:tcPr>
            <w:tcW w:w="1690" w:type="dxa"/>
            <w:noWrap w:val="0"/>
            <w:vAlign w:val="center"/>
          </w:tcPr>
          <w:p>
            <w:pPr>
              <w:pStyle w:val="22"/>
              <w:bidi w:val="0"/>
              <w:rPr>
                <w:rFonts w:hint="default"/>
                <w:color w:val="auto"/>
                <w:highlight w:val="none"/>
              </w:rPr>
            </w:pPr>
            <w:r>
              <w:rPr>
                <w:rFonts w:hint="default"/>
                <w:color w:val="auto"/>
                <w:highlight w:val="none"/>
              </w:rPr>
              <w:t>田坝煤矿</w:t>
            </w:r>
          </w:p>
        </w:tc>
        <w:tc>
          <w:tcPr>
            <w:tcW w:w="849" w:type="dxa"/>
            <w:noWrap w:val="0"/>
            <w:vAlign w:val="center"/>
          </w:tcPr>
          <w:p>
            <w:pPr>
              <w:pStyle w:val="22"/>
              <w:bidi w:val="0"/>
              <w:rPr>
                <w:rFonts w:hint="default"/>
                <w:color w:val="auto"/>
                <w:highlight w:val="none"/>
              </w:rPr>
            </w:pPr>
            <w:r>
              <w:rPr>
                <w:rFonts w:hint="default"/>
                <w:color w:val="auto"/>
                <w:highlight w:val="none"/>
              </w:rPr>
              <w:t>6</w:t>
            </w:r>
          </w:p>
        </w:tc>
        <w:tc>
          <w:tcPr>
            <w:tcW w:w="951" w:type="dxa"/>
            <w:noWrap w:val="0"/>
            <w:vAlign w:val="center"/>
          </w:tcPr>
          <w:p>
            <w:pPr>
              <w:pStyle w:val="22"/>
              <w:bidi w:val="0"/>
              <w:rPr>
                <w:rFonts w:hint="default"/>
                <w:color w:val="auto"/>
                <w:highlight w:val="none"/>
              </w:rPr>
            </w:pPr>
            <w:r>
              <w:rPr>
                <w:rFonts w:hint="default"/>
                <w:color w:val="auto"/>
                <w:highlight w:val="none"/>
              </w:rPr>
              <w:t>0.9</w:t>
            </w:r>
          </w:p>
        </w:tc>
        <w:tc>
          <w:tcPr>
            <w:tcW w:w="960" w:type="dxa"/>
            <w:noWrap w:val="0"/>
            <w:vAlign w:val="center"/>
          </w:tcPr>
          <w:p>
            <w:pPr>
              <w:pStyle w:val="22"/>
              <w:bidi w:val="0"/>
              <w:rPr>
                <w:rFonts w:hint="default"/>
                <w:color w:val="auto"/>
                <w:highlight w:val="none"/>
              </w:rPr>
            </w:pPr>
            <w:r>
              <w:rPr>
                <w:rFonts w:hint="default"/>
                <w:color w:val="auto"/>
                <w:highlight w:val="none"/>
              </w:rPr>
              <w:t>3</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27</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3</w:t>
            </w:r>
          </w:p>
        </w:tc>
        <w:tc>
          <w:tcPr>
            <w:tcW w:w="1690" w:type="dxa"/>
            <w:noWrap w:val="0"/>
            <w:vAlign w:val="center"/>
          </w:tcPr>
          <w:p>
            <w:pPr>
              <w:pStyle w:val="22"/>
              <w:bidi w:val="0"/>
              <w:rPr>
                <w:rFonts w:hint="default"/>
                <w:color w:val="auto"/>
                <w:highlight w:val="none"/>
              </w:rPr>
            </w:pPr>
            <w:r>
              <w:rPr>
                <w:rFonts w:hint="default"/>
                <w:color w:val="auto"/>
                <w:highlight w:val="none"/>
              </w:rPr>
              <w:t>黑滩煤矿</w:t>
            </w:r>
          </w:p>
        </w:tc>
        <w:tc>
          <w:tcPr>
            <w:tcW w:w="849" w:type="dxa"/>
            <w:noWrap w:val="0"/>
            <w:vAlign w:val="center"/>
          </w:tcPr>
          <w:p>
            <w:pPr>
              <w:pStyle w:val="22"/>
              <w:bidi w:val="0"/>
              <w:rPr>
                <w:rFonts w:hint="default"/>
                <w:color w:val="auto"/>
                <w:highlight w:val="none"/>
              </w:rPr>
            </w:pPr>
            <w:r>
              <w:rPr>
                <w:rFonts w:hint="default"/>
                <w:color w:val="auto"/>
                <w:highlight w:val="none"/>
              </w:rPr>
              <w:t>6.9</w:t>
            </w:r>
          </w:p>
        </w:tc>
        <w:tc>
          <w:tcPr>
            <w:tcW w:w="951" w:type="dxa"/>
            <w:noWrap w:val="0"/>
            <w:vAlign w:val="center"/>
          </w:tcPr>
          <w:p>
            <w:pPr>
              <w:pStyle w:val="22"/>
              <w:bidi w:val="0"/>
              <w:rPr>
                <w:rFonts w:hint="default"/>
                <w:color w:val="auto"/>
                <w:highlight w:val="none"/>
              </w:rPr>
            </w:pPr>
            <w:r>
              <w:rPr>
                <w:rFonts w:hint="default"/>
                <w:color w:val="auto"/>
                <w:highlight w:val="none"/>
              </w:rPr>
              <w:t>1.5</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12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4</w:t>
            </w:r>
          </w:p>
        </w:tc>
        <w:tc>
          <w:tcPr>
            <w:tcW w:w="1690" w:type="dxa"/>
            <w:noWrap w:val="0"/>
            <w:vAlign w:val="center"/>
          </w:tcPr>
          <w:p>
            <w:pPr>
              <w:pStyle w:val="22"/>
              <w:bidi w:val="0"/>
              <w:rPr>
                <w:rFonts w:hint="default"/>
                <w:color w:val="auto"/>
                <w:highlight w:val="none"/>
              </w:rPr>
            </w:pPr>
            <w:r>
              <w:rPr>
                <w:rFonts w:hint="default"/>
                <w:color w:val="auto"/>
                <w:highlight w:val="none"/>
              </w:rPr>
              <w:t>大河沟煤矿</w:t>
            </w:r>
          </w:p>
        </w:tc>
        <w:tc>
          <w:tcPr>
            <w:tcW w:w="849" w:type="dxa"/>
            <w:noWrap w:val="0"/>
            <w:vAlign w:val="center"/>
          </w:tcPr>
          <w:p>
            <w:pPr>
              <w:pStyle w:val="22"/>
              <w:bidi w:val="0"/>
              <w:rPr>
                <w:rFonts w:hint="default"/>
                <w:color w:val="auto"/>
                <w:highlight w:val="none"/>
              </w:rPr>
            </w:pPr>
            <w:r>
              <w:rPr>
                <w:rFonts w:hint="default"/>
                <w:color w:val="auto"/>
                <w:highlight w:val="none"/>
              </w:rPr>
              <w:t>13.3</w:t>
            </w:r>
          </w:p>
        </w:tc>
        <w:tc>
          <w:tcPr>
            <w:tcW w:w="951" w:type="dxa"/>
            <w:noWrap w:val="0"/>
            <w:vAlign w:val="center"/>
          </w:tcPr>
          <w:p>
            <w:pPr>
              <w:pStyle w:val="22"/>
              <w:bidi w:val="0"/>
              <w:rPr>
                <w:rFonts w:hint="default"/>
                <w:color w:val="auto"/>
                <w:highlight w:val="none"/>
              </w:rPr>
            </w:pPr>
            <w:r>
              <w:rPr>
                <w:rFonts w:hint="default"/>
                <w:color w:val="auto"/>
                <w:highlight w:val="none"/>
              </w:rPr>
              <w:t>0</w:t>
            </w:r>
          </w:p>
        </w:tc>
        <w:tc>
          <w:tcPr>
            <w:tcW w:w="960"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60" w:type="dxa"/>
            <w:noWrap w:val="0"/>
            <w:vAlign w:val="center"/>
          </w:tcPr>
          <w:p>
            <w:pPr>
              <w:pStyle w:val="22"/>
              <w:bidi w:val="0"/>
              <w:rPr>
                <w:rFonts w:hint="default"/>
                <w:color w:val="auto"/>
                <w:highlight w:val="none"/>
              </w:rPr>
            </w:pPr>
            <w:r>
              <w:rPr>
                <w:rFonts w:hint="default"/>
                <w:color w:val="auto"/>
                <w:highlight w:val="none"/>
              </w:rPr>
              <w:t>15</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5</w:t>
            </w:r>
          </w:p>
        </w:tc>
        <w:tc>
          <w:tcPr>
            <w:tcW w:w="1690" w:type="dxa"/>
            <w:noWrap w:val="0"/>
            <w:vAlign w:val="center"/>
          </w:tcPr>
          <w:p>
            <w:pPr>
              <w:pStyle w:val="22"/>
              <w:bidi w:val="0"/>
              <w:rPr>
                <w:rFonts w:hint="default"/>
                <w:color w:val="auto"/>
                <w:highlight w:val="none"/>
              </w:rPr>
            </w:pPr>
            <w:r>
              <w:rPr>
                <w:rFonts w:hint="default"/>
                <w:color w:val="auto"/>
                <w:highlight w:val="none"/>
              </w:rPr>
              <w:t>大硐坪煤矿</w:t>
            </w:r>
          </w:p>
        </w:tc>
        <w:tc>
          <w:tcPr>
            <w:tcW w:w="849" w:type="dxa"/>
            <w:noWrap w:val="0"/>
            <w:vAlign w:val="center"/>
          </w:tcPr>
          <w:p>
            <w:pPr>
              <w:pStyle w:val="22"/>
              <w:bidi w:val="0"/>
              <w:rPr>
                <w:rFonts w:hint="default"/>
                <w:color w:val="auto"/>
                <w:highlight w:val="none"/>
              </w:rPr>
            </w:pPr>
            <w:r>
              <w:rPr>
                <w:rFonts w:hint="default"/>
                <w:color w:val="auto"/>
                <w:highlight w:val="none"/>
              </w:rPr>
              <w:t>8.4</w:t>
            </w:r>
          </w:p>
        </w:tc>
        <w:tc>
          <w:tcPr>
            <w:tcW w:w="951" w:type="dxa"/>
            <w:noWrap w:val="0"/>
            <w:vAlign w:val="center"/>
          </w:tcPr>
          <w:p>
            <w:pPr>
              <w:pStyle w:val="22"/>
              <w:bidi w:val="0"/>
              <w:rPr>
                <w:rFonts w:hint="default"/>
                <w:color w:val="auto"/>
                <w:highlight w:val="none"/>
              </w:rPr>
            </w:pPr>
            <w:r>
              <w:rPr>
                <w:rFonts w:hint="default"/>
                <w:color w:val="auto"/>
                <w:highlight w:val="none"/>
              </w:rPr>
              <w:t>0</w:t>
            </w:r>
          </w:p>
        </w:tc>
        <w:tc>
          <w:tcPr>
            <w:tcW w:w="960"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　</w:t>
            </w:r>
          </w:p>
        </w:tc>
        <w:tc>
          <w:tcPr>
            <w:tcW w:w="974" w:type="dxa"/>
            <w:noWrap w:val="0"/>
            <w:vAlign w:val="center"/>
          </w:tcPr>
          <w:p>
            <w:pPr>
              <w:pStyle w:val="22"/>
              <w:bidi w:val="0"/>
              <w:rPr>
                <w:rFonts w:hint="default"/>
                <w:color w:val="auto"/>
                <w:highlight w:val="none"/>
              </w:rPr>
            </w:pPr>
            <w:r>
              <w:rPr>
                <w:rFonts w:hint="default"/>
                <w:color w:val="auto"/>
                <w:highlight w:val="none"/>
              </w:rPr>
              <w:t>　15</w:t>
            </w:r>
          </w:p>
        </w:tc>
        <w:tc>
          <w:tcPr>
            <w:tcW w:w="974" w:type="dxa"/>
            <w:noWrap w:val="0"/>
            <w:vAlign w:val="center"/>
          </w:tcPr>
          <w:p>
            <w:pPr>
              <w:pStyle w:val="22"/>
              <w:bidi w:val="0"/>
              <w:rPr>
                <w:rFonts w:hint="default"/>
                <w:color w:val="auto"/>
                <w:highlight w:val="none"/>
              </w:rPr>
            </w:pPr>
            <w:r>
              <w:rPr>
                <w:rFonts w:hint="default"/>
                <w:color w:val="auto"/>
                <w:highlight w:val="none"/>
              </w:rPr>
              <w:t>7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6</w:t>
            </w:r>
          </w:p>
        </w:tc>
        <w:tc>
          <w:tcPr>
            <w:tcW w:w="1690" w:type="dxa"/>
            <w:noWrap w:val="0"/>
            <w:vAlign w:val="center"/>
          </w:tcPr>
          <w:p>
            <w:pPr>
              <w:pStyle w:val="22"/>
              <w:bidi w:val="0"/>
              <w:rPr>
                <w:rFonts w:hint="default"/>
                <w:color w:val="auto"/>
                <w:highlight w:val="none"/>
              </w:rPr>
            </w:pPr>
            <w:r>
              <w:rPr>
                <w:rFonts w:hint="default"/>
                <w:color w:val="auto"/>
                <w:highlight w:val="none"/>
              </w:rPr>
              <w:t>新桥红星煤矿</w:t>
            </w:r>
          </w:p>
        </w:tc>
        <w:tc>
          <w:tcPr>
            <w:tcW w:w="849" w:type="dxa"/>
            <w:noWrap w:val="0"/>
            <w:vAlign w:val="center"/>
          </w:tcPr>
          <w:p>
            <w:pPr>
              <w:pStyle w:val="22"/>
              <w:bidi w:val="0"/>
              <w:rPr>
                <w:rFonts w:hint="default"/>
                <w:color w:val="auto"/>
                <w:highlight w:val="none"/>
              </w:rPr>
            </w:pPr>
            <w:r>
              <w:rPr>
                <w:rFonts w:hint="default"/>
                <w:color w:val="auto"/>
                <w:highlight w:val="none"/>
              </w:rPr>
              <w:t>7.1</w:t>
            </w:r>
          </w:p>
        </w:tc>
        <w:tc>
          <w:tcPr>
            <w:tcW w:w="951" w:type="dxa"/>
            <w:noWrap w:val="0"/>
            <w:vAlign w:val="center"/>
          </w:tcPr>
          <w:p>
            <w:pPr>
              <w:pStyle w:val="22"/>
              <w:bidi w:val="0"/>
              <w:rPr>
                <w:rFonts w:hint="default"/>
                <w:color w:val="auto"/>
                <w:highlight w:val="none"/>
              </w:rPr>
            </w:pPr>
            <w:r>
              <w:rPr>
                <w:rFonts w:hint="default"/>
                <w:color w:val="auto"/>
                <w:highlight w:val="none"/>
              </w:rPr>
              <w:t>1.4</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18</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15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p>
        </w:tc>
        <w:tc>
          <w:tcPr>
            <w:tcW w:w="1690" w:type="dxa"/>
            <w:noWrap w:val="0"/>
            <w:vAlign w:val="center"/>
          </w:tcPr>
          <w:p>
            <w:pPr>
              <w:pStyle w:val="22"/>
              <w:bidi w:val="0"/>
              <w:rPr>
                <w:rFonts w:hint="default"/>
                <w:color w:val="auto"/>
                <w:highlight w:val="none"/>
              </w:rPr>
            </w:pPr>
            <w:r>
              <w:rPr>
                <w:rFonts w:hint="default"/>
                <w:color w:val="auto"/>
                <w:highlight w:val="none"/>
              </w:rPr>
              <w:t>小计</w:t>
            </w:r>
          </w:p>
        </w:tc>
        <w:tc>
          <w:tcPr>
            <w:tcW w:w="849" w:type="dxa"/>
            <w:noWrap w:val="0"/>
            <w:vAlign w:val="center"/>
          </w:tcPr>
          <w:p>
            <w:pPr>
              <w:pStyle w:val="22"/>
              <w:bidi w:val="0"/>
              <w:rPr>
                <w:rFonts w:hint="default"/>
                <w:color w:val="auto"/>
                <w:highlight w:val="none"/>
              </w:rPr>
            </w:pPr>
          </w:p>
        </w:tc>
        <w:tc>
          <w:tcPr>
            <w:tcW w:w="951" w:type="dxa"/>
            <w:noWrap w:val="0"/>
            <w:vAlign w:val="center"/>
          </w:tcPr>
          <w:p>
            <w:pPr>
              <w:pStyle w:val="22"/>
              <w:bidi w:val="0"/>
              <w:rPr>
                <w:rFonts w:hint="default"/>
                <w:color w:val="auto"/>
                <w:highlight w:val="none"/>
              </w:rPr>
            </w:pPr>
          </w:p>
        </w:tc>
        <w:tc>
          <w:tcPr>
            <w:tcW w:w="960" w:type="dxa"/>
            <w:noWrap w:val="0"/>
            <w:vAlign w:val="center"/>
          </w:tcPr>
          <w:p>
            <w:pPr>
              <w:pStyle w:val="22"/>
              <w:bidi w:val="0"/>
              <w:rPr>
                <w:rFonts w:hint="default"/>
                <w:color w:val="auto"/>
                <w:highlight w:val="none"/>
              </w:rPr>
            </w:pPr>
            <w:r>
              <w:rPr>
                <w:rFonts w:hint="default"/>
                <w:color w:val="auto"/>
                <w:highlight w:val="none"/>
              </w:rPr>
              <w:t>78</w:t>
            </w:r>
          </w:p>
        </w:tc>
        <w:tc>
          <w:tcPr>
            <w:tcW w:w="974" w:type="dxa"/>
            <w:noWrap w:val="0"/>
            <w:vAlign w:val="center"/>
          </w:tcPr>
          <w:p>
            <w:pPr>
              <w:pStyle w:val="22"/>
              <w:bidi w:val="0"/>
              <w:rPr>
                <w:rFonts w:hint="default"/>
                <w:color w:val="auto"/>
                <w:highlight w:val="none"/>
              </w:rPr>
            </w:pPr>
            <w:r>
              <w:rPr>
                <w:rFonts w:hint="default"/>
                <w:color w:val="auto"/>
                <w:highlight w:val="none"/>
              </w:rPr>
              <w:t>138</w:t>
            </w:r>
          </w:p>
        </w:tc>
        <w:tc>
          <w:tcPr>
            <w:tcW w:w="974" w:type="dxa"/>
            <w:noWrap w:val="0"/>
            <w:vAlign w:val="center"/>
          </w:tcPr>
          <w:p>
            <w:pPr>
              <w:pStyle w:val="22"/>
              <w:bidi w:val="0"/>
              <w:rPr>
                <w:rFonts w:hint="default"/>
                <w:color w:val="auto"/>
                <w:highlight w:val="none"/>
              </w:rPr>
            </w:pPr>
            <w:r>
              <w:rPr>
                <w:rFonts w:hint="default"/>
                <w:color w:val="auto"/>
                <w:highlight w:val="none"/>
              </w:rPr>
              <w:t>165</w:t>
            </w:r>
          </w:p>
        </w:tc>
        <w:tc>
          <w:tcPr>
            <w:tcW w:w="974" w:type="dxa"/>
            <w:noWrap w:val="0"/>
            <w:vAlign w:val="center"/>
          </w:tcPr>
          <w:p>
            <w:pPr>
              <w:pStyle w:val="22"/>
              <w:bidi w:val="0"/>
              <w:rPr>
                <w:rFonts w:hint="default"/>
                <w:color w:val="auto"/>
                <w:highlight w:val="none"/>
              </w:rPr>
            </w:pPr>
            <w:r>
              <w:rPr>
                <w:rFonts w:hint="default"/>
                <w:color w:val="auto"/>
                <w:highlight w:val="none"/>
              </w:rPr>
              <w:t>165</w:t>
            </w:r>
          </w:p>
        </w:tc>
        <w:tc>
          <w:tcPr>
            <w:tcW w:w="974" w:type="dxa"/>
            <w:noWrap w:val="0"/>
            <w:vAlign w:val="center"/>
          </w:tcPr>
          <w:p>
            <w:pPr>
              <w:pStyle w:val="22"/>
              <w:bidi w:val="0"/>
              <w:rPr>
                <w:rFonts w:hint="default"/>
                <w:color w:val="auto"/>
                <w:highlight w:val="none"/>
              </w:rPr>
            </w:pPr>
            <w:r>
              <w:rPr>
                <w:rFonts w:hint="default"/>
                <w:color w:val="auto"/>
                <w:highlight w:val="none"/>
              </w:rPr>
              <w:t>165</w:t>
            </w:r>
          </w:p>
        </w:tc>
        <w:tc>
          <w:tcPr>
            <w:tcW w:w="974" w:type="dxa"/>
            <w:noWrap w:val="0"/>
            <w:vAlign w:val="center"/>
          </w:tcPr>
          <w:p>
            <w:pPr>
              <w:pStyle w:val="22"/>
              <w:bidi w:val="0"/>
              <w:rPr>
                <w:rFonts w:hint="default"/>
                <w:color w:val="auto"/>
                <w:highlight w:val="none"/>
              </w:rPr>
            </w:pPr>
            <w:r>
              <w:rPr>
                <w:rFonts w:hint="default"/>
                <w:color w:val="auto"/>
                <w:highlight w:val="none"/>
              </w:rPr>
              <w:t>165</w:t>
            </w:r>
          </w:p>
        </w:tc>
        <w:tc>
          <w:tcPr>
            <w:tcW w:w="974" w:type="dxa"/>
            <w:noWrap w:val="0"/>
            <w:vAlign w:val="center"/>
          </w:tcPr>
          <w:p>
            <w:pPr>
              <w:pStyle w:val="22"/>
              <w:bidi w:val="0"/>
              <w:rPr>
                <w:rFonts w:hint="default"/>
                <w:color w:val="auto"/>
                <w:highlight w:val="none"/>
              </w:rPr>
            </w:pPr>
            <w:r>
              <w:rPr>
                <w:rFonts w:hint="default"/>
                <w:color w:val="auto"/>
                <w:highlight w:val="none"/>
              </w:rPr>
              <w:t>162</w:t>
            </w:r>
          </w:p>
        </w:tc>
        <w:tc>
          <w:tcPr>
            <w:tcW w:w="974" w:type="dxa"/>
            <w:noWrap w:val="0"/>
            <w:vAlign w:val="center"/>
          </w:tcPr>
          <w:p>
            <w:pPr>
              <w:pStyle w:val="22"/>
              <w:bidi w:val="0"/>
              <w:rPr>
                <w:rFonts w:hint="default"/>
                <w:color w:val="auto"/>
                <w:highlight w:val="none"/>
              </w:rPr>
            </w:pPr>
            <w:r>
              <w:rPr>
                <w:rFonts w:hint="default"/>
                <w:color w:val="auto"/>
                <w:highlight w:val="none"/>
              </w:rPr>
              <w:t>135</w:t>
            </w:r>
          </w:p>
        </w:tc>
        <w:tc>
          <w:tcPr>
            <w:tcW w:w="974" w:type="dxa"/>
            <w:noWrap w:val="0"/>
            <w:vAlign w:val="center"/>
          </w:tcPr>
          <w:p>
            <w:pPr>
              <w:pStyle w:val="22"/>
              <w:bidi w:val="0"/>
              <w:rPr>
                <w:rFonts w:hint="default"/>
                <w:color w:val="auto"/>
                <w:highlight w:val="none"/>
              </w:rPr>
            </w:pPr>
            <w:r>
              <w:rPr>
                <w:rFonts w:hint="default"/>
                <w:color w:val="auto"/>
                <w:highlight w:val="none"/>
              </w:rPr>
              <w:t>94</w:t>
            </w:r>
          </w:p>
        </w:tc>
        <w:tc>
          <w:tcPr>
            <w:tcW w:w="960" w:type="dxa"/>
            <w:noWrap w:val="0"/>
            <w:vAlign w:val="center"/>
          </w:tcPr>
          <w:p>
            <w:pPr>
              <w:pStyle w:val="22"/>
              <w:bidi w:val="0"/>
              <w:rPr>
                <w:rFonts w:hint="default"/>
                <w:color w:val="auto"/>
                <w:highlight w:val="none"/>
              </w:rPr>
            </w:pPr>
            <w:r>
              <w:rPr>
                <w:rFonts w:hint="default"/>
                <w:color w:val="auto"/>
                <w:highlight w:val="none"/>
              </w:rPr>
              <w:t>60</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1</w:t>
            </w:r>
          </w:p>
        </w:tc>
        <w:tc>
          <w:tcPr>
            <w:tcW w:w="1690" w:type="dxa"/>
            <w:noWrap w:val="0"/>
            <w:vAlign w:val="center"/>
          </w:tcPr>
          <w:p>
            <w:pPr>
              <w:pStyle w:val="22"/>
              <w:bidi w:val="0"/>
              <w:rPr>
                <w:rFonts w:hint="default"/>
                <w:color w:val="auto"/>
                <w:highlight w:val="none"/>
              </w:rPr>
            </w:pPr>
            <w:r>
              <w:rPr>
                <w:rFonts w:hint="default"/>
                <w:color w:val="auto"/>
                <w:highlight w:val="none"/>
              </w:rPr>
              <w:t>堡子煤矿</w:t>
            </w:r>
          </w:p>
        </w:tc>
        <w:tc>
          <w:tcPr>
            <w:tcW w:w="849" w:type="dxa"/>
            <w:noWrap w:val="0"/>
            <w:vAlign w:val="center"/>
          </w:tcPr>
          <w:p>
            <w:pPr>
              <w:pStyle w:val="22"/>
              <w:bidi w:val="0"/>
              <w:rPr>
                <w:rFonts w:hint="default"/>
                <w:color w:val="auto"/>
                <w:highlight w:val="none"/>
              </w:rPr>
            </w:pPr>
            <w:r>
              <w:rPr>
                <w:rFonts w:hint="default"/>
                <w:color w:val="auto"/>
                <w:highlight w:val="none"/>
              </w:rPr>
              <w:t>5.7</w:t>
            </w:r>
          </w:p>
        </w:tc>
        <w:tc>
          <w:tcPr>
            <w:tcW w:w="951" w:type="dxa"/>
            <w:noWrap w:val="0"/>
            <w:vAlign w:val="center"/>
          </w:tcPr>
          <w:p>
            <w:pPr>
              <w:pStyle w:val="22"/>
              <w:bidi w:val="0"/>
              <w:rPr>
                <w:rFonts w:hint="default"/>
                <w:color w:val="auto"/>
                <w:highlight w:val="none"/>
              </w:rPr>
            </w:pPr>
            <w:r>
              <w:rPr>
                <w:rFonts w:hint="default"/>
                <w:color w:val="auto"/>
                <w:highlight w:val="none"/>
              </w:rPr>
              <w:t>0</w:t>
            </w:r>
          </w:p>
        </w:tc>
        <w:tc>
          <w:tcPr>
            <w:tcW w:w="960"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21</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2</w:t>
            </w:r>
          </w:p>
        </w:tc>
        <w:tc>
          <w:tcPr>
            <w:tcW w:w="1690" w:type="dxa"/>
            <w:noWrap w:val="0"/>
            <w:vAlign w:val="center"/>
          </w:tcPr>
          <w:p>
            <w:pPr>
              <w:pStyle w:val="22"/>
              <w:bidi w:val="0"/>
              <w:rPr>
                <w:rFonts w:hint="default"/>
                <w:color w:val="auto"/>
                <w:highlight w:val="none"/>
              </w:rPr>
            </w:pPr>
            <w:r>
              <w:rPr>
                <w:rFonts w:hint="default"/>
                <w:color w:val="auto"/>
                <w:highlight w:val="none"/>
              </w:rPr>
              <w:t>荣华煤矿</w:t>
            </w:r>
          </w:p>
        </w:tc>
        <w:tc>
          <w:tcPr>
            <w:tcW w:w="849" w:type="dxa"/>
            <w:noWrap w:val="0"/>
            <w:vAlign w:val="center"/>
          </w:tcPr>
          <w:p>
            <w:pPr>
              <w:pStyle w:val="22"/>
              <w:bidi w:val="0"/>
              <w:rPr>
                <w:rFonts w:hint="default"/>
                <w:color w:val="auto"/>
                <w:highlight w:val="none"/>
              </w:rPr>
            </w:pPr>
            <w:r>
              <w:rPr>
                <w:rFonts w:hint="default"/>
                <w:color w:val="auto"/>
                <w:highlight w:val="none"/>
              </w:rPr>
              <w:t>7.8</w:t>
            </w:r>
          </w:p>
        </w:tc>
        <w:tc>
          <w:tcPr>
            <w:tcW w:w="951" w:type="dxa"/>
            <w:noWrap w:val="0"/>
            <w:vAlign w:val="center"/>
          </w:tcPr>
          <w:p>
            <w:pPr>
              <w:pStyle w:val="22"/>
              <w:bidi w:val="0"/>
              <w:rPr>
                <w:rFonts w:hint="default"/>
                <w:color w:val="auto"/>
                <w:highlight w:val="none"/>
              </w:rPr>
            </w:pPr>
            <w:r>
              <w:rPr>
                <w:rFonts w:hint="default"/>
                <w:color w:val="auto"/>
                <w:highlight w:val="none"/>
              </w:rPr>
              <w:t>1.5</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60" w:type="dxa"/>
            <w:noWrap w:val="0"/>
            <w:vAlign w:val="center"/>
          </w:tcPr>
          <w:p>
            <w:pPr>
              <w:pStyle w:val="22"/>
              <w:bidi w:val="0"/>
              <w:rPr>
                <w:rFonts w:hint="default"/>
                <w:color w:val="auto"/>
                <w:highlight w:val="none"/>
              </w:rPr>
            </w:pPr>
            <w:r>
              <w:rPr>
                <w:rFonts w:hint="default"/>
                <w:color w:val="auto"/>
                <w:highlight w:val="none"/>
              </w:rPr>
              <w:t>9</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3</w:t>
            </w:r>
          </w:p>
        </w:tc>
        <w:tc>
          <w:tcPr>
            <w:tcW w:w="1690" w:type="dxa"/>
            <w:noWrap w:val="0"/>
            <w:vAlign w:val="center"/>
          </w:tcPr>
          <w:p>
            <w:pPr>
              <w:pStyle w:val="22"/>
              <w:bidi w:val="0"/>
              <w:rPr>
                <w:rFonts w:hint="default"/>
                <w:color w:val="auto"/>
                <w:highlight w:val="none"/>
              </w:rPr>
            </w:pPr>
            <w:r>
              <w:rPr>
                <w:rFonts w:hint="default"/>
                <w:color w:val="auto"/>
                <w:highlight w:val="none"/>
              </w:rPr>
              <w:t>华家沟煤矿</w:t>
            </w:r>
          </w:p>
        </w:tc>
        <w:tc>
          <w:tcPr>
            <w:tcW w:w="849" w:type="dxa"/>
            <w:noWrap w:val="0"/>
            <w:vAlign w:val="center"/>
          </w:tcPr>
          <w:p>
            <w:pPr>
              <w:pStyle w:val="22"/>
              <w:bidi w:val="0"/>
              <w:rPr>
                <w:rFonts w:hint="default"/>
                <w:color w:val="auto"/>
                <w:highlight w:val="none"/>
              </w:rPr>
            </w:pPr>
            <w:r>
              <w:rPr>
                <w:rFonts w:hint="default"/>
                <w:color w:val="auto"/>
                <w:highlight w:val="none"/>
              </w:rPr>
              <w:t>7.3</w:t>
            </w:r>
          </w:p>
        </w:tc>
        <w:tc>
          <w:tcPr>
            <w:tcW w:w="951" w:type="dxa"/>
            <w:noWrap w:val="0"/>
            <w:vAlign w:val="center"/>
          </w:tcPr>
          <w:p>
            <w:pPr>
              <w:pStyle w:val="22"/>
              <w:bidi w:val="0"/>
              <w:rPr>
                <w:rFonts w:hint="default"/>
                <w:color w:val="auto"/>
                <w:highlight w:val="none"/>
              </w:rPr>
            </w:pPr>
            <w:r>
              <w:rPr>
                <w:rFonts w:hint="default"/>
                <w:color w:val="auto"/>
                <w:highlight w:val="none"/>
              </w:rPr>
              <w:t>1.5</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24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4</w:t>
            </w:r>
          </w:p>
        </w:tc>
        <w:tc>
          <w:tcPr>
            <w:tcW w:w="1690" w:type="dxa"/>
            <w:noWrap w:val="0"/>
            <w:vAlign w:val="center"/>
          </w:tcPr>
          <w:p>
            <w:pPr>
              <w:pStyle w:val="22"/>
              <w:bidi w:val="0"/>
              <w:rPr>
                <w:rFonts w:hint="default"/>
                <w:color w:val="auto"/>
                <w:highlight w:val="none"/>
              </w:rPr>
            </w:pPr>
            <w:r>
              <w:rPr>
                <w:rFonts w:hint="default"/>
                <w:color w:val="auto"/>
                <w:highlight w:val="none"/>
              </w:rPr>
              <w:t>孔家沟煤矿</w:t>
            </w:r>
          </w:p>
        </w:tc>
        <w:tc>
          <w:tcPr>
            <w:tcW w:w="849" w:type="dxa"/>
            <w:noWrap w:val="0"/>
            <w:vAlign w:val="center"/>
          </w:tcPr>
          <w:p>
            <w:pPr>
              <w:pStyle w:val="22"/>
              <w:bidi w:val="0"/>
              <w:rPr>
                <w:rFonts w:hint="default"/>
                <w:color w:val="auto"/>
                <w:highlight w:val="none"/>
              </w:rPr>
            </w:pPr>
            <w:r>
              <w:rPr>
                <w:rFonts w:hint="default"/>
                <w:color w:val="auto"/>
                <w:highlight w:val="none"/>
              </w:rPr>
              <w:t>9.5</w:t>
            </w:r>
          </w:p>
        </w:tc>
        <w:tc>
          <w:tcPr>
            <w:tcW w:w="951" w:type="dxa"/>
            <w:noWrap w:val="0"/>
            <w:vAlign w:val="center"/>
          </w:tcPr>
          <w:p>
            <w:pPr>
              <w:pStyle w:val="22"/>
              <w:bidi w:val="0"/>
              <w:rPr>
                <w:rFonts w:hint="default"/>
                <w:color w:val="auto"/>
                <w:highlight w:val="none"/>
              </w:rPr>
            </w:pPr>
            <w:r>
              <w:rPr>
                <w:rFonts w:hint="default"/>
                <w:color w:val="auto"/>
                <w:highlight w:val="none"/>
              </w:rPr>
              <w:t>1.9</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3</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60" w:type="dxa"/>
            <w:noWrap w:val="0"/>
            <w:vAlign w:val="center"/>
          </w:tcPr>
          <w:p>
            <w:pPr>
              <w:pStyle w:val="22"/>
              <w:bidi w:val="0"/>
              <w:rPr>
                <w:rFonts w:hint="default"/>
                <w:color w:val="auto"/>
                <w:highlight w:val="none"/>
              </w:rPr>
            </w:pPr>
            <w:r>
              <w:rPr>
                <w:rFonts w:hint="default"/>
                <w:color w:val="auto"/>
                <w:highlight w:val="none"/>
              </w:rPr>
              <w:t>30</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5</w:t>
            </w:r>
          </w:p>
        </w:tc>
        <w:tc>
          <w:tcPr>
            <w:tcW w:w="1690" w:type="dxa"/>
            <w:noWrap w:val="0"/>
            <w:vAlign w:val="center"/>
          </w:tcPr>
          <w:p>
            <w:pPr>
              <w:pStyle w:val="22"/>
              <w:bidi w:val="0"/>
              <w:rPr>
                <w:rFonts w:hint="default"/>
                <w:color w:val="auto"/>
                <w:highlight w:val="none"/>
              </w:rPr>
            </w:pPr>
            <w:r>
              <w:rPr>
                <w:rFonts w:hint="default"/>
                <w:color w:val="auto"/>
                <w:highlight w:val="none"/>
              </w:rPr>
              <w:t>刘家沟联合煤矿</w:t>
            </w:r>
          </w:p>
        </w:tc>
        <w:tc>
          <w:tcPr>
            <w:tcW w:w="849" w:type="dxa"/>
            <w:noWrap w:val="0"/>
            <w:vAlign w:val="center"/>
          </w:tcPr>
          <w:p>
            <w:pPr>
              <w:pStyle w:val="22"/>
              <w:bidi w:val="0"/>
              <w:rPr>
                <w:rFonts w:hint="default"/>
                <w:color w:val="auto"/>
                <w:highlight w:val="none"/>
              </w:rPr>
            </w:pPr>
            <w:r>
              <w:rPr>
                <w:rFonts w:hint="default"/>
                <w:color w:val="auto"/>
                <w:highlight w:val="none"/>
              </w:rPr>
              <w:t>8.6</w:t>
            </w:r>
          </w:p>
        </w:tc>
        <w:tc>
          <w:tcPr>
            <w:tcW w:w="951" w:type="dxa"/>
            <w:noWrap w:val="0"/>
            <w:vAlign w:val="center"/>
          </w:tcPr>
          <w:p>
            <w:pPr>
              <w:pStyle w:val="22"/>
              <w:bidi w:val="0"/>
              <w:rPr>
                <w:rFonts w:hint="default"/>
                <w:color w:val="auto"/>
                <w:highlight w:val="none"/>
              </w:rPr>
            </w:pPr>
            <w:r>
              <w:rPr>
                <w:rFonts w:hint="default"/>
                <w:color w:val="auto"/>
                <w:highlight w:val="none"/>
              </w:rPr>
              <w:t>1.6</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12</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60" w:type="dxa"/>
            <w:noWrap w:val="0"/>
            <w:vAlign w:val="center"/>
          </w:tcPr>
          <w:p>
            <w:pPr>
              <w:pStyle w:val="22"/>
              <w:bidi w:val="0"/>
              <w:rPr>
                <w:rFonts w:hint="default"/>
                <w:color w:val="auto"/>
                <w:highlight w:val="none"/>
              </w:rPr>
            </w:pPr>
            <w:r>
              <w:rPr>
                <w:rFonts w:hint="default"/>
                <w:color w:val="auto"/>
                <w:highlight w:val="none"/>
              </w:rPr>
              <w:t>30</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6</w:t>
            </w:r>
          </w:p>
        </w:tc>
        <w:tc>
          <w:tcPr>
            <w:tcW w:w="1690" w:type="dxa"/>
            <w:noWrap w:val="0"/>
            <w:vAlign w:val="center"/>
          </w:tcPr>
          <w:p>
            <w:pPr>
              <w:pStyle w:val="22"/>
              <w:bidi w:val="0"/>
              <w:rPr>
                <w:rFonts w:hint="default"/>
                <w:color w:val="auto"/>
                <w:highlight w:val="none"/>
              </w:rPr>
            </w:pPr>
            <w:r>
              <w:rPr>
                <w:rFonts w:hint="default"/>
                <w:color w:val="auto"/>
                <w:highlight w:val="none"/>
              </w:rPr>
              <w:t>牛郎沟煤矿</w:t>
            </w:r>
          </w:p>
        </w:tc>
        <w:tc>
          <w:tcPr>
            <w:tcW w:w="849" w:type="dxa"/>
            <w:noWrap w:val="0"/>
            <w:vAlign w:val="center"/>
          </w:tcPr>
          <w:p>
            <w:pPr>
              <w:pStyle w:val="22"/>
              <w:bidi w:val="0"/>
              <w:rPr>
                <w:rFonts w:hint="default"/>
                <w:color w:val="auto"/>
                <w:highlight w:val="none"/>
              </w:rPr>
            </w:pPr>
            <w:r>
              <w:rPr>
                <w:rFonts w:hint="default"/>
                <w:color w:val="auto"/>
                <w:highlight w:val="none"/>
              </w:rPr>
              <w:t>6.5</w:t>
            </w:r>
          </w:p>
        </w:tc>
        <w:tc>
          <w:tcPr>
            <w:tcW w:w="951" w:type="dxa"/>
            <w:noWrap w:val="0"/>
            <w:vAlign w:val="center"/>
          </w:tcPr>
          <w:p>
            <w:pPr>
              <w:pStyle w:val="22"/>
              <w:bidi w:val="0"/>
              <w:rPr>
                <w:rFonts w:hint="default"/>
                <w:color w:val="auto"/>
                <w:highlight w:val="none"/>
              </w:rPr>
            </w:pPr>
            <w:r>
              <w:rPr>
                <w:rFonts w:hint="default"/>
                <w:color w:val="auto"/>
                <w:highlight w:val="none"/>
              </w:rPr>
              <w:t>2</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7</w:t>
            </w:r>
          </w:p>
        </w:tc>
        <w:tc>
          <w:tcPr>
            <w:tcW w:w="1690" w:type="dxa"/>
            <w:noWrap w:val="0"/>
            <w:vAlign w:val="center"/>
          </w:tcPr>
          <w:p>
            <w:pPr>
              <w:pStyle w:val="22"/>
              <w:bidi w:val="0"/>
              <w:rPr>
                <w:rFonts w:hint="default"/>
                <w:color w:val="auto"/>
                <w:highlight w:val="none"/>
              </w:rPr>
            </w:pPr>
            <w:r>
              <w:rPr>
                <w:rFonts w:hint="default"/>
                <w:color w:val="auto"/>
                <w:highlight w:val="none"/>
              </w:rPr>
              <w:t>平桥煤矿</w:t>
            </w:r>
          </w:p>
        </w:tc>
        <w:tc>
          <w:tcPr>
            <w:tcW w:w="849" w:type="dxa"/>
            <w:noWrap w:val="0"/>
            <w:vAlign w:val="center"/>
          </w:tcPr>
          <w:p>
            <w:pPr>
              <w:pStyle w:val="22"/>
              <w:bidi w:val="0"/>
              <w:rPr>
                <w:rFonts w:hint="default"/>
                <w:color w:val="auto"/>
                <w:highlight w:val="none"/>
              </w:rPr>
            </w:pPr>
            <w:r>
              <w:rPr>
                <w:rFonts w:hint="default"/>
                <w:color w:val="auto"/>
                <w:highlight w:val="none"/>
              </w:rPr>
              <w:t>7</w:t>
            </w:r>
          </w:p>
        </w:tc>
        <w:tc>
          <w:tcPr>
            <w:tcW w:w="951" w:type="dxa"/>
            <w:noWrap w:val="0"/>
            <w:vAlign w:val="center"/>
          </w:tcPr>
          <w:p>
            <w:pPr>
              <w:pStyle w:val="22"/>
              <w:bidi w:val="0"/>
              <w:rPr>
                <w:rFonts w:hint="default"/>
                <w:color w:val="auto"/>
                <w:highlight w:val="none"/>
              </w:rPr>
            </w:pPr>
            <w:r>
              <w:rPr>
                <w:rFonts w:hint="default"/>
                <w:color w:val="auto"/>
                <w:highlight w:val="none"/>
              </w:rPr>
              <w:t>3.1</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27</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74" w:type="dxa"/>
            <w:noWrap w:val="0"/>
            <w:vAlign w:val="center"/>
          </w:tcPr>
          <w:p>
            <w:pPr>
              <w:pStyle w:val="22"/>
              <w:bidi w:val="0"/>
              <w:rPr>
                <w:rFonts w:hint="default"/>
                <w:color w:val="auto"/>
                <w:highlight w:val="none"/>
              </w:rPr>
            </w:pPr>
            <w:r>
              <w:rPr>
                <w:rFonts w:hint="default"/>
                <w:color w:val="auto"/>
                <w:highlight w:val="none"/>
              </w:rPr>
              <w:t>30</w:t>
            </w:r>
          </w:p>
        </w:tc>
        <w:tc>
          <w:tcPr>
            <w:tcW w:w="960" w:type="dxa"/>
            <w:noWrap w:val="0"/>
            <w:vAlign w:val="center"/>
          </w:tcPr>
          <w:p>
            <w:pPr>
              <w:pStyle w:val="22"/>
              <w:bidi w:val="0"/>
              <w:rPr>
                <w:rFonts w:hint="default"/>
                <w:color w:val="auto"/>
                <w:highlight w:val="none"/>
              </w:rPr>
            </w:pPr>
            <w:r>
              <w:rPr>
                <w:rFonts w:hint="default"/>
                <w:color w:val="auto"/>
                <w:highlight w:val="none"/>
              </w:rPr>
              <w:t>30</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r>
              <w:rPr>
                <w:rFonts w:hint="default"/>
                <w:color w:val="auto"/>
                <w:highlight w:val="none"/>
              </w:rPr>
              <w:t>8</w:t>
            </w:r>
          </w:p>
        </w:tc>
        <w:tc>
          <w:tcPr>
            <w:tcW w:w="1690" w:type="dxa"/>
            <w:noWrap w:val="0"/>
            <w:vAlign w:val="center"/>
          </w:tcPr>
          <w:p>
            <w:pPr>
              <w:pStyle w:val="22"/>
              <w:bidi w:val="0"/>
              <w:rPr>
                <w:rFonts w:hint="default"/>
                <w:color w:val="auto"/>
                <w:highlight w:val="none"/>
              </w:rPr>
            </w:pPr>
            <w:r>
              <w:rPr>
                <w:rFonts w:hint="default"/>
                <w:color w:val="auto"/>
                <w:highlight w:val="none"/>
              </w:rPr>
              <w:t>观音煤矿</w:t>
            </w:r>
          </w:p>
        </w:tc>
        <w:tc>
          <w:tcPr>
            <w:tcW w:w="849" w:type="dxa"/>
            <w:noWrap w:val="0"/>
            <w:vAlign w:val="center"/>
          </w:tcPr>
          <w:p>
            <w:pPr>
              <w:pStyle w:val="22"/>
              <w:bidi w:val="0"/>
              <w:rPr>
                <w:rFonts w:hint="default"/>
                <w:color w:val="auto"/>
                <w:highlight w:val="none"/>
              </w:rPr>
            </w:pPr>
            <w:r>
              <w:rPr>
                <w:rFonts w:hint="default"/>
                <w:color w:val="auto"/>
                <w:highlight w:val="none"/>
              </w:rPr>
              <w:t>6.3</w:t>
            </w:r>
          </w:p>
        </w:tc>
        <w:tc>
          <w:tcPr>
            <w:tcW w:w="951" w:type="dxa"/>
            <w:noWrap w:val="0"/>
            <w:vAlign w:val="center"/>
          </w:tcPr>
          <w:p>
            <w:pPr>
              <w:pStyle w:val="22"/>
              <w:bidi w:val="0"/>
              <w:rPr>
                <w:rFonts w:hint="default"/>
                <w:color w:val="auto"/>
                <w:highlight w:val="none"/>
              </w:rPr>
            </w:pPr>
            <w:r>
              <w:rPr>
                <w:rFonts w:hint="default"/>
                <w:color w:val="auto"/>
                <w:highlight w:val="none"/>
              </w:rPr>
              <w:t>0</w:t>
            </w:r>
          </w:p>
        </w:tc>
        <w:tc>
          <w:tcPr>
            <w:tcW w:w="960"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15</w:t>
            </w:r>
          </w:p>
        </w:tc>
        <w:tc>
          <w:tcPr>
            <w:tcW w:w="974" w:type="dxa"/>
            <w:noWrap w:val="0"/>
            <w:vAlign w:val="center"/>
          </w:tcPr>
          <w:p>
            <w:pPr>
              <w:pStyle w:val="22"/>
              <w:bidi w:val="0"/>
              <w:rPr>
                <w:rFonts w:hint="default"/>
                <w:color w:val="auto"/>
                <w:highlight w:val="none"/>
              </w:rPr>
            </w:pPr>
            <w:r>
              <w:rPr>
                <w:rFonts w:hint="default"/>
                <w:color w:val="auto"/>
                <w:highlight w:val="none"/>
              </w:rPr>
              <w:t>4.5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74" w:type="dxa"/>
            <w:noWrap w:val="0"/>
            <w:vAlign w:val="center"/>
          </w:tcPr>
          <w:p>
            <w:pPr>
              <w:pStyle w:val="22"/>
              <w:bidi w:val="0"/>
              <w:rPr>
                <w:rFonts w:hint="default"/>
                <w:color w:val="auto"/>
                <w:highlight w:val="none"/>
              </w:rPr>
            </w:pPr>
            <w:r>
              <w:rPr>
                <w:rFonts w:hint="default"/>
                <w:color w:val="auto"/>
                <w:highlight w:val="none"/>
              </w:rPr>
              <w:t>　</w:t>
            </w:r>
          </w:p>
        </w:tc>
        <w:tc>
          <w:tcPr>
            <w:tcW w:w="960" w:type="dxa"/>
            <w:noWrap w:val="0"/>
            <w:vAlign w:val="center"/>
          </w:tcPr>
          <w:p>
            <w:pPr>
              <w:pStyle w:val="22"/>
              <w:bidi w:val="0"/>
              <w:rPr>
                <w:rFonts w:hint="default"/>
                <w:color w:val="auto"/>
                <w:highlight w:val="none"/>
              </w:rPr>
            </w:pPr>
            <w:r>
              <w:rPr>
                <w:rFonts w:hint="default"/>
                <w:color w:val="auto"/>
                <w:highlight w:val="none"/>
              </w:rPr>
              <w:t>　</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p>
        </w:tc>
        <w:tc>
          <w:tcPr>
            <w:tcW w:w="1690" w:type="dxa"/>
            <w:noWrap w:val="0"/>
            <w:vAlign w:val="center"/>
          </w:tcPr>
          <w:p>
            <w:pPr>
              <w:pStyle w:val="22"/>
              <w:bidi w:val="0"/>
              <w:rPr>
                <w:rFonts w:hint="default"/>
                <w:color w:val="auto"/>
                <w:highlight w:val="none"/>
              </w:rPr>
            </w:pPr>
            <w:r>
              <w:rPr>
                <w:rFonts w:hint="default"/>
                <w:color w:val="auto"/>
                <w:highlight w:val="none"/>
              </w:rPr>
              <w:t>小计</w:t>
            </w:r>
          </w:p>
        </w:tc>
        <w:tc>
          <w:tcPr>
            <w:tcW w:w="849" w:type="dxa"/>
            <w:noWrap w:val="0"/>
            <w:vAlign w:val="center"/>
          </w:tcPr>
          <w:p>
            <w:pPr>
              <w:pStyle w:val="22"/>
              <w:bidi w:val="0"/>
              <w:rPr>
                <w:rFonts w:hint="default"/>
                <w:color w:val="auto"/>
                <w:highlight w:val="none"/>
              </w:rPr>
            </w:pPr>
          </w:p>
        </w:tc>
        <w:tc>
          <w:tcPr>
            <w:tcW w:w="951" w:type="dxa"/>
            <w:noWrap w:val="0"/>
            <w:vAlign w:val="center"/>
          </w:tcPr>
          <w:p>
            <w:pPr>
              <w:pStyle w:val="22"/>
              <w:bidi w:val="0"/>
              <w:rPr>
                <w:rFonts w:hint="default"/>
                <w:color w:val="auto"/>
                <w:highlight w:val="none"/>
              </w:rPr>
            </w:pPr>
          </w:p>
        </w:tc>
        <w:tc>
          <w:tcPr>
            <w:tcW w:w="960" w:type="dxa"/>
            <w:noWrap w:val="0"/>
            <w:vAlign w:val="center"/>
          </w:tcPr>
          <w:p>
            <w:pPr>
              <w:pStyle w:val="22"/>
              <w:bidi w:val="0"/>
              <w:rPr>
                <w:rFonts w:hint="default"/>
                <w:color w:val="auto"/>
                <w:highlight w:val="none"/>
              </w:rPr>
            </w:pPr>
            <w:r>
              <w:rPr>
                <w:rFonts w:hint="default"/>
                <w:color w:val="auto"/>
                <w:highlight w:val="none"/>
              </w:rPr>
              <w:t>45</w:t>
            </w:r>
          </w:p>
        </w:tc>
        <w:tc>
          <w:tcPr>
            <w:tcW w:w="974" w:type="dxa"/>
            <w:noWrap w:val="0"/>
            <w:vAlign w:val="center"/>
          </w:tcPr>
          <w:p>
            <w:pPr>
              <w:pStyle w:val="22"/>
              <w:bidi w:val="0"/>
              <w:rPr>
                <w:rFonts w:hint="default"/>
                <w:color w:val="auto"/>
                <w:highlight w:val="none"/>
              </w:rPr>
            </w:pPr>
            <w:r>
              <w:rPr>
                <w:rFonts w:hint="default"/>
                <w:color w:val="auto"/>
                <w:highlight w:val="none"/>
              </w:rPr>
              <w:t>90</w:t>
            </w:r>
          </w:p>
        </w:tc>
        <w:tc>
          <w:tcPr>
            <w:tcW w:w="974" w:type="dxa"/>
            <w:noWrap w:val="0"/>
            <w:vAlign w:val="center"/>
          </w:tcPr>
          <w:p>
            <w:pPr>
              <w:pStyle w:val="22"/>
              <w:bidi w:val="0"/>
              <w:rPr>
                <w:rFonts w:hint="default"/>
                <w:color w:val="auto"/>
                <w:highlight w:val="none"/>
              </w:rPr>
            </w:pPr>
            <w:r>
              <w:rPr>
                <w:rFonts w:hint="default"/>
                <w:color w:val="auto"/>
                <w:highlight w:val="none"/>
              </w:rPr>
              <w:t>195</w:t>
            </w:r>
          </w:p>
        </w:tc>
        <w:tc>
          <w:tcPr>
            <w:tcW w:w="974" w:type="dxa"/>
            <w:noWrap w:val="0"/>
            <w:vAlign w:val="center"/>
          </w:tcPr>
          <w:p>
            <w:pPr>
              <w:pStyle w:val="22"/>
              <w:bidi w:val="0"/>
              <w:rPr>
                <w:rFonts w:hint="default"/>
                <w:color w:val="auto"/>
                <w:highlight w:val="none"/>
              </w:rPr>
            </w:pPr>
            <w:r>
              <w:rPr>
                <w:rFonts w:hint="default"/>
                <w:color w:val="auto"/>
                <w:highlight w:val="none"/>
              </w:rPr>
              <w:t>222</w:t>
            </w:r>
          </w:p>
        </w:tc>
        <w:tc>
          <w:tcPr>
            <w:tcW w:w="974" w:type="dxa"/>
            <w:noWrap w:val="0"/>
            <w:vAlign w:val="center"/>
          </w:tcPr>
          <w:p>
            <w:pPr>
              <w:pStyle w:val="22"/>
              <w:bidi w:val="0"/>
              <w:rPr>
                <w:rFonts w:hint="default"/>
                <w:color w:val="auto"/>
                <w:highlight w:val="none"/>
              </w:rPr>
            </w:pPr>
            <w:r>
              <w:rPr>
                <w:rFonts w:hint="default"/>
                <w:color w:val="auto"/>
                <w:highlight w:val="none"/>
              </w:rPr>
              <w:t>225</w:t>
            </w:r>
          </w:p>
        </w:tc>
        <w:tc>
          <w:tcPr>
            <w:tcW w:w="974" w:type="dxa"/>
            <w:noWrap w:val="0"/>
            <w:vAlign w:val="center"/>
          </w:tcPr>
          <w:p>
            <w:pPr>
              <w:pStyle w:val="22"/>
              <w:bidi w:val="0"/>
              <w:rPr>
                <w:rFonts w:hint="default"/>
                <w:color w:val="auto"/>
                <w:highlight w:val="none"/>
              </w:rPr>
            </w:pPr>
            <w:r>
              <w:rPr>
                <w:rFonts w:hint="default"/>
                <w:color w:val="auto"/>
                <w:highlight w:val="none"/>
              </w:rPr>
              <w:t>216</w:t>
            </w:r>
          </w:p>
        </w:tc>
        <w:tc>
          <w:tcPr>
            <w:tcW w:w="974" w:type="dxa"/>
            <w:noWrap w:val="0"/>
            <w:vAlign w:val="center"/>
          </w:tcPr>
          <w:p>
            <w:pPr>
              <w:pStyle w:val="22"/>
              <w:bidi w:val="0"/>
              <w:rPr>
                <w:rFonts w:hint="default"/>
                <w:color w:val="auto"/>
                <w:highlight w:val="none"/>
              </w:rPr>
            </w:pPr>
            <w:r>
              <w:rPr>
                <w:rFonts w:hint="default"/>
                <w:color w:val="auto"/>
                <w:highlight w:val="none"/>
              </w:rPr>
              <w:t>184.5</w:t>
            </w:r>
          </w:p>
        </w:tc>
        <w:tc>
          <w:tcPr>
            <w:tcW w:w="974" w:type="dxa"/>
            <w:noWrap w:val="0"/>
            <w:vAlign w:val="center"/>
          </w:tcPr>
          <w:p>
            <w:pPr>
              <w:pStyle w:val="22"/>
              <w:bidi w:val="0"/>
              <w:rPr>
                <w:rFonts w:hint="default"/>
                <w:color w:val="auto"/>
                <w:highlight w:val="none"/>
              </w:rPr>
            </w:pPr>
            <w:r>
              <w:rPr>
                <w:rFonts w:hint="default"/>
                <w:color w:val="auto"/>
                <w:highlight w:val="none"/>
              </w:rPr>
              <w:t>180</w:t>
            </w:r>
          </w:p>
        </w:tc>
        <w:tc>
          <w:tcPr>
            <w:tcW w:w="974" w:type="dxa"/>
            <w:noWrap w:val="0"/>
            <w:vAlign w:val="center"/>
          </w:tcPr>
          <w:p>
            <w:pPr>
              <w:pStyle w:val="22"/>
              <w:bidi w:val="0"/>
              <w:rPr>
                <w:rFonts w:hint="default"/>
                <w:color w:val="auto"/>
                <w:highlight w:val="none"/>
              </w:rPr>
            </w:pPr>
            <w:r>
              <w:rPr>
                <w:rFonts w:hint="default"/>
                <w:color w:val="auto"/>
                <w:highlight w:val="none"/>
              </w:rPr>
              <w:t>159</w:t>
            </w:r>
          </w:p>
        </w:tc>
        <w:tc>
          <w:tcPr>
            <w:tcW w:w="960" w:type="dxa"/>
            <w:noWrap w:val="0"/>
            <w:vAlign w:val="center"/>
          </w:tcPr>
          <w:p>
            <w:pPr>
              <w:pStyle w:val="22"/>
              <w:bidi w:val="0"/>
              <w:rPr>
                <w:rFonts w:hint="default"/>
                <w:color w:val="auto"/>
                <w:highlight w:val="none"/>
              </w:rPr>
            </w:pPr>
            <w:r>
              <w:rPr>
                <w:rFonts w:hint="default"/>
                <w:color w:val="auto"/>
                <w:highlight w:val="none"/>
              </w:rPr>
              <w:t>99</w:t>
            </w:r>
          </w:p>
        </w:tc>
        <w:tc>
          <w:tcPr>
            <w:tcW w:w="438"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noWrap w:val="0"/>
            <w:vAlign w:val="top"/>
          </w:tcPr>
          <w:p>
            <w:pPr>
              <w:pStyle w:val="22"/>
              <w:bidi w:val="0"/>
              <w:rPr>
                <w:rFonts w:hint="default"/>
                <w:color w:val="auto"/>
                <w:highlight w:val="none"/>
              </w:rPr>
            </w:pPr>
          </w:p>
        </w:tc>
        <w:tc>
          <w:tcPr>
            <w:tcW w:w="1690" w:type="dxa"/>
            <w:noWrap w:val="0"/>
            <w:vAlign w:val="center"/>
          </w:tcPr>
          <w:p>
            <w:pPr>
              <w:pStyle w:val="22"/>
              <w:bidi w:val="0"/>
              <w:rPr>
                <w:rFonts w:hint="default"/>
                <w:color w:val="auto"/>
                <w:highlight w:val="none"/>
              </w:rPr>
            </w:pPr>
            <w:r>
              <w:rPr>
                <w:rFonts w:hint="default"/>
                <w:color w:val="auto"/>
                <w:highlight w:val="none"/>
              </w:rPr>
              <w:t>合计</w:t>
            </w:r>
          </w:p>
        </w:tc>
        <w:tc>
          <w:tcPr>
            <w:tcW w:w="849" w:type="dxa"/>
            <w:noWrap w:val="0"/>
            <w:vAlign w:val="center"/>
          </w:tcPr>
          <w:p>
            <w:pPr>
              <w:pStyle w:val="22"/>
              <w:bidi w:val="0"/>
              <w:rPr>
                <w:rFonts w:hint="default"/>
                <w:color w:val="auto"/>
                <w:highlight w:val="none"/>
              </w:rPr>
            </w:pPr>
            <w:r>
              <w:rPr>
                <w:rFonts w:hint="default"/>
                <w:color w:val="auto"/>
                <w:highlight w:val="none"/>
              </w:rPr>
              <w:t>　</w:t>
            </w:r>
          </w:p>
        </w:tc>
        <w:tc>
          <w:tcPr>
            <w:tcW w:w="951" w:type="dxa"/>
            <w:noWrap w:val="0"/>
            <w:vAlign w:val="center"/>
          </w:tcPr>
          <w:p>
            <w:pPr>
              <w:pStyle w:val="22"/>
              <w:bidi w:val="0"/>
              <w:rPr>
                <w:rFonts w:hint="default"/>
                <w:color w:val="auto"/>
                <w:highlight w:val="none"/>
              </w:rPr>
            </w:pPr>
            <w:r>
              <w:rPr>
                <w:rFonts w:hint="default"/>
                <w:color w:val="auto"/>
                <w:highlight w:val="none"/>
              </w:rPr>
              <w:t>　</w:t>
            </w:r>
          </w:p>
        </w:tc>
        <w:tc>
          <w:tcPr>
            <w:tcW w:w="960" w:type="dxa"/>
            <w:noWrap w:val="0"/>
            <w:vAlign w:val="center"/>
          </w:tcPr>
          <w:p>
            <w:pPr>
              <w:pStyle w:val="22"/>
              <w:bidi w:val="0"/>
              <w:rPr>
                <w:rFonts w:hint="default"/>
                <w:color w:val="auto"/>
                <w:highlight w:val="none"/>
              </w:rPr>
            </w:pPr>
            <w:r>
              <w:rPr>
                <w:rFonts w:hint="default"/>
                <w:color w:val="auto"/>
                <w:highlight w:val="none"/>
              </w:rPr>
              <w:t>123</w:t>
            </w:r>
          </w:p>
        </w:tc>
        <w:tc>
          <w:tcPr>
            <w:tcW w:w="974" w:type="dxa"/>
            <w:noWrap w:val="0"/>
            <w:vAlign w:val="center"/>
          </w:tcPr>
          <w:p>
            <w:pPr>
              <w:pStyle w:val="22"/>
              <w:bidi w:val="0"/>
              <w:rPr>
                <w:rFonts w:hint="default"/>
                <w:color w:val="auto"/>
                <w:highlight w:val="none"/>
              </w:rPr>
            </w:pPr>
            <w:r>
              <w:rPr>
                <w:rFonts w:hint="default"/>
                <w:color w:val="auto"/>
                <w:highlight w:val="none"/>
              </w:rPr>
              <w:t>228</w:t>
            </w:r>
          </w:p>
        </w:tc>
        <w:tc>
          <w:tcPr>
            <w:tcW w:w="974" w:type="dxa"/>
            <w:noWrap w:val="0"/>
            <w:vAlign w:val="center"/>
          </w:tcPr>
          <w:p>
            <w:pPr>
              <w:pStyle w:val="22"/>
              <w:bidi w:val="0"/>
              <w:rPr>
                <w:rFonts w:hint="default"/>
                <w:color w:val="auto"/>
                <w:highlight w:val="none"/>
              </w:rPr>
            </w:pPr>
            <w:r>
              <w:rPr>
                <w:rFonts w:hint="default"/>
                <w:color w:val="auto"/>
                <w:highlight w:val="none"/>
              </w:rPr>
              <w:t>360</w:t>
            </w:r>
          </w:p>
        </w:tc>
        <w:tc>
          <w:tcPr>
            <w:tcW w:w="974" w:type="dxa"/>
            <w:noWrap w:val="0"/>
            <w:vAlign w:val="center"/>
          </w:tcPr>
          <w:p>
            <w:pPr>
              <w:pStyle w:val="22"/>
              <w:bidi w:val="0"/>
              <w:rPr>
                <w:rFonts w:hint="default"/>
                <w:color w:val="auto"/>
                <w:highlight w:val="none"/>
              </w:rPr>
            </w:pPr>
            <w:r>
              <w:rPr>
                <w:rFonts w:hint="default"/>
                <w:color w:val="auto"/>
                <w:highlight w:val="none"/>
              </w:rPr>
              <w:t>387</w:t>
            </w:r>
          </w:p>
        </w:tc>
        <w:tc>
          <w:tcPr>
            <w:tcW w:w="974" w:type="dxa"/>
            <w:noWrap w:val="0"/>
            <w:vAlign w:val="center"/>
          </w:tcPr>
          <w:p>
            <w:pPr>
              <w:pStyle w:val="22"/>
              <w:bidi w:val="0"/>
              <w:rPr>
                <w:rFonts w:hint="default"/>
                <w:color w:val="auto"/>
                <w:highlight w:val="none"/>
              </w:rPr>
            </w:pPr>
            <w:r>
              <w:rPr>
                <w:rFonts w:hint="default"/>
                <w:color w:val="auto"/>
                <w:highlight w:val="none"/>
              </w:rPr>
              <w:t>390</w:t>
            </w:r>
          </w:p>
        </w:tc>
        <w:tc>
          <w:tcPr>
            <w:tcW w:w="974" w:type="dxa"/>
            <w:noWrap w:val="0"/>
            <w:vAlign w:val="center"/>
          </w:tcPr>
          <w:p>
            <w:pPr>
              <w:pStyle w:val="22"/>
              <w:bidi w:val="0"/>
              <w:rPr>
                <w:rFonts w:hint="default"/>
                <w:color w:val="auto"/>
                <w:highlight w:val="none"/>
              </w:rPr>
            </w:pPr>
            <w:r>
              <w:rPr>
                <w:rFonts w:hint="default"/>
                <w:color w:val="auto"/>
                <w:highlight w:val="none"/>
              </w:rPr>
              <w:t>381</w:t>
            </w:r>
          </w:p>
        </w:tc>
        <w:tc>
          <w:tcPr>
            <w:tcW w:w="974" w:type="dxa"/>
            <w:noWrap w:val="0"/>
            <w:vAlign w:val="center"/>
          </w:tcPr>
          <w:p>
            <w:pPr>
              <w:pStyle w:val="22"/>
              <w:bidi w:val="0"/>
              <w:rPr>
                <w:rFonts w:hint="default"/>
                <w:color w:val="auto"/>
                <w:highlight w:val="none"/>
              </w:rPr>
            </w:pPr>
            <w:r>
              <w:rPr>
                <w:rFonts w:hint="default"/>
                <w:color w:val="auto"/>
                <w:highlight w:val="none"/>
              </w:rPr>
              <w:t>346.5</w:t>
            </w:r>
          </w:p>
        </w:tc>
        <w:tc>
          <w:tcPr>
            <w:tcW w:w="974" w:type="dxa"/>
            <w:noWrap w:val="0"/>
            <w:vAlign w:val="center"/>
          </w:tcPr>
          <w:p>
            <w:pPr>
              <w:pStyle w:val="22"/>
              <w:bidi w:val="0"/>
              <w:rPr>
                <w:rFonts w:hint="default"/>
                <w:color w:val="auto"/>
                <w:highlight w:val="none"/>
              </w:rPr>
            </w:pPr>
            <w:r>
              <w:rPr>
                <w:rFonts w:hint="default"/>
                <w:color w:val="auto"/>
                <w:highlight w:val="none"/>
              </w:rPr>
              <w:t>315</w:t>
            </w:r>
          </w:p>
        </w:tc>
        <w:tc>
          <w:tcPr>
            <w:tcW w:w="974" w:type="dxa"/>
            <w:noWrap w:val="0"/>
            <w:vAlign w:val="center"/>
          </w:tcPr>
          <w:p>
            <w:pPr>
              <w:pStyle w:val="22"/>
              <w:bidi w:val="0"/>
              <w:rPr>
                <w:rFonts w:hint="default"/>
                <w:color w:val="auto"/>
                <w:highlight w:val="none"/>
              </w:rPr>
            </w:pPr>
            <w:r>
              <w:rPr>
                <w:rFonts w:hint="default"/>
                <w:color w:val="auto"/>
                <w:highlight w:val="none"/>
              </w:rPr>
              <w:t>253</w:t>
            </w:r>
          </w:p>
        </w:tc>
        <w:tc>
          <w:tcPr>
            <w:tcW w:w="960" w:type="dxa"/>
            <w:noWrap w:val="0"/>
            <w:vAlign w:val="center"/>
          </w:tcPr>
          <w:p>
            <w:pPr>
              <w:pStyle w:val="22"/>
              <w:bidi w:val="0"/>
              <w:rPr>
                <w:rFonts w:hint="default"/>
                <w:color w:val="auto"/>
                <w:highlight w:val="none"/>
              </w:rPr>
            </w:pPr>
            <w:r>
              <w:rPr>
                <w:rFonts w:hint="default"/>
                <w:color w:val="auto"/>
                <w:highlight w:val="none"/>
              </w:rPr>
              <w:t>159</w:t>
            </w:r>
          </w:p>
        </w:tc>
        <w:tc>
          <w:tcPr>
            <w:tcW w:w="438" w:type="dxa"/>
            <w:noWrap w:val="0"/>
            <w:vAlign w:val="center"/>
          </w:tcPr>
          <w:p>
            <w:pPr>
              <w:pStyle w:val="22"/>
              <w:bidi w:val="0"/>
              <w:rPr>
                <w:rFonts w:hint="default"/>
                <w:color w:val="auto"/>
                <w:highlight w:val="none"/>
              </w:rPr>
            </w:pPr>
            <w:r>
              <w:rPr>
                <w:rFonts w:hint="default"/>
                <w:color w:val="auto"/>
                <w:highlight w:val="none"/>
              </w:rPr>
              <w:t>　</w:t>
            </w: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lang w:val="en-US" w:eastAsia="zh-CN"/>
        </w:rPr>
      </w:pP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p>
    <w:p>
      <w:pPr>
        <w:pStyle w:val="6"/>
        <w:bidi w:val="0"/>
        <w:rPr>
          <w:rFonts w:hint="default"/>
          <w:color w:val="auto"/>
          <w:highlight w:val="none"/>
          <w:lang w:val="en-US" w:eastAsia="zh-CN"/>
        </w:rPr>
      </w:pPr>
      <w:bookmarkStart w:id="115" w:name="_Toc10909"/>
      <w:bookmarkStart w:id="116" w:name="_Toc24869"/>
      <w:r>
        <w:rPr>
          <w:rFonts w:hint="default"/>
          <w:color w:val="auto"/>
          <w:highlight w:val="none"/>
          <w:lang w:val="en-US" w:eastAsia="zh-CN"/>
        </w:rPr>
        <w:t>2.1.8 矿区煤炭洗选加工规划</w:t>
      </w:r>
      <w:bookmarkEnd w:id="115"/>
      <w:bookmarkEnd w:id="116"/>
    </w:p>
    <w:p>
      <w:pPr>
        <w:pStyle w:val="7"/>
        <w:bidi w:val="0"/>
        <w:rPr>
          <w:rFonts w:hint="default"/>
          <w:color w:val="auto"/>
          <w:highlight w:val="none"/>
          <w:lang w:val="en-US" w:eastAsia="zh-CN"/>
        </w:rPr>
      </w:pPr>
      <w:r>
        <w:rPr>
          <w:rFonts w:hint="default"/>
          <w:color w:val="auto"/>
          <w:highlight w:val="none"/>
          <w:lang w:val="en-US" w:eastAsia="zh-CN"/>
        </w:rPr>
        <w:t>2.1.8.1 煤炭洗选加工现状</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前大竹县共设置有选煤厂17座，总洗选能力达到502万吨/年。其中：四川省鸿光矿业能源发展有限公司选煤厂规模最大，洗选能力达到150万吨/年。另外30万吨/年～100万吨/年洗选能力的4座分别为：周家镇瑞隆选煤厂、柏林镇四川众能煤业有限公司选煤厂、观音镇四川神州矿业开发有限公司选煤厂和大竹县兴隆商贸有限责任公司选煤厂。其余洗选能力小于30万吨/年的选煤厂共12座。另外柏林煤矿生产原煤通过9.5km运煤索道直达达川区渡市选煤厂进行煤炭洗选。</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其地理位置，其华蓥山北段矿区布置10个选煤厂，洗选能力为355万吨/年、中山明月峡矿区布置7个选煤厂，洗选能力为147万吨/年。大竹县境内选煤厂没有严格划分矿区服务，各选煤厂主要负责境内所有煤矿的洗选任务，能满足规划煤矿的洗选任务。</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各选煤厂设置情况见表2.1.8-1。</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2.1.8-1</w:t>
      </w:r>
      <w:r>
        <w:rPr>
          <w:rFonts w:hint="default"/>
          <w:color w:val="auto"/>
          <w:highlight w:val="none"/>
        </w:rPr>
        <w:t xml:space="preserve">                各选煤厂设置情况表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7"/>
        <w:gridCol w:w="1490"/>
        <w:gridCol w:w="3962"/>
        <w:gridCol w:w="17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057" w:type="dxa"/>
            <w:noWrap w:val="0"/>
            <w:vAlign w:val="center"/>
          </w:tcPr>
          <w:p>
            <w:pPr>
              <w:pStyle w:val="22"/>
              <w:bidi w:val="0"/>
              <w:rPr>
                <w:rFonts w:hint="default"/>
                <w:color w:val="auto"/>
                <w:highlight w:val="none"/>
              </w:rPr>
            </w:pPr>
            <w:bookmarkStart w:id="117" w:name="OLE_LINK1"/>
            <w:r>
              <w:rPr>
                <w:rFonts w:hint="default"/>
                <w:color w:val="auto"/>
                <w:highlight w:val="none"/>
              </w:rPr>
              <w:t>序号</w:t>
            </w:r>
          </w:p>
        </w:tc>
        <w:tc>
          <w:tcPr>
            <w:tcW w:w="1490" w:type="dxa"/>
            <w:noWrap w:val="0"/>
            <w:vAlign w:val="center"/>
          </w:tcPr>
          <w:p>
            <w:pPr>
              <w:pStyle w:val="22"/>
              <w:bidi w:val="0"/>
              <w:rPr>
                <w:rFonts w:hint="default"/>
                <w:color w:val="auto"/>
                <w:highlight w:val="none"/>
              </w:rPr>
            </w:pPr>
            <w:r>
              <w:rPr>
                <w:rFonts w:hint="default"/>
                <w:color w:val="auto"/>
                <w:highlight w:val="none"/>
              </w:rPr>
              <w:t>地址</w:t>
            </w:r>
          </w:p>
        </w:tc>
        <w:tc>
          <w:tcPr>
            <w:tcW w:w="3962" w:type="dxa"/>
            <w:noWrap w:val="0"/>
            <w:vAlign w:val="center"/>
          </w:tcPr>
          <w:p>
            <w:pPr>
              <w:pStyle w:val="22"/>
              <w:bidi w:val="0"/>
              <w:rPr>
                <w:rFonts w:hint="default"/>
                <w:color w:val="auto"/>
                <w:highlight w:val="none"/>
              </w:rPr>
            </w:pPr>
            <w:r>
              <w:rPr>
                <w:rFonts w:hint="default"/>
                <w:color w:val="auto"/>
                <w:highlight w:val="none"/>
              </w:rPr>
              <w:t>企业名称</w:t>
            </w:r>
          </w:p>
        </w:tc>
        <w:tc>
          <w:tcPr>
            <w:tcW w:w="1708" w:type="dxa"/>
            <w:noWrap w:val="0"/>
            <w:vAlign w:val="center"/>
          </w:tcPr>
          <w:p>
            <w:pPr>
              <w:pStyle w:val="22"/>
              <w:bidi w:val="0"/>
              <w:rPr>
                <w:rFonts w:hint="default"/>
                <w:color w:val="auto"/>
                <w:highlight w:val="none"/>
              </w:rPr>
            </w:pPr>
            <w:r>
              <w:rPr>
                <w:rFonts w:hint="default"/>
                <w:color w:val="auto"/>
                <w:highlight w:val="none"/>
              </w:rPr>
              <w:t>洗选能力（万吨/年）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47" w:type="dxa"/>
            <w:gridSpan w:val="2"/>
            <w:noWrap w:val="0"/>
            <w:vAlign w:val="center"/>
          </w:tcPr>
          <w:p>
            <w:pPr>
              <w:pStyle w:val="22"/>
              <w:bidi w:val="0"/>
              <w:rPr>
                <w:rFonts w:hint="default"/>
                <w:color w:val="auto"/>
                <w:highlight w:val="none"/>
              </w:rPr>
            </w:pPr>
            <w:r>
              <w:rPr>
                <w:rFonts w:hint="default"/>
                <w:color w:val="auto"/>
                <w:highlight w:val="none"/>
              </w:rPr>
              <w:t>华蓥山北段矿区</w:t>
            </w:r>
          </w:p>
        </w:tc>
        <w:tc>
          <w:tcPr>
            <w:tcW w:w="3962" w:type="dxa"/>
            <w:noWrap w:val="0"/>
            <w:vAlign w:val="center"/>
          </w:tcPr>
          <w:p>
            <w:pPr>
              <w:pStyle w:val="22"/>
              <w:bidi w:val="0"/>
              <w:rPr>
                <w:rFonts w:hint="default"/>
                <w:color w:val="auto"/>
                <w:highlight w:val="none"/>
              </w:rPr>
            </w:pPr>
          </w:p>
        </w:tc>
        <w:tc>
          <w:tcPr>
            <w:tcW w:w="170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1</w:t>
            </w:r>
          </w:p>
        </w:tc>
        <w:tc>
          <w:tcPr>
            <w:tcW w:w="1490" w:type="dxa"/>
            <w:noWrap w:val="0"/>
            <w:vAlign w:val="center"/>
          </w:tcPr>
          <w:p>
            <w:pPr>
              <w:pStyle w:val="22"/>
              <w:bidi w:val="0"/>
              <w:rPr>
                <w:rFonts w:hint="default"/>
                <w:color w:val="auto"/>
                <w:highlight w:val="none"/>
              </w:rPr>
            </w:pPr>
            <w:r>
              <w:rPr>
                <w:rFonts w:hint="default"/>
                <w:color w:val="auto"/>
                <w:highlight w:val="none"/>
              </w:rPr>
              <w:t>杨家镇</w:t>
            </w:r>
          </w:p>
        </w:tc>
        <w:tc>
          <w:tcPr>
            <w:tcW w:w="3962" w:type="dxa"/>
            <w:noWrap w:val="0"/>
            <w:vAlign w:val="center"/>
          </w:tcPr>
          <w:p>
            <w:pPr>
              <w:pStyle w:val="22"/>
              <w:bidi w:val="0"/>
              <w:rPr>
                <w:rFonts w:hint="default"/>
                <w:color w:val="auto"/>
                <w:highlight w:val="none"/>
              </w:rPr>
            </w:pPr>
            <w:r>
              <w:rPr>
                <w:rFonts w:hint="default"/>
                <w:color w:val="auto"/>
                <w:highlight w:val="none"/>
              </w:rPr>
              <w:t>田坝煤矿洗煤车间</w:t>
            </w:r>
          </w:p>
        </w:tc>
        <w:tc>
          <w:tcPr>
            <w:tcW w:w="1708" w:type="dxa"/>
            <w:noWrap w:val="0"/>
            <w:vAlign w:val="center"/>
          </w:tcPr>
          <w:p>
            <w:pPr>
              <w:pStyle w:val="22"/>
              <w:bidi w:val="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2</w:t>
            </w:r>
          </w:p>
        </w:tc>
        <w:tc>
          <w:tcPr>
            <w:tcW w:w="1490" w:type="dxa"/>
            <w:noWrap w:val="0"/>
            <w:vAlign w:val="center"/>
          </w:tcPr>
          <w:p>
            <w:pPr>
              <w:pStyle w:val="22"/>
              <w:bidi w:val="0"/>
              <w:rPr>
                <w:rFonts w:hint="default"/>
                <w:color w:val="auto"/>
                <w:highlight w:val="none"/>
              </w:rPr>
            </w:pPr>
            <w:r>
              <w:rPr>
                <w:rFonts w:hint="default"/>
                <w:color w:val="auto"/>
                <w:highlight w:val="none"/>
              </w:rPr>
              <w:t>清河镇</w:t>
            </w:r>
          </w:p>
        </w:tc>
        <w:tc>
          <w:tcPr>
            <w:tcW w:w="3962" w:type="dxa"/>
            <w:noWrap w:val="0"/>
            <w:vAlign w:val="center"/>
          </w:tcPr>
          <w:p>
            <w:pPr>
              <w:pStyle w:val="22"/>
              <w:bidi w:val="0"/>
              <w:rPr>
                <w:rFonts w:hint="default"/>
                <w:color w:val="auto"/>
                <w:highlight w:val="none"/>
              </w:rPr>
            </w:pPr>
            <w:r>
              <w:rPr>
                <w:rFonts w:hint="default"/>
                <w:color w:val="auto"/>
                <w:highlight w:val="none"/>
              </w:rPr>
              <w:t>大竹县国平能源有限公司</w:t>
            </w:r>
          </w:p>
        </w:tc>
        <w:tc>
          <w:tcPr>
            <w:tcW w:w="1708" w:type="dxa"/>
            <w:noWrap w:val="0"/>
            <w:vAlign w:val="center"/>
          </w:tcPr>
          <w:p>
            <w:pPr>
              <w:pStyle w:val="22"/>
              <w:bidi w:val="0"/>
              <w:rPr>
                <w:rFonts w:hint="default"/>
                <w:color w:val="auto"/>
                <w:highlight w:val="none"/>
              </w:rPr>
            </w:pPr>
            <w:r>
              <w:rPr>
                <w:rFonts w:hint="default"/>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3</w:t>
            </w:r>
          </w:p>
        </w:tc>
        <w:tc>
          <w:tcPr>
            <w:tcW w:w="1490" w:type="dxa"/>
            <w:noWrap w:val="0"/>
            <w:vAlign w:val="center"/>
          </w:tcPr>
          <w:p>
            <w:pPr>
              <w:pStyle w:val="22"/>
              <w:bidi w:val="0"/>
              <w:rPr>
                <w:rFonts w:hint="default"/>
                <w:color w:val="auto"/>
                <w:highlight w:val="none"/>
              </w:rPr>
            </w:pPr>
            <w:r>
              <w:rPr>
                <w:rFonts w:hint="default"/>
                <w:color w:val="auto"/>
                <w:highlight w:val="none"/>
              </w:rPr>
              <w:t>庙坝镇</w:t>
            </w:r>
          </w:p>
        </w:tc>
        <w:tc>
          <w:tcPr>
            <w:tcW w:w="3962" w:type="dxa"/>
            <w:noWrap w:val="0"/>
            <w:vAlign w:val="center"/>
          </w:tcPr>
          <w:p>
            <w:pPr>
              <w:pStyle w:val="22"/>
              <w:bidi w:val="0"/>
              <w:rPr>
                <w:rFonts w:hint="default"/>
                <w:color w:val="auto"/>
                <w:highlight w:val="none"/>
              </w:rPr>
            </w:pPr>
            <w:r>
              <w:rPr>
                <w:rFonts w:hint="default"/>
                <w:color w:val="auto"/>
                <w:highlight w:val="none"/>
              </w:rPr>
              <w:t>大竹县兴中商贸有限公司</w:t>
            </w:r>
          </w:p>
        </w:tc>
        <w:tc>
          <w:tcPr>
            <w:tcW w:w="1708" w:type="dxa"/>
            <w:noWrap w:val="0"/>
            <w:vAlign w:val="center"/>
          </w:tcPr>
          <w:p>
            <w:pPr>
              <w:pStyle w:val="22"/>
              <w:bidi w:val="0"/>
              <w:rPr>
                <w:rFonts w:hint="default"/>
                <w:color w:val="auto"/>
                <w:highlight w:val="none"/>
              </w:rPr>
            </w:pPr>
            <w:r>
              <w:rPr>
                <w:rFonts w:hint="default"/>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4</w:t>
            </w:r>
          </w:p>
        </w:tc>
        <w:tc>
          <w:tcPr>
            <w:tcW w:w="1490" w:type="dxa"/>
            <w:noWrap w:val="0"/>
            <w:vAlign w:val="center"/>
          </w:tcPr>
          <w:p>
            <w:pPr>
              <w:pStyle w:val="22"/>
              <w:bidi w:val="0"/>
              <w:rPr>
                <w:rFonts w:hint="default"/>
                <w:color w:val="auto"/>
                <w:highlight w:val="none"/>
              </w:rPr>
            </w:pPr>
            <w:r>
              <w:rPr>
                <w:rFonts w:hint="default"/>
                <w:color w:val="auto"/>
                <w:highlight w:val="none"/>
              </w:rPr>
              <w:t>中华镇</w:t>
            </w:r>
          </w:p>
        </w:tc>
        <w:tc>
          <w:tcPr>
            <w:tcW w:w="3962" w:type="dxa"/>
            <w:noWrap w:val="0"/>
            <w:vAlign w:val="center"/>
          </w:tcPr>
          <w:p>
            <w:pPr>
              <w:pStyle w:val="22"/>
              <w:bidi w:val="0"/>
              <w:rPr>
                <w:rFonts w:hint="default"/>
                <w:color w:val="auto"/>
                <w:highlight w:val="none"/>
              </w:rPr>
            </w:pPr>
            <w:r>
              <w:rPr>
                <w:rFonts w:hint="default"/>
                <w:color w:val="auto"/>
                <w:highlight w:val="none"/>
              </w:rPr>
              <w:t>大竹县红旗煤业有限责任公司</w:t>
            </w:r>
          </w:p>
        </w:tc>
        <w:tc>
          <w:tcPr>
            <w:tcW w:w="1708" w:type="dxa"/>
            <w:noWrap w:val="0"/>
            <w:vAlign w:val="center"/>
          </w:tcPr>
          <w:p>
            <w:pPr>
              <w:pStyle w:val="22"/>
              <w:bidi w:val="0"/>
              <w:rPr>
                <w:rFonts w:hint="default"/>
                <w:color w:val="auto"/>
                <w:highlight w:val="none"/>
              </w:rPr>
            </w:pPr>
            <w:r>
              <w:rPr>
                <w:rFonts w:hint="default"/>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5</w:t>
            </w:r>
          </w:p>
        </w:tc>
        <w:tc>
          <w:tcPr>
            <w:tcW w:w="1490" w:type="dxa"/>
            <w:noWrap w:val="0"/>
            <w:vAlign w:val="center"/>
          </w:tcPr>
          <w:p>
            <w:pPr>
              <w:pStyle w:val="22"/>
              <w:bidi w:val="0"/>
              <w:rPr>
                <w:rFonts w:hint="default"/>
                <w:color w:val="auto"/>
                <w:highlight w:val="none"/>
              </w:rPr>
            </w:pPr>
            <w:r>
              <w:rPr>
                <w:rFonts w:hint="default"/>
                <w:color w:val="auto"/>
                <w:highlight w:val="none"/>
              </w:rPr>
              <w:t>中华镇</w:t>
            </w:r>
          </w:p>
        </w:tc>
        <w:tc>
          <w:tcPr>
            <w:tcW w:w="3962" w:type="dxa"/>
            <w:noWrap w:val="0"/>
            <w:vAlign w:val="center"/>
          </w:tcPr>
          <w:p>
            <w:pPr>
              <w:pStyle w:val="22"/>
              <w:bidi w:val="0"/>
              <w:rPr>
                <w:rFonts w:hint="default"/>
                <w:color w:val="auto"/>
                <w:highlight w:val="none"/>
              </w:rPr>
            </w:pPr>
            <w:r>
              <w:rPr>
                <w:rFonts w:hint="default"/>
                <w:color w:val="auto"/>
                <w:highlight w:val="none"/>
              </w:rPr>
              <w:t>大竹县矿业有限责任公司</w:t>
            </w:r>
          </w:p>
        </w:tc>
        <w:tc>
          <w:tcPr>
            <w:tcW w:w="1708" w:type="dxa"/>
            <w:noWrap w:val="0"/>
            <w:vAlign w:val="center"/>
          </w:tcPr>
          <w:p>
            <w:pPr>
              <w:pStyle w:val="22"/>
              <w:bidi w:val="0"/>
              <w:rPr>
                <w:rFonts w:hint="default"/>
                <w:color w:val="auto"/>
                <w:highlight w:val="none"/>
              </w:rPr>
            </w:pPr>
            <w:r>
              <w:rPr>
                <w:rFonts w:hint="default"/>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6</w:t>
            </w:r>
          </w:p>
        </w:tc>
        <w:tc>
          <w:tcPr>
            <w:tcW w:w="1490" w:type="dxa"/>
            <w:noWrap w:val="0"/>
            <w:vAlign w:val="center"/>
          </w:tcPr>
          <w:p>
            <w:pPr>
              <w:pStyle w:val="22"/>
              <w:bidi w:val="0"/>
              <w:rPr>
                <w:rFonts w:hint="default"/>
                <w:color w:val="auto"/>
                <w:highlight w:val="none"/>
              </w:rPr>
            </w:pPr>
            <w:r>
              <w:rPr>
                <w:rFonts w:hint="default"/>
                <w:color w:val="auto"/>
                <w:highlight w:val="none"/>
              </w:rPr>
              <w:t>中华镇</w:t>
            </w:r>
          </w:p>
        </w:tc>
        <w:tc>
          <w:tcPr>
            <w:tcW w:w="3962" w:type="dxa"/>
            <w:noWrap w:val="0"/>
            <w:vAlign w:val="center"/>
          </w:tcPr>
          <w:p>
            <w:pPr>
              <w:pStyle w:val="22"/>
              <w:bidi w:val="0"/>
              <w:rPr>
                <w:rFonts w:hint="default"/>
                <w:color w:val="auto"/>
                <w:highlight w:val="none"/>
              </w:rPr>
            </w:pPr>
            <w:r>
              <w:rPr>
                <w:rFonts w:hint="default"/>
                <w:color w:val="auto"/>
                <w:highlight w:val="none"/>
              </w:rPr>
              <w:t>达州市黑滩煤业有限公司</w:t>
            </w:r>
          </w:p>
        </w:tc>
        <w:tc>
          <w:tcPr>
            <w:tcW w:w="1708" w:type="dxa"/>
            <w:noWrap w:val="0"/>
            <w:vAlign w:val="center"/>
          </w:tcPr>
          <w:p>
            <w:pPr>
              <w:pStyle w:val="22"/>
              <w:bidi w:val="0"/>
              <w:rPr>
                <w:rFonts w:hint="default"/>
                <w:color w:val="auto"/>
                <w:highlight w:val="none"/>
              </w:rPr>
            </w:pPr>
            <w:r>
              <w:rPr>
                <w:rFonts w:hint="default"/>
                <w:color w:val="auto"/>
                <w:highlight w:val="none"/>
              </w:rPr>
              <w:t>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7</w:t>
            </w:r>
          </w:p>
        </w:tc>
        <w:tc>
          <w:tcPr>
            <w:tcW w:w="1490" w:type="dxa"/>
            <w:noWrap w:val="0"/>
            <w:vAlign w:val="center"/>
          </w:tcPr>
          <w:p>
            <w:pPr>
              <w:pStyle w:val="22"/>
              <w:bidi w:val="0"/>
              <w:rPr>
                <w:rFonts w:hint="default"/>
                <w:color w:val="auto"/>
                <w:highlight w:val="none"/>
              </w:rPr>
            </w:pPr>
            <w:r>
              <w:rPr>
                <w:rFonts w:hint="default"/>
                <w:color w:val="auto"/>
                <w:highlight w:val="none"/>
              </w:rPr>
              <w:t>中华镇</w:t>
            </w:r>
          </w:p>
        </w:tc>
        <w:tc>
          <w:tcPr>
            <w:tcW w:w="3962" w:type="dxa"/>
            <w:noWrap w:val="0"/>
            <w:vAlign w:val="center"/>
          </w:tcPr>
          <w:p>
            <w:pPr>
              <w:pStyle w:val="22"/>
              <w:bidi w:val="0"/>
              <w:rPr>
                <w:rFonts w:hint="default"/>
                <w:color w:val="auto"/>
                <w:highlight w:val="none"/>
              </w:rPr>
            </w:pPr>
            <w:r>
              <w:rPr>
                <w:rFonts w:hint="default"/>
                <w:color w:val="auto"/>
                <w:highlight w:val="none"/>
              </w:rPr>
              <w:t>四川省布莱特矿业有限公司</w:t>
            </w:r>
          </w:p>
        </w:tc>
        <w:tc>
          <w:tcPr>
            <w:tcW w:w="1708" w:type="dxa"/>
            <w:noWrap w:val="0"/>
            <w:vAlign w:val="center"/>
          </w:tcPr>
          <w:p>
            <w:pPr>
              <w:pStyle w:val="22"/>
              <w:bidi w:val="0"/>
              <w:rPr>
                <w:rFonts w:hint="default"/>
                <w:color w:val="auto"/>
                <w:highlight w:val="none"/>
              </w:rPr>
            </w:pPr>
            <w:r>
              <w:rPr>
                <w:rFonts w:hint="default"/>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8</w:t>
            </w:r>
          </w:p>
        </w:tc>
        <w:tc>
          <w:tcPr>
            <w:tcW w:w="1490" w:type="dxa"/>
            <w:noWrap w:val="0"/>
            <w:vAlign w:val="center"/>
          </w:tcPr>
          <w:p>
            <w:pPr>
              <w:pStyle w:val="22"/>
              <w:bidi w:val="0"/>
              <w:rPr>
                <w:rFonts w:hint="default"/>
                <w:color w:val="auto"/>
                <w:highlight w:val="none"/>
              </w:rPr>
            </w:pPr>
            <w:r>
              <w:rPr>
                <w:rFonts w:hint="default"/>
                <w:color w:val="auto"/>
                <w:highlight w:val="none"/>
              </w:rPr>
              <w:t>清水镇</w:t>
            </w:r>
          </w:p>
        </w:tc>
        <w:tc>
          <w:tcPr>
            <w:tcW w:w="3962" w:type="dxa"/>
            <w:noWrap w:val="0"/>
            <w:vAlign w:val="center"/>
          </w:tcPr>
          <w:p>
            <w:pPr>
              <w:pStyle w:val="22"/>
              <w:bidi w:val="0"/>
              <w:rPr>
                <w:rFonts w:hint="default"/>
                <w:color w:val="auto"/>
                <w:highlight w:val="none"/>
              </w:rPr>
            </w:pPr>
            <w:r>
              <w:rPr>
                <w:rFonts w:hint="default"/>
                <w:color w:val="auto"/>
                <w:highlight w:val="none"/>
              </w:rPr>
              <w:t>四川省鸿光矿业能源发展有限公司</w:t>
            </w:r>
          </w:p>
        </w:tc>
        <w:tc>
          <w:tcPr>
            <w:tcW w:w="1708" w:type="dxa"/>
            <w:noWrap w:val="0"/>
            <w:vAlign w:val="center"/>
          </w:tcPr>
          <w:p>
            <w:pPr>
              <w:pStyle w:val="22"/>
              <w:bidi w:val="0"/>
              <w:rPr>
                <w:rFonts w:hint="default"/>
                <w:color w:val="auto"/>
                <w:highlight w:val="none"/>
              </w:rPr>
            </w:pPr>
            <w:r>
              <w:rPr>
                <w:rFonts w:hint="default"/>
                <w:color w:val="auto"/>
                <w:highlight w:val="none"/>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9</w:t>
            </w:r>
          </w:p>
        </w:tc>
        <w:tc>
          <w:tcPr>
            <w:tcW w:w="1490" w:type="dxa"/>
            <w:noWrap w:val="0"/>
            <w:vAlign w:val="center"/>
          </w:tcPr>
          <w:p>
            <w:pPr>
              <w:pStyle w:val="22"/>
              <w:bidi w:val="0"/>
              <w:rPr>
                <w:rFonts w:hint="default"/>
                <w:color w:val="auto"/>
                <w:highlight w:val="none"/>
              </w:rPr>
            </w:pPr>
            <w:r>
              <w:rPr>
                <w:rFonts w:hint="default"/>
                <w:color w:val="auto"/>
                <w:highlight w:val="none"/>
              </w:rPr>
              <w:t>清水镇</w:t>
            </w:r>
          </w:p>
        </w:tc>
        <w:tc>
          <w:tcPr>
            <w:tcW w:w="3962" w:type="dxa"/>
            <w:noWrap w:val="0"/>
            <w:vAlign w:val="center"/>
          </w:tcPr>
          <w:p>
            <w:pPr>
              <w:pStyle w:val="22"/>
              <w:bidi w:val="0"/>
              <w:rPr>
                <w:rFonts w:hint="default"/>
                <w:color w:val="auto"/>
                <w:highlight w:val="none"/>
              </w:rPr>
            </w:pPr>
            <w:r>
              <w:rPr>
                <w:rFonts w:hint="default"/>
                <w:color w:val="auto"/>
                <w:highlight w:val="none"/>
              </w:rPr>
              <w:t>大竹县兴隆商贸有限责任公司</w:t>
            </w:r>
          </w:p>
        </w:tc>
        <w:tc>
          <w:tcPr>
            <w:tcW w:w="1708" w:type="dxa"/>
            <w:noWrap w:val="0"/>
            <w:vAlign w:val="center"/>
          </w:tcPr>
          <w:p>
            <w:pPr>
              <w:pStyle w:val="22"/>
              <w:bidi w:val="0"/>
              <w:rPr>
                <w:rFonts w:hint="default"/>
                <w:color w:val="auto"/>
                <w:highlight w:val="none"/>
              </w:rPr>
            </w:pPr>
            <w:r>
              <w:rPr>
                <w:rFonts w:hint="default"/>
                <w:color w:val="auto"/>
                <w:highlight w:val="none"/>
              </w:rPr>
              <w:t>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10</w:t>
            </w:r>
          </w:p>
        </w:tc>
        <w:tc>
          <w:tcPr>
            <w:tcW w:w="1490" w:type="dxa"/>
            <w:noWrap w:val="0"/>
            <w:vAlign w:val="center"/>
          </w:tcPr>
          <w:p>
            <w:pPr>
              <w:pStyle w:val="22"/>
              <w:bidi w:val="0"/>
              <w:rPr>
                <w:rFonts w:hint="default"/>
                <w:color w:val="auto"/>
                <w:highlight w:val="none"/>
              </w:rPr>
            </w:pPr>
            <w:r>
              <w:rPr>
                <w:rFonts w:hint="default"/>
                <w:color w:val="auto"/>
                <w:highlight w:val="none"/>
              </w:rPr>
              <w:t>柏林镇</w:t>
            </w:r>
          </w:p>
        </w:tc>
        <w:tc>
          <w:tcPr>
            <w:tcW w:w="3962" w:type="dxa"/>
            <w:noWrap w:val="0"/>
            <w:vAlign w:val="center"/>
          </w:tcPr>
          <w:p>
            <w:pPr>
              <w:pStyle w:val="22"/>
              <w:bidi w:val="0"/>
              <w:rPr>
                <w:rFonts w:hint="default"/>
                <w:color w:val="auto"/>
                <w:highlight w:val="none"/>
              </w:rPr>
            </w:pPr>
            <w:r>
              <w:rPr>
                <w:rFonts w:hint="default"/>
                <w:color w:val="auto"/>
                <w:highlight w:val="none"/>
              </w:rPr>
              <w:t>四川众能煤业有限公司</w:t>
            </w:r>
          </w:p>
        </w:tc>
        <w:tc>
          <w:tcPr>
            <w:tcW w:w="1708" w:type="dxa"/>
            <w:noWrap w:val="0"/>
            <w:vAlign w:val="center"/>
          </w:tcPr>
          <w:p>
            <w:pPr>
              <w:pStyle w:val="22"/>
              <w:bidi w:val="0"/>
              <w:rPr>
                <w:rFonts w:hint="default"/>
                <w:color w:val="auto"/>
                <w:highlight w:val="none"/>
              </w:rPr>
            </w:pPr>
            <w:r>
              <w:rPr>
                <w:rFonts w:hint="default"/>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小计</w:t>
            </w:r>
          </w:p>
        </w:tc>
        <w:tc>
          <w:tcPr>
            <w:tcW w:w="1490" w:type="dxa"/>
            <w:noWrap w:val="0"/>
            <w:vAlign w:val="center"/>
          </w:tcPr>
          <w:p>
            <w:pPr>
              <w:pStyle w:val="22"/>
              <w:bidi w:val="0"/>
              <w:rPr>
                <w:rFonts w:hint="default"/>
                <w:color w:val="auto"/>
                <w:highlight w:val="none"/>
              </w:rPr>
            </w:pPr>
          </w:p>
        </w:tc>
        <w:tc>
          <w:tcPr>
            <w:tcW w:w="3962" w:type="dxa"/>
            <w:noWrap w:val="0"/>
            <w:vAlign w:val="center"/>
          </w:tcPr>
          <w:p>
            <w:pPr>
              <w:pStyle w:val="22"/>
              <w:bidi w:val="0"/>
              <w:rPr>
                <w:rFonts w:hint="default"/>
                <w:color w:val="auto"/>
                <w:highlight w:val="none"/>
              </w:rPr>
            </w:pPr>
          </w:p>
        </w:tc>
        <w:tc>
          <w:tcPr>
            <w:tcW w:w="1708" w:type="dxa"/>
            <w:noWrap w:val="0"/>
            <w:vAlign w:val="center"/>
          </w:tcPr>
          <w:p>
            <w:pPr>
              <w:pStyle w:val="22"/>
              <w:bidi w:val="0"/>
              <w:rPr>
                <w:rFonts w:hint="default"/>
                <w:color w:val="auto"/>
                <w:highlight w:val="none"/>
              </w:rPr>
            </w:pPr>
            <w:r>
              <w:rPr>
                <w:rFonts w:hint="default"/>
                <w:color w:val="auto"/>
                <w:highlight w:val="none"/>
              </w:rPr>
              <w:t>355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47" w:type="dxa"/>
            <w:gridSpan w:val="2"/>
            <w:noWrap w:val="0"/>
            <w:vAlign w:val="center"/>
          </w:tcPr>
          <w:p>
            <w:pPr>
              <w:pStyle w:val="22"/>
              <w:bidi w:val="0"/>
              <w:rPr>
                <w:rFonts w:hint="default"/>
                <w:color w:val="auto"/>
                <w:highlight w:val="none"/>
              </w:rPr>
            </w:pPr>
            <w:r>
              <w:rPr>
                <w:rFonts w:hint="default"/>
                <w:color w:val="auto"/>
                <w:highlight w:val="none"/>
              </w:rPr>
              <w:t>中山明月峡矿区</w:t>
            </w:r>
          </w:p>
        </w:tc>
        <w:tc>
          <w:tcPr>
            <w:tcW w:w="3962" w:type="dxa"/>
            <w:noWrap w:val="0"/>
            <w:vAlign w:val="center"/>
          </w:tcPr>
          <w:p>
            <w:pPr>
              <w:pStyle w:val="22"/>
              <w:bidi w:val="0"/>
              <w:rPr>
                <w:rFonts w:hint="default"/>
                <w:color w:val="auto"/>
                <w:highlight w:val="none"/>
              </w:rPr>
            </w:pPr>
          </w:p>
        </w:tc>
        <w:tc>
          <w:tcPr>
            <w:tcW w:w="170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1</w:t>
            </w:r>
          </w:p>
        </w:tc>
        <w:tc>
          <w:tcPr>
            <w:tcW w:w="1490" w:type="dxa"/>
            <w:noWrap w:val="0"/>
            <w:vAlign w:val="center"/>
          </w:tcPr>
          <w:p>
            <w:pPr>
              <w:pStyle w:val="22"/>
              <w:bidi w:val="0"/>
              <w:rPr>
                <w:rFonts w:hint="default"/>
                <w:color w:val="auto"/>
                <w:highlight w:val="none"/>
              </w:rPr>
            </w:pPr>
            <w:r>
              <w:rPr>
                <w:rFonts w:hint="default"/>
                <w:color w:val="auto"/>
                <w:highlight w:val="none"/>
              </w:rPr>
              <w:t>石河镇</w:t>
            </w:r>
          </w:p>
        </w:tc>
        <w:tc>
          <w:tcPr>
            <w:tcW w:w="3962" w:type="dxa"/>
            <w:noWrap w:val="0"/>
            <w:vAlign w:val="center"/>
          </w:tcPr>
          <w:p>
            <w:pPr>
              <w:pStyle w:val="22"/>
              <w:bidi w:val="0"/>
              <w:rPr>
                <w:rFonts w:hint="default"/>
                <w:color w:val="auto"/>
                <w:highlight w:val="none"/>
              </w:rPr>
            </w:pPr>
            <w:r>
              <w:rPr>
                <w:rFonts w:hint="default"/>
                <w:color w:val="auto"/>
                <w:highlight w:val="none"/>
              </w:rPr>
              <w:t>乐源煤业有限公司</w:t>
            </w:r>
          </w:p>
        </w:tc>
        <w:tc>
          <w:tcPr>
            <w:tcW w:w="1708" w:type="dxa"/>
            <w:noWrap w:val="0"/>
            <w:vAlign w:val="center"/>
          </w:tcPr>
          <w:p>
            <w:pPr>
              <w:pStyle w:val="22"/>
              <w:bidi w:val="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2</w:t>
            </w:r>
          </w:p>
        </w:tc>
        <w:tc>
          <w:tcPr>
            <w:tcW w:w="1490" w:type="dxa"/>
            <w:noWrap w:val="0"/>
            <w:vAlign w:val="center"/>
          </w:tcPr>
          <w:p>
            <w:pPr>
              <w:pStyle w:val="22"/>
              <w:bidi w:val="0"/>
              <w:rPr>
                <w:rFonts w:hint="default"/>
                <w:color w:val="auto"/>
                <w:highlight w:val="none"/>
              </w:rPr>
            </w:pPr>
            <w:r>
              <w:rPr>
                <w:rFonts w:hint="default"/>
                <w:color w:val="auto"/>
                <w:highlight w:val="none"/>
              </w:rPr>
              <w:t>乌木镇</w:t>
            </w:r>
          </w:p>
        </w:tc>
        <w:tc>
          <w:tcPr>
            <w:tcW w:w="3962" w:type="dxa"/>
            <w:noWrap w:val="0"/>
            <w:vAlign w:val="center"/>
          </w:tcPr>
          <w:p>
            <w:pPr>
              <w:pStyle w:val="22"/>
              <w:bidi w:val="0"/>
              <w:rPr>
                <w:rFonts w:hint="default"/>
                <w:color w:val="auto"/>
                <w:highlight w:val="none"/>
              </w:rPr>
            </w:pPr>
            <w:r>
              <w:rPr>
                <w:rFonts w:hint="default"/>
                <w:color w:val="auto"/>
                <w:highlight w:val="none"/>
              </w:rPr>
              <w:t>堡子矿业有限责任公司</w:t>
            </w:r>
          </w:p>
        </w:tc>
        <w:tc>
          <w:tcPr>
            <w:tcW w:w="1708" w:type="dxa"/>
            <w:noWrap w:val="0"/>
            <w:vAlign w:val="center"/>
          </w:tcPr>
          <w:p>
            <w:pPr>
              <w:pStyle w:val="22"/>
              <w:bidi w:val="0"/>
              <w:rPr>
                <w:rFonts w:hint="default"/>
                <w:color w:val="auto"/>
                <w:highlight w:val="none"/>
              </w:rPr>
            </w:pPr>
            <w:r>
              <w:rPr>
                <w:rFonts w:hint="default"/>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3</w:t>
            </w:r>
          </w:p>
        </w:tc>
        <w:tc>
          <w:tcPr>
            <w:tcW w:w="1490" w:type="dxa"/>
            <w:noWrap w:val="0"/>
            <w:vAlign w:val="center"/>
          </w:tcPr>
          <w:p>
            <w:pPr>
              <w:pStyle w:val="22"/>
              <w:bidi w:val="0"/>
              <w:rPr>
                <w:rFonts w:hint="default"/>
                <w:color w:val="auto"/>
                <w:highlight w:val="none"/>
              </w:rPr>
            </w:pPr>
            <w:r>
              <w:rPr>
                <w:rFonts w:hint="default"/>
                <w:color w:val="auto"/>
                <w:highlight w:val="none"/>
              </w:rPr>
              <w:t>观音镇</w:t>
            </w:r>
          </w:p>
        </w:tc>
        <w:tc>
          <w:tcPr>
            <w:tcW w:w="3962" w:type="dxa"/>
            <w:noWrap w:val="0"/>
            <w:vAlign w:val="center"/>
          </w:tcPr>
          <w:p>
            <w:pPr>
              <w:pStyle w:val="22"/>
              <w:bidi w:val="0"/>
              <w:rPr>
                <w:rFonts w:hint="default"/>
                <w:color w:val="auto"/>
                <w:highlight w:val="none"/>
              </w:rPr>
            </w:pPr>
            <w:r>
              <w:rPr>
                <w:rFonts w:hint="default"/>
                <w:color w:val="auto"/>
                <w:highlight w:val="none"/>
              </w:rPr>
              <w:t>四川神州矿业开发有限公司</w:t>
            </w:r>
          </w:p>
        </w:tc>
        <w:tc>
          <w:tcPr>
            <w:tcW w:w="1708" w:type="dxa"/>
            <w:noWrap w:val="0"/>
            <w:vAlign w:val="center"/>
          </w:tcPr>
          <w:p>
            <w:pPr>
              <w:pStyle w:val="22"/>
              <w:bidi w:val="0"/>
              <w:rPr>
                <w:rFonts w:hint="default"/>
                <w:color w:val="auto"/>
                <w:highlight w:val="none"/>
              </w:rPr>
            </w:pPr>
            <w:r>
              <w:rPr>
                <w:rFonts w:hint="default"/>
                <w:color w:val="auto"/>
                <w:highlight w:val="none"/>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4</w:t>
            </w:r>
          </w:p>
        </w:tc>
        <w:tc>
          <w:tcPr>
            <w:tcW w:w="1490" w:type="dxa"/>
            <w:noWrap w:val="0"/>
            <w:vAlign w:val="center"/>
          </w:tcPr>
          <w:p>
            <w:pPr>
              <w:pStyle w:val="22"/>
              <w:bidi w:val="0"/>
              <w:rPr>
                <w:rFonts w:hint="default"/>
                <w:color w:val="auto"/>
                <w:highlight w:val="none"/>
              </w:rPr>
            </w:pPr>
            <w:r>
              <w:rPr>
                <w:rFonts w:hint="default"/>
                <w:color w:val="auto"/>
                <w:highlight w:val="none"/>
              </w:rPr>
              <w:t>月华镇</w:t>
            </w:r>
          </w:p>
        </w:tc>
        <w:tc>
          <w:tcPr>
            <w:tcW w:w="3962" w:type="dxa"/>
            <w:noWrap w:val="0"/>
            <w:vAlign w:val="center"/>
          </w:tcPr>
          <w:p>
            <w:pPr>
              <w:pStyle w:val="22"/>
              <w:bidi w:val="0"/>
              <w:rPr>
                <w:rFonts w:hint="default"/>
                <w:color w:val="auto"/>
                <w:highlight w:val="none"/>
              </w:rPr>
            </w:pPr>
            <w:r>
              <w:rPr>
                <w:rFonts w:hint="default"/>
                <w:color w:val="auto"/>
                <w:highlight w:val="none"/>
              </w:rPr>
              <w:t>大竹广通煤业有限公司</w:t>
            </w:r>
          </w:p>
        </w:tc>
        <w:tc>
          <w:tcPr>
            <w:tcW w:w="1708" w:type="dxa"/>
            <w:noWrap w:val="0"/>
            <w:vAlign w:val="center"/>
          </w:tcPr>
          <w:p>
            <w:pPr>
              <w:pStyle w:val="22"/>
              <w:bidi w:val="0"/>
              <w:rPr>
                <w:rFonts w:hint="default"/>
                <w:color w:val="auto"/>
                <w:highlight w:val="none"/>
              </w:rPr>
            </w:pPr>
            <w:r>
              <w:rPr>
                <w:rFonts w:hint="default"/>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5</w:t>
            </w:r>
          </w:p>
        </w:tc>
        <w:tc>
          <w:tcPr>
            <w:tcW w:w="1490" w:type="dxa"/>
            <w:noWrap w:val="0"/>
            <w:vAlign w:val="center"/>
          </w:tcPr>
          <w:p>
            <w:pPr>
              <w:pStyle w:val="22"/>
              <w:bidi w:val="0"/>
              <w:rPr>
                <w:rFonts w:hint="default"/>
                <w:color w:val="auto"/>
                <w:highlight w:val="none"/>
              </w:rPr>
            </w:pPr>
            <w:r>
              <w:rPr>
                <w:rFonts w:hint="default"/>
                <w:color w:val="auto"/>
                <w:highlight w:val="none"/>
              </w:rPr>
              <w:t>月华镇</w:t>
            </w:r>
          </w:p>
        </w:tc>
        <w:tc>
          <w:tcPr>
            <w:tcW w:w="3962" w:type="dxa"/>
            <w:noWrap w:val="0"/>
            <w:vAlign w:val="center"/>
          </w:tcPr>
          <w:p>
            <w:pPr>
              <w:pStyle w:val="22"/>
              <w:bidi w:val="0"/>
              <w:rPr>
                <w:rFonts w:hint="default"/>
                <w:color w:val="auto"/>
                <w:highlight w:val="none"/>
              </w:rPr>
            </w:pPr>
            <w:r>
              <w:rPr>
                <w:rFonts w:hint="default"/>
                <w:color w:val="auto"/>
                <w:highlight w:val="none"/>
              </w:rPr>
              <w:t>大竹县富有商贸有限责任公司</w:t>
            </w:r>
          </w:p>
        </w:tc>
        <w:tc>
          <w:tcPr>
            <w:tcW w:w="1708" w:type="dxa"/>
            <w:noWrap w:val="0"/>
            <w:vAlign w:val="center"/>
          </w:tcPr>
          <w:p>
            <w:pPr>
              <w:pStyle w:val="22"/>
              <w:bidi w:val="0"/>
              <w:rPr>
                <w:rFonts w:hint="default"/>
                <w:color w:val="auto"/>
                <w:highlight w:val="none"/>
              </w:rPr>
            </w:pPr>
            <w:r>
              <w:rPr>
                <w:rFonts w:hint="default"/>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6</w:t>
            </w:r>
          </w:p>
        </w:tc>
        <w:tc>
          <w:tcPr>
            <w:tcW w:w="1490" w:type="dxa"/>
            <w:noWrap w:val="0"/>
            <w:vAlign w:val="center"/>
          </w:tcPr>
          <w:p>
            <w:pPr>
              <w:pStyle w:val="22"/>
              <w:bidi w:val="0"/>
              <w:rPr>
                <w:rFonts w:hint="default"/>
                <w:color w:val="auto"/>
                <w:highlight w:val="none"/>
              </w:rPr>
            </w:pPr>
            <w:r>
              <w:rPr>
                <w:rFonts w:hint="default"/>
                <w:color w:val="auto"/>
                <w:highlight w:val="none"/>
              </w:rPr>
              <w:t>周家镇</w:t>
            </w:r>
          </w:p>
        </w:tc>
        <w:tc>
          <w:tcPr>
            <w:tcW w:w="3962" w:type="dxa"/>
            <w:noWrap w:val="0"/>
            <w:vAlign w:val="center"/>
          </w:tcPr>
          <w:p>
            <w:pPr>
              <w:pStyle w:val="22"/>
              <w:bidi w:val="0"/>
              <w:rPr>
                <w:rFonts w:hint="default"/>
                <w:color w:val="auto"/>
                <w:highlight w:val="none"/>
              </w:rPr>
            </w:pPr>
            <w:r>
              <w:rPr>
                <w:rFonts w:hint="default"/>
                <w:color w:val="auto"/>
                <w:highlight w:val="none"/>
              </w:rPr>
              <w:t>瑞隆选煤厂</w:t>
            </w:r>
          </w:p>
        </w:tc>
        <w:tc>
          <w:tcPr>
            <w:tcW w:w="1708" w:type="dxa"/>
            <w:noWrap w:val="0"/>
            <w:vAlign w:val="center"/>
          </w:tcPr>
          <w:p>
            <w:pPr>
              <w:pStyle w:val="22"/>
              <w:bidi w:val="0"/>
              <w:rPr>
                <w:rFonts w:hint="default"/>
                <w:color w:val="auto"/>
                <w:highlight w:val="none"/>
              </w:rPr>
            </w:pPr>
            <w:r>
              <w:rPr>
                <w:rFonts w:hint="default"/>
                <w:color w:val="auto"/>
                <w:highlight w:val="none"/>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7</w:t>
            </w:r>
          </w:p>
        </w:tc>
        <w:tc>
          <w:tcPr>
            <w:tcW w:w="1490" w:type="dxa"/>
            <w:noWrap w:val="0"/>
            <w:vAlign w:val="center"/>
          </w:tcPr>
          <w:p>
            <w:pPr>
              <w:pStyle w:val="22"/>
              <w:bidi w:val="0"/>
              <w:rPr>
                <w:rFonts w:hint="default"/>
                <w:color w:val="auto"/>
                <w:highlight w:val="none"/>
              </w:rPr>
            </w:pPr>
            <w:r>
              <w:rPr>
                <w:rFonts w:hint="default"/>
                <w:color w:val="auto"/>
                <w:highlight w:val="none"/>
              </w:rPr>
              <w:t>周家镇</w:t>
            </w:r>
          </w:p>
        </w:tc>
        <w:tc>
          <w:tcPr>
            <w:tcW w:w="3962" w:type="dxa"/>
            <w:noWrap w:val="0"/>
            <w:vAlign w:val="center"/>
          </w:tcPr>
          <w:p>
            <w:pPr>
              <w:pStyle w:val="22"/>
              <w:bidi w:val="0"/>
              <w:rPr>
                <w:rFonts w:hint="default"/>
                <w:color w:val="auto"/>
                <w:highlight w:val="none"/>
              </w:rPr>
            </w:pPr>
            <w:r>
              <w:rPr>
                <w:rFonts w:hint="default"/>
                <w:color w:val="auto"/>
                <w:highlight w:val="none"/>
              </w:rPr>
              <w:t>鑫盛选煤厂</w:t>
            </w:r>
          </w:p>
        </w:tc>
        <w:tc>
          <w:tcPr>
            <w:tcW w:w="1708" w:type="dxa"/>
            <w:noWrap w:val="0"/>
            <w:vAlign w:val="center"/>
          </w:tcPr>
          <w:p>
            <w:pPr>
              <w:pStyle w:val="22"/>
              <w:bidi w:val="0"/>
              <w:rPr>
                <w:rFonts w:hint="default"/>
                <w:color w:val="auto"/>
                <w:highlight w:val="none"/>
              </w:rPr>
            </w:pPr>
            <w:r>
              <w:rPr>
                <w:rFonts w:hint="default"/>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小计</w:t>
            </w:r>
          </w:p>
        </w:tc>
        <w:tc>
          <w:tcPr>
            <w:tcW w:w="1490" w:type="dxa"/>
            <w:noWrap w:val="0"/>
            <w:vAlign w:val="center"/>
          </w:tcPr>
          <w:p>
            <w:pPr>
              <w:pStyle w:val="22"/>
              <w:bidi w:val="0"/>
              <w:rPr>
                <w:rFonts w:hint="default"/>
                <w:color w:val="auto"/>
                <w:highlight w:val="none"/>
              </w:rPr>
            </w:pPr>
          </w:p>
        </w:tc>
        <w:tc>
          <w:tcPr>
            <w:tcW w:w="3962" w:type="dxa"/>
            <w:noWrap w:val="0"/>
            <w:vAlign w:val="center"/>
          </w:tcPr>
          <w:p>
            <w:pPr>
              <w:pStyle w:val="22"/>
              <w:bidi w:val="0"/>
              <w:rPr>
                <w:rFonts w:hint="default"/>
                <w:color w:val="auto"/>
                <w:highlight w:val="none"/>
              </w:rPr>
            </w:pPr>
          </w:p>
        </w:tc>
        <w:tc>
          <w:tcPr>
            <w:tcW w:w="1708" w:type="dxa"/>
            <w:noWrap w:val="0"/>
            <w:vAlign w:val="center"/>
          </w:tcPr>
          <w:p>
            <w:pPr>
              <w:pStyle w:val="22"/>
              <w:bidi w:val="0"/>
              <w:rPr>
                <w:rFonts w:hint="default"/>
                <w:color w:val="auto"/>
                <w:highlight w:val="none"/>
              </w:rPr>
            </w:pPr>
            <w:r>
              <w:rPr>
                <w:rFonts w:hint="default"/>
                <w:color w:val="auto"/>
                <w:highlight w:val="none"/>
              </w:rPr>
              <w:t>147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7" w:type="dxa"/>
            <w:noWrap w:val="0"/>
            <w:vAlign w:val="center"/>
          </w:tcPr>
          <w:p>
            <w:pPr>
              <w:pStyle w:val="22"/>
              <w:bidi w:val="0"/>
              <w:rPr>
                <w:rFonts w:hint="default"/>
                <w:color w:val="auto"/>
                <w:highlight w:val="none"/>
              </w:rPr>
            </w:pPr>
            <w:r>
              <w:rPr>
                <w:rFonts w:hint="default"/>
                <w:color w:val="auto"/>
                <w:highlight w:val="none"/>
              </w:rPr>
              <w:t>合计</w:t>
            </w:r>
          </w:p>
        </w:tc>
        <w:tc>
          <w:tcPr>
            <w:tcW w:w="1490" w:type="dxa"/>
            <w:noWrap w:val="0"/>
            <w:vAlign w:val="center"/>
          </w:tcPr>
          <w:p>
            <w:pPr>
              <w:pStyle w:val="22"/>
              <w:bidi w:val="0"/>
              <w:rPr>
                <w:rFonts w:hint="default"/>
                <w:color w:val="auto"/>
                <w:highlight w:val="none"/>
              </w:rPr>
            </w:pPr>
          </w:p>
        </w:tc>
        <w:tc>
          <w:tcPr>
            <w:tcW w:w="3962" w:type="dxa"/>
            <w:noWrap w:val="0"/>
            <w:vAlign w:val="center"/>
          </w:tcPr>
          <w:p>
            <w:pPr>
              <w:pStyle w:val="22"/>
              <w:bidi w:val="0"/>
              <w:rPr>
                <w:rFonts w:hint="default"/>
                <w:color w:val="auto"/>
                <w:highlight w:val="none"/>
              </w:rPr>
            </w:pPr>
          </w:p>
        </w:tc>
        <w:tc>
          <w:tcPr>
            <w:tcW w:w="1708" w:type="dxa"/>
            <w:noWrap w:val="0"/>
            <w:vAlign w:val="center"/>
          </w:tcPr>
          <w:p>
            <w:pPr>
              <w:pStyle w:val="22"/>
              <w:bidi w:val="0"/>
              <w:rPr>
                <w:rFonts w:hint="default"/>
                <w:color w:val="auto"/>
                <w:highlight w:val="none"/>
              </w:rPr>
            </w:pPr>
            <w:r>
              <w:rPr>
                <w:rFonts w:hint="default"/>
                <w:color w:val="auto"/>
                <w:highlight w:val="none"/>
              </w:rPr>
              <w:t>502</w:t>
            </w:r>
          </w:p>
        </w:tc>
      </w:tr>
      <w:bookmarkEnd w:id="117"/>
    </w:tbl>
    <w:p>
      <w:pPr>
        <w:pStyle w:val="7"/>
        <w:bidi w:val="0"/>
        <w:rPr>
          <w:rFonts w:hint="default"/>
          <w:color w:val="auto"/>
          <w:highlight w:val="none"/>
          <w:lang w:val="en-US" w:eastAsia="zh-CN"/>
        </w:rPr>
      </w:pPr>
      <w:r>
        <w:rPr>
          <w:rFonts w:hint="default"/>
          <w:color w:val="auto"/>
          <w:highlight w:val="none"/>
          <w:lang w:val="en-US" w:eastAsia="zh-CN"/>
        </w:rPr>
        <w:t>2.1.8.2 煤炭洗选加工规划</w:t>
      </w:r>
    </w:p>
    <w:p>
      <w:pPr>
        <w:pStyle w:val="6"/>
        <w:bidi w:val="0"/>
        <w:rPr>
          <w:rFonts w:hint="default"/>
          <w:color w:val="auto"/>
          <w:highlight w:val="none"/>
          <w:lang w:val="en-US" w:eastAsia="zh-CN"/>
        </w:rPr>
      </w:pPr>
      <w:bookmarkStart w:id="118" w:name="_Toc12976"/>
      <w:bookmarkStart w:id="119" w:name="_Toc25165"/>
      <w:r>
        <w:rPr>
          <w:rFonts w:hint="default"/>
          <w:color w:val="auto"/>
          <w:highlight w:val="none"/>
          <w:lang w:val="en-US" w:eastAsia="zh-CN"/>
        </w:rPr>
        <w:t>2.1.9 资源综合利用及其他煤炭转化</w:t>
      </w:r>
      <w:bookmarkEnd w:id="118"/>
      <w:bookmarkEnd w:id="119"/>
    </w:p>
    <w:p>
      <w:pPr>
        <w:pStyle w:val="7"/>
        <w:bidi w:val="0"/>
        <w:rPr>
          <w:rFonts w:hint="default"/>
          <w:color w:val="auto"/>
          <w:highlight w:val="none"/>
          <w:lang w:val="en-US" w:eastAsia="zh-CN"/>
        </w:rPr>
      </w:pPr>
      <w:r>
        <w:rPr>
          <w:rFonts w:hint="default"/>
          <w:color w:val="auto"/>
          <w:highlight w:val="none"/>
          <w:lang w:val="en-US" w:eastAsia="zh-CN"/>
        </w:rPr>
        <w:t>2.1.9.1 资源综合利用</w:t>
      </w:r>
    </w:p>
    <w:p>
      <w:pPr>
        <w:bidi w:val="0"/>
        <w:rPr>
          <w:rFonts w:hint="default"/>
          <w:color w:val="auto"/>
          <w:highlight w:val="none"/>
          <w:lang w:val="en-US" w:eastAsia="zh-CN"/>
        </w:rPr>
      </w:pPr>
      <w:r>
        <w:rPr>
          <w:rFonts w:hint="default"/>
          <w:color w:val="auto"/>
          <w:highlight w:val="none"/>
          <w:lang w:val="en-US" w:eastAsia="zh-CN"/>
        </w:rPr>
        <w:t>1、矿井水</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目前大竹县各煤矿均建设有污水处理系统，矿井井下排水井处理后用于矿井井下生产用水，剩余部分经处理达标后排放。</w:t>
      </w:r>
    </w:p>
    <w:p>
      <w:pPr>
        <w:bidi w:val="0"/>
        <w:rPr>
          <w:rFonts w:hint="default"/>
          <w:color w:val="auto"/>
          <w:highlight w:val="none"/>
          <w:lang w:val="en-US" w:eastAsia="zh-CN"/>
        </w:rPr>
      </w:pPr>
      <w:r>
        <w:rPr>
          <w:rFonts w:hint="default"/>
          <w:color w:val="auto"/>
          <w:highlight w:val="none"/>
          <w:lang w:val="en-US" w:eastAsia="zh-CN"/>
        </w:rPr>
        <w:t>2、低热值燃料</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煤矸石是采煤过程和煤炭分选加工过程中排放的</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"https://baike.baidu.com/item/%E5%9B%BA%E4%BD%93%E5%BA%9F%E7%89%A9/5746875" \t "_blank"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固体废物</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，其主要成分是AL</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、SiO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，另外还含有数量不等的Fe</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、CaO、</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"https://baike.baidu.com/item/MgO" \t "_blank"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MgO</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"https://baike.baidu.com/item/Na2O" \t "_blank"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Na</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"https://baike.baidu.com/item/K2O" \t "_blank"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和微量稀有元素（镓、钒、钛、钴）。</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煤矸石砖的生产成本较普通粘土砖低，利用煤矸石制砖不仅节约了土地，还消耗了矿山的废料，它是一项有利于环保的</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"https://baike.baidu.com/item/%E4%BD%8E%E7%A2%B3%E5%BB%BA%E7%AD%91%E6%9D%90%E6%96%99/3284891" \t "_blank"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低碳建筑材料</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。矸石砖厂特征见表</w:t>
      </w:r>
      <w:r>
        <w:rPr>
          <w:rFonts w:hint="default" w:ascii="Times New Roman" w:hAnsi="Times New Roman" w:cs="Times New Roman"/>
          <w:color w:val="auto"/>
          <w:sz w:val="24"/>
          <w:szCs w:val="24"/>
          <w:highlight w:val="none"/>
          <w:lang w:val="en-US" w:eastAsia="zh-CN"/>
        </w:rPr>
        <w:t>2.1.9-1</w:t>
      </w:r>
      <w:r>
        <w:rPr>
          <w:rFonts w:hint="default" w:ascii="Times New Roman" w:hAnsi="Times New Roman" w:cs="Times New Roman"/>
          <w:color w:val="auto"/>
          <w:sz w:val="24"/>
          <w:szCs w:val="24"/>
          <w:highlight w:val="none"/>
        </w:rPr>
        <w:t>。</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2.1.9</w:t>
      </w:r>
      <w:r>
        <w:rPr>
          <w:rFonts w:hint="default"/>
          <w:color w:val="auto"/>
          <w:highlight w:val="none"/>
        </w:rPr>
        <w:t>-1                矸石砖厂现状表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082"/>
        <w:gridCol w:w="2268"/>
        <w:gridCol w:w="1605"/>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pStyle w:val="22"/>
              <w:bidi w:val="0"/>
              <w:rPr>
                <w:rFonts w:hint="default"/>
                <w:color w:val="auto"/>
                <w:highlight w:val="none"/>
              </w:rPr>
            </w:pPr>
            <w:r>
              <w:rPr>
                <w:rFonts w:hint="default"/>
                <w:color w:val="auto"/>
                <w:highlight w:val="none"/>
              </w:rPr>
              <w:t>序号</w:t>
            </w:r>
          </w:p>
        </w:tc>
        <w:tc>
          <w:tcPr>
            <w:tcW w:w="3082" w:type="dxa"/>
            <w:noWrap w:val="0"/>
            <w:vAlign w:val="center"/>
          </w:tcPr>
          <w:p>
            <w:pPr>
              <w:pStyle w:val="22"/>
              <w:bidi w:val="0"/>
              <w:rPr>
                <w:rFonts w:hint="default"/>
                <w:color w:val="auto"/>
                <w:highlight w:val="none"/>
              </w:rPr>
            </w:pPr>
            <w:r>
              <w:rPr>
                <w:rFonts w:hint="default"/>
                <w:color w:val="auto"/>
                <w:highlight w:val="none"/>
              </w:rPr>
              <w:t>企业名称</w:t>
            </w:r>
          </w:p>
        </w:tc>
        <w:tc>
          <w:tcPr>
            <w:tcW w:w="2268" w:type="dxa"/>
            <w:noWrap w:val="0"/>
            <w:vAlign w:val="center"/>
          </w:tcPr>
          <w:p>
            <w:pPr>
              <w:pStyle w:val="22"/>
              <w:bidi w:val="0"/>
              <w:rPr>
                <w:rFonts w:hint="default"/>
                <w:color w:val="auto"/>
                <w:highlight w:val="none"/>
              </w:rPr>
            </w:pPr>
            <w:r>
              <w:rPr>
                <w:rFonts w:hint="default"/>
                <w:color w:val="auto"/>
                <w:highlight w:val="none"/>
              </w:rPr>
              <w:t>企业地址</w:t>
            </w:r>
          </w:p>
        </w:tc>
        <w:tc>
          <w:tcPr>
            <w:tcW w:w="1605" w:type="dxa"/>
            <w:noWrap w:val="0"/>
            <w:vAlign w:val="center"/>
          </w:tcPr>
          <w:p>
            <w:pPr>
              <w:pStyle w:val="22"/>
              <w:bidi w:val="0"/>
              <w:rPr>
                <w:rFonts w:hint="default"/>
                <w:color w:val="auto"/>
                <w:highlight w:val="none"/>
              </w:rPr>
            </w:pPr>
            <w:r>
              <w:rPr>
                <w:rFonts w:hint="default"/>
                <w:color w:val="auto"/>
                <w:highlight w:val="none"/>
              </w:rPr>
              <w:t>生产规模</w:t>
            </w:r>
          </w:p>
          <w:p>
            <w:pPr>
              <w:pStyle w:val="22"/>
              <w:bidi w:val="0"/>
              <w:rPr>
                <w:rFonts w:hint="default"/>
                <w:color w:val="auto"/>
                <w:highlight w:val="none"/>
              </w:rPr>
            </w:pPr>
            <w:r>
              <w:rPr>
                <w:rFonts w:hint="default"/>
                <w:color w:val="auto"/>
                <w:highlight w:val="none"/>
              </w:rPr>
              <w:t>（千万匹/年）</w:t>
            </w:r>
          </w:p>
        </w:tc>
        <w:tc>
          <w:tcPr>
            <w:tcW w:w="663" w:type="dxa"/>
            <w:noWrap w:val="0"/>
            <w:vAlign w:val="center"/>
          </w:tcPr>
          <w:p>
            <w:pPr>
              <w:pStyle w:val="22"/>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w:t>
            </w:r>
          </w:p>
        </w:tc>
        <w:tc>
          <w:tcPr>
            <w:tcW w:w="3082" w:type="dxa"/>
            <w:noWrap w:val="0"/>
            <w:vAlign w:val="top"/>
          </w:tcPr>
          <w:p>
            <w:pPr>
              <w:pStyle w:val="22"/>
              <w:bidi w:val="0"/>
              <w:rPr>
                <w:rFonts w:hint="default"/>
                <w:color w:val="auto"/>
                <w:highlight w:val="none"/>
              </w:rPr>
            </w:pPr>
            <w:r>
              <w:rPr>
                <w:rFonts w:hint="default"/>
                <w:color w:val="auto"/>
                <w:highlight w:val="none"/>
              </w:rPr>
              <w:t>大竹县高峰矸石砖厂</w:t>
            </w:r>
          </w:p>
        </w:tc>
        <w:tc>
          <w:tcPr>
            <w:tcW w:w="2268" w:type="dxa"/>
            <w:noWrap w:val="0"/>
            <w:vAlign w:val="center"/>
          </w:tcPr>
          <w:p>
            <w:pPr>
              <w:pStyle w:val="22"/>
              <w:bidi w:val="0"/>
              <w:rPr>
                <w:rFonts w:hint="default"/>
                <w:color w:val="auto"/>
                <w:highlight w:val="none"/>
              </w:rPr>
            </w:pPr>
            <w:r>
              <w:rPr>
                <w:rFonts w:hint="default"/>
                <w:color w:val="auto"/>
                <w:highlight w:val="none"/>
              </w:rPr>
              <w:t>竹阳镇高峰寺村6组</w:t>
            </w:r>
          </w:p>
        </w:tc>
        <w:tc>
          <w:tcPr>
            <w:tcW w:w="1605" w:type="dxa"/>
            <w:noWrap w:val="0"/>
            <w:vAlign w:val="center"/>
          </w:tcPr>
          <w:p>
            <w:pPr>
              <w:pStyle w:val="22"/>
              <w:bidi w:val="0"/>
              <w:rPr>
                <w:rFonts w:hint="default"/>
                <w:color w:val="auto"/>
                <w:highlight w:val="none"/>
              </w:rPr>
            </w:pPr>
            <w:r>
              <w:rPr>
                <w:rFonts w:hint="default"/>
                <w:color w:val="auto"/>
                <w:highlight w:val="none"/>
              </w:rPr>
              <w:t>1</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2</w:t>
            </w:r>
          </w:p>
        </w:tc>
        <w:tc>
          <w:tcPr>
            <w:tcW w:w="3082" w:type="dxa"/>
            <w:noWrap w:val="0"/>
            <w:vAlign w:val="top"/>
          </w:tcPr>
          <w:p>
            <w:pPr>
              <w:pStyle w:val="22"/>
              <w:bidi w:val="0"/>
              <w:rPr>
                <w:rFonts w:hint="default"/>
                <w:color w:val="auto"/>
                <w:highlight w:val="none"/>
              </w:rPr>
            </w:pPr>
            <w:r>
              <w:rPr>
                <w:rFonts w:hint="default"/>
                <w:color w:val="auto"/>
                <w:highlight w:val="none"/>
              </w:rPr>
              <w:t>大竹县兴安煤矸砖厂</w:t>
            </w:r>
          </w:p>
        </w:tc>
        <w:tc>
          <w:tcPr>
            <w:tcW w:w="2268" w:type="dxa"/>
            <w:noWrap w:val="0"/>
            <w:vAlign w:val="center"/>
          </w:tcPr>
          <w:p>
            <w:pPr>
              <w:pStyle w:val="22"/>
              <w:bidi w:val="0"/>
              <w:rPr>
                <w:rFonts w:hint="default"/>
                <w:color w:val="auto"/>
                <w:highlight w:val="none"/>
              </w:rPr>
            </w:pPr>
            <w:r>
              <w:rPr>
                <w:rFonts w:hint="default"/>
                <w:color w:val="auto"/>
                <w:highlight w:val="none"/>
              </w:rPr>
              <w:t>城西乡娅角铺村6社</w:t>
            </w:r>
          </w:p>
        </w:tc>
        <w:tc>
          <w:tcPr>
            <w:tcW w:w="1605" w:type="dxa"/>
            <w:noWrap w:val="0"/>
            <w:vAlign w:val="center"/>
          </w:tcPr>
          <w:p>
            <w:pPr>
              <w:pStyle w:val="22"/>
              <w:bidi w:val="0"/>
              <w:rPr>
                <w:rFonts w:hint="default"/>
                <w:color w:val="auto"/>
                <w:highlight w:val="none"/>
              </w:rPr>
            </w:pPr>
            <w:r>
              <w:rPr>
                <w:rFonts w:hint="default"/>
                <w:color w:val="auto"/>
                <w:highlight w:val="none"/>
              </w:rPr>
              <w:t>2</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3</w:t>
            </w:r>
          </w:p>
        </w:tc>
        <w:tc>
          <w:tcPr>
            <w:tcW w:w="3082" w:type="dxa"/>
            <w:noWrap w:val="0"/>
            <w:vAlign w:val="top"/>
          </w:tcPr>
          <w:p>
            <w:pPr>
              <w:pStyle w:val="22"/>
              <w:bidi w:val="0"/>
              <w:rPr>
                <w:rFonts w:hint="default"/>
                <w:color w:val="auto"/>
                <w:highlight w:val="none"/>
              </w:rPr>
            </w:pPr>
            <w:r>
              <w:rPr>
                <w:rFonts w:hint="default"/>
                <w:color w:val="auto"/>
                <w:highlight w:val="none"/>
              </w:rPr>
              <w:t>大竹县鑫源矸砖有限公司</w:t>
            </w:r>
          </w:p>
        </w:tc>
        <w:tc>
          <w:tcPr>
            <w:tcW w:w="2268" w:type="dxa"/>
            <w:noWrap w:val="0"/>
            <w:vAlign w:val="center"/>
          </w:tcPr>
          <w:p>
            <w:pPr>
              <w:pStyle w:val="22"/>
              <w:bidi w:val="0"/>
              <w:rPr>
                <w:rFonts w:hint="default"/>
                <w:color w:val="auto"/>
                <w:highlight w:val="none"/>
              </w:rPr>
            </w:pPr>
            <w:r>
              <w:rPr>
                <w:rFonts w:hint="default"/>
                <w:color w:val="auto"/>
                <w:highlight w:val="none"/>
              </w:rPr>
              <w:t>黄家乡建泉村2组</w:t>
            </w:r>
          </w:p>
        </w:tc>
        <w:tc>
          <w:tcPr>
            <w:tcW w:w="1605" w:type="dxa"/>
            <w:noWrap w:val="0"/>
            <w:vAlign w:val="center"/>
          </w:tcPr>
          <w:p>
            <w:pPr>
              <w:pStyle w:val="22"/>
              <w:bidi w:val="0"/>
              <w:rPr>
                <w:rFonts w:hint="default"/>
                <w:color w:val="auto"/>
                <w:highlight w:val="none"/>
              </w:rPr>
            </w:pPr>
            <w:r>
              <w:rPr>
                <w:rFonts w:hint="default"/>
                <w:color w:val="auto"/>
                <w:highlight w:val="none"/>
              </w:rPr>
              <w:t>4</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4</w:t>
            </w:r>
          </w:p>
        </w:tc>
        <w:tc>
          <w:tcPr>
            <w:tcW w:w="3082" w:type="dxa"/>
            <w:noWrap w:val="0"/>
            <w:vAlign w:val="center"/>
          </w:tcPr>
          <w:p>
            <w:pPr>
              <w:pStyle w:val="22"/>
              <w:bidi w:val="0"/>
              <w:rPr>
                <w:rFonts w:hint="default"/>
                <w:color w:val="auto"/>
                <w:highlight w:val="none"/>
              </w:rPr>
            </w:pPr>
            <w:r>
              <w:rPr>
                <w:rFonts w:hint="default"/>
                <w:color w:val="auto"/>
                <w:highlight w:val="none"/>
              </w:rPr>
              <w:t>大竹县柏林镇煤矿矸砖厂</w:t>
            </w:r>
          </w:p>
        </w:tc>
        <w:tc>
          <w:tcPr>
            <w:tcW w:w="2268" w:type="dxa"/>
            <w:noWrap w:val="0"/>
            <w:vAlign w:val="center"/>
          </w:tcPr>
          <w:p>
            <w:pPr>
              <w:pStyle w:val="22"/>
              <w:bidi w:val="0"/>
              <w:rPr>
                <w:rFonts w:hint="default"/>
                <w:color w:val="auto"/>
                <w:highlight w:val="none"/>
              </w:rPr>
            </w:pPr>
            <w:r>
              <w:rPr>
                <w:rFonts w:hint="default"/>
                <w:color w:val="auto"/>
                <w:highlight w:val="none"/>
              </w:rPr>
              <w:t>柏林镇白马村11组</w:t>
            </w:r>
          </w:p>
        </w:tc>
        <w:tc>
          <w:tcPr>
            <w:tcW w:w="1605" w:type="dxa"/>
            <w:noWrap w:val="0"/>
            <w:vAlign w:val="center"/>
          </w:tcPr>
          <w:p>
            <w:pPr>
              <w:pStyle w:val="22"/>
              <w:bidi w:val="0"/>
              <w:rPr>
                <w:rFonts w:hint="default"/>
                <w:color w:val="auto"/>
                <w:highlight w:val="none"/>
              </w:rPr>
            </w:pPr>
            <w:r>
              <w:rPr>
                <w:rFonts w:hint="default"/>
                <w:color w:val="auto"/>
                <w:highlight w:val="none"/>
              </w:rPr>
              <w:t>1</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5</w:t>
            </w:r>
          </w:p>
        </w:tc>
        <w:tc>
          <w:tcPr>
            <w:tcW w:w="3082" w:type="dxa"/>
            <w:noWrap w:val="0"/>
            <w:vAlign w:val="center"/>
          </w:tcPr>
          <w:p>
            <w:pPr>
              <w:pStyle w:val="22"/>
              <w:bidi w:val="0"/>
              <w:rPr>
                <w:rFonts w:hint="default"/>
                <w:color w:val="auto"/>
                <w:highlight w:val="none"/>
              </w:rPr>
            </w:pPr>
            <w:r>
              <w:rPr>
                <w:rFonts w:hint="default"/>
                <w:color w:val="auto"/>
                <w:highlight w:val="none"/>
              </w:rPr>
              <w:t>大竹县石桥铺镇四合矸石砖厂</w:t>
            </w:r>
          </w:p>
        </w:tc>
        <w:tc>
          <w:tcPr>
            <w:tcW w:w="2268" w:type="dxa"/>
            <w:noWrap w:val="0"/>
            <w:vAlign w:val="center"/>
          </w:tcPr>
          <w:p>
            <w:pPr>
              <w:pStyle w:val="22"/>
              <w:bidi w:val="0"/>
              <w:rPr>
                <w:rFonts w:hint="default"/>
                <w:color w:val="auto"/>
                <w:highlight w:val="none"/>
              </w:rPr>
            </w:pPr>
            <w:r>
              <w:rPr>
                <w:rFonts w:hint="default"/>
                <w:color w:val="auto"/>
                <w:highlight w:val="none"/>
              </w:rPr>
              <w:t>石桥铺镇四合村1组</w:t>
            </w:r>
          </w:p>
        </w:tc>
        <w:tc>
          <w:tcPr>
            <w:tcW w:w="1605" w:type="dxa"/>
            <w:noWrap w:val="0"/>
            <w:vAlign w:val="center"/>
          </w:tcPr>
          <w:p>
            <w:pPr>
              <w:pStyle w:val="22"/>
              <w:bidi w:val="0"/>
              <w:rPr>
                <w:rFonts w:hint="default"/>
                <w:color w:val="auto"/>
                <w:highlight w:val="none"/>
              </w:rPr>
            </w:pPr>
            <w:r>
              <w:rPr>
                <w:rFonts w:hint="default"/>
                <w:color w:val="auto"/>
                <w:highlight w:val="none"/>
              </w:rPr>
              <w:t>2</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6</w:t>
            </w:r>
          </w:p>
        </w:tc>
        <w:tc>
          <w:tcPr>
            <w:tcW w:w="3082" w:type="dxa"/>
            <w:noWrap w:val="0"/>
            <w:vAlign w:val="top"/>
          </w:tcPr>
          <w:p>
            <w:pPr>
              <w:pStyle w:val="22"/>
              <w:bidi w:val="0"/>
              <w:rPr>
                <w:rFonts w:hint="default"/>
                <w:color w:val="auto"/>
                <w:highlight w:val="none"/>
              </w:rPr>
            </w:pPr>
            <w:r>
              <w:rPr>
                <w:rFonts w:hint="default"/>
                <w:color w:val="auto"/>
                <w:highlight w:val="none"/>
              </w:rPr>
              <w:t>大竹县观音镇高房矸砖厂</w:t>
            </w:r>
          </w:p>
        </w:tc>
        <w:tc>
          <w:tcPr>
            <w:tcW w:w="2268" w:type="dxa"/>
            <w:noWrap w:val="0"/>
            <w:vAlign w:val="center"/>
          </w:tcPr>
          <w:p>
            <w:pPr>
              <w:pStyle w:val="22"/>
              <w:bidi w:val="0"/>
              <w:rPr>
                <w:rFonts w:hint="default"/>
                <w:color w:val="auto"/>
                <w:highlight w:val="none"/>
              </w:rPr>
            </w:pPr>
            <w:r>
              <w:rPr>
                <w:rFonts w:hint="default"/>
                <w:color w:val="auto"/>
                <w:highlight w:val="none"/>
              </w:rPr>
              <w:t>观音镇高房村6组</w:t>
            </w:r>
          </w:p>
        </w:tc>
        <w:tc>
          <w:tcPr>
            <w:tcW w:w="1605" w:type="dxa"/>
            <w:noWrap w:val="0"/>
            <w:vAlign w:val="center"/>
          </w:tcPr>
          <w:p>
            <w:pPr>
              <w:pStyle w:val="22"/>
              <w:bidi w:val="0"/>
              <w:rPr>
                <w:rFonts w:hint="default"/>
                <w:color w:val="auto"/>
                <w:highlight w:val="none"/>
              </w:rPr>
            </w:pPr>
            <w:r>
              <w:rPr>
                <w:rFonts w:hint="default"/>
                <w:color w:val="auto"/>
                <w:highlight w:val="none"/>
              </w:rPr>
              <w:t>2</w:t>
            </w:r>
          </w:p>
        </w:tc>
        <w:tc>
          <w:tcPr>
            <w:tcW w:w="663" w:type="dxa"/>
            <w:noWrap w:val="0"/>
            <w:vAlign w:val="top"/>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 xml:space="preserve"> 7</w:t>
            </w:r>
          </w:p>
        </w:tc>
        <w:tc>
          <w:tcPr>
            <w:tcW w:w="3082" w:type="dxa"/>
            <w:noWrap w:val="0"/>
            <w:vAlign w:val="top"/>
          </w:tcPr>
          <w:p>
            <w:pPr>
              <w:pStyle w:val="22"/>
              <w:bidi w:val="0"/>
              <w:rPr>
                <w:rFonts w:hint="default"/>
                <w:color w:val="auto"/>
                <w:highlight w:val="none"/>
              </w:rPr>
            </w:pPr>
            <w:r>
              <w:rPr>
                <w:rFonts w:hint="default"/>
                <w:color w:val="auto"/>
                <w:highlight w:val="none"/>
              </w:rPr>
              <w:t>大竹县人和砖厂</w:t>
            </w:r>
          </w:p>
        </w:tc>
        <w:tc>
          <w:tcPr>
            <w:tcW w:w="2268" w:type="dxa"/>
            <w:noWrap w:val="0"/>
            <w:vAlign w:val="center"/>
          </w:tcPr>
          <w:p>
            <w:pPr>
              <w:pStyle w:val="22"/>
              <w:bidi w:val="0"/>
              <w:rPr>
                <w:rFonts w:hint="default"/>
                <w:color w:val="auto"/>
                <w:highlight w:val="none"/>
              </w:rPr>
            </w:pPr>
            <w:r>
              <w:rPr>
                <w:rFonts w:hint="default"/>
                <w:color w:val="auto"/>
                <w:highlight w:val="none"/>
              </w:rPr>
              <w:t>人和乡英雄村9社</w:t>
            </w:r>
          </w:p>
        </w:tc>
        <w:tc>
          <w:tcPr>
            <w:tcW w:w="1605" w:type="dxa"/>
            <w:noWrap w:val="0"/>
            <w:vAlign w:val="center"/>
          </w:tcPr>
          <w:p>
            <w:pPr>
              <w:pStyle w:val="22"/>
              <w:bidi w:val="0"/>
              <w:rPr>
                <w:rFonts w:hint="default"/>
                <w:color w:val="auto"/>
                <w:highlight w:val="none"/>
              </w:rPr>
            </w:pPr>
            <w:r>
              <w:rPr>
                <w:rFonts w:hint="default"/>
                <w:color w:val="auto"/>
                <w:highlight w:val="none"/>
              </w:rPr>
              <w:t>3</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8</w:t>
            </w:r>
          </w:p>
        </w:tc>
        <w:tc>
          <w:tcPr>
            <w:tcW w:w="3082" w:type="dxa"/>
            <w:noWrap w:val="0"/>
            <w:vAlign w:val="top"/>
          </w:tcPr>
          <w:p>
            <w:pPr>
              <w:pStyle w:val="22"/>
              <w:bidi w:val="0"/>
              <w:rPr>
                <w:rFonts w:hint="default"/>
                <w:color w:val="auto"/>
                <w:highlight w:val="none"/>
              </w:rPr>
            </w:pPr>
            <w:r>
              <w:rPr>
                <w:rFonts w:hint="default"/>
                <w:color w:val="auto"/>
                <w:highlight w:val="none"/>
              </w:rPr>
              <w:t>大竹县周家镇太平矸石砖厂</w:t>
            </w:r>
          </w:p>
        </w:tc>
        <w:tc>
          <w:tcPr>
            <w:tcW w:w="2268" w:type="dxa"/>
            <w:noWrap w:val="0"/>
            <w:vAlign w:val="center"/>
          </w:tcPr>
          <w:p>
            <w:pPr>
              <w:pStyle w:val="22"/>
              <w:bidi w:val="0"/>
              <w:rPr>
                <w:rFonts w:hint="default"/>
                <w:color w:val="auto"/>
                <w:highlight w:val="none"/>
              </w:rPr>
            </w:pPr>
            <w:r>
              <w:rPr>
                <w:rFonts w:hint="default"/>
                <w:color w:val="auto"/>
                <w:highlight w:val="none"/>
              </w:rPr>
              <w:t>周家镇太平村11组</w:t>
            </w:r>
          </w:p>
        </w:tc>
        <w:tc>
          <w:tcPr>
            <w:tcW w:w="1605" w:type="dxa"/>
            <w:noWrap w:val="0"/>
            <w:vAlign w:val="center"/>
          </w:tcPr>
          <w:p>
            <w:pPr>
              <w:pStyle w:val="22"/>
              <w:bidi w:val="0"/>
              <w:rPr>
                <w:rFonts w:hint="default"/>
                <w:color w:val="auto"/>
                <w:highlight w:val="none"/>
              </w:rPr>
            </w:pPr>
            <w:r>
              <w:rPr>
                <w:rFonts w:hint="default"/>
                <w:color w:val="auto"/>
                <w:highlight w:val="none"/>
              </w:rPr>
              <w:t>2</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9</w:t>
            </w:r>
          </w:p>
        </w:tc>
        <w:tc>
          <w:tcPr>
            <w:tcW w:w="3082" w:type="dxa"/>
            <w:noWrap w:val="0"/>
            <w:vAlign w:val="top"/>
          </w:tcPr>
          <w:p>
            <w:pPr>
              <w:pStyle w:val="22"/>
              <w:bidi w:val="0"/>
              <w:rPr>
                <w:rFonts w:hint="default"/>
                <w:color w:val="auto"/>
                <w:highlight w:val="none"/>
              </w:rPr>
            </w:pPr>
            <w:r>
              <w:rPr>
                <w:rFonts w:hint="default"/>
                <w:color w:val="auto"/>
                <w:highlight w:val="none"/>
              </w:rPr>
              <w:t>大竹县周家镇宏兴矸砖厂</w:t>
            </w:r>
          </w:p>
        </w:tc>
        <w:tc>
          <w:tcPr>
            <w:tcW w:w="2268" w:type="dxa"/>
            <w:noWrap w:val="0"/>
            <w:vAlign w:val="center"/>
          </w:tcPr>
          <w:p>
            <w:pPr>
              <w:pStyle w:val="22"/>
              <w:bidi w:val="0"/>
              <w:rPr>
                <w:rFonts w:hint="default"/>
                <w:color w:val="auto"/>
                <w:highlight w:val="none"/>
              </w:rPr>
            </w:pPr>
            <w:r>
              <w:rPr>
                <w:rFonts w:hint="default"/>
                <w:color w:val="auto"/>
                <w:highlight w:val="none"/>
              </w:rPr>
              <w:t>周家镇康宁村7组</w:t>
            </w:r>
          </w:p>
        </w:tc>
        <w:tc>
          <w:tcPr>
            <w:tcW w:w="1605" w:type="dxa"/>
            <w:noWrap w:val="0"/>
            <w:vAlign w:val="center"/>
          </w:tcPr>
          <w:p>
            <w:pPr>
              <w:pStyle w:val="22"/>
              <w:bidi w:val="0"/>
              <w:rPr>
                <w:rFonts w:hint="default"/>
                <w:color w:val="auto"/>
                <w:highlight w:val="none"/>
              </w:rPr>
            </w:pPr>
            <w:r>
              <w:rPr>
                <w:rFonts w:hint="default"/>
                <w:color w:val="auto"/>
                <w:highlight w:val="none"/>
              </w:rPr>
              <w:t>1</w:t>
            </w:r>
          </w:p>
        </w:tc>
        <w:tc>
          <w:tcPr>
            <w:tcW w:w="663" w:type="dxa"/>
            <w:noWrap w:val="0"/>
            <w:vAlign w:val="top"/>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10</w:t>
            </w:r>
          </w:p>
        </w:tc>
        <w:tc>
          <w:tcPr>
            <w:tcW w:w="3082" w:type="dxa"/>
            <w:noWrap w:val="0"/>
            <w:vAlign w:val="top"/>
          </w:tcPr>
          <w:p>
            <w:pPr>
              <w:pStyle w:val="22"/>
              <w:bidi w:val="0"/>
              <w:rPr>
                <w:rFonts w:hint="default"/>
                <w:color w:val="auto"/>
                <w:highlight w:val="none"/>
              </w:rPr>
            </w:pPr>
            <w:r>
              <w:rPr>
                <w:rFonts w:hint="default"/>
                <w:color w:val="auto"/>
                <w:highlight w:val="none"/>
              </w:rPr>
              <w:t>大竹县中和乡宝尔石矸砖厂</w:t>
            </w:r>
          </w:p>
        </w:tc>
        <w:tc>
          <w:tcPr>
            <w:tcW w:w="2268" w:type="dxa"/>
            <w:noWrap w:val="0"/>
            <w:vAlign w:val="center"/>
          </w:tcPr>
          <w:p>
            <w:pPr>
              <w:pStyle w:val="22"/>
              <w:bidi w:val="0"/>
              <w:rPr>
                <w:rFonts w:hint="default"/>
                <w:color w:val="auto"/>
                <w:highlight w:val="none"/>
              </w:rPr>
            </w:pPr>
            <w:r>
              <w:rPr>
                <w:rFonts w:hint="default"/>
                <w:color w:val="auto"/>
                <w:highlight w:val="none"/>
              </w:rPr>
              <w:t>周家镇西河村5组</w:t>
            </w:r>
          </w:p>
        </w:tc>
        <w:tc>
          <w:tcPr>
            <w:tcW w:w="1605" w:type="dxa"/>
            <w:noWrap w:val="0"/>
            <w:vAlign w:val="center"/>
          </w:tcPr>
          <w:p>
            <w:pPr>
              <w:pStyle w:val="22"/>
              <w:bidi w:val="0"/>
              <w:rPr>
                <w:rFonts w:hint="default"/>
                <w:color w:val="auto"/>
                <w:highlight w:val="none"/>
              </w:rPr>
            </w:pPr>
            <w:r>
              <w:rPr>
                <w:rFonts w:hint="default"/>
                <w:color w:val="auto"/>
                <w:highlight w:val="none"/>
              </w:rPr>
              <w:t>3.6</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11</w:t>
            </w:r>
          </w:p>
        </w:tc>
        <w:tc>
          <w:tcPr>
            <w:tcW w:w="3082" w:type="dxa"/>
            <w:noWrap w:val="0"/>
            <w:vAlign w:val="top"/>
          </w:tcPr>
          <w:p>
            <w:pPr>
              <w:pStyle w:val="22"/>
              <w:bidi w:val="0"/>
              <w:rPr>
                <w:rFonts w:hint="default"/>
                <w:color w:val="auto"/>
                <w:highlight w:val="none"/>
              </w:rPr>
            </w:pPr>
            <w:r>
              <w:rPr>
                <w:rFonts w:hint="default"/>
                <w:color w:val="auto"/>
                <w:highlight w:val="none"/>
              </w:rPr>
              <w:t>大竹西河矸砖有限责任公司</w:t>
            </w:r>
          </w:p>
        </w:tc>
        <w:tc>
          <w:tcPr>
            <w:tcW w:w="2268" w:type="dxa"/>
            <w:noWrap w:val="0"/>
            <w:vAlign w:val="center"/>
          </w:tcPr>
          <w:p>
            <w:pPr>
              <w:pStyle w:val="22"/>
              <w:bidi w:val="0"/>
              <w:rPr>
                <w:rFonts w:hint="default"/>
                <w:color w:val="auto"/>
                <w:highlight w:val="none"/>
              </w:rPr>
            </w:pPr>
            <w:r>
              <w:rPr>
                <w:rFonts w:hint="default"/>
                <w:color w:val="auto"/>
                <w:highlight w:val="none"/>
              </w:rPr>
              <w:t>周家镇龙虎村3组</w:t>
            </w:r>
          </w:p>
        </w:tc>
        <w:tc>
          <w:tcPr>
            <w:tcW w:w="1605" w:type="dxa"/>
            <w:noWrap w:val="0"/>
            <w:vAlign w:val="center"/>
          </w:tcPr>
          <w:p>
            <w:pPr>
              <w:pStyle w:val="22"/>
              <w:bidi w:val="0"/>
              <w:rPr>
                <w:rFonts w:hint="default"/>
                <w:color w:val="auto"/>
                <w:highlight w:val="none"/>
              </w:rPr>
            </w:pPr>
            <w:r>
              <w:rPr>
                <w:rFonts w:hint="default"/>
                <w:color w:val="auto"/>
                <w:highlight w:val="none"/>
              </w:rPr>
              <w:t>4</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12</w:t>
            </w:r>
          </w:p>
        </w:tc>
        <w:tc>
          <w:tcPr>
            <w:tcW w:w="3082" w:type="dxa"/>
            <w:noWrap w:val="0"/>
            <w:vAlign w:val="top"/>
          </w:tcPr>
          <w:p>
            <w:pPr>
              <w:pStyle w:val="22"/>
              <w:bidi w:val="0"/>
              <w:rPr>
                <w:rFonts w:hint="default"/>
                <w:color w:val="auto"/>
                <w:highlight w:val="none"/>
              </w:rPr>
            </w:pPr>
            <w:r>
              <w:rPr>
                <w:rFonts w:hint="default"/>
                <w:color w:val="auto"/>
                <w:highlight w:val="none"/>
              </w:rPr>
              <w:t>大竹县黄滩矸砖有限公司</w:t>
            </w:r>
          </w:p>
        </w:tc>
        <w:tc>
          <w:tcPr>
            <w:tcW w:w="2268" w:type="dxa"/>
            <w:noWrap w:val="0"/>
            <w:vAlign w:val="center"/>
          </w:tcPr>
          <w:p>
            <w:pPr>
              <w:pStyle w:val="22"/>
              <w:bidi w:val="0"/>
              <w:rPr>
                <w:rFonts w:hint="default"/>
                <w:color w:val="auto"/>
                <w:highlight w:val="none"/>
              </w:rPr>
            </w:pPr>
            <w:r>
              <w:rPr>
                <w:rFonts w:hint="default"/>
                <w:color w:val="auto"/>
                <w:highlight w:val="none"/>
              </w:rPr>
              <w:t>黄滩乡洗马村4组</w:t>
            </w:r>
          </w:p>
        </w:tc>
        <w:tc>
          <w:tcPr>
            <w:tcW w:w="1605" w:type="dxa"/>
            <w:noWrap w:val="0"/>
            <w:vAlign w:val="center"/>
          </w:tcPr>
          <w:p>
            <w:pPr>
              <w:pStyle w:val="22"/>
              <w:bidi w:val="0"/>
              <w:rPr>
                <w:rFonts w:hint="default"/>
                <w:color w:val="auto"/>
                <w:highlight w:val="none"/>
              </w:rPr>
            </w:pPr>
            <w:r>
              <w:rPr>
                <w:rFonts w:hint="default"/>
                <w:color w:val="auto"/>
                <w:highlight w:val="none"/>
              </w:rPr>
              <w:t>5</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13</w:t>
            </w:r>
          </w:p>
        </w:tc>
        <w:tc>
          <w:tcPr>
            <w:tcW w:w="3082" w:type="dxa"/>
            <w:noWrap w:val="0"/>
            <w:vAlign w:val="top"/>
          </w:tcPr>
          <w:p>
            <w:pPr>
              <w:pStyle w:val="22"/>
              <w:bidi w:val="0"/>
              <w:rPr>
                <w:rFonts w:hint="default"/>
                <w:color w:val="auto"/>
                <w:highlight w:val="none"/>
              </w:rPr>
            </w:pPr>
            <w:r>
              <w:rPr>
                <w:rFonts w:hint="default"/>
                <w:color w:val="auto"/>
                <w:highlight w:val="none"/>
              </w:rPr>
              <w:t>大竹县庙坝镇宏骏矸石砖厂</w:t>
            </w:r>
          </w:p>
        </w:tc>
        <w:tc>
          <w:tcPr>
            <w:tcW w:w="2268" w:type="dxa"/>
            <w:noWrap w:val="0"/>
            <w:vAlign w:val="center"/>
          </w:tcPr>
          <w:p>
            <w:pPr>
              <w:pStyle w:val="22"/>
              <w:bidi w:val="0"/>
              <w:rPr>
                <w:rFonts w:hint="default"/>
                <w:color w:val="auto"/>
                <w:highlight w:val="none"/>
              </w:rPr>
            </w:pPr>
            <w:r>
              <w:rPr>
                <w:rFonts w:hint="default"/>
                <w:color w:val="auto"/>
                <w:highlight w:val="none"/>
              </w:rPr>
              <w:t>庙坝镇跃进村4社</w:t>
            </w:r>
          </w:p>
        </w:tc>
        <w:tc>
          <w:tcPr>
            <w:tcW w:w="1605" w:type="dxa"/>
            <w:noWrap w:val="0"/>
            <w:vAlign w:val="center"/>
          </w:tcPr>
          <w:p>
            <w:pPr>
              <w:pStyle w:val="22"/>
              <w:bidi w:val="0"/>
              <w:rPr>
                <w:rFonts w:hint="default"/>
                <w:color w:val="auto"/>
                <w:highlight w:val="none"/>
              </w:rPr>
            </w:pPr>
            <w:r>
              <w:rPr>
                <w:rFonts w:hint="default"/>
                <w:color w:val="auto"/>
                <w:highlight w:val="none"/>
              </w:rPr>
              <w:t>2</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14</w:t>
            </w:r>
          </w:p>
        </w:tc>
        <w:tc>
          <w:tcPr>
            <w:tcW w:w="3082" w:type="dxa"/>
            <w:noWrap w:val="0"/>
            <w:vAlign w:val="top"/>
          </w:tcPr>
          <w:p>
            <w:pPr>
              <w:pStyle w:val="22"/>
              <w:bidi w:val="0"/>
              <w:rPr>
                <w:rFonts w:hint="default"/>
                <w:color w:val="auto"/>
                <w:highlight w:val="none"/>
              </w:rPr>
            </w:pPr>
            <w:r>
              <w:rPr>
                <w:rFonts w:hint="default"/>
                <w:color w:val="auto"/>
                <w:highlight w:val="none"/>
              </w:rPr>
              <w:t>大竹县川民煤矸石砖厂</w:t>
            </w:r>
          </w:p>
        </w:tc>
        <w:tc>
          <w:tcPr>
            <w:tcW w:w="2268" w:type="dxa"/>
            <w:noWrap w:val="0"/>
            <w:vAlign w:val="center"/>
          </w:tcPr>
          <w:p>
            <w:pPr>
              <w:pStyle w:val="22"/>
              <w:bidi w:val="0"/>
              <w:rPr>
                <w:rFonts w:hint="default"/>
                <w:color w:val="auto"/>
                <w:highlight w:val="none"/>
              </w:rPr>
            </w:pPr>
            <w:r>
              <w:rPr>
                <w:rFonts w:hint="default"/>
                <w:color w:val="auto"/>
                <w:highlight w:val="none"/>
              </w:rPr>
              <w:t>清水镇街道205号</w:t>
            </w:r>
          </w:p>
        </w:tc>
        <w:tc>
          <w:tcPr>
            <w:tcW w:w="1605" w:type="dxa"/>
            <w:noWrap w:val="0"/>
            <w:vAlign w:val="center"/>
          </w:tcPr>
          <w:p>
            <w:pPr>
              <w:pStyle w:val="22"/>
              <w:bidi w:val="0"/>
              <w:rPr>
                <w:rFonts w:hint="default"/>
                <w:color w:val="auto"/>
                <w:highlight w:val="none"/>
              </w:rPr>
            </w:pPr>
            <w:r>
              <w:rPr>
                <w:rFonts w:hint="default"/>
                <w:color w:val="auto"/>
                <w:highlight w:val="none"/>
              </w:rPr>
              <w:t>3</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15</w:t>
            </w:r>
          </w:p>
        </w:tc>
        <w:tc>
          <w:tcPr>
            <w:tcW w:w="3082" w:type="dxa"/>
            <w:noWrap w:val="0"/>
            <w:vAlign w:val="top"/>
          </w:tcPr>
          <w:p>
            <w:pPr>
              <w:pStyle w:val="22"/>
              <w:bidi w:val="0"/>
              <w:rPr>
                <w:rFonts w:hint="default"/>
                <w:color w:val="auto"/>
                <w:highlight w:val="none"/>
              </w:rPr>
            </w:pPr>
            <w:r>
              <w:rPr>
                <w:rFonts w:hint="default"/>
                <w:color w:val="auto"/>
                <w:highlight w:val="none"/>
              </w:rPr>
              <w:t>大竹县天生矸砖厂</w:t>
            </w:r>
          </w:p>
        </w:tc>
        <w:tc>
          <w:tcPr>
            <w:tcW w:w="2268" w:type="dxa"/>
            <w:noWrap w:val="0"/>
            <w:vAlign w:val="center"/>
          </w:tcPr>
          <w:p>
            <w:pPr>
              <w:pStyle w:val="22"/>
              <w:bidi w:val="0"/>
              <w:rPr>
                <w:rFonts w:hint="default"/>
                <w:color w:val="auto"/>
                <w:highlight w:val="none"/>
              </w:rPr>
            </w:pPr>
            <w:r>
              <w:rPr>
                <w:rFonts w:hint="default"/>
                <w:color w:val="auto"/>
                <w:highlight w:val="none"/>
              </w:rPr>
              <w:t>莲印乡天生村2组</w:t>
            </w:r>
          </w:p>
        </w:tc>
        <w:tc>
          <w:tcPr>
            <w:tcW w:w="1605" w:type="dxa"/>
            <w:noWrap w:val="0"/>
            <w:vAlign w:val="center"/>
          </w:tcPr>
          <w:p>
            <w:pPr>
              <w:pStyle w:val="22"/>
              <w:bidi w:val="0"/>
              <w:rPr>
                <w:rFonts w:hint="default"/>
                <w:color w:val="auto"/>
                <w:highlight w:val="none"/>
              </w:rPr>
            </w:pPr>
            <w:r>
              <w:rPr>
                <w:rFonts w:hint="default"/>
                <w:color w:val="auto"/>
                <w:highlight w:val="none"/>
              </w:rPr>
              <w:t>3</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16</w:t>
            </w:r>
          </w:p>
        </w:tc>
        <w:tc>
          <w:tcPr>
            <w:tcW w:w="3082" w:type="dxa"/>
            <w:noWrap w:val="0"/>
            <w:vAlign w:val="center"/>
          </w:tcPr>
          <w:p>
            <w:pPr>
              <w:pStyle w:val="22"/>
              <w:bidi w:val="0"/>
              <w:rPr>
                <w:rFonts w:hint="default"/>
                <w:color w:val="auto"/>
                <w:highlight w:val="none"/>
              </w:rPr>
            </w:pPr>
            <w:r>
              <w:rPr>
                <w:rFonts w:hint="default"/>
                <w:color w:val="auto"/>
                <w:highlight w:val="none"/>
              </w:rPr>
              <w:t>大竹县川白建材有限公司</w:t>
            </w:r>
          </w:p>
        </w:tc>
        <w:tc>
          <w:tcPr>
            <w:tcW w:w="2268" w:type="dxa"/>
            <w:noWrap w:val="0"/>
            <w:vAlign w:val="center"/>
          </w:tcPr>
          <w:p>
            <w:pPr>
              <w:pStyle w:val="22"/>
              <w:bidi w:val="0"/>
              <w:rPr>
                <w:rFonts w:hint="default"/>
                <w:color w:val="auto"/>
                <w:highlight w:val="none"/>
              </w:rPr>
            </w:pPr>
            <w:r>
              <w:rPr>
                <w:rFonts w:hint="default"/>
                <w:color w:val="auto"/>
                <w:highlight w:val="none"/>
              </w:rPr>
              <w:t>川主乡白牛村1组</w:t>
            </w:r>
          </w:p>
        </w:tc>
        <w:tc>
          <w:tcPr>
            <w:tcW w:w="1605" w:type="dxa"/>
            <w:noWrap w:val="0"/>
            <w:vAlign w:val="center"/>
          </w:tcPr>
          <w:p>
            <w:pPr>
              <w:pStyle w:val="22"/>
              <w:bidi w:val="0"/>
              <w:rPr>
                <w:rFonts w:hint="default"/>
                <w:color w:val="auto"/>
                <w:highlight w:val="none"/>
              </w:rPr>
            </w:pPr>
            <w:r>
              <w:rPr>
                <w:rFonts w:hint="default"/>
                <w:color w:val="auto"/>
                <w:highlight w:val="none"/>
              </w:rPr>
              <w:t>6</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17</w:t>
            </w:r>
          </w:p>
        </w:tc>
        <w:tc>
          <w:tcPr>
            <w:tcW w:w="3082" w:type="dxa"/>
            <w:noWrap w:val="0"/>
            <w:vAlign w:val="center"/>
          </w:tcPr>
          <w:p>
            <w:pPr>
              <w:pStyle w:val="22"/>
              <w:bidi w:val="0"/>
              <w:rPr>
                <w:rFonts w:hint="default"/>
                <w:color w:val="auto"/>
                <w:highlight w:val="none"/>
              </w:rPr>
            </w:pPr>
            <w:r>
              <w:rPr>
                <w:rFonts w:hint="default"/>
                <w:color w:val="auto"/>
                <w:highlight w:val="none"/>
              </w:rPr>
              <w:t>大竹县同心矸石砖厂</w:t>
            </w:r>
          </w:p>
        </w:tc>
        <w:tc>
          <w:tcPr>
            <w:tcW w:w="2268" w:type="dxa"/>
            <w:noWrap w:val="0"/>
            <w:vAlign w:val="center"/>
          </w:tcPr>
          <w:p>
            <w:pPr>
              <w:pStyle w:val="22"/>
              <w:bidi w:val="0"/>
              <w:rPr>
                <w:rFonts w:hint="default"/>
                <w:color w:val="auto"/>
                <w:highlight w:val="none"/>
              </w:rPr>
            </w:pPr>
            <w:r>
              <w:rPr>
                <w:rFonts w:hint="default"/>
                <w:color w:val="auto"/>
                <w:highlight w:val="none"/>
              </w:rPr>
              <w:t>高明乡同心村9组</w:t>
            </w:r>
          </w:p>
        </w:tc>
        <w:tc>
          <w:tcPr>
            <w:tcW w:w="1605" w:type="dxa"/>
            <w:noWrap w:val="0"/>
            <w:vAlign w:val="center"/>
          </w:tcPr>
          <w:p>
            <w:pPr>
              <w:pStyle w:val="22"/>
              <w:bidi w:val="0"/>
              <w:rPr>
                <w:rFonts w:hint="default"/>
                <w:color w:val="auto"/>
                <w:highlight w:val="none"/>
              </w:rPr>
            </w:pPr>
            <w:r>
              <w:rPr>
                <w:rFonts w:hint="default"/>
                <w:color w:val="auto"/>
                <w:highlight w:val="none"/>
              </w:rPr>
              <w:t>3</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18</w:t>
            </w:r>
          </w:p>
        </w:tc>
        <w:tc>
          <w:tcPr>
            <w:tcW w:w="3082" w:type="dxa"/>
            <w:noWrap w:val="0"/>
            <w:vAlign w:val="center"/>
          </w:tcPr>
          <w:p>
            <w:pPr>
              <w:pStyle w:val="22"/>
              <w:bidi w:val="0"/>
              <w:rPr>
                <w:rFonts w:hint="default"/>
                <w:color w:val="auto"/>
                <w:highlight w:val="none"/>
              </w:rPr>
            </w:pPr>
            <w:r>
              <w:rPr>
                <w:rFonts w:hint="default"/>
                <w:color w:val="auto"/>
                <w:highlight w:val="none"/>
              </w:rPr>
              <w:t>大竹县利民矸石砖厂</w:t>
            </w:r>
          </w:p>
        </w:tc>
        <w:tc>
          <w:tcPr>
            <w:tcW w:w="2268" w:type="dxa"/>
            <w:noWrap w:val="0"/>
            <w:vAlign w:val="center"/>
          </w:tcPr>
          <w:p>
            <w:pPr>
              <w:pStyle w:val="22"/>
              <w:bidi w:val="0"/>
              <w:rPr>
                <w:rFonts w:hint="default"/>
                <w:color w:val="auto"/>
                <w:highlight w:val="none"/>
              </w:rPr>
            </w:pPr>
            <w:r>
              <w:rPr>
                <w:rFonts w:hint="default"/>
                <w:color w:val="auto"/>
                <w:highlight w:val="none"/>
              </w:rPr>
              <w:t>大竹县欧家镇</w:t>
            </w:r>
          </w:p>
        </w:tc>
        <w:tc>
          <w:tcPr>
            <w:tcW w:w="1605" w:type="dxa"/>
            <w:noWrap w:val="0"/>
            <w:vAlign w:val="center"/>
          </w:tcPr>
          <w:p>
            <w:pPr>
              <w:pStyle w:val="22"/>
              <w:bidi w:val="0"/>
              <w:rPr>
                <w:rFonts w:hint="default"/>
                <w:color w:val="auto"/>
                <w:highlight w:val="none"/>
              </w:rPr>
            </w:pPr>
            <w:r>
              <w:rPr>
                <w:rFonts w:hint="default"/>
                <w:color w:val="auto"/>
                <w:highlight w:val="none"/>
              </w:rPr>
              <w:t>1</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r>
              <w:rPr>
                <w:rFonts w:hint="default"/>
                <w:color w:val="auto"/>
                <w:highlight w:val="none"/>
              </w:rPr>
              <w:t>19</w:t>
            </w:r>
          </w:p>
        </w:tc>
        <w:tc>
          <w:tcPr>
            <w:tcW w:w="3082" w:type="dxa"/>
            <w:noWrap w:val="0"/>
            <w:vAlign w:val="center"/>
          </w:tcPr>
          <w:p>
            <w:pPr>
              <w:pStyle w:val="22"/>
              <w:bidi w:val="0"/>
              <w:rPr>
                <w:rFonts w:hint="default"/>
                <w:color w:val="auto"/>
                <w:highlight w:val="none"/>
              </w:rPr>
            </w:pPr>
            <w:r>
              <w:rPr>
                <w:rFonts w:hint="default"/>
                <w:color w:val="auto"/>
                <w:highlight w:val="none"/>
              </w:rPr>
              <w:t>四川神州矿业开发有限责任公司矸砖厂</w:t>
            </w:r>
          </w:p>
        </w:tc>
        <w:tc>
          <w:tcPr>
            <w:tcW w:w="2268" w:type="dxa"/>
            <w:noWrap w:val="0"/>
            <w:vAlign w:val="center"/>
          </w:tcPr>
          <w:p>
            <w:pPr>
              <w:pStyle w:val="22"/>
              <w:bidi w:val="0"/>
              <w:rPr>
                <w:rFonts w:hint="default"/>
                <w:color w:val="auto"/>
                <w:highlight w:val="none"/>
              </w:rPr>
            </w:pPr>
            <w:r>
              <w:rPr>
                <w:rFonts w:hint="default"/>
                <w:color w:val="auto"/>
                <w:highlight w:val="none"/>
              </w:rPr>
              <w:t>大竹县白坝乡高河村</w:t>
            </w:r>
          </w:p>
        </w:tc>
        <w:tc>
          <w:tcPr>
            <w:tcW w:w="1605" w:type="dxa"/>
            <w:noWrap w:val="0"/>
            <w:vAlign w:val="center"/>
          </w:tcPr>
          <w:p>
            <w:pPr>
              <w:pStyle w:val="22"/>
              <w:bidi w:val="0"/>
              <w:rPr>
                <w:rFonts w:hint="default"/>
                <w:color w:val="auto"/>
                <w:highlight w:val="none"/>
              </w:rPr>
            </w:pPr>
            <w:r>
              <w:rPr>
                <w:rFonts w:hint="default"/>
                <w:color w:val="auto"/>
                <w:highlight w:val="none"/>
              </w:rPr>
              <w:t>1</w:t>
            </w:r>
          </w:p>
        </w:tc>
        <w:tc>
          <w:tcPr>
            <w:tcW w:w="663"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2" w:type="dxa"/>
            <w:noWrap w:val="0"/>
            <w:vAlign w:val="center"/>
          </w:tcPr>
          <w:p>
            <w:pPr>
              <w:pStyle w:val="22"/>
              <w:bidi w:val="0"/>
              <w:rPr>
                <w:rFonts w:hint="default"/>
                <w:color w:val="auto"/>
                <w:highlight w:val="none"/>
              </w:rPr>
            </w:pPr>
          </w:p>
        </w:tc>
        <w:tc>
          <w:tcPr>
            <w:tcW w:w="3082" w:type="dxa"/>
            <w:noWrap w:val="0"/>
            <w:vAlign w:val="center"/>
          </w:tcPr>
          <w:p>
            <w:pPr>
              <w:pStyle w:val="22"/>
              <w:bidi w:val="0"/>
              <w:rPr>
                <w:rFonts w:hint="default"/>
                <w:color w:val="auto"/>
                <w:highlight w:val="none"/>
              </w:rPr>
            </w:pPr>
            <w:r>
              <w:rPr>
                <w:rFonts w:hint="default"/>
                <w:color w:val="auto"/>
                <w:highlight w:val="none"/>
              </w:rPr>
              <w:t>合计</w:t>
            </w:r>
          </w:p>
        </w:tc>
        <w:tc>
          <w:tcPr>
            <w:tcW w:w="2268" w:type="dxa"/>
            <w:noWrap w:val="0"/>
            <w:vAlign w:val="center"/>
          </w:tcPr>
          <w:p>
            <w:pPr>
              <w:pStyle w:val="22"/>
              <w:bidi w:val="0"/>
              <w:rPr>
                <w:rFonts w:hint="default"/>
                <w:color w:val="auto"/>
                <w:highlight w:val="none"/>
              </w:rPr>
            </w:pPr>
          </w:p>
        </w:tc>
        <w:tc>
          <w:tcPr>
            <w:tcW w:w="1605" w:type="dxa"/>
            <w:noWrap w:val="0"/>
            <w:vAlign w:val="center"/>
          </w:tcPr>
          <w:p>
            <w:pPr>
              <w:pStyle w:val="22"/>
              <w:bidi w:val="0"/>
              <w:rPr>
                <w:rFonts w:hint="default"/>
                <w:color w:val="auto"/>
                <w:highlight w:val="none"/>
              </w:rPr>
            </w:pPr>
            <w:r>
              <w:rPr>
                <w:rFonts w:hint="default"/>
                <w:color w:val="auto"/>
                <w:highlight w:val="none"/>
              </w:rPr>
              <w:t>49.6</w:t>
            </w:r>
          </w:p>
        </w:tc>
        <w:tc>
          <w:tcPr>
            <w:tcW w:w="663" w:type="dxa"/>
            <w:noWrap w:val="0"/>
            <w:vAlign w:val="center"/>
          </w:tcPr>
          <w:p>
            <w:pPr>
              <w:pStyle w:val="22"/>
              <w:bidi w:val="0"/>
              <w:rPr>
                <w:rFonts w:hint="default"/>
                <w:color w:val="auto"/>
                <w:highlight w:val="none"/>
              </w:rPr>
            </w:pPr>
          </w:p>
        </w:tc>
      </w:tr>
    </w:tbl>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统计大竹县现有砖厂年产4.96亿匹砖，每年约消耗61万吨矸石。大竹县煤矿规划年产量为390万吨/年，矿井矸石量按15%产量算约58.5万吨，砖厂消耗量超过煤矿矸石量，故大竹县各矿井矸石基本无堆积，均供矸石砖厂作制砖材料。</w:t>
      </w:r>
    </w:p>
    <w:p>
      <w:pPr>
        <w:bidi w:val="0"/>
        <w:rPr>
          <w:rFonts w:hint="default"/>
          <w:color w:val="auto"/>
          <w:highlight w:val="none"/>
          <w:lang w:val="en-US" w:eastAsia="zh-CN"/>
        </w:rPr>
      </w:pPr>
      <w:r>
        <w:rPr>
          <w:rFonts w:hint="default"/>
          <w:color w:val="auto"/>
          <w:highlight w:val="none"/>
          <w:lang w:val="en-US" w:eastAsia="zh-CN"/>
        </w:rPr>
        <w:t>3、瓦斯</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各矿井所采煤层瓦斯含量较小，仅柏林煤矿为高瓦斯矿井，暂仅抽采后进行民用；其余煤矿均为低瓦斯矿井，暂未考虑瓦斯利用。</w:t>
      </w:r>
    </w:p>
    <w:p>
      <w:pPr>
        <w:bidi w:val="0"/>
        <w:rPr>
          <w:rFonts w:hint="default"/>
          <w:color w:val="auto"/>
          <w:highlight w:val="none"/>
          <w:lang w:val="en-US" w:eastAsia="zh-CN"/>
        </w:rPr>
      </w:pPr>
      <w:r>
        <w:rPr>
          <w:rFonts w:hint="default"/>
          <w:color w:val="auto"/>
          <w:highlight w:val="none"/>
          <w:lang w:val="en-US" w:eastAsia="zh-CN"/>
        </w:rPr>
        <w:t>4、其他副产品和有益矿产</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炭分选加工副产品中，动力煤选煤厂以中低热值煤矸石为主，可用作煤矸石电厂的原料；其余的煤矸石，可用作建材。炼焦用煤选煤厂，其煤炭分选加工副产品中，中煤可用作动力煤；中低热值煤矸石可用作煤矸石电厂的原料。</w:t>
      </w:r>
    </w:p>
    <w:p>
      <w:pPr>
        <w:pStyle w:val="7"/>
        <w:bidi w:val="0"/>
        <w:rPr>
          <w:rFonts w:hint="default"/>
          <w:color w:val="auto"/>
          <w:highlight w:val="none"/>
          <w:lang w:val="en-US" w:eastAsia="zh-CN"/>
        </w:rPr>
      </w:pPr>
      <w:r>
        <w:rPr>
          <w:rFonts w:hint="default"/>
          <w:color w:val="auto"/>
          <w:highlight w:val="none"/>
          <w:lang w:val="en-US" w:eastAsia="zh-CN"/>
        </w:rPr>
        <w:t>2.1.9.2 煤炭精深加工和煤炭转化</w:t>
      </w:r>
    </w:p>
    <w:p>
      <w:pPr>
        <w:bidi w:val="0"/>
        <w:rPr>
          <w:rFonts w:hint="default"/>
          <w:color w:val="auto"/>
          <w:highlight w:val="none"/>
          <w:lang w:val="en-US" w:eastAsia="zh-CN"/>
        </w:rPr>
      </w:pPr>
      <w:r>
        <w:rPr>
          <w:rFonts w:hint="default"/>
          <w:color w:val="auto"/>
          <w:highlight w:val="none"/>
          <w:lang w:val="en-US" w:eastAsia="zh-CN"/>
        </w:rPr>
        <w:t>1、洁净煤技术开发</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随着可持续发展战略的实施，环境问题将成为制约煤炭市场需求总量和引导产品结周整的主导因素。《中国洁净煤技术“九五”计划和010年发展纲要》确定了中国洁某技术发展的重点领域和方向。主要包括4个领域14个方面：一是煤炭加工领域，包括选煤、型煤、配煤、水煤浆技术；二是煤炭的高效洁净燃烧技术领域，包括先进的燃烧硫化床燃烧（FBC）技术、整体煤气化联合循环发电技术；三是煤炭转化领域，包括炭气化、煤炭液化、燃料电池；四是污染排放控制与废弃物处理领域，包括烟气净化、煤层气的开发利用、煤矸石、粉煤灰和煤泥的综合利用、工业锅炉和窑炉等技术。</w:t>
      </w:r>
    </w:p>
    <w:p>
      <w:pPr>
        <w:bidi w:val="0"/>
        <w:rPr>
          <w:rFonts w:hint="default"/>
          <w:color w:val="auto"/>
          <w:highlight w:val="none"/>
          <w:lang w:val="en-US" w:eastAsia="zh-CN"/>
        </w:rPr>
      </w:pPr>
      <w:r>
        <w:rPr>
          <w:rFonts w:hint="default"/>
          <w:color w:val="auto"/>
          <w:highlight w:val="none"/>
          <w:lang w:val="en-US" w:eastAsia="zh-CN"/>
        </w:rPr>
        <w:t>2、发展煤化工产业</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化工中，以煤为原料首先制备电石，电石尾气和电石渣的综合利用将实现资源的高效、清洁利用，可消除废渣废气对环境的破坏，使废物得到了资源化利用，同时也降低了企业的生产成本。这些都会极大改善地区环境状况。</w:t>
      </w:r>
    </w:p>
    <w:p>
      <w:pPr>
        <w:pStyle w:val="6"/>
        <w:bidi w:val="0"/>
        <w:rPr>
          <w:rFonts w:hint="default"/>
          <w:color w:val="auto"/>
          <w:highlight w:val="none"/>
          <w:lang w:val="en-US" w:eastAsia="zh-CN"/>
        </w:rPr>
      </w:pPr>
      <w:bookmarkStart w:id="120" w:name="_Toc2091"/>
      <w:bookmarkStart w:id="121" w:name="_Toc20559"/>
      <w:r>
        <w:rPr>
          <w:rFonts w:hint="default"/>
          <w:color w:val="auto"/>
          <w:highlight w:val="none"/>
          <w:lang w:val="en-US" w:eastAsia="zh-CN"/>
        </w:rPr>
        <w:t>2.1.10 矿区地面总布置、地面运输规划及防洪排涝</w:t>
      </w:r>
      <w:bookmarkEnd w:id="120"/>
      <w:bookmarkEnd w:id="121"/>
    </w:p>
    <w:p>
      <w:pPr>
        <w:pStyle w:val="7"/>
        <w:bidi w:val="0"/>
        <w:rPr>
          <w:rFonts w:hint="default"/>
          <w:color w:val="auto"/>
          <w:highlight w:val="none"/>
          <w:lang w:val="en-US" w:eastAsia="zh-CN"/>
        </w:rPr>
      </w:pPr>
      <w:r>
        <w:rPr>
          <w:rFonts w:hint="default"/>
          <w:color w:val="auto"/>
          <w:highlight w:val="none"/>
          <w:lang w:val="en-US" w:eastAsia="zh-CN"/>
        </w:rPr>
        <w:t>2.1.10.</w:t>
      </w:r>
      <w:r>
        <w:rPr>
          <w:rFonts w:hint="eastAsia"/>
          <w:color w:val="auto"/>
          <w:highlight w:val="none"/>
          <w:lang w:val="en-US" w:eastAsia="zh-CN"/>
        </w:rPr>
        <w:t>1</w:t>
      </w:r>
      <w:r>
        <w:rPr>
          <w:rFonts w:hint="default"/>
          <w:color w:val="auto"/>
          <w:highlight w:val="none"/>
          <w:lang w:val="en-US" w:eastAsia="zh-CN"/>
        </w:rPr>
        <w:t xml:space="preserve"> 地面运输规划</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目前各矿井原煤运输均为汽车运输，除个别煤矿有少量汽车外，其余矿井的煤炭均依靠社会运输车辆运出。所生产原煤有1/3焦煤（1/3JM）、1/2中粘煤（1/2ZM）和气煤（QM）等，可供火电厂、水泥厂、化工厂、炼焦、炼钢及民用等作为燃料、原料使用。达到规划生产能力时，华蓥山北段矿区规划总运输能力为165万吨/年，中山明月峡矿区规划总运输能力为225万吨/年，煤炭运输车辆仍然依靠社会上的运输力量运输，运输至附近的选煤厂进行洗选加工。</w:t>
      </w:r>
      <w:r>
        <w:rPr>
          <w:rFonts w:hint="default" w:ascii="Times New Roman" w:hAnsi="Times New Roman" w:cs="Times New Roman"/>
          <w:color w:val="auto"/>
          <w:sz w:val="24"/>
          <w:szCs w:val="24"/>
          <w:highlight w:val="none"/>
          <w:u w:val="single"/>
          <w:lang w:val="en-US" w:eastAsia="zh-CN"/>
        </w:rPr>
        <w:t>其中</w:t>
      </w:r>
      <w:r>
        <w:rPr>
          <w:rFonts w:hint="default" w:ascii="Times New Roman" w:hAnsi="Times New Roman" w:cs="Times New Roman"/>
          <w:color w:val="auto"/>
          <w:sz w:val="24"/>
          <w:szCs w:val="24"/>
          <w:highlight w:val="none"/>
          <w:u w:val="single"/>
        </w:rPr>
        <w:t>柏林煤矿生产原煤通过9.5km运煤索道直达达川区渡市选煤厂。</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与本次规划煤矿有关的主要公路，其技术标准、运输能力均可满足运输要求。本次规划不新建矿井，已有矿井均利用现有公路，不考虑新建矿区公路。</w:t>
      </w:r>
    </w:p>
    <w:p>
      <w:pPr>
        <w:pStyle w:val="7"/>
        <w:bidi w:val="0"/>
        <w:rPr>
          <w:rFonts w:hint="default"/>
          <w:color w:val="auto"/>
          <w:highlight w:val="none"/>
          <w:lang w:val="en-US" w:eastAsia="zh-CN"/>
        </w:rPr>
      </w:pPr>
      <w:r>
        <w:rPr>
          <w:rFonts w:hint="default"/>
          <w:color w:val="auto"/>
          <w:highlight w:val="none"/>
          <w:lang w:val="en-US" w:eastAsia="zh-CN"/>
        </w:rPr>
        <w:t>2.1.10.</w:t>
      </w:r>
      <w:r>
        <w:rPr>
          <w:rFonts w:hint="eastAsia"/>
          <w:color w:val="auto"/>
          <w:highlight w:val="none"/>
          <w:lang w:val="en-US" w:eastAsia="zh-CN"/>
        </w:rPr>
        <w:t>2</w:t>
      </w:r>
      <w:r>
        <w:rPr>
          <w:rFonts w:hint="default"/>
          <w:color w:val="auto"/>
          <w:highlight w:val="none"/>
          <w:lang w:val="en-US" w:eastAsia="zh-CN"/>
        </w:rPr>
        <w:t xml:space="preserve"> 矿区防洪排涝</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各矿井实际情况，地面工业场地周围无大的河流及水体，仅部分煤矿存在季节性溪沟，且地面工业场地周围无大的河流及水体，仅部分煤矿工业场地周围存在季节性溪沟，且以往工业场地设置均考虑了防洪措施，工业场地井口、工业建筑物和构筑均高于当地历史最高洪水位，不受洪水威胁。</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防止在雨季洪涝对矿井工业场地造成破坏，在工业场地四周均设截水沟，将场外雨水直接排至场外。截水沟纵坡最小采用1％。工业场地内竖向坡度按流水坡度考虑，设有排水明水沟和钢筋砼盖板沟，场区内水经水沟收集排入场外截水沟无内涝危害。</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每年在雨季到来前要清理井口沟渠，疏通截水沟，保证雨期洪水不灌入工业场地。</w:t>
      </w:r>
    </w:p>
    <w:p>
      <w:pPr>
        <w:pStyle w:val="6"/>
        <w:bidi w:val="0"/>
        <w:rPr>
          <w:rFonts w:hint="default"/>
          <w:color w:val="auto"/>
          <w:highlight w:val="none"/>
          <w:lang w:val="en-US" w:eastAsia="zh-CN"/>
        </w:rPr>
      </w:pPr>
      <w:bookmarkStart w:id="122" w:name="_Toc32698"/>
      <w:bookmarkStart w:id="123" w:name="_Toc31836"/>
      <w:r>
        <w:rPr>
          <w:rFonts w:hint="default"/>
          <w:color w:val="auto"/>
          <w:highlight w:val="none"/>
          <w:lang w:val="en-US" w:eastAsia="zh-CN"/>
        </w:rPr>
        <w:t>2.1.11 矿区给、排水和供热规划</w:t>
      </w:r>
      <w:bookmarkEnd w:id="122"/>
      <w:bookmarkEnd w:id="123"/>
    </w:p>
    <w:p>
      <w:pPr>
        <w:pStyle w:val="7"/>
        <w:bidi w:val="0"/>
        <w:rPr>
          <w:rFonts w:hint="default"/>
          <w:color w:val="auto"/>
          <w:highlight w:val="none"/>
          <w:lang w:val="en-US" w:eastAsia="zh-CN"/>
        </w:rPr>
      </w:pPr>
      <w:r>
        <w:rPr>
          <w:rFonts w:hint="default"/>
          <w:color w:val="auto"/>
          <w:highlight w:val="none"/>
          <w:lang w:val="en-US" w:eastAsia="zh-CN"/>
        </w:rPr>
        <w:t>2.1.11.1 给水规划</w:t>
      </w:r>
    </w:p>
    <w:p>
      <w:pPr>
        <w:bidi w:val="0"/>
        <w:rPr>
          <w:rFonts w:hint="default"/>
          <w:color w:val="auto"/>
          <w:highlight w:val="none"/>
          <w:lang w:val="en-US" w:eastAsia="zh-CN"/>
        </w:rPr>
      </w:pPr>
      <w:r>
        <w:rPr>
          <w:rFonts w:hint="default"/>
          <w:color w:val="auto"/>
          <w:highlight w:val="none"/>
          <w:lang w:val="en-US" w:eastAsia="zh-CN"/>
        </w:rPr>
        <w:t>1、供水系统</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区内煤矿数量较多，井型大小不同，分布面较广，地形复杂。因此，各矿井应根据用水地点、水源位置之间的相互关系确定相适应的供水系统。生活、生产及井下消防洒水均选用枝状，局部环状管网，并以用水点所需水压、水量的大小为依据确定蓄水池的位置和容量。在尽量采用矿井主井工业场地及生活区所在地的自来水厂提供的自来水作为水源的基础上，适当的选用工业场地附近出露的泉水及形成的溪流水作为水源。当水源位置较高时，可采用自流重力将原水输送至高位水池贮存作为生活及一般产生用水使用；当水源位置偏低时，可用清水泵将水送至高位水池供生活及一般生产用水使用；当水源为地下深水井时，可用管井取水抽至高位水池贮存供生活及一般生产用水使用。</w:t>
      </w:r>
      <w:r>
        <w:rPr>
          <w:rFonts w:hint="default" w:ascii="Times New Roman" w:hAnsi="Times New Roman" w:cs="Times New Roman"/>
          <w:color w:val="auto"/>
          <w:sz w:val="24"/>
          <w:szCs w:val="24"/>
          <w:highlight w:val="none"/>
          <w:u w:val="single"/>
        </w:rPr>
        <w:t>规划各矿井采用各生活用水的水源位置及方案均根据各供水点的水文地质情况确定，不另进行统一规划。</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地面及井下消防洒水均尽量采用经处理后的矿井水作为水源，均在各矿井的井下排水的出水井口外设置处能力分别为50～500m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/h的矿井水处理设施进行处理，处理后的出水再通过提升水泵抽至高位水池作为各矿井主井工业场地及生活区，以及井下的消防洒水使用。</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供水系统采用分散、分质供水方式，各矿井不同的供水系统分述如下：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以河水，山溪及水库为水源的给水系统流程示意图</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0" o:spt="75" type="#_x0000_t75" style="height:63.3pt;width:412.05pt;" o:ole="t" filled="f" o:preferrelative="t" stroked="f" coordsize="21600,21600">
            <v:path/>
            <v:fill on="f" focussize="0,0"/>
            <v:stroke on="f"/>
            <v:imagedata r:id="rId34" o:title=""/>
            <o:lock v:ext="edit" aspectratio="t"/>
            <w10:wrap type="none"/>
            <w10:anchorlock/>
          </v:shape>
          <o:OLEObject Type="Embed" ProgID="AutoCAD.Drawing.17" ShapeID="_x0000_i1030" DrawAspect="Content" ObjectID="_1468075730" r:id="rId33">
            <o:LockedField>false</o:LockedField>
          </o:OLEObject>
        </w:objec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以出露泉水（高位）为水源的给水系统流程示意图</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1" o:spt="75" type="#_x0000_t75" style="height:64.7pt;width:410.75pt;" o:ole="t" filled="f" o:preferrelative="t" stroked="f" coordsize="21600,21600">
            <v:path/>
            <v:fill on="f" focussize="0,0"/>
            <v:stroke on="f"/>
            <v:imagedata r:id="rId36" o:title=""/>
            <o:lock v:ext="edit" aspectratio="t"/>
            <w10:wrap type="none"/>
            <w10:anchorlock/>
          </v:shape>
          <o:OLEObject Type="Embed" ProgID="AutoCAD.Drawing.17" ShapeID="_x0000_i1031" DrawAspect="Content" ObjectID="_1468075731" r:id="rId35">
            <o:LockedField>false</o:LockedField>
          </o:OLEObject>
        </w:objec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以出露泉水（低位）为水源的给水系统流程示意图</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2" o:spt="75" type="#_x0000_t75" style="height:61.2pt;width:413.1pt;" o:ole="t" filled="f" o:preferrelative="t" stroked="f" coordsize="21600,21600">
            <v:path/>
            <v:fill on="f" focussize="0,0"/>
            <v:stroke on="f"/>
            <v:imagedata r:id="rId38" o:title=""/>
            <o:lock v:ext="edit" aspectratio="t"/>
            <w10:wrap type="none"/>
            <w10:anchorlock/>
          </v:shape>
          <o:OLEObject Type="Embed" ProgID="AutoCAD.Drawing.17" ShapeID="_x0000_i1032" DrawAspect="Content" ObjectID="_1468075732" r:id="rId37">
            <o:LockedField>false</o:LockedField>
          </o:OLEObject>
        </w:objec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以地下水为水源的流程图</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3" o:spt="75" type="#_x0000_t75" style="height:63.5pt;width:409.6pt;" o:ole="t" filled="f" o:preferrelative="t" stroked="f" coordsize="21600,21600">
            <v:path/>
            <v:fill on="f" focussize="0,0"/>
            <v:stroke on="f"/>
            <v:imagedata r:id="rId40" o:title=""/>
            <o:lock v:ext="edit" aspectratio="t"/>
            <w10:wrap type="none"/>
            <w10:anchorlock/>
          </v:shape>
          <o:OLEObject Type="Embed" ProgID="AutoCAD.Drawing.17" ShapeID="_x0000_i1033" DrawAspect="Content" ObjectID="_1468075733" r:id="rId39">
            <o:LockedField>false</o:LockedField>
          </o:OLEObject>
        </w:objec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以矿井排水为水源的流程图</w:t>
      </w:r>
    </w:p>
    <w:p>
      <w:pPr>
        <w:bidi w:val="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object>
          <v:shape id="_x0000_i1034" o:spt="75" type="#_x0000_t75" style="height:64.15pt;width:411.25pt;" o:ole="t" filled="f" o:preferrelative="t" stroked="f" coordsize="21600,21600">
            <v:path/>
            <v:fill on="f" focussize="0,0"/>
            <v:stroke on="f"/>
            <v:imagedata r:id="rId42" o:title=""/>
            <o:lock v:ext="edit" aspectratio="t"/>
            <w10:wrap type="none"/>
            <w10:anchorlock/>
          </v:shape>
          <o:OLEObject Type="Embed" ProgID="AutoCAD.Drawing.17" ShapeID="_x0000_i1034" DrawAspect="Content" ObjectID="_1468075734" r:id="rId41">
            <o:LockedField>false</o:LockedField>
          </o:OLEObject>
        </w:object>
      </w:r>
      <w:r>
        <w:rPr>
          <w:rFonts w:hint="default"/>
          <w:color w:val="auto"/>
          <w:highlight w:val="none"/>
          <w:lang w:val="en-US" w:eastAsia="zh-CN"/>
        </w:rPr>
        <w:t>2、用水量</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根据煤矿的用水量定额及建设规模进行用水量估算，计算结果详见表10-1-1。</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华蓥山北段矿区煤矿总用水量为4049.9m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/d，中山明月峡矿区煤矿总用水量为5522.9m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/d，大竹县煤矿总计用水量为9572.8m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其中：工业场地和井下用水量为：7091.3m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/d；居住区用水量为：2363.4m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绿化及其它用水量为：118.1m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sectPr>
          <w:pgSz w:w="11906" w:h="16838"/>
          <w:pgMar w:top="1440" w:right="1800" w:bottom="1440" w:left="1800" w:header="851" w:footer="992" w:gutter="0"/>
          <w:pgNumType w:fmt="decimal"/>
          <w:cols w:space="720" w:num="1"/>
          <w:docGrid w:type="lines" w:linePitch="312" w:charSpace="0"/>
        </w:sectPr>
      </w:pPr>
    </w:p>
    <w:p>
      <w:pPr>
        <w:pStyle w:val="22"/>
        <w:bidi w:val="0"/>
        <w:rPr>
          <w:rFonts w:hint="default"/>
          <w:color w:val="auto"/>
          <w:highlight w:val="none"/>
        </w:rPr>
      </w:pPr>
      <w:r>
        <w:rPr>
          <w:rFonts w:hint="default"/>
          <w:color w:val="auto"/>
          <w:highlight w:val="none"/>
          <w:lang w:val="en-US"/>
        </w:rPr>
        <w:t>表</w:t>
      </w:r>
      <w:r>
        <w:rPr>
          <w:rFonts w:hint="default"/>
          <w:color w:val="auto"/>
          <w:highlight w:val="none"/>
          <w:lang w:val="en-US" w:eastAsia="zh-CN"/>
        </w:rPr>
        <w:t>2.1.11-1</w:t>
      </w:r>
      <w:r>
        <w:rPr>
          <w:rFonts w:hint="default"/>
          <w:color w:val="auto"/>
          <w:highlight w:val="none"/>
          <w:lang w:val="en-US"/>
        </w:rPr>
        <w:t xml:space="preserve">                华蓥山北段矿区</w:t>
      </w:r>
      <w:r>
        <w:rPr>
          <w:rFonts w:hint="default"/>
          <w:color w:val="auto"/>
          <w:highlight w:val="none"/>
        </w:rPr>
        <w:t>各矿井用水量表</w:t>
      </w:r>
    </w:p>
    <w:tbl>
      <w:tblPr>
        <w:tblStyle w:val="17"/>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013"/>
        <w:gridCol w:w="1048"/>
        <w:gridCol w:w="1014"/>
        <w:gridCol w:w="1015"/>
        <w:gridCol w:w="1039"/>
        <w:gridCol w:w="1153"/>
        <w:gridCol w:w="1039"/>
        <w:gridCol w:w="1628"/>
        <w:gridCol w:w="1047"/>
        <w:gridCol w:w="1443"/>
        <w:gridCol w:w="1539"/>
        <w:gridCol w:w="104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3" w:hRule="atLeast"/>
          <w:tblHeader/>
          <w:jc w:val="center"/>
        </w:trPr>
        <w:tc>
          <w:tcPr>
            <w:tcW w:w="1013" w:type="dxa"/>
            <w:vMerge w:val="restart"/>
            <w:noWrap w:val="0"/>
            <w:vAlign w:val="center"/>
          </w:tcPr>
          <w:p>
            <w:pPr>
              <w:pStyle w:val="22"/>
              <w:bidi w:val="0"/>
              <w:rPr>
                <w:rFonts w:hint="default"/>
                <w:color w:val="auto"/>
                <w:highlight w:val="none"/>
              </w:rPr>
            </w:pPr>
            <w:r>
              <w:rPr>
                <w:rFonts w:hint="default"/>
                <w:color w:val="auto"/>
                <w:highlight w:val="none"/>
              </w:rPr>
              <w:t>序号</w:t>
            </w:r>
          </w:p>
        </w:tc>
        <w:tc>
          <w:tcPr>
            <w:tcW w:w="1048" w:type="dxa"/>
            <w:vMerge w:val="restart"/>
            <w:noWrap w:val="0"/>
            <w:vAlign w:val="center"/>
          </w:tcPr>
          <w:p>
            <w:pPr>
              <w:pStyle w:val="22"/>
              <w:bidi w:val="0"/>
              <w:rPr>
                <w:rFonts w:hint="default"/>
                <w:color w:val="auto"/>
                <w:highlight w:val="none"/>
              </w:rPr>
            </w:pPr>
            <w:r>
              <w:rPr>
                <w:rFonts w:hint="default"/>
                <w:color w:val="auto"/>
                <w:highlight w:val="none"/>
              </w:rPr>
              <w:t>用水单位名称</w:t>
            </w:r>
          </w:p>
        </w:tc>
        <w:tc>
          <w:tcPr>
            <w:tcW w:w="1014" w:type="dxa"/>
            <w:vMerge w:val="restart"/>
            <w:noWrap w:val="0"/>
            <w:vAlign w:val="center"/>
          </w:tcPr>
          <w:p>
            <w:pPr>
              <w:pStyle w:val="22"/>
              <w:bidi w:val="0"/>
              <w:rPr>
                <w:rFonts w:hint="default"/>
                <w:color w:val="auto"/>
                <w:highlight w:val="none"/>
              </w:rPr>
            </w:pPr>
            <w:r>
              <w:rPr>
                <w:rFonts w:hint="default"/>
                <w:color w:val="auto"/>
                <w:highlight w:val="none"/>
              </w:rPr>
              <w:t>开拓方式</w:t>
            </w:r>
          </w:p>
        </w:tc>
        <w:tc>
          <w:tcPr>
            <w:tcW w:w="1015" w:type="dxa"/>
            <w:vMerge w:val="restart"/>
            <w:noWrap w:val="0"/>
            <w:vAlign w:val="center"/>
          </w:tcPr>
          <w:p>
            <w:pPr>
              <w:pStyle w:val="22"/>
              <w:bidi w:val="0"/>
              <w:rPr>
                <w:rFonts w:hint="default"/>
                <w:color w:val="auto"/>
                <w:highlight w:val="none"/>
              </w:rPr>
            </w:pPr>
            <w:r>
              <w:rPr>
                <w:rFonts w:hint="default"/>
                <w:color w:val="auto"/>
                <w:highlight w:val="none"/>
              </w:rPr>
              <w:t>规划规模万吨/年</w:t>
            </w:r>
          </w:p>
        </w:tc>
        <w:tc>
          <w:tcPr>
            <w:tcW w:w="7349" w:type="dxa"/>
            <w:gridSpan w:val="6"/>
            <w:noWrap w:val="0"/>
            <w:vAlign w:val="center"/>
          </w:tcPr>
          <w:p>
            <w:pPr>
              <w:pStyle w:val="22"/>
              <w:bidi w:val="0"/>
              <w:rPr>
                <w:rFonts w:hint="default"/>
                <w:color w:val="auto"/>
                <w:highlight w:val="none"/>
              </w:rPr>
            </w:pPr>
            <w:r>
              <w:rPr>
                <w:rFonts w:hint="default"/>
                <w:color w:val="auto"/>
                <w:highlight w:val="none"/>
              </w:rPr>
              <w:t>用水量</w:t>
            </w:r>
          </w:p>
        </w:tc>
        <w:tc>
          <w:tcPr>
            <w:tcW w:w="1539" w:type="dxa"/>
            <w:vMerge w:val="restart"/>
            <w:noWrap w:val="0"/>
            <w:vAlign w:val="center"/>
          </w:tcPr>
          <w:p>
            <w:pPr>
              <w:pStyle w:val="22"/>
              <w:bidi w:val="0"/>
              <w:rPr>
                <w:rFonts w:hint="default"/>
                <w:color w:val="auto"/>
                <w:highlight w:val="none"/>
              </w:rPr>
            </w:pPr>
            <w:r>
              <w:rPr>
                <w:rFonts w:hint="default"/>
                <w:color w:val="auto"/>
                <w:highlight w:val="none"/>
              </w:rPr>
              <w:t>用水量</w:t>
            </w:r>
          </w:p>
          <w:p>
            <w:pPr>
              <w:pStyle w:val="22"/>
              <w:bidi w:val="0"/>
              <w:rPr>
                <w:rFonts w:hint="default"/>
                <w:color w:val="auto"/>
                <w:highlight w:val="none"/>
              </w:rPr>
            </w:pPr>
            <w:r>
              <w:rPr>
                <w:rFonts w:hint="default"/>
                <w:color w:val="auto"/>
                <w:highlight w:val="none"/>
              </w:rPr>
              <w:t>合计m3/d</w:t>
            </w:r>
          </w:p>
        </w:tc>
        <w:tc>
          <w:tcPr>
            <w:tcW w:w="1049" w:type="dxa"/>
            <w:vMerge w:val="restart"/>
            <w:noWrap w:val="0"/>
            <w:vAlign w:val="center"/>
          </w:tcPr>
          <w:p>
            <w:pPr>
              <w:pStyle w:val="22"/>
              <w:bidi w:val="0"/>
              <w:rPr>
                <w:rFonts w:hint="default"/>
                <w:color w:val="auto"/>
                <w:highlight w:val="none"/>
              </w:rPr>
            </w:pPr>
            <w:r>
              <w:rPr>
                <w:rFonts w:hint="default"/>
                <w:color w:val="auto"/>
                <w:highlight w:val="none"/>
              </w:rPr>
              <w:t>供水水源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0" w:hRule="atLeast"/>
          <w:tblHeader/>
          <w:jc w:val="center"/>
        </w:trPr>
        <w:tc>
          <w:tcPr>
            <w:tcW w:w="1013" w:type="dxa"/>
            <w:vMerge w:val="continue"/>
            <w:noWrap w:val="0"/>
            <w:vAlign w:val="center"/>
          </w:tcPr>
          <w:p>
            <w:pPr>
              <w:pStyle w:val="22"/>
              <w:bidi w:val="0"/>
              <w:rPr>
                <w:rFonts w:hint="default"/>
                <w:color w:val="auto"/>
                <w:highlight w:val="none"/>
              </w:rPr>
            </w:pPr>
          </w:p>
        </w:tc>
        <w:tc>
          <w:tcPr>
            <w:tcW w:w="1048" w:type="dxa"/>
            <w:vMerge w:val="continue"/>
            <w:noWrap w:val="0"/>
            <w:vAlign w:val="center"/>
          </w:tcPr>
          <w:p>
            <w:pPr>
              <w:pStyle w:val="22"/>
              <w:bidi w:val="0"/>
              <w:rPr>
                <w:rFonts w:hint="default"/>
                <w:color w:val="auto"/>
                <w:highlight w:val="none"/>
              </w:rPr>
            </w:pPr>
          </w:p>
        </w:tc>
        <w:tc>
          <w:tcPr>
            <w:tcW w:w="1014" w:type="dxa"/>
            <w:vMerge w:val="continue"/>
            <w:noWrap w:val="0"/>
            <w:vAlign w:val="center"/>
          </w:tcPr>
          <w:p>
            <w:pPr>
              <w:pStyle w:val="22"/>
              <w:bidi w:val="0"/>
              <w:rPr>
                <w:rFonts w:hint="default"/>
                <w:color w:val="auto"/>
                <w:highlight w:val="none"/>
              </w:rPr>
            </w:pPr>
          </w:p>
        </w:tc>
        <w:tc>
          <w:tcPr>
            <w:tcW w:w="1015" w:type="dxa"/>
            <w:vMerge w:val="continue"/>
            <w:noWrap w:val="0"/>
            <w:vAlign w:val="center"/>
          </w:tcPr>
          <w:p>
            <w:pPr>
              <w:pStyle w:val="22"/>
              <w:bidi w:val="0"/>
              <w:rPr>
                <w:rFonts w:hint="default"/>
                <w:color w:val="auto"/>
                <w:highlight w:val="none"/>
              </w:rPr>
            </w:pPr>
          </w:p>
        </w:tc>
        <w:tc>
          <w:tcPr>
            <w:tcW w:w="2192" w:type="dxa"/>
            <w:gridSpan w:val="2"/>
            <w:noWrap w:val="0"/>
            <w:vAlign w:val="center"/>
          </w:tcPr>
          <w:p>
            <w:pPr>
              <w:pStyle w:val="22"/>
              <w:bidi w:val="0"/>
              <w:rPr>
                <w:rFonts w:hint="default"/>
                <w:color w:val="auto"/>
                <w:highlight w:val="none"/>
              </w:rPr>
            </w:pPr>
            <w:r>
              <w:rPr>
                <w:rFonts w:hint="default"/>
                <w:color w:val="auto"/>
                <w:highlight w:val="none"/>
              </w:rPr>
              <w:t>工业场地及井下</w:t>
            </w:r>
          </w:p>
        </w:tc>
        <w:tc>
          <w:tcPr>
            <w:tcW w:w="2667" w:type="dxa"/>
            <w:gridSpan w:val="2"/>
            <w:noWrap w:val="0"/>
            <w:vAlign w:val="center"/>
          </w:tcPr>
          <w:p>
            <w:pPr>
              <w:pStyle w:val="22"/>
              <w:bidi w:val="0"/>
              <w:rPr>
                <w:rFonts w:hint="default"/>
                <w:color w:val="auto"/>
                <w:highlight w:val="none"/>
              </w:rPr>
            </w:pPr>
            <w:r>
              <w:rPr>
                <w:rFonts w:hint="default"/>
                <w:color w:val="auto"/>
                <w:highlight w:val="none"/>
              </w:rPr>
              <w:t>居住区</w:t>
            </w:r>
          </w:p>
        </w:tc>
        <w:tc>
          <w:tcPr>
            <w:tcW w:w="2490" w:type="dxa"/>
            <w:gridSpan w:val="2"/>
            <w:noWrap w:val="0"/>
            <w:vAlign w:val="center"/>
          </w:tcPr>
          <w:p>
            <w:pPr>
              <w:pStyle w:val="22"/>
              <w:bidi w:val="0"/>
              <w:rPr>
                <w:rFonts w:hint="default"/>
                <w:color w:val="auto"/>
                <w:highlight w:val="none"/>
              </w:rPr>
            </w:pPr>
            <w:r>
              <w:rPr>
                <w:rFonts w:hint="default"/>
                <w:color w:val="auto"/>
                <w:highlight w:val="none"/>
              </w:rPr>
              <w:t>绿化及其他</w:t>
            </w:r>
          </w:p>
        </w:tc>
        <w:tc>
          <w:tcPr>
            <w:tcW w:w="1539"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0" w:hRule="atLeast"/>
          <w:tblHeader/>
          <w:jc w:val="center"/>
        </w:trPr>
        <w:tc>
          <w:tcPr>
            <w:tcW w:w="1013" w:type="dxa"/>
            <w:vMerge w:val="continue"/>
            <w:noWrap w:val="0"/>
            <w:vAlign w:val="center"/>
          </w:tcPr>
          <w:p>
            <w:pPr>
              <w:pStyle w:val="22"/>
              <w:bidi w:val="0"/>
              <w:rPr>
                <w:rFonts w:hint="default"/>
                <w:color w:val="auto"/>
                <w:highlight w:val="none"/>
              </w:rPr>
            </w:pPr>
          </w:p>
        </w:tc>
        <w:tc>
          <w:tcPr>
            <w:tcW w:w="1048" w:type="dxa"/>
            <w:vMerge w:val="continue"/>
            <w:noWrap w:val="0"/>
            <w:vAlign w:val="center"/>
          </w:tcPr>
          <w:p>
            <w:pPr>
              <w:pStyle w:val="22"/>
              <w:bidi w:val="0"/>
              <w:rPr>
                <w:rFonts w:hint="default"/>
                <w:color w:val="auto"/>
                <w:highlight w:val="none"/>
              </w:rPr>
            </w:pPr>
          </w:p>
        </w:tc>
        <w:tc>
          <w:tcPr>
            <w:tcW w:w="1014" w:type="dxa"/>
            <w:vMerge w:val="continue"/>
            <w:noWrap w:val="0"/>
            <w:vAlign w:val="center"/>
          </w:tcPr>
          <w:p>
            <w:pPr>
              <w:pStyle w:val="22"/>
              <w:bidi w:val="0"/>
              <w:rPr>
                <w:rFonts w:hint="default"/>
                <w:color w:val="auto"/>
                <w:highlight w:val="none"/>
              </w:rPr>
            </w:pPr>
          </w:p>
        </w:tc>
        <w:tc>
          <w:tcPr>
            <w:tcW w:w="1015" w:type="dxa"/>
            <w:vMerge w:val="continue"/>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r>
              <w:rPr>
                <w:rFonts w:hint="default"/>
                <w:color w:val="auto"/>
                <w:highlight w:val="none"/>
              </w:rPr>
              <w:t>用水量标准m3/t</w:t>
            </w:r>
          </w:p>
        </w:tc>
        <w:tc>
          <w:tcPr>
            <w:tcW w:w="1153" w:type="dxa"/>
            <w:noWrap w:val="0"/>
            <w:vAlign w:val="center"/>
          </w:tcPr>
          <w:p>
            <w:pPr>
              <w:pStyle w:val="22"/>
              <w:bidi w:val="0"/>
              <w:rPr>
                <w:rFonts w:hint="default"/>
                <w:color w:val="auto"/>
                <w:highlight w:val="none"/>
              </w:rPr>
            </w:pPr>
            <w:r>
              <w:rPr>
                <w:rFonts w:hint="default"/>
                <w:color w:val="auto"/>
                <w:highlight w:val="none"/>
              </w:rPr>
              <w:t>用水量m3/d</w:t>
            </w:r>
          </w:p>
        </w:tc>
        <w:tc>
          <w:tcPr>
            <w:tcW w:w="1039" w:type="dxa"/>
            <w:noWrap w:val="0"/>
            <w:vAlign w:val="center"/>
          </w:tcPr>
          <w:p>
            <w:pPr>
              <w:pStyle w:val="22"/>
              <w:bidi w:val="0"/>
              <w:rPr>
                <w:rFonts w:hint="default"/>
                <w:color w:val="auto"/>
                <w:highlight w:val="none"/>
              </w:rPr>
            </w:pPr>
            <w:r>
              <w:rPr>
                <w:rFonts w:hint="default"/>
                <w:color w:val="auto"/>
                <w:highlight w:val="none"/>
              </w:rPr>
              <w:t>用水量标准m3/t</w:t>
            </w:r>
          </w:p>
        </w:tc>
        <w:tc>
          <w:tcPr>
            <w:tcW w:w="1628" w:type="dxa"/>
            <w:noWrap w:val="0"/>
            <w:vAlign w:val="center"/>
          </w:tcPr>
          <w:p>
            <w:pPr>
              <w:pStyle w:val="22"/>
              <w:bidi w:val="0"/>
              <w:rPr>
                <w:rFonts w:hint="default"/>
                <w:color w:val="auto"/>
                <w:highlight w:val="none"/>
              </w:rPr>
            </w:pPr>
            <w:r>
              <w:rPr>
                <w:rFonts w:hint="default"/>
                <w:color w:val="auto"/>
                <w:highlight w:val="none"/>
              </w:rPr>
              <w:t>用水量m3/d</w:t>
            </w:r>
          </w:p>
        </w:tc>
        <w:tc>
          <w:tcPr>
            <w:tcW w:w="1047" w:type="dxa"/>
            <w:noWrap w:val="0"/>
            <w:vAlign w:val="center"/>
          </w:tcPr>
          <w:p>
            <w:pPr>
              <w:pStyle w:val="22"/>
              <w:bidi w:val="0"/>
              <w:rPr>
                <w:rFonts w:hint="default"/>
                <w:color w:val="auto"/>
                <w:highlight w:val="none"/>
              </w:rPr>
            </w:pPr>
            <w:r>
              <w:rPr>
                <w:rFonts w:hint="default"/>
                <w:color w:val="auto"/>
                <w:highlight w:val="none"/>
              </w:rPr>
              <w:t>用水量标准m3/t</w:t>
            </w:r>
          </w:p>
        </w:tc>
        <w:tc>
          <w:tcPr>
            <w:tcW w:w="1443" w:type="dxa"/>
            <w:noWrap w:val="0"/>
            <w:vAlign w:val="center"/>
          </w:tcPr>
          <w:p>
            <w:pPr>
              <w:pStyle w:val="22"/>
              <w:bidi w:val="0"/>
              <w:rPr>
                <w:rFonts w:hint="default"/>
                <w:color w:val="auto"/>
                <w:highlight w:val="none"/>
              </w:rPr>
            </w:pPr>
            <w:r>
              <w:rPr>
                <w:rFonts w:hint="default"/>
                <w:color w:val="auto"/>
                <w:highlight w:val="none"/>
              </w:rPr>
              <w:t>用水量m3/d</w:t>
            </w:r>
          </w:p>
        </w:tc>
        <w:tc>
          <w:tcPr>
            <w:tcW w:w="1539" w:type="dxa"/>
            <w:vMerge w:val="continue"/>
            <w:noWrap w:val="0"/>
            <w:vAlign w:val="center"/>
          </w:tcPr>
          <w:p>
            <w:pPr>
              <w:pStyle w:val="22"/>
              <w:bidi w:val="0"/>
              <w:rPr>
                <w:rFonts w:hint="default"/>
                <w:color w:val="auto"/>
                <w:highlight w:val="none"/>
              </w:rPr>
            </w:pPr>
          </w:p>
        </w:tc>
        <w:tc>
          <w:tcPr>
            <w:tcW w:w="1049" w:type="dxa"/>
            <w:vMerge w:val="continue"/>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一</w:t>
            </w:r>
          </w:p>
        </w:tc>
        <w:tc>
          <w:tcPr>
            <w:tcW w:w="2062" w:type="dxa"/>
            <w:gridSpan w:val="2"/>
            <w:noWrap w:val="0"/>
            <w:vAlign w:val="center"/>
          </w:tcPr>
          <w:p>
            <w:pPr>
              <w:pStyle w:val="22"/>
              <w:bidi w:val="0"/>
              <w:rPr>
                <w:rFonts w:hint="default"/>
                <w:color w:val="auto"/>
                <w:highlight w:val="none"/>
              </w:rPr>
            </w:pPr>
            <w:r>
              <w:rPr>
                <w:rFonts w:hint="default"/>
                <w:color w:val="auto"/>
                <w:highlight w:val="none"/>
              </w:rPr>
              <w:t>华蓥山北段矿区</w:t>
            </w:r>
          </w:p>
        </w:tc>
        <w:tc>
          <w:tcPr>
            <w:tcW w:w="1015"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153"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628" w:type="dxa"/>
            <w:noWrap w:val="0"/>
            <w:vAlign w:val="center"/>
          </w:tcPr>
          <w:p>
            <w:pPr>
              <w:pStyle w:val="22"/>
              <w:bidi w:val="0"/>
              <w:rPr>
                <w:rFonts w:hint="default"/>
                <w:color w:val="auto"/>
                <w:highlight w:val="none"/>
              </w:rPr>
            </w:pPr>
          </w:p>
        </w:tc>
        <w:tc>
          <w:tcPr>
            <w:tcW w:w="1047" w:type="dxa"/>
            <w:noWrap w:val="0"/>
            <w:vAlign w:val="center"/>
          </w:tcPr>
          <w:p>
            <w:pPr>
              <w:pStyle w:val="22"/>
              <w:bidi w:val="0"/>
              <w:rPr>
                <w:rFonts w:hint="default"/>
                <w:color w:val="auto"/>
                <w:highlight w:val="none"/>
              </w:rPr>
            </w:pPr>
          </w:p>
        </w:tc>
        <w:tc>
          <w:tcPr>
            <w:tcW w:w="1443" w:type="dxa"/>
            <w:noWrap w:val="0"/>
            <w:vAlign w:val="center"/>
          </w:tcPr>
          <w:p>
            <w:pPr>
              <w:pStyle w:val="22"/>
              <w:bidi w:val="0"/>
              <w:rPr>
                <w:rFonts w:hint="default"/>
                <w:color w:val="auto"/>
                <w:highlight w:val="none"/>
              </w:rPr>
            </w:pPr>
          </w:p>
        </w:tc>
        <w:tc>
          <w:tcPr>
            <w:tcW w:w="1539" w:type="dxa"/>
            <w:noWrap w:val="0"/>
            <w:vAlign w:val="center"/>
          </w:tcPr>
          <w:p>
            <w:pPr>
              <w:pStyle w:val="22"/>
              <w:bidi w:val="0"/>
              <w:rPr>
                <w:rFonts w:hint="default"/>
                <w:color w:val="auto"/>
                <w:highlight w:val="none"/>
              </w:rPr>
            </w:pPr>
          </w:p>
        </w:tc>
        <w:tc>
          <w:tcPr>
            <w:tcW w:w="1049"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1</w:t>
            </w:r>
          </w:p>
        </w:tc>
        <w:tc>
          <w:tcPr>
            <w:tcW w:w="1048" w:type="dxa"/>
            <w:noWrap w:val="0"/>
            <w:vAlign w:val="center"/>
          </w:tcPr>
          <w:p>
            <w:pPr>
              <w:pStyle w:val="22"/>
              <w:bidi w:val="0"/>
              <w:rPr>
                <w:rFonts w:hint="default"/>
                <w:color w:val="auto"/>
                <w:highlight w:val="none"/>
              </w:rPr>
            </w:pPr>
            <w:r>
              <w:rPr>
                <w:rFonts w:hint="default"/>
                <w:color w:val="auto"/>
                <w:highlight w:val="none"/>
              </w:rPr>
              <w:t>柏林煤矿</w:t>
            </w:r>
          </w:p>
        </w:tc>
        <w:tc>
          <w:tcPr>
            <w:tcW w:w="1014" w:type="dxa"/>
            <w:noWrap w:val="0"/>
            <w:vAlign w:val="center"/>
          </w:tcPr>
          <w:p>
            <w:pPr>
              <w:pStyle w:val="22"/>
              <w:bidi w:val="0"/>
              <w:rPr>
                <w:rFonts w:hint="default"/>
                <w:color w:val="auto"/>
                <w:highlight w:val="none"/>
              </w:rPr>
            </w:pPr>
            <w:r>
              <w:rPr>
                <w:rFonts w:hint="default"/>
                <w:color w:val="auto"/>
                <w:highlight w:val="none"/>
              </w:rPr>
              <w:t>斜井</w:t>
            </w:r>
          </w:p>
        </w:tc>
        <w:tc>
          <w:tcPr>
            <w:tcW w:w="1015" w:type="dxa"/>
            <w:noWrap w:val="0"/>
            <w:vAlign w:val="center"/>
          </w:tcPr>
          <w:p>
            <w:pPr>
              <w:pStyle w:val="22"/>
              <w:bidi w:val="0"/>
              <w:rPr>
                <w:rFonts w:hint="default"/>
                <w:color w:val="auto"/>
                <w:highlight w:val="none"/>
              </w:rPr>
            </w:pPr>
            <w:r>
              <w:rPr>
                <w:rFonts w:hint="default"/>
                <w:color w:val="auto"/>
                <w:highlight w:val="none"/>
              </w:rPr>
              <w:t>45</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818.2</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272.7</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13.6</w:t>
            </w:r>
          </w:p>
        </w:tc>
        <w:tc>
          <w:tcPr>
            <w:tcW w:w="1539" w:type="dxa"/>
            <w:noWrap w:val="0"/>
            <w:vAlign w:val="center"/>
          </w:tcPr>
          <w:p>
            <w:pPr>
              <w:pStyle w:val="22"/>
              <w:bidi w:val="0"/>
              <w:rPr>
                <w:rFonts w:hint="default"/>
                <w:color w:val="auto"/>
                <w:highlight w:val="none"/>
              </w:rPr>
            </w:pPr>
            <w:r>
              <w:rPr>
                <w:rFonts w:hint="default"/>
                <w:color w:val="auto"/>
                <w:highlight w:val="none"/>
              </w:rPr>
              <w:t>1104.5</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2</w:t>
            </w:r>
          </w:p>
        </w:tc>
        <w:tc>
          <w:tcPr>
            <w:tcW w:w="1048" w:type="dxa"/>
            <w:noWrap w:val="0"/>
            <w:vAlign w:val="center"/>
          </w:tcPr>
          <w:p>
            <w:pPr>
              <w:pStyle w:val="22"/>
              <w:bidi w:val="0"/>
              <w:rPr>
                <w:rFonts w:hint="default"/>
                <w:color w:val="auto"/>
                <w:highlight w:val="none"/>
              </w:rPr>
            </w:pPr>
            <w:r>
              <w:rPr>
                <w:rFonts w:hint="default"/>
                <w:color w:val="auto"/>
                <w:highlight w:val="none"/>
              </w:rPr>
              <w:t>田坝煤矿</w:t>
            </w:r>
          </w:p>
        </w:tc>
        <w:tc>
          <w:tcPr>
            <w:tcW w:w="1014" w:type="dxa"/>
            <w:noWrap w:val="0"/>
            <w:vAlign w:val="center"/>
          </w:tcPr>
          <w:p>
            <w:pPr>
              <w:pStyle w:val="22"/>
              <w:bidi w:val="0"/>
              <w:rPr>
                <w:rFonts w:hint="default"/>
                <w:color w:val="auto"/>
                <w:highlight w:val="none"/>
              </w:rPr>
            </w:pPr>
            <w:r>
              <w:rPr>
                <w:rFonts w:hint="default"/>
                <w:color w:val="auto"/>
                <w:highlight w:val="none"/>
              </w:rPr>
              <w:t>斜井</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57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3</w:t>
            </w:r>
          </w:p>
        </w:tc>
        <w:tc>
          <w:tcPr>
            <w:tcW w:w="1048" w:type="dxa"/>
            <w:noWrap w:val="0"/>
            <w:vAlign w:val="center"/>
          </w:tcPr>
          <w:p>
            <w:pPr>
              <w:pStyle w:val="22"/>
              <w:bidi w:val="0"/>
              <w:rPr>
                <w:rFonts w:hint="default"/>
                <w:color w:val="auto"/>
                <w:highlight w:val="none"/>
              </w:rPr>
            </w:pPr>
            <w:r>
              <w:rPr>
                <w:rFonts w:hint="default"/>
                <w:color w:val="auto"/>
                <w:highlight w:val="none"/>
              </w:rPr>
              <w:t>黑滩煤矿</w:t>
            </w:r>
          </w:p>
        </w:tc>
        <w:tc>
          <w:tcPr>
            <w:tcW w:w="1014" w:type="dxa"/>
            <w:noWrap w:val="0"/>
            <w:vAlign w:val="center"/>
          </w:tcPr>
          <w:p>
            <w:pPr>
              <w:pStyle w:val="22"/>
              <w:bidi w:val="0"/>
              <w:rPr>
                <w:rFonts w:hint="default"/>
                <w:color w:val="auto"/>
                <w:highlight w:val="none"/>
              </w:rPr>
            </w:pPr>
            <w:r>
              <w:rPr>
                <w:rFonts w:hint="default"/>
                <w:color w:val="auto"/>
                <w:highlight w:val="none"/>
              </w:rPr>
              <w:t>平硐斜井</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4</w:t>
            </w:r>
          </w:p>
        </w:tc>
        <w:tc>
          <w:tcPr>
            <w:tcW w:w="1048" w:type="dxa"/>
            <w:noWrap w:val="0"/>
            <w:vAlign w:val="center"/>
          </w:tcPr>
          <w:p>
            <w:pPr>
              <w:pStyle w:val="22"/>
              <w:bidi w:val="0"/>
              <w:rPr>
                <w:rFonts w:hint="default"/>
                <w:color w:val="auto"/>
                <w:highlight w:val="none"/>
              </w:rPr>
            </w:pPr>
            <w:r>
              <w:rPr>
                <w:rFonts w:hint="default"/>
                <w:color w:val="auto"/>
                <w:highlight w:val="none"/>
              </w:rPr>
              <w:t>大河沟煤矿</w:t>
            </w:r>
          </w:p>
        </w:tc>
        <w:tc>
          <w:tcPr>
            <w:tcW w:w="1014" w:type="dxa"/>
            <w:noWrap w:val="0"/>
            <w:vAlign w:val="center"/>
          </w:tcPr>
          <w:p>
            <w:pPr>
              <w:pStyle w:val="22"/>
              <w:bidi w:val="0"/>
              <w:rPr>
                <w:rFonts w:hint="default"/>
                <w:color w:val="auto"/>
                <w:highlight w:val="none"/>
              </w:rPr>
            </w:pPr>
            <w:r>
              <w:rPr>
                <w:rFonts w:hint="default"/>
                <w:color w:val="auto"/>
                <w:highlight w:val="none"/>
              </w:rPr>
              <w:t>斜井平硐</w:t>
            </w:r>
          </w:p>
        </w:tc>
        <w:tc>
          <w:tcPr>
            <w:tcW w:w="1015" w:type="dxa"/>
            <w:noWrap w:val="0"/>
            <w:vAlign w:val="center"/>
          </w:tcPr>
          <w:p>
            <w:pPr>
              <w:pStyle w:val="22"/>
              <w:bidi w:val="0"/>
              <w:rPr>
                <w:rFonts w:hint="default"/>
                <w:color w:val="auto"/>
                <w:highlight w:val="none"/>
              </w:rPr>
            </w:pPr>
            <w:r>
              <w:rPr>
                <w:rFonts w:hint="default"/>
                <w:color w:val="auto"/>
                <w:highlight w:val="none"/>
              </w:rPr>
              <w:t>15</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272.7</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90.9</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4.5</w:t>
            </w:r>
          </w:p>
        </w:tc>
        <w:tc>
          <w:tcPr>
            <w:tcW w:w="1539" w:type="dxa"/>
            <w:noWrap w:val="0"/>
            <w:vAlign w:val="center"/>
          </w:tcPr>
          <w:p>
            <w:pPr>
              <w:pStyle w:val="22"/>
              <w:bidi w:val="0"/>
              <w:rPr>
                <w:rFonts w:hint="default"/>
                <w:color w:val="auto"/>
                <w:highlight w:val="none"/>
              </w:rPr>
            </w:pPr>
            <w:r>
              <w:rPr>
                <w:rFonts w:hint="default"/>
                <w:color w:val="auto"/>
                <w:highlight w:val="none"/>
              </w:rPr>
              <w:t>368.1</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5</w:t>
            </w:r>
          </w:p>
        </w:tc>
        <w:tc>
          <w:tcPr>
            <w:tcW w:w="1048" w:type="dxa"/>
            <w:noWrap w:val="0"/>
            <w:vAlign w:val="center"/>
          </w:tcPr>
          <w:p>
            <w:pPr>
              <w:pStyle w:val="22"/>
              <w:bidi w:val="0"/>
              <w:rPr>
                <w:rFonts w:hint="default"/>
                <w:color w:val="auto"/>
                <w:highlight w:val="none"/>
              </w:rPr>
            </w:pPr>
            <w:r>
              <w:rPr>
                <w:rFonts w:hint="default"/>
                <w:color w:val="auto"/>
                <w:highlight w:val="none"/>
              </w:rPr>
              <w:t>大硐坪煤矿</w:t>
            </w:r>
          </w:p>
        </w:tc>
        <w:tc>
          <w:tcPr>
            <w:tcW w:w="1014" w:type="dxa"/>
            <w:noWrap w:val="0"/>
            <w:vAlign w:val="center"/>
          </w:tcPr>
          <w:p>
            <w:pPr>
              <w:pStyle w:val="22"/>
              <w:bidi w:val="0"/>
              <w:rPr>
                <w:rFonts w:hint="default"/>
                <w:color w:val="auto"/>
                <w:highlight w:val="none"/>
              </w:rPr>
            </w:pPr>
            <w:r>
              <w:rPr>
                <w:rFonts w:hint="default"/>
                <w:color w:val="auto"/>
                <w:highlight w:val="none"/>
              </w:rPr>
              <w:t>平硐</w:t>
            </w:r>
          </w:p>
        </w:tc>
        <w:tc>
          <w:tcPr>
            <w:tcW w:w="1015" w:type="dxa"/>
            <w:noWrap w:val="0"/>
            <w:vAlign w:val="center"/>
          </w:tcPr>
          <w:p>
            <w:pPr>
              <w:pStyle w:val="22"/>
              <w:bidi w:val="0"/>
              <w:rPr>
                <w:rFonts w:hint="default"/>
                <w:color w:val="auto"/>
                <w:highlight w:val="none"/>
              </w:rPr>
            </w:pPr>
            <w:r>
              <w:rPr>
                <w:rFonts w:hint="default"/>
                <w:color w:val="auto"/>
                <w:highlight w:val="none"/>
              </w:rPr>
              <w:t>15</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272.7</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90.9</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4.5</w:t>
            </w:r>
          </w:p>
        </w:tc>
        <w:tc>
          <w:tcPr>
            <w:tcW w:w="1539" w:type="dxa"/>
            <w:noWrap w:val="0"/>
            <w:vAlign w:val="center"/>
          </w:tcPr>
          <w:p>
            <w:pPr>
              <w:pStyle w:val="22"/>
              <w:bidi w:val="0"/>
              <w:rPr>
                <w:rFonts w:hint="default"/>
                <w:color w:val="auto"/>
                <w:highlight w:val="none"/>
              </w:rPr>
            </w:pPr>
            <w:r>
              <w:rPr>
                <w:rFonts w:hint="default"/>
                <w:color w:val="auto"/>
                <w:highlight w:val="none"/>
              </w:rPr>
              <w:t>368.1</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6</w:t>
            </w:r>
          </w:p>
        </w:tc>
        <w:tc>
          <w:tcPr>
            <w:tcW w:w="1048" w:type="dxa"/>
            <w:noWrap w:val="0"/>
            <w:vAlign w:val="center"/>
          </w:tcPr>
          <w:p>
            <w:pPr>
              <w:pStyle w:val="22"/>
              <w:bidi w:val="0"/>
              <w:rPr>
                <w:rFonts w:hint="default"/>
                <w:color w:val="auto"/>
                <w:highlight w:val="none"/>
              </w:rPr>
            </w:pPr>
            <w:r>
              <w:rPr>
                <w:rFonts w:hint="default"/>
                <w:color w:val="auto"/>
                <w:highlight w:val="none"/>
              </w:rPr>
              <w:t>新桥红星煤矿</w:t>
            </w:r>
          </w:p>
        </w:tc>
        <w:tc>
          <w:tcPr>
            <w:tcW w:w="1014" w:type="dxa"/>
            <w:noWrap w:val="0"/>
            <w:vAlign w:val="center"/>
          </w:tcPr>
          <w:p>
            <w:pPr>
              <w:pStyle w:val="22"/>
              <w:bidi w:val="0"/>
              <w:rPr>
                <w:rFonts w:hint="default"/>
                <w:color w:val="auto"/>
                <w:highlight w:val="none"/>
              </w:rPr>
            </w:pPr>
            <w:r>
              <w:rPr>
                <w:rFonts w:hint="default"/>
                <w:color w:val="auto"/>
                <w:highlight w:val="none"/>
              </w:rPr>
              <w:t>斜井</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小计</w:t>
            </w:r>
          </w:p>
        </w:tc>
        <w:tc>
          <w:tcPr>
            <w:tcW w:w="1048" w:type="dxa"/>
            <w:noWrap w:val="0"/>
            <w:vAlign w:val="center"/>
          </w:tcPr>
          <w:p>
            <w:pPr>
              <w:pStyle w:val="22"/>
              <w:bidi w:val="0"/>
              <w:rPr>
                <w:rFonts w:hint="default"/>
                <w:color w:val="auto"/>
                <w:highlight w:val="none"/>
              </w:rPr>
            </w:pPr>
          </w:p>
        </w:tc>
        <w:tc>
          <w:tcPr>
            <w:tcW w:w="1014" w:type="dxa"/>
            <w:noWrap w:val="0"/>
            <w:vAlign w:val="center"/>
          </w:tcPr>
          <w:p>
            <w:pPr>
              <w:pStyle w:val="22"/>
              <w:bidi w:val="0"/>
              <w:rPr>
                <w:rFonts w:hint="default"/>
                <w:color w:val="auto"/>
                <w:highlight w:val="none"/>
              </w:rPr>
            </w:pPr>
          </w:p>
        </w:tc>
        <w:tc>
          <w:tcPr>
            <w:tcW w:w="1015"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153" w:type="dxa"/>
            <w:noWrap w:val="0"/>
            <w:vAlign w:val="center"/>
          </w:tcPr>
          <w:p>
            <w:pPr>
              <w:pStyle w:val="22"/>
              <w:bidi w:val="0"/>
              <w:rPr>
                <w:rFonts w:hint="default"/>
                <w:color w:val="auto"/>
                <w:highlight w:val="none"/>
              </w:rPr>
            </w:pPr>
            <w:r>
              <w:rPr>
                <w:rFonts w:hint="default"/>
                <w:color w:val="auto"/>
                <w:highlight w:val="none"/>
              </w:rPr>
              <w:t>3000.1</w:t>
            </w:r>
          </w:p>
        </w:tc>
        <w:tc>
          <w:tcPr>
            <w:tcW w:w="1039" w:type="dxa"/>
            <w:noWrap w:val="0"/>
            <w:vAlign w:val="center"/>
          </w:tcPr>
          <w:p>
            <w:pPr>
              <w:pStyle w:val="22"/>
              <w:bidi w:val="0"/>
              <w:rPr>
                <w:rFonts w:hint="default"/>
                <w:color w:val="auto"/>
                <w:highlight w:val="none"/>
              </w:rPr>
            </w:pPr>
          </w:p>
        </w:tc>
        <w:tc>
          <w:tcPr>
            <w:tcW w:w="1628" w:type="dxa"/>
            <w:noWrap w:val="0"/>
            <w:vAlign w:val="center"/>
          </w:tcPr>
          <w:p>
            <w:pPr>
              <w:pStyle w:val="22"/>
              <w:bidi w:val="0"/>
              <w:rPr>
                <w:rFonts w:hint="default"/>
                <w:color w:val="auto"/>
                <w:highlight w:val="none"/>
              </w:rPr>
            </w:pPr>
            <w:r>
              <w:rPr>
                <w:rFonts w:hint="default"/>
                <w:color w:val="auto"/>
                <w:highlight w:val="none"/>
              </w:rPr>
              <w:t>999.9</w:t>
            </w:r>
          </w:p>
        </w:tc>
        <w:tc>
          <w:tcPr>
            <w:tcW w:w="1047" w:type="dxa"/>
            <w:noWrap w:val="0"/>
            <w:vAlign w:val="center"/>
          </w:tcPr>
          <w:p>
            <w:pPr>
              <w:pStyle w:val="22"/>
              <w:bidi w:val="0"/>
              <w:rPr>
                <w:rFonts w:hint="default"/>
                <w:color w:val="auto"/>
                <w:highlight w:val="none"/>
              </w:rPr>
            </w:pPr>
          </w:p>
        </w:tc>
        <w:tc>
          <w:tcPr>
            <w:tcW w:w="1443" w:type="dxa"/>
            <w:noWrap w:val="0"/>
            <w:vAlign w:val="center"/>
          </w:tcPr>
          <w:p>
            <w:pPr>
              <w:pStyle w:val="22"/>
              <w:bidi w:val="0"/>
              <w:rPr>
                <w:rFonts w:hint="default"/>
                <w:color w:val="auto"/>
                <w:highlight w:val="none"/>
              </w:rPr>
            </w:pPr>
            <w:r>
              <w:rPr>
                <w:rFonts w:hint="default"/>
                <w:color w:val="auto"/>
                <w:highlight w:val="none"/>
              </w:rPr>
              <w:t>49.9</w:t>
            </w:r>
          </w:p>
        </w:tc>
        <w:tc>
          <w:tcPr>
            <w:tcW w:w="1539" w:type="dxa"/>
            <w:noWrap w:val="0"/>
            <w:vAlign w:val="center"/>
          </w:tcPr>
          <w:p>
            <w:pPr>
              <w:pStyle w:val="22"/>
              <w:bidi w:val="0"/>
              <w:rPr>
                <w:rFonts w:hint="default"/>
                <w:color w:val="auto"/>
                <w:highlight w:val="none"/>
              </w:rPr>
            </w:pPr>
            <w:r>
              <w:rPr>
                <w:rFonts w:hint="default"/>
                <w:color w:val="auto"/>
                <w:highlight w:val="none"/>
              </w:rPr>
              <w:t>4049.9</w:t>
            </w:r>
          </w:p>
        </w:tc>
        <w:tc>
          <w:tcPr>
            <w:tcW w:w="1049"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二</w:t>
            </w:r>
          </w:p>
        </w:tc>
        <w:tc>
          <w:tcPr>
            <w:tcW w:w="2062" w:type="dxa"/>
            <w:gridSpan w:val="2"/>
            <w:noWrap w:val="0"/>
            <w:vAlign w:val="center"/>
          </w:tcPr>
          <w:p>
            <w:pPr>
              <w:pStyle w:val="22"/>
              <w:bidi w:val="0"/>
              <w:rPr>
                <w:rFonts w:hint="default"/>
                <w:color w:val="auto"/>
                <w:highlight w:val="none"/>
              </w:rPr>
            </w:pPr>
            <w:r>
              <w:rPr>
                <w:rFonts w:hint="default"/>
                <w:color w:val="auto"/>
                <w:highlight w:val="none"/>
              </w:rPr>
              <w:t>中山明月峡矿区</w:t>
            </w:r>
          </w:p>
        </w:tc>
        <w:tc>
          <w:tcPr>
            <w:tcW w:w="1015"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153"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628" w:type="dxa"/>
            <w:noWrap w:val="0"/>
            <w:vAlign w:val="center"/>
          </w:tcPr>
          <w:p>
            <w:pPr>
              <w:pStyle w:val="22"/>
              <w:bidi w:val="0"/>
              <w:rPr>
                <w:rFonts w:hint="default"/>
                <w:color w:val="auto"/>
                <w:highlight w:val="none"/>
              </w:rPr>
            </w:pPr>
          </w:p>
        </w:tc>
        <w:tc>
          <w:tcPr>
            <w:tcW w:w="1047" w:type="dxa"/>
            <w:noWrap w:val="0"/>
            <w:vAlign w:val="center"/>
          </w:tcPr>
          <w:p>
            <w:pPr>
              <w:pStyle w:val="22"/>
              <w:bidi w:val="0"/>
              <w:rPr>
                <w:rFonts w:hint="default"/>
                <w:color w:val="auto"/>
                <w:highlight w:val="none"/>
              </w:rPr>
            </w:pPr>
          </w:p>
        </w:tc>
        <w:tc>
          <w:tcPr>
            <w:tcW w:w="1443" w:type="dxa"/>
            <w:noWrap w:val="0"/>
            <w:vAlign w:val="center"/>
          </w:tcPr>
          <w:p>
            <w:pPr>
              <w:pStyle w:val="22"/>
              <w:bidi w:val="0"/>
              <w:rPr>
                <w:rFonts w:hint="default"/>
                <w:color w:val="auto"/>
                <w:highlight w:val="none"/>
              </w:rPr>
            </w:pPr>
          </w:p>
        </w:tc>
        <w:tc>
          <w:tcPr>
            <w:tcW w:w="1539" w:type="dxa"/>
            <w:noWrap w:val="0"/>
            <w:vAlign w:val="center"/>
          </w:tcPr>
          <w:p>
            <w:pPr>
              <w:pStyle w:val="22"/>
              <w:bidi w:val="0"/>
              <w:rPr>
                <w:rFonts w:hint="default"/>
                <w:color w:val="auto"/>
                <w:highlight w:val="none"/>
              </w:rPr>
            </w:pPr>
          </w:p>
        </w:tc>
        <w:tc>
          <w:tcPr>
            <w:tcW w:w="1049"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1</w:t>
            </w:r>
          </w:p>
        </w:tc>
        <w:tc>
          <w:tcPr>
            <w:tcW w:w="1048" w:type="dxa"/>
            <w:noWrap w:val="0"/>
            <w:vAlign w:val="center"/>
          </w:tcPr>
          <w:p>
            <w:pPr>
              <w:pStyle w:val="22"/>
              <w:bidi w:val="0"/>
              <w:rPr>
                <w:rFonts w:hint="default"/>
                <w:color w:val="auto"/>
                <w:highlight w:val="none"/>
              </w:rPr>
            </w:pPr>
            <w:r>
              <w:rPr>
                <w:rFonts w:hint="default"/>
                <w:color w:val="auto"/>
                <w:highlight w:val="none"/>
              </w:rPr>
              <w:t>堡子煤矿</w:t>
            </w:r>
          </w:p>
        </w:tc>
        <w:tc>
          <w:tcPr>
            <w:tcW w:w="1014" w:type="dxa"/>
            <w:noWrap w:val="0"/>
            <w:vAlign w:val="center"/>
          </w:tcPr>
          <w:p>
            <w:pPr>
              <w:pStyle w:val="22"/>
              <w:bidi w:val="0"/>
              <w:rPr>
                <w:rFonts w:hint="default"/>
                <w:color w:val="auto"/>
                <w:highlight w:val="none"/>
              </w:rPr>
            </w:pPr>
            <w:r>
              <w:rPr>
                <w:rFonts w:hint="default"/>
                <w:color w:val="auto"/>
                <w:highlight w:val="none"/>
              </w:rPr>
              <w:t>斜井平硐</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2</w:t>
            </w:r>
          </w:p>
        </w:tc>
        <w:tc>
          <w:tcPr>
            <w:tcW w:w="1048" w:type="dxa"/>
            <w:noWrap w:val="0"/>
            <w:vAlign w:val="center"/>
          </w:tcPr>
          <w:p>
            <w:pPr>
              <w:pStyle w:val="22"/>
              <w:bidi w:val="0"/>
              <w:rPr>
                <w:rFonts w:hint="default"/>
                <w:color w:val="auto"/>
                <w:highlight w:val="none"/>
              </w:rPr>
            </w:pPr>
            <w:r>
              <w:rPr>
                <w:rFonts w:hint="default"/>
                <w:color w:val="auto"/>
                <w:highlight w:val="none"/>
              </w:rPr>
              <w:t>荣华煤矿</w:t>
            </w:r>
          </w:p>
        </w:tc>
        <w:tc>
          <w:tcPr>
            <w:tcW w:w="1014" w:type="dxa"/>
            <w:noWrap w:val="0"/>
            <w:vAlign w:val="center"/>
          </w:tcPr>
          <w:p>
            <w:pPr>
              <w:pStyle w:val="22"/>
              <w:bidi w:val="0"/>
              <w:rPr>
                <w:rFonts w:hint="default"/>
                <w:color w:val="auto"/>
                <w:highlight w:val="none"/>
              </w:rPr>
            </w:pPr>
            <w:r>
              <w:rPr>
                <w:rFonts w:hint="default"/>
                <w:color w:val="auto"/>
                <w:highlight w:val="none"/>
              </w:rPr>
              <w:t>斜井</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vertAlign w:val="baseli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3</w:t>
            </w:r>
          </w:p>
        </w:tc>
        <w:tc>
          <w:tcPr>
            <w:tcW w:w="1048" w:type="dxa"/>
            <w:noWrap w:val="0"/>
            <w:vAlign w:val="center"/>
          </w:tcPr>
          <w:p>
            <w:pPr>
              <w:pStyle w:val="22"/>
              <w:bidi w:val="0"/>
              <w:rPr>
                <w:rFonts w:hint="default"/>
                <w:color w:val="auto"/>
                <w:highlight w:val="none"/>
              </w:rPr>
            </w:pPr>
            <w:r>
              <w:rPr>
                <w:rFonts w:hint="default"/>
                <w:color w:val="auto"/>
                <w:highlight w:val="none"/>
              </w:rPr>
              <w:t>华家沟煤矿</w:t>
            </w:r>
          </w:p>
        </w:tc>
        <w:tc>
          <w:tcPr>
            <w:tcW w:w="1014" w:type="dxa"/>
            <w:noWrap w:val="0"/>
            <w:vAlign w:val="center"/>
          </w:tcPr>
          <w:p>
            <w:pPr>
              <w:pStyle w:val="22"/>
              <w:bidi w:val="0"/>
              <w:rPr>
                <w:rFonts w:hint="default"/>
                <w:color w:val="auto"/>
                <w:highlight w:val="none"/>
              </w:rPr>
            </w:pPr>
            <w:r>
              <w:rPr>
                <w:rFonts w:hint="default"/>
                <w:color w:val="auto"/>
                <w:highlight w:val="none"/>
              </w:rPr>
              <w:t>斜井平硐</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4</w:t>
            </w:r>
          </w:p>
        </w:tc>
        <w:tc>
          <w:tcPr>
            <w:tcW w:w="1048" w:type="dxa"/>
            <w:noWrap w:val="0"/>
            <w:vAlign w:val="center"/>
          </w:tcPr>
          <w:p>
            <w:pPr>
              <w:pStyle w:val="22"/>
              <w:bidi w:val="0"/>
              <w:rPr>
                <w:rFonts w:hint="default"/>
                <w:color w:val="auto"/>
                <w:highlight w:val="none"/>
              </w:rPr>
            </w:pPr>
            <w:r>
              <w:rPr>
                <w:rFonts w:hint="default"/>
                <w:color w:val="auto"/>
                <w:highlight w:val="none"/>
              </w:rPr>
              <w:t>孔家沟煤矿</w:t>
            </w:r>
          </w:p>
        </w:tc>
        <w:tc>
          <w:tcPr>
            <w:tcW w:w="1014" w:type="dxa"/>
            <w:noWrap w:val="0"/>
            <w:vAlign w:val="center"/>
          </w:tcPr>
          <w:p>
            <w:pPr>
              <w:pStyle w:val="22"/>
              <w:bidi w:val="0"/>
              <w:rPr>
                <w:rFonts w:hint="default"/>
                <w:color w:val="auto"/>
                <w:highlight w:val="none"/>
              </w:rPr>
            </w:pPr>
            <w:r>
              <w:rPr>
                <w:rFonts w:hint="default"/>
                <w:color w:val="auto"/>
                <w:highlight w:val="none"/>
              </w:rPr>
              <w:t>斜井平硐</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5</w:t>
            </w:r>
          </w:p>
        </w:tc>
        <w:tc>
          <w:tcPr>
            <w:tcW w:w="1048" w:type="dxa"/>
            <w:noWrap w:val="0"/>
            <w:vAlign w:val="center"/>
          </w:tcPr>
          <w:p>
            <w:pPr>
              <w:pStyle w:val="22"/>
              <w:bidi w:val="0"/>
              <w:rPr>
                <w:rFonts w:hint="default"/>
                <w:color w:val="auto"/>
                <w:highlight w:val="none"/>
              </w:rPr>
            </w:pPr>
            <w:r>
              <w:rPr>
                <w:rFonts w:hint="default"/>
                <w:color w:val="auto"/>
                <w:highlight w:val="none"/>
              </w:rPr>
              <w:t>刘家沟联合煤矿</w:t>
            </w:r>
          </w:p>
        </w:tc>
        <w:tc>
          <w:tcPr>
            <w:tcW w:w="1014" w:type="dxa"/>
            <w:noWrap w:val="0"/>
            <w:vAlign w:val="center"/>
          </w:tcPr>
          <w:p>
            <w:pPr>
              <w:pStyle w:val="22"/>
              <w:bidi w:val="0"/>
              <w:rPr>
                <w:rFonts w:hint="default"/>
                <w:color w:val="auto"/>
                <w:highlight w:val="none"/>
              </w:rPr>
            </w:pPr>
            <w:r>
              <w:rPr>
                <w:rFonts w:hint="default"/>
                <w:color w:val="auto"/>
                <w:highlight w:val="none"/>
              </w:rPr>
              <w:t>平硐</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6</w:t>
            </w:r>
          </w:p>
        </w:tc>
        <w:tc>
          <w:tcPr>
            <w:tcW w:w="1048" w:type="dxa"/>
            <w:noWrap w:val="0"/>
            <w:vAlign w:val="center"/>
          </w:tcPr>
          <w:p>
            <w:pPr>
              <w:pStyle w:val="22"/>
              <w:bidi w:val="0"/>
              <w:rPr>
                <w:rFonts w:hint="default"/>
                <w:color w:val="auto"/>
                <w:highlight w:val="none"/>
              </w:rPr>
            </w:pPr>
            <w:r>
              <w:rPr>
                <w:rFonts w:hint="default"/>
                <w:color w:val="auto"/>
                <w:highlight w:val="none"/>
              </w:rPr>
              <w:t>牛郎沟煤矿</w:t>
            </w:r>
          </w:p>
        </w:tc>
        <w:tc>
          <w:tcPr>
            <w:tcW w:w="1014" w:type="dxa"/>
            <w:noWrap w:val="0"/>
            <w:vAlign w:val="center"/>
          </w:tcPr>
          <w:p>
            <w:pPr>
              <w:pStyle w:val="22"/>
              <w:bidi w:val="0"/>
              <w:rPr>
                <w:rFonts w:hint="default"/>
                <w:color w:val="auto"/>
                <w:highlight w:val="none"/>
              </w:rPr>
            </w:pPr>
            <w:r>
              <w:rPr>
                <w:rFonts w:hint="default"/>
                <w:color w:val="auto"/>
                <w:highlight w:val="none"/>
              </w:rPr>
              <w:t>平硐斜井</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7</w:t>
            </w:r>
          </w:p>
        </w:tc>
        <w:tc>
          <w:tcPr>
            <w:tcW w:w="1048" w:type="dxa"/>
            <w:noWrap w:val="0"/>
            <w:vAlign w:val="center"/>
          </w:tcPr>
          <w:p>
            <w:pPr>
              <w:pStyle w:val="22"/>
              <w:bidi w:val="0"/>
              <w:rPr>
                <w:rFonts w:hint="default"/>
                <w:color w:val="auto"/>
                <w:highlight w:val="none"/>
              </w:rPr>
            </w:pPr>
            <w:r>
              <w:rPr>
                <w:rFonts w:hint="default"/>
                <w:color w:val="auto"/>
                <w:highlight w:val="none"/>
              </w:rPr>
              <w:t>平桥煤矿</w:t>
            </w:r>
          </w:p>
        </w:tc>
        <w:tc>
          <w:tcPr>
            <w:tcW w:w="1014" w:type="dxa"/>
            <w:noWrap w:val="0"/>
            <w:vAlign w:val="center"/>
          </w:tcPr>
          <w:p>
            <w:pPr>
              <w:pStyle w:val="22"/>
              <w:bidi w:val="0"/>
              <w:rPr>
                <w:rFonts w:hint="default"/>
                <w:color w:val="auto"/>
                <w:highlight w:val="none"/>
              </w:rPr>
            </w:pPr>
            <w:r>
              <w:rPr>
                <w:rFonts w:hint="default"/>
                <w:color w:val="auto"/>
                <w:highlight w:val="none"/>
              </w:rPr>
              <w:t>斜井平硐</w:t>
            </w:r>
          </w:p>
        </w:tc>
        <w:tc>
          <w:tcPr>
            <w:tcW w:w="1015" w:type="dxa"/>
            <w:noWrap w:val="0"/>
            <w:vAlign w:val="center"/>
          </w:tcPr>
          <w:p>
            <w:pPr>
              <w:pStyle w:val="22"/>
              <w:bidi w:val="0"/>
              <w:rPr>
                <w:rFonts w:hint="default"/>
                <w:color w:val="auto"/>
                <w:highlight w:val="none"/>
              </w:rPr>
            </w:pPr>
            <w:r>
              <w:rPr>
                <w:rFonts w:hint="default"/>
                <w:color w:val="auto"/>
                <w:highlight w:val="none"/>
              </w:rPr>
              <w:t>30</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545.5</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181.8</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9.1</w:t>
            </w:r>
          </w:p>
        </w:tc>
        <w:tc>
          <w:tcPr>
            <w:tcW w:w="1539" w:type="dxa"/>
            <w:noWrap w:val="0"/>
            <w:vAlign w:val="center"/>
          </w:tcPr>
          <w:p>
            <w:pPr>
              <w:pStyle w:val="22"/>
              <w:bidi w:val="0"/>
              <w:rPr>
                <w:rFonts w:hint="default"/>
                <w:color w:val="auto"/>
                <w:highlight w:val="none"/>
              </w:rPr>
            </w:pPr>
            <w:r>
              <w:rPr>
                <w:rFonts w:hint="default"/>
                <w:color w:val="auto"/>
                <w:highlight w:val="none"/>
              </w:rPr>
              <w:t>736.4</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013" w:type="dxa"/>
            <w:noWrap w:val="0"/>
            <w:vAlign w:val="center"/>
          </w:tcPr>
          <w:p>
            <w:pPr>
              <w:pStyle w:val="22"/>
              <w:bidi w:val="0"/>
              <w:rPr>
                <w:rFonts w:hint="default"/>
                <w:color w:val="auto"/>
                <w:highlight w:val="none"/>
              </w:rPr>
            </w:pPr>
            <w:r>
              <w:rPr>
                <w:rFonts w:hint="default"/>
                <w:color w:val="auto"/>
                <w:highlight w:val="none"/>
              </w:rPr>
              <w:t>8</w:t>
            </w:r>
          </w:p>
        </w:tc>
        <w:tc>
          <w:tcPr>
            <w:tcW w:w="1048" w:type="dxa"/>
            <w:noWrap w:val="0"/>
            <w:vAlign w:val="center"/>
          </w:tcPr>
          <w:p>
            <w:pPr>
              <w:pStyle w:val="22"/>
              <w:bidi w:val="0"/>
              <w:rPr>
                <w:rFonts w:hint="default"/>
                <w:color w:val="auto"/>
                <w:highlight w:val="none"/>
              </w:rPr>
            </w:pPr>
            <w:r>
              <w:rPr>
                <w:rFonts w:hint="default"/>
                <w:color w:val="auto"/>
                <w:highlight w:val="none"/>
              </w:rPr>
              <w:t>观音煤矿</w:t>
            </w:r>
          </w:p>
        </w:tc>
        <w:tc>
          <w:tcPr>
            <w:tcW w:w="1014" w:type="dxa"/>
            <w:noWrap w:val="0"/>
            <w:vAlign w:val="center"/>
          </w:tcPr>
          <w:p>
            <w:pPr>
              <w:pStyle w:val="22"/>
              <w:bidi w:val="0"/>
              <w:rPr>
                <w:rFonts w:hint="default"/>
                <w:color w:val="auto"/>
                <w:highlight w:val="none"/>
              </w:rPr>
            </w:pPr>
            <w:r>
              <w:rPr>
                <w:rFonts w:hint="default"/>
                <w:color w:val="auto"/>
                <w:highlight w:val="none"/>
              </w:rPr>
              <w:t>平硐</w:t>
            </w:r>
          </w:p>
        </w:tc>
        <w:tc>
          <w:tcPr>
            <w:tcW w:w="1015" w:type="dxa"/>
            <w:noWrap w:val="0"/>
            <w:vAlign w:val="center"/>
          </w:tcPr>
          <w:p>
            <w:pPr>
              <w:pStyle w:val="22"/>
              <w:bidi w:val="0"/>
              <w:rPr>
                <w:rFonts w:hint="default"/>
                <w:color w:val="auto"/>
                <w:highlight w:val="none"/>
              </w:rPr>
            </w:pPr>
            <w:r>
              <w:rPr>
                <w:rFonts w:hint="default"/>
                <w:color w:val="auto"/>
                <w:highlight w:val="none"/>
              </w:rPr>
              <w:t>15</w:t>
            </w:r>
          </w:p>
        </w:tc>
        <w:tc>
          <w:tcPr>
            <w:tcW w:w="1039" w:type="dxa"/>
            <w:noWrap w:val="0"/>
            <w:vAlign w:val="center"/>
          </w:tcPr>
          <w:p>
            <w:pPr>
              <w:pStyle w:val="22"/>
              <w:bidi w:val="0"/>
              <w:rPr>
                <w:rFonts w:hint="default"/>
                <w:color w:val="auto"/>
                <w:highlight w:val="none"/>
              </w:rPr>
            </w:pPr>
            <w:r>
              <w:rPr>
                <w:rFonts w:hint="default"/>
                <w:color w:val="auto"/>
                <w:highlight w:val="none"/>
              </w:rPr>
              <w:t>0.6</w:t>
            </w:r>
          </w:p>
        </w:tc>
        <w:tc>
          <w:tcPr>
            <w:tcW w:w="1153" w:type="dxa"/>
            <w:noWrap w:val="0"/>
            <w:vAlign w:val="center"/>
          </w:tcPr>
          <w:p>
            <w:pPr>
              <w:pStyle w:val="22"/>
              <w:bidi w:val="0"/>
              <w:rPr>
                <w:rFonts w:hint="default"/>
                <w:color w:val="auto"/>
                <w:highlight w:val="none"/>
              </w:rPr>
            </w:pPr>
            <w:r>
              <w:rPr>
                <w:rFonts w:hint="default"/>
                <w:color w:val="auto"/>
                <w:highlight w:val="none"/>
              </w:rPr>
              <w:t>272.7</w:t>
            </w:r>
          </w:p>
        </w:tc>
        <w:tc>
          <w:tcPr>
            <w:tcW w:w="1039" w:type="dxa"/>
            <w:noWrap w:val="0"/>
            <w:vAlign w:val="center"/>
          </w:tcPr>
          <w:p>
            <w:pPr>
              <w:pStyle w:val="22"/>
              <w:bidi w:val="0"/>
              <w:rPr>
                <w:rFonts w:hint="default"/>
                <w:color w:val="auto"/>
                <w:highlight w:val="none"/>
              </w:rPr>
            </w:pPr>
            <w:r>
              <w:rPr>
                <w:rFonts w:hint="default"/>
                <w:color w:val="auto"/>
                <w:highlight w:val="none"/>
              </w:rPr>
              <w:t>0.2</w:t>
            </w:r>
          </w:p>
        </w:tc>
        <w:tc>
          <w:tcPr>
            <w:tcW w:w="1628" w:type="dxa"/>
            <w:noWrap w:val="0"/>
            <w:vAlign w:val="center"/>
          </w:tcPr>
          <w:p>
            <w:pPr>
              <w:pStyle w:val="22"/>
              <w:bidi w:val="0"/>
              <w:rPr>
                <w:rFonts w:hint="default"/>
                <w:color w:val="auto"/>
                <w:highlight w:val="none"/>
              </w:rPr>
            </w:pPr>
            <w:r>
              <w:rPr>
                <w:rFonts w:hint="default"/>
                <w:color w:val="auto"/>
                <w:highlight w:val="none"/>
              </w:rPr>
              <w:t>90.9</w:t>
            </w:r>
          </w:p>
        </w:tc>
        <w:tc>
          <w:tcPr>
            <w:tcW w:w="1047" w:type="dxa"/>
            <w:noWrap w:val="0"/>
            <w:vAlign w:val="center"/>
          </w:tcPr>
          <w:p>
            <w:pPr>
              <w:pStyle w:val="22"/>
              <w:bidi w:val="0"/>
              <w:rPr>
                <w:rFonts w:hint="default"/>
                <w:color w:val="auto"/>
                <w:highlight w:val="none"/>
              </w:rPr>
            </w:pPr>
            <w:r>
              <w:rPr>
                <w:rFonts w:hint="default"/>
                <w:color w:val="auto"/>
                <w:highlight w:val="none"/>
              </w:rPr>
              <w:t>0.01</w:t>
            </w:r>
          </w:p>
        </w:tc>
        <w:tc>
          <w:tcPr>
            <w:tcW w:w="1443" w:type="dxa"/>
            <w:noWrap w:val="0"/>
            <w:vAlign w:val="center"/>
          </w:tcPr>
          <w:p>
            <w:pPr>
              <w:pStyle w:val="22"/>
              <w:bidi w:val="0"/>
              <w:rPr>
                <w:rFonts w:hint="default"/>
                <w:color w:val="auto"/>
                <w:highlight w:val="none"/>
              </w:rPr>
            </w:pPr>
            <w:r>
              <w:rPr>
                <w:rFonts w:hint="default"/>
                <w:color w:val="auto"/>
                <w:highlight w:val="none"/>
              </w:rPr>
              <w:t>4.5</w:t>
            </w:r>
          </w:p>
        </w:tc>
        <w:tc>
          <w:tcPr>
            <w:tcW w:w="1539" w:type="dxa"/>
            <w:noWrap w:val="0"/>
            <w:vAlign w:val="center"/>
          </w:tcPr>
          <w:p>
            <w:pPr>
              <w:pStyle w:val="22"/>
              <w:bidi w:val="0"/>
              <w:rPr>
                <w:rFonts w:hint="default"/>
                <w:color w:val="auto"/>
                <w:highlight w:val="none"/>
              </w:rPr>
            </w:pPr>
            <w:r>
              <w:rPr>
                <w:rFonts w:hint="default"/>
                <w:color w:val="auto"/>
                <w:highlight w:val="none"/>
              </w:rPr>
              <w:t>368.1</w:t>
            </w:r>
          </w:p>
        </w:tc>
        <w:tc>
          <w:tcPr>
            <w:tcW w:w="1049" w:type="dxa"/>
            <w:noWrap w:val="0"/>
            <w:vAlign w:val="center"/>
          </w:tcPr>
          <w:p>
            <w:pPr>
              <w:pStyle w:val="22"/>
              <w:bidi w:val="0"/>
              <w:rPr>
                <w:rFonts w:hint="default"/>
                <w:color w:val="auto"/>
                <w:highlight w:val="none"/>
              </w:rPr>
            </w:pPr>
            <w:r>
              <w:rPr>
                <w:rFonts w:hint="default"/>
                <w:color w:val="auto"/>
                <w:highlight w:val="none"/>
              </w:rPr>
              <w:t>山泉水、地下水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013" w:type="dxa"/>
            <w:noWrap w:val="0"/>
            <w:vAlign w:val="center"/>
          </w:tcPr>
          <w:p>
            <w:pPr>
              <w:pStyle w:val="22"/>
              <w:bidi w:val="0"/>
              <w:rPr>
                <w:rFonts w:hint="default"/>
                <w:color w:val="auto"/>
                <w:highlight w:val="none"/>
              </w:rPr>
            </w:pPr>
          </w:p>
        </w:tc>
        <w:tc>
          <w:tcPr>
            <w:tcW w:w="1048" w:type="dxa"/>
            <w:noWrap w:val="0"/>
            <w:vAlign w:val="center"/>
          </w:tcPr>
          <w:p>
            <w:pPr>
              <w:pStyle w:val="22"/>
              <w:bidi w:val="0"/>
              <w:rPr>
                <w:rFonts w:hint="default"/>
                <w:color w:val="auto"/>
                <w:highlight w:val="none"/>
              </w:rPr>
            </w:pPr>
            <w:r>
              <w:rPr>
                <w:rFonts w:hint="default"/>
                <w:color w:val="auto"/>
                <w:highlight w:val="none"/>
              </w:rPr>
              <w:t>小计</w:t>
            </w:r>
          </w:p>
        </w:tc>
        <w:tc>
          <w:tcPr>
            <w:tcW w:w="1014" w:type="dxa"/>
            <w:noWrap w:val="0"/>
            <w:vAlign w:val="center"/>
          </w:tcPr>
          <w:p>
            <w:pPr>
              <w:pStyle w:val="22"/>
              <w:bidi w:val="0"/>
              <w:rPr>
                <w:rFonts w:hint="default"/>
                <w:color w:val="auto"/>
                <w:highlight w:val="none"/>
              </w:rPr>
            </w:pPr>
          </w:p>
        </w:tc>
        <w:tc>
          <w:tcPr>
            <w:tcW w:w="1015"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153" w:type="dxa"/>
            <w:noWrap w:val="0"/>
            <w:vAlign w:val="center"/>
          </w:tcPr>
          <w:p>
            <w:pPr>
              <w:pStyle w:val="22"/>
              <w:bidi w:val="0"/>
              <w:rPr>
                <w:rFonts w:hint="default"/>
                <w:color w:val="auto"/>
                <w:highlight w:val="none"/>
              </w:rPr>
            </w:pPr>
            <w:r>
              <w:rPr>
                <w:rFonts w:hint="default"/>
                <w:color w:val="auto"/>
                <w:highlight w:val="none"/>
              </w:rPr>
              <w:t>4091.2</w:t>
            </w:r>
          </w:p>
        </w:tc>
        <w:tc>
          <w:tcPr>
            <w:tcW w:w="1039" w:type="dxa"/>
            <w:noWrap w:val="0"/>
            <w:vAlign w:val="center"/>
          </w:tcPr>
          <w:p>
            <w:pPr>
              <w:pStyle w:val="22"/>
              <w:bidi w:val="0"/>
              <w:rPr>
                <w:rFonts w:hint="default"/>
                <w:color w:val="auto"/>
                <w:highlight w:val="none"/>
              </w:rPr>
            </w:pPr>
          </w:p>
        </w:tc>
        <w:tc>
          <w:tcPr>
            <w:tcW w:w="1628" w:type="dxa"/>
            <w:noWrap w:val="0"/>
            <w:vAlign w:val="center"/>
          </w:tcPr>
          <w:p>
            <w:pPr>
              <w:pStyle w:val="22"/>
              <w:bidi w:val="0"/>
              <w:rPr>
                <w:rFonts w:hint="default"/>
                <w:color w:val="auto"/>
                <w:highlight w:val="none"/>
              </w:rPr>
            </w:pPr>
            <w:r>
              <w:rPr>
                <w:rFonts w:hint="default"/>
                <w:color w:val="auto"/>
                <w:highlight w:val="none"/>
              </w:rPr>
              <w:t>1363.5</w:t>
            </w:r>
          </w:p>
        </w:tc>
        <w:tc>
          <w:tcPr>
            <w:tcW w:w="1047" w:type="dxa"/>
            <w:noWrap w:val="0"/>
            <w:vAlign w:val="center"/>
          </w:tcPr>
          <w:p>
            <w:pPr>
              <w:pStyle w:val="22"/>
              <w:bidi w:val="0"/>
              <w:rPr>
                <w:rFonts w:hint="default"/>
                <w:color w:val="auto"/>
                <w:highlight w:val="none"/>
              </w:rPr>
            </w:pPr>
          </w:p>
        </w:tc>
        <w:tc>
          <w:tcPr>
            <w:tcW w:w="1443" w:type="dxa"/>
            <w:noWrap w:val="0"/>
            <w:vAlign w:val="center"/>
          </w:tcPr>
          <w:p>
            <w:pPr>
              <w:pStyle w:val="22"/>
              <w:bidi w:val="0"/>
              <w:rPr>
                <w:rFonts w:hint="default"/>
                <w:color w:val="auto"/>
                <w:highlight w:val="none"/>
              </w:rPr>
            </w:pPr>
            <w:r>
              <w:rPr>
                <w:rFonts w:hint="default"/>
                <w:color w:val="auto"/>
                <w:highlight w:val="none"/>
              </w:rPr>
              <w:t>68.2</w:t>
            </w:r>
          </w:p>
        </w:tc>
        <w:tc>
          <w:tcPr>
            <w:tcW w:w="1539" w:type="dxa"/>
            <w:noWrap w:val="0"/>
            <w:vAlign w:val="center"/>
          </w:tcPr>
          <w:p>
            <w:pPr>
              <w:pStyle w:val="22"/>
              <w:bidi w:val="0"/>
              <w:rPr>
                <w:rFonts w:hint="default"/>
                <w:color w:val="auto"/>
                <w:highlight w:val="none"/>
              </w:rPr>
            </w:pPr>
            <w:r>
              <w:rPr>
                <w:rFonts w:hint="default"/>
                <w:color w:val="auto"/>
                <w:highlight w:val="none"/>
              </w:rPr>
              <w:t>5522.9</w:t>
            </w:r>
          </w:p>
        </w:tc>
        <w:tc>
          <w:tcPr>
            <w:tcW w:w="1049" w:type="dxa"/>
            <w:noWrap w:val="0"/>
            <w:vAlign w:val="center"/>
          </w:tcPr>
          <w:p>
            <w:pPr>
              <w:pStyle w:val="22"/>
              <w:bidi w:val="0"/>
              <w:rPr>
                <w:rFonts w:hint="default"/>
                <w:color w:val="auto"/>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013" w:type="dxa"/>
            <w:noWrap w:val="0"/>
            <w:vAlign w:val="center"/>
          </w:tcPr>
          <w:p>
            <w:pPr>
              <w:pStyle w:val="22"/>
              <w:bidi w:val="0"/>
              <w:rPr>
                <w:rFonts w:hint="default"/>
                <w:color w:val="auto"/>
                <w:highlight w:val="none"/>
              </w:rPr>
            </w:pPr>
          </w:p>
        </w:tc>
        <w:tc>
          <w:tcPr>
            <w:tcW w:w="1048" w:type="dxa"/>
            <w:noWrap w:val="0"/>
            <w:vAlign w:val="center"/>
          </w:tcPr>
          <w:p>
            <w:pPr>
              <w:pStyle w:val="22"/>
              <w:bidi w:val="0"/>
              <w:rPr>
                <w:rFonts w:hint="default"/>
                <w:color w:val="auto"/>
                <w:highlight w:val="none"/>
              </w:rPr>
            </w:pPr>
            <w:r>
              <w:rPr>
                <w:rFonts w:hint="default"/>
                <w:color w:val="auto"/>
                <w:highlight w:val="none"/>
              </w:rPr>
              <w:t>合计</w:t>
            </w:r>
          </w:p>
        </w:tc>
        <w:tc>
          <w:tcPr>
            <w:tcW w:w="1014" w:type="dxa"/>
            <w:noWrap w:val="0"/>
            <w:vAlign w:val="center"/>
          </w:tcPr>
          <w:p>
            <w:pPr>
              <w:pStyle w:val="22"/>
              <w:bidi w:val="0"/>
              <w:rPr>
                <w:rFonts w:hint="default"/>
                <w:color w:val="auto"/>
                <w:highlight w:val="none"/>
              </w:rPr>
            </w:pPr>
          </w:p>
        </w:tc>
        <w:tc>
          <w:tcPr>
            <w:tcW w:w="1015" w:type="dxa"/>
            <w:noWrap w:val="0"/>
            <w:vAlign w:val="center"/>
          </w:tcPr>
          <w:p>
            <w:pPr>
              <w:pStyle w:val="22"/>
              <w:bidi w:val="0"/>
              <w:rPr>
                <w:rFonts w:hint="default"/>
                <w:color w:val="auto"/>
                <w:highlight w:val="none"/>
              </w:rPr>
            </w:pPr>
          </w:p>
        </w:tc>
        <w:tc>
          <w:tcPr>
            <w:tcW w:w="1039" w:type="dxa"/>
            <w:noWrap w:val="0"/>
            <w:vAlign w:val="center"/>
          </w:tcPr>
          <w:p>
            <w:pPr>
              <w:pStyle w:val="22"/>
              <w:bidi w:val="0"/>
              <w:rPr>
                <w:rFonts w:hint="default"/>
                <w:color w:val="auto"/>
                <w:highlight w:val="none"/>
              </w:rPr>
            </w:pPr>
          </w:p>
        </w:tc>
        <w:tc>
          <w:tcPr>
            <w:tcW w:w="1153" w:type="dxa"/>
            <w:noWrap w:val="0"/>
            <w:vAlign w:val="center"/>
          </w:tcPr>
          <w:p>
            <w:pPr>
              <w:pStyle w:val="22"/>
              <w:bidi w:val="0"/>
              <w:rPr>
                <w:rFonts w:hint="default"/>
                <w:color w:val="auto"/>
                <w:highlight w:val="none"/>
              </w:rPr>
            </w:pPr>
            <w:r>
              <w:rPr>
                <w:rFonts w:hint="default"/>
                <w:color w:val="auto"/>
                <w:highlight w:val="none"/>
              </w:rPr>
              <w:t>7091.3</w:t>
            </w:r>
          </w:p>
        </w:tc>
        <w:tc>
          <w:tcPr>
            <w:tcW w:w="1039" w:type="dxa"/>
            <w:noWrap w:val="0"/>
            <w:vAlign w:val="center"/>
          </w:tcPr>
          <w:p>
            <w:pPr>
              <w:pStyle w:val="22"/>
              <w:bidi w:val="0"/>
              <w:rPr>
                <w:rFonts w:hint="default"/>
                <w:color w:val="auto"/>
                <w:highlight w:val="none"/>
              </w:rPr>
            </w:pPr>
            <w:r>
              <w:rPr>
                <w:rFonts w:hint="default"/>
                <w:color w:val="auto"/>
                <w:highlight w:val="none"/>
              </w:rPr>
              <w:t>0.0</w:t>
            </w:r>
          </w:p>
        </w:tc>
        <w:tc>
          <w:tcPr>
            <w:tcW w:w="1628" w:type="dxa"/>
            <w:noWrap w:val="0"/>
            <w:vAlign w:val="center"/>
          </w:tcPr>
          <w:p>
            <w:pPr>
              <w:pStyle w:val="22"/>
              <w:bidi w:val="0"/>
              <w:rPr>
                <w:rFonts w:hint="default"/>
                <w:color w:val="auto"/>
                <w:highlight w:val="none"/>
              </w:rPr>
            </w:pPr>
            <w:r>
              <w:rPr>
                <w:rFonts w:hint="default"/>
                <w:color w:val="auto"/>
                <w:highlight w:val="none"/>
              </w:rPr>
              <w:t>2363.4</w:t>
            </w:r>
          </w:p>
        </w:tc>
        <w:tc>
          <w:tcPr>
            <w:tcW w:w="1047" w:type="dxa"/>
            <w:noWrap w:val="0"/>
            <w:vAlign w:val="center"/>
          </w:tcPr>
          <w:p>
            <w:pPr>
              <w:pStyle w:val="22"/>
              <w:bidi w:val="0"/>
              <w:rPr>
                <w:rFonts w:hint="default"/>
                <w:color w:val="auto"/>
                <w:highlight w:val="none"/>
              </w:rPr>
            </w:pPr>
            <w:r>
              <w:rPr>
                <w:rFonts w:hint="default"/>
                <w:color w:val="auto"/>
                <w:highlight w:val="none"/>
              </w:rPr>
              <w:t>0.00</w:t>
            </w:r>
          </w:p>
        </w:tc>
        <w:tc>
          <w:tcPr>
            <w:tcW w:w="1443" w:type="dxa"/>
            <w:noWrap w:val="0"/>
            <w:vAlign w:val="center"/>
          </w:tcPr>
          <w:p>
            <w:pPr>
              <w:pStyle w:val="22"/>
              <w:bidi w:val="0"/>
              <w:rPr>
                <w:rFonts w:hint="default"/>
                <w:color w:val="auto"/>
                <w:highlight w:val="none"/>
              </w:rPr>
            </w:pPr>
            <w:r>
              <w:rPr>
                <w:rFonts w:hint="default"/>
                <w:color w:val="auto"/>
                <w:highlight w:val="none"/>
              </w:rPr>
              <w:t>118.1</w:t>
            </w:r>
          </w:p>
        </w:tc>
        <w:tc>
          <w:tcPr>
            <w:tcW w:w="1539" w:type="dxa"/>
            <w:noWrap w:val="0"/>
            <w:vAlign w:val="center"/>
          </w:tcPr>
          <w:p>
            <w:pPr>
              <w:pStyle w:val="22"/>
              <w:bidi w:val="0"/>
              <w:rPr>
                <w:rFonts w:hint="default"/>
                <w:color w:val="auto"/>
                <w:highlight w:val="none"/>
              </w:rPr>
            </w:pPr>
            <w:r>
              <w:rPr>
                <w:rFonts w:hint="default"/>
                <w:color w:val="auto"/>
                <w:highlight w:val="none"/>
              </w:rPr>
              <w:t>9572.8</w:t>
            </w:r>
          </w:p>
        </w:tc>
        <w:tc>
          <w:tcPr>
            <w:tcW w:w="1049" w:type="dxa"/>
            <w:noWrap w:val="0"/>
            <w:vAlign w:val="center"/>
          </w:tcPr>
          <w:p>
            <w:pPr>
              <w:pStyle w:val="22"/>
              <w:bidi w:val="0"/>
              <w:rPr>
                <w:rFonts w:hint="default"/>
                <w:color w:val="auto"/>
                <w:highlight w:val="none"/>
              </w:rPr>
            </w:pPr>
          </w:p>
        </w:tc>
      </w:tr>
    </w:tbl>
    <w:p>
      <w:pPr>
        <w:pStyle w:val="16"/>
        <w:adjustRightInd w:val="0"/>
        <w:snapToGrid w:val="0"/>
        <w:spacing w:before="0" w:beforeAutospacing="0" w:after="0" w:afterAutospacing="0" w:line="360" w:lineRule="auto"/>
        <w:jc w:val="both"/>
        <w:rPr>
          <w:rFonts w:hint="default" w:ascii="Times New Roman" w:hAnsi="Times New Roman" w:cs="Times New Roman"/>
          <w:color w:val="auto"/>
          <w:sz w:val="24"/>
          <w:szCs w:val="24"/>
          <w:highlight w:val="none"/>
        </w:rPr>
      </w:pP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7"/>
        <w:bidi w:val="0"/>
        <w:rPr>
          <w:rFonts w:hint="default"/>
          <w:color w:val="auto"/>
          <w:highlight w:val="none"/>
          <w:lang w:val="en-US" w:eastAsia="zh-CN"/>
        </w:rPr>
      </w:pPr>
      <w:r>
        <w:rPr>
          <w:rFonts w:hint="default"/>
          <w:color w:val="auto"/>
          <w:highlight w:val="none"/>
          <w:lang w:val="en-US" w:eastAsia="zh-CN"/>
        </w:rPr>
        <w:t>2.1.11.2 排水规划</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矿井排水采取分流制排放，对不同的污废水做相应的处理达到排放要求后，进行排放或重复利用。煤矿污、废水排放特征见表</w:t>
      </w:r>
      <w:r>
        <w:rPr>
          <w:rFonts w:hint="default" w:ascii="Times New Roman" w:hAnsi="Times New Roman" w:cs="Times New Roman"/>
          <w:color w:val="auto"/>
          <w:sz w:val="24"/>
          <w:szCs w:val="24"/>
          <w:highlight w:val="none"/>
          <w:lang w:val="en-US" w:eastAsia="zh-CN"/>
        </w:rPr>
        <w:t>2.1.11</w:t>
      </w:r>
      <w:r>
        <w:rPr>
          <w:rFonts w:hint="default" w:ascii="Times New Roman" w:hAnsi="Times New Roman" w:cs="Times New Roman"/>
          <w:color w:val="auto"/>
          <w:sz w:val="24"/>
          <w:szCs w:val="24"/>
          <w:highlight w:val="none"/>
        </w:rPr>
        <w:t>-2。</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2.1.11</w:t>
      </w:r>
      <w:r>
        <w:rPr>
          <w:rFonts w:hint="default"/>
          <w:color w:val="auto"/>
          <w:highlight w:val="none"/>
        </w:rPr>
        <w:t>-2              污、废水排放特征表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72"/>
        <w:gridCol w:w="2901"/>
        <w:gridCol w:w="2264"/>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noWrap w:val="0"/>
            <w:vAlign w:val="center"/>
          </w:tcPr>
          <w:p>
            <w:pPr>
              <w:pStyle w:val="22"/>
              <w:bidi w:val="0"/>
              <w:rPr>
                <w:rFonts w:hint="default"/>
                <w:color w:val="auto"/>
                <w:highlight w:val="none"/>
              </w:rPr>
            </w:pPr>
            <w:r>
              <w:rPr>
                <w:rFonts w:hint="default"/>
                <w:color w:val="auto"/>
                <w:highlight w:val="none"/>
              </w:rPr>
              <w:t>序号</w:t>
            </w:r>
          </w:p>
        </w:tc>
        <w:tc>
          <w:tcPr>
            <w:tcW w:w="1272" w:type="dxa"/>
            <w:noWrap w:val="0"/>
            <w:vAlign w:val="center"/>
          </w:tcPr>
          <w:p>
            <w:pPr>
              <w:pStyle w:val="22"/>
              <w:bidi w:val="0"/>
              <w:rPr>
                <w:rFonts w:hint="default"/>
                <w:color w:val="auto"/>
                <w:highlight w:val="none"/>
              </w:rPr>
            </w:pPr>
            <w:r>
              <w:rPr>
                <w:rFonts w:hint="default"/>
                <w:color w:val="auto"/>
                <w:highlight w:val="none"/>
              </w:rPr>
              <w:t>排水项目</w:t>
            </w:r>
          </w:p>
        </w:tc>
        <w:tc>
          <w:tcPr>
            <w:tcW w:w="2901" w:type="dxa"/>
            <w:noWrap w:val="0"/>
            <w:vAlign w:val="center"/>
          </w:tcPr>
          <w:p>
            <w:pPr>
              <w:pStyle w:val="22"/>
              <w:bidi w:val="0"/>
              <w:rPr>
                <w:rFonts w:hint="default"/>
                <w:color w:val="auto"/>
                <w:highlight w:val="none"/>
              </w:rPr>
            </w:pPr>
            <w:r>
              <w:rPr>
                <w:rFonts w:hint="default"/>
                <w:color w:val="auto"/>
                <w:highlight w:val="none"/>
              </w:rPr>
              <w:t>污染特征</w:t>
            </w:r>
          </w:p>
        </w:tc>
        <w:tc>
          <w:tcPr>
            <w:tcW w:w="2264" w:type="dxa"/>
            <w:noWrap w:val="0"/>
            <w:vAlign w:val="center"/>
          </w:tcPr>
          <w:p>
            <w:pPr>
              <w:pStyle w:val="22"/>
              <w:bidi w:val="0"/>
              <w:rPr>
                <w:rFonts w:hint="default"/>
                <w:color w:val="auto"/>
                <w:highlight w:val="none"/>
              </w:rPr>
            </w:pPr>
            <w:r>
              <w:rPr>
                <w:rFonts w:hint="default"/>
                <w:color w:val="auto"/>
                <w:highlight w:val="none"/>
              </w:rPr>
              <w:t>处理工艺及去向</w:t>
            </w:r>
          </w:p>
        </w:tc>
        <w:tc>
          <w:tcPr>
            <w:tcW w:w="1345" w:type="dxa"/>
            <w:noWrap w:val="0"/>
            <w:vAlign w:val="center"/>
          </w:tcPr>
          <w:p>
            <w:pPr>
              <w:pStyle w:val="22"/>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655" w:type="dxa"/>
            <w:noWrap w:val="0"/>
            <w:vAlign w:val="center"/>
          </w:tcPr>
          <w:p>
            <w:pPr>
              <w:pStyle w:val="22"/>
              <w:bidi w:val="0"/>
              <w:rPr>
                <w:rFonts w:hint="default"/>
                <w:color w:val="auto"/>
                <w:highlight w:val="none"/>
              </w:rPr>
            </w:pPr>
            <w:r>
              <w:rPr>
                <w:rFonts w:hint="default"/>
                <w:color w:val="auto"/>
                <w:highlight w:val="none"/>
              </w:rPr>
              <w:t>1</w:t>
            </w:r>
          </w:p>
        </w:tc>
        <w:tc>
          <w:tcPr>
            <w:tcW w:w="1272" w:type="dxa"/>
            <w:noWrap w:val="0"/>
            <w:vAlign w:val="center"/>
          </w:tcPr>
          <w:p>
            <w:pPr>
              <w:pStyle w:val="22"/>
              <w:bidi w:val="0"/>
              <w:rPr>
                <w:rFonts w:hint="default"/>
                <w:color w:val="auto"/>
                <w:highlight w:val="none"/>
              </w:rPr>
            </w:pPr>
            <w:r>
              <w:rPr>
                <w:rFonts w:hint="default"/>
                <w:color w:val="auto"/>
                <w:highlight w:val="none"/>
              </w:rPr>
              <w:t>井下排水</w:t>
            </w:r>
          </w:p>
        </w:tc>
        <w:tc>
          <w:tcPr>
            <w:tcW w:w="2901" w:type="dxa"/>
            <w:noWrap w:val="0"/>
            <w:vAlign w:val="center"/>
          </w:tcPr>
          <w:p>
            <w:pPr>
              <w:pStyle w:val="22"/>
              <w:bidi w:val="0"/>
              <w:rPr>
                <w:rFonts w:hint="default"/>
                <w:color w:val="auto"/>
                <w:highlight w:val="none"/>
              </w:rPr>
            </w:pPr>
            <w:r>
              <w:rPr>
                <w:rFonts w:hint="default"/>
                <w:color w:val="auto"/>
                <w:highlight w:val="none"/>
              </w:rPr>
              <w:t xml:space="preserve">SS：600～3000mg/L ，CODcr：100～400mg/L，PH＝7.5～8.5 </w:t>
            </w:r>
          </w:p>
        </w:tc>
        <w:tc>
          <w:tcPr>
            <w:tcW w:w="2264" w:type="dxa"/>
            <w:noWrap w:val="0"/>
            <w:vAlign w:val="center"/>
          </w:tcPr>
          <w:p>
            <w:pPr>
              <w:pStyle w:val="22"/>
              <w:bidi w:val="0"/>
              <w:rPr>
                <w:rFonts w:hint="default"/>
                <w:color w:val="auto"/>
                <w:highlight w:val="none"/>
              </w:rPr>
            </w:pPr>
            <w:r>
              <w:rPr>
                <w:rFonts w:hint="default"/>
                <w:color w:val="auto"/>
                <w:highlight w:val="none"/>
              </w:rPr>
              <w:t>混凝沉淀、过滤消毒；生产、消防用水；绿化用水</w:t>
            </w:r>
          </w:p>
        </w:tc>
        <w:tc>
          <w:tcPr>
            <w:tcW w:w="1345" w:type="dxa"/>
            <w:noWrap w:val="0"/>
            <w:vAlign w:val="center"/>
          </w:tcPr>
          <w:p>
            <w:pPr>
              <w:pStyle w:val="22"/>
              <w:bidi w:val="0"/>
              <w:rPr>
                <w:rFonts w:hint="default"/>
                <w:color w:val="auto"/>
                <w:highlight w:val="none"/>
              </w:rPr>
            </w:pPr>
            <w:r>
              <w:rPr>
                <w:rFonts w:hint="default"/>
                <w:color w:val="auto"/>
                <w:highlight w:val="none"/>
                <w:lang w:val="en-US" w:eastAsia="zh-CN"/>
              </w:rPr>
              <w:t>矿井</w:t>
            </w:r>
            <w:r>
              <w:rPr>
                <w:rFonts w:hint="default"/>
                <w:color w:val="auto"/>
                <w:highlight w:val="none"/>
              </w:rPr>
              <w:t>回用，</w:t>
            </w:r>
            <w:r>
              <w:rPr>
                <w:rFonts w:hint="default"/>
                <w:color w:val="auto"/>
                <w:highlight w:val="none"/>
                <w:lang w:val="en-US" w:eastAsia="zh-CN"/>
              </w:rPr>
              <w:t>剩余部分外排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55" w:type="dxa"/>
            <w:noWrap w:val="0"/>
            <w:vAlign w:val="center"/>
          </w:tcPr>
          <w:p>
            <w:pPr>
              <w:pStyle w:val="22"/>
              <w:bidi w:val="0"/>
              <w:rPr>
                <w:rFonts w:hint="default"/>
                <w:color w:val="auto"/>
                <w:highlight w:val="none"/>
              </w:rPr>
            </w:pPr>
            <w:r>
              <w:rPr>
                <w:rFonts w:hint="default"/>
                <w:color w:val="auto"/>
                <w:highlight w:val="none"/>
              </w:rPr>
              <w:t>2</w:t>
            </w:r>
          </w:p>
        </w:tc>
        <w:tc>
          <w:tcPr>
            <w:tcW w:w="1272" w:type="dxa"/>
            <w:noWrap w:val="0"/>
            <w:vAlign w:val="center"/>
          </w:tcPr>
          <w:p>
            <w:pPr>
              <w:pStyle w:val="22"/>
              <w:bidi w:val="0"/>
              <w:rPr>
                <w:rFonts w:hint="default"/>
                <w:color w:val="auto"/>
                <w:highlight w:val="none"/>
              </w:rPr>
            </w:pPr>
            <w:r>
              <w:rPr>
                <w:rFonts w:hint="default"/>
                <w:color w:val="auto"/>
                <w:highlight w:val="none"/>
              </w:rPr>
              <w:t>生活污水</w:t>
            </w:r>
          </w:p>
        </w:tc>
        <w:tc>
          <w:tcPr>
            <w:tcW w:w="2901" w:type="dxa"/>
            <w:noWrap w:val="0"/>
            <w:vAlign w:val="center"/>
          </w:tcPr>
          <w:p>
            <w:pPr>
              <w:pStyle w:val="22"/>
              <w:bidi w:val="0"/>
              <w:rPr>
                <w:rFonts w:hint="default"/>
                <w:color w:val="auto"/>
                <w:highlight w:val="none"/>
              </w:rPr>
            </w:pPr>
            <w:r>
              <w:rPr>
                <w:rFonts w:hint="default"/>
                <w:color w:val="auto"/>
                <w:highlight w:val="none"/>
              </w:rPr>
              <w:t>SS：120～200mg/L，BOD5：60～150mg/L， CODcr：100～300mg/L，NH3-N：15～20mg/L</w:t>
            </w:r>
          </w:p>
        </w:tc>
        <w:tc>
          <w:tcPr>
            <w:tcW w:w="2264" w:type="dxa"/>
            <w:noWrap w:val="0"/>
            <w:vAlign w:val="center"/>
          </w:tcPr>
          <w:p>
            <w:pPr>
              <w:pStyle w:val="22"/>
              <w:bidi w:val="0"/>
              <w:rPr>
                <w:rFonts w:hint="default"/>
                <w:color w:val="auto"/>
                <w:highlight w:val="none"/>
              </w:rPr>
            </w:pPr>
            <w:r>
              <w:rPr>
                <w:rFonts w:hint="default"/>
                <w:color w:val="auto"/>
                <w:highlight w:val="none"/>
                <w:lang w:val="en-US" w:eastAsia="zh-CN"/>
              </w:rPr>
              <w:t>生化处理后用于厂区绿化及周边林地灌溉</w:t>
            </w:r>
          </w:p>
        </w:tc>
        <w:tc>
          <w:tcPr>
            <w:tcW w:w="1345" w:type="dxa"/>
            <w:noWrap w:val="0"/>
            <w:vAlign w:val="center"/>
          </w:tcPr>
          <w:p>
            <w:pPr>
              <w:pStyle w:val="22"/>
              <w:bidi w:val="0"/>
              <w:rPr>
                <w:rFonts w:hint="default"/>
                <w:color w:val="auto"/>
                <w:highlight w:val="none"/>
              </w:rPr>
            </w:pPr>
            <w:r>
              <w:rPr>
                <w:rFonts w:hint="default"/>
                <w:color w:val="auto"/>
                <w:highlight w:val="none"/>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55" w:type="dxa"/>
            <w:noWrap w:val="0"/>
            <w:vAlign w:val="center"/>
          </w:tcPr>
          <w:p>
            <w:pPr>
              <w:pStyle w:val="22"/>
              <w:bidi w:val="0"/>
              <w:rPr>
                <w:rFonts w:hint="default"/>
                <w:color w:val="auto"/>
                <w:highlight w:val="none"/>
              </w:rPr>
            </w:pPr>
            <w:r>
              <w:rPr>
                <w:rFonts w:hint="default"/>
                <w:color w:val="auto"/>
                <w:highlight w:val="none"/>
              </w:rPr>
              <w:t>3</w:t>
            </w:r>
          </w:p>
        </w:tc>
        <w:tc>
          <w:tcPr>
            <w:tcW w:w="1272" w:type="dxa"/>
            <w:noWrap w:val="0"/>
            <w:vAlign w:val="center"/>
          </w:tcPr>
          <w:p>
            <w:pPr>
              <w:pStyle w:val="22"/>
              <w:bidi w:val="0"/>
              <w:rPr>
                <w:rFonts w:hint="default"/>
                <w:color w:val="auto"/>
                <w:highlight w:val="none"/>
              </w:rPr>
            </w:pPr>
            <w:r>
              <w:rPr>
                <w:rFonts w:hint="default"/>
                <w:color w:val="auto"/>
                <w:highlight w:val="none"/>
                <w:lang w:val="en-US" w:eastAsia="zh-CN"/>
              </w:rPr>
              <w:t>进出场车辆清洗</w:t>
            </w:r>
            <w:r>
              <w:rPr>
                <w:rFonts w:hint="default"/>
                <w:color w:val="auto"/>
                <w:highlight w:val="none"/>
              </w:rPr>
              <w:t>废水</w:t>
            </w:r>
          </w:p>
        </w:tc>
        <w:tc>
          <w:tcPr>
            <w:tcW w:w="2901" w:type="dxa"/>
            <w:noWrap w:val="0"/>
            <w:vAlign w:val="center"/>
          </w:tcPr>
          <w:p>
            <w:pPr>
              <w:pStyle w:val="22"/>
              <w:bidi w:val="0"/>
              <w:rPr>
                <w:rFonts w:hint="default"/>
                <w:color w:val="auto"/>
                <w:highlight w:val="none"/>
              </w:rPr>
            </w:pPr>
            <w:r>
              <w:rPr>
                <w:rFonts w:hint="default"/>
                <w:color w:val="auto"/>
                <w:highlight w:val="none"/>
              </w:rPr>
              <w:t>SS</w:t>
            </w:r>
          </w:p>
        </w:tc>
        <w:tc>
          <w:tcPr>
            <w:tcW w:w="2264" w:type="dxa"/>
            <w:noWrap w:val="0"/>
            <w:vAlign w:val="center"/>
          </w:tcPr>
          <w:p>
            <w:pPr>
              <w:pStyle w:val="22"/>
              <w:bidi w:val="0"/>
              <w:rPr>
                <w:rFonts w:hint="default"/>
                <w:color w:val="auto"/>
                <w:highlight w:val="none"/>
                <w:lang w:eastAsia="zh-CN"/>
              </w:rPr>
            </w:pPr>
            <w:r>
              <w:rPr>
                <w:rFonts w:hint="default"/>
                <w:color w:val="auto"/>
                <w:highlight w:val="none"/>
                <w:lang w:val="en-US" w:eastAsia="zh-CN"/>
              </w:rPr>
              <w:t>经沉淀后循环利用，不外排</w:t>
            </w:r>
          </w:p>
        </w:tc>
        <w:tc>
          <w:tcPr>
            <w:tcW w:w="1345"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循环使用，定期补充</w:t>
            </w:r>
          </w:p>
        </w:tc>
      </w:tr>
    </w:tbl>
    <w:p>
      <w:pPr>
        <w:bidi w:val="0"/>
        <w:rPr>
          <w:rFonts w:hint="default"/>
          <w:color w:val="auto"/>
          <w:highlight w:val="none"/>
          <w:lang w:val="en-US" w:eastAsia="zh-CN"/>
        </w:rPr>
      </w:pPr>
      <w:r>
        <w:rPr>
          <w:rFonts w:hint="default"/>
          <w:color w:val="auto"/>
          <w:highlight w:val="none"/>
          <w:lang w:val="en-US" w:eastAsia="zh-CN"/>
        </w:rPr>
        <w:t>1、各煤矿排水现状</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）矿井水及处理设施情况</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矿区内煤矿矿井水处理及回用情况、排放去向见下表。</w:t>
      </w:r>
    </w:p>
    <w:p>
      <w:pPr>
        <w:pStyle w:val="22"/>
        <w:bidi w:val="0"/>
        <w:rPr>
          <w:rFonts w:hint="default"/>
          <w:color w:val="auto"/>
          <w:highlight w:val="none"/>
          <w:lang w:val="en-US" w:eastAsia="zh-CN"/>
        </w:rPr>
      </w:pPr>
      <w:r>
        <w:rPr>
          <w:rFonts w:hint="default"/>
          <w:color w:val="auto"/>
          <w:highlight w:val="none"/>
          <w:lang w:eastAsia="zh-CN"/>
        </w:rPr>
        <w:t>表</w:t>
      </w:r>
      <w:r>
        <w:rPr>
          <w:rFonts w:hint="default"/>
          <w:color w:val="auto"/>
          <w:highlight w:val="none"/>
          <w:lang w:val="en-US" w:eastAsia="zh-CN"/>
        </w:rPr>
        <w:t>2.1.11-3  各矿井水现有工程正常生产时的排放和回用情况一览表</w:t>
      </w:r>
    </w:p>
    <w:tbl>
      <w:tblPr>
        <w:tblStyle w:val="1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7"/>
        <w:gridCol w:w="926"/>
        <w:gridCol w:w="1457"/>
        <w:gridCol w:w="1255"/>
        <w:gridCol w:w="854"/>
        <w:gridCol w:w="853"/>
        <w:gridCol w:w="742"/>
        <w:gridCol w:w="1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jc w:val="center"/>
        </w:trPr>
        <w:tc>
          <w:tcPr>
            <w:tcW w:w="1167" w:type="dxa"/>
            <w:noWrap w:val="0"/>
            <w:vAlign w:val="center"/>
          </w:tcPr>
          <w:p>
            <w:pPr>
              <w:pStyle w:val="22"/>
              <w:bidi w:val="0"/>
              <w:rPr>
                <w:rFonts w:hint="default"/>
                <w:color w:val="auto"/>
                <w:highlight w:val="none"/>
              </w:rPr>
            </w:pPr>
            <w:r>
              <w:rPr>
                <w:rFonts w:hint="default"/>
                <w:color w:val="auto"/>
                <w:highlight w:val="none"/>
              </w:rPr>
              <w:t>煤矿名称</w:t>
            </w:r>
          </w:p>
        </w:tc>
        <w:tc>
          <w:tcPr>
            <w:tcW w:w="926" w:type="dxa"/>
            <w:noWrap w:val="0"/>
            <w:vAlign w:val="center"/>
          </w:tcPr>
          <w:p>
            <w:pPr>
              <w:pStyle w:val="22"/>
              <w:bidi w:val="0"/>
              <w:rPr>
                <w:rFonts w:hint="default"/>
                <w:color w:val="auto"/>
                <w:highlight w:val="none"/>
              </w:rPr>
            </w:pPr>
            <w:r>
              <w:rPr>
                <w:rFonts w:hint="default"/>
                <w:color w:val="auto"/>
                <w:highlight w:val="none"/>
              </w:rPr>
              <w:t>矿井涌水</w:t>
            </w:r>
            <w:r>
              <w:rPr>
                <w:rFonts w:hint="default"/>
                <w:color w:val="auto"/>
                <w:highlight w:val="none"/>
                <w:lang w:eastAsia="zh-CN"/>
              </w:rPr>
              <w:t>量</w:t>
            </w:r>
            <w:r>
              <w:rPr>
                <w:rFonts w:hint="default"/>
                <w:color w:val="auto"/>
                <w:highlight w:val="none"/>
              </w:rPr>
              <w:t>（m3/d）</w:t>
            </w:r>
          </w:p>
        </w:tc>
        <w:tc>
          <w:tcPr>
            <w:tcW w:w="1457" w:type="dxa"/>
            <w:noWrap w:val="0"/>
            <w:vAlign w:val="center"/>
          </w:tcPr>
          <w:p>
            <w:pPr>
              <w:pStyle w:val="22"/>
              <w:bidi w:val="0"/>
              <w:rPr>
                <w:rFonts w:hint="default"/>
                <w:color w:val="auto"/>
                <w:highlight w:val="none"/>
              </w:rPr>
            </w:pPr>
            <w:r>
              <w:rPr>
                <w:rFonts w:hint="default"/>
                <w:color w:val="auto"/>
                <w:highlight w:val="none"/>
              </w:rPr>
              <w:t>矿井水处理站规模(m3/</w:t>
            </w:r>
            <w:r>
              <w:rPr>
                <w:rFonts w:hint="default"/>
                <w:color w:val="auto"/>
                <w:highlight w:val="none"/>
                <w:lang w:val="en-US" w:eastAsia="zh-CN"/>
              </w:rPr>
              <w:t>d</w:t>
            </w:r>
            <w:r>
              <w:rPr>
                <w:rFonts w:hint="default"/>
                <w:color w:val="auto"/>
                <w:highlight w:val="none"/>
              </w:rPr>
              <w:t>)</w:t>
            </w:r>
          </w:p>
        </w:tc>
        <w:tc>
          <w:tcPr>
            <w:tcW w:w="1255" w:type="dxa"/>
            <w:noWrap w:val="0"/>
            <w:vAlign w:val="center"/>
          </w:tcPr>
          <w:p>
            <w:pPr>
              <w:pStyle w:val="22"/>
              <w:bidi w:val="0"/>
              <w:rPr>
                <w:rFonts w:hint="default"/>
                <w:color w:val="auto"/>
                <w:highlight w:val="none"/>
              </w:rPr>
            </w:pPr>
            <w:r>
              <w:rPr>
                <w:rFonts w:hint="default"/>
                <w:color w:val="auto"/>
                <w:highlight w:val="none"/>
              </w:rPr>
              <w:t>矿井水站处理工艺</w:t>
            </w:r>
          </w:p>
        </w:tc>
        <w:tc>
          <w:tcPr>
            <w:tcW w:w="854" w:type="dxa"/>
            <w:noWrap w:val="0"/>
            <w:vAlign w:val="center"/>
          </w:tcPr>
          <w:p>
            <w:pPr>
              <w:pStyle w:val="22"/>
              <w:bidi w:val="0"/>
              <w:rPr>
                <w:rFonts w:hint="default"/>
                <w:color w:val="auto"/>
                <w:highlight w:val="none"/>
              </w:rPr>
            </w:pPr>
            <w:r>
              <w:rPr>
                <w:rFonts w:hint="default"/>
                <w:color w:val="auto"/>
                <w:highlight w:val="none"/>
              </w:rPr>
              <w:t>回用量（m3/d）</w:t>
            </w:r>
          </w:p>
        </w:tc>
        <w:tc>
          <w:tcPr>
            <w:tcW w:w="853" w:type="dxa"/>
            <w:noWrap w:val="0"/>
            <w:vAlign w:val="center"/>
          </w:tcPr>
          <w:p>
            <w:pPr>
              <w:pStyle w:val="22"/>
              <w:bidi w:val="0"/>
              <w:rPr>
                <w:rFonts w:hint="default"/>
                <w:color w:val="auto"/>
                <w:highlight w:val="none"/>
              </w:rPr>
            </w:pPr>
            <w:r>
              <w:rPr>
                <w:rFonts w:hint="default"/>
                <w:color w:val="auto"/>
                <w:highlight w:val="none"/>
              </w:rPr>
              <w:t>排放量（m3/d）</w:t>
            </w:r>
          </w:p>
        </w:tc>
        <w:tc>
          <w:tcPr>
            <w:tcW w:w="742" w:type="dxa"/>
            <w:noWrap w:val="0"/>
            <w:vAlign w:val="center"/>
          </w:tcPr>
          <w:p>
            <w:pPr>
              <w:pStyle w:val="22"/>
              <w:bidi w:val="0"/>
              <w:rPr>
                <w:rFonts w:hint="default"/>
                <w:color w:val="auto"/>
                <w:highlight w:val="none"/>
              </w:rPr>
            </w:pPr>
            <w:r>
              <w:rPr>
                <w:rFonts w:hint="default"/>
                <w:color w:val="auto"/>
                <w:highlight w:val="none"/>
              </w:rPr>
              <w:t>回用率（%）</w:t>
            </w:r>
          </w:p>
        </w:tc>
        <w:tc>
          <w:tcPr>
            <w:tcW w:w="1066" w:type="dxa"/>
            <w:noWrap w:val="0"/>
            <w:vAlign w:val="center"/>
          </w:tcPr>
          <w:p>
            <w:pPr>
              <w:pStyle w:val="22"/>
              <w:bidi w:val="0"/>
              <w:rPr>
                <w:rFonts w:hint="default"/>
                <w:color w:val="auto"/>
                <w:highlight w:val="none"/>
              </w:rPr>
            </w:pPr>
            <w:r>
              <w:rPr>
                <w:rFonts w:hint="default"/>
                <w:color w:val="auto"/>
                <w:highlight w:val="none"/>
              </w:rPr>
              <w:t>排放去向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堡子煤矿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7900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4000（独立）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5900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74.7</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lang w:eastAsia="zh-CN"/>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大硐坪煤矿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800（包含生活污水处理）</w:t>
            </w:r>
          </w:p>
        </w:tc>
        <w:tc>
          <w:tcPr>
            <w:tcW w:w="1255" w:type="dxa"/>
            <w:noWrap w:val="0"/>
            <w:vAlign w:val="center"/>
          </w:tcPr>
          <w:p>
            <w:pPr>
              <w:pStyle w:val="22"/>
              <w:bidi w:val="0"/>
              <w:rPr>
                <w:rFonts w:hint="default"/>
                <w:color w:val="auto"/>
                <w:highlight w:val="none"/>
                <w:lang w:eastAsia="zh-CN"/>
              </w:rPr>
            </w:pPr>
            <w:r>
              <w:rPr>
                <w:rFonts w:hint="default"/>
                <w:color w:val="auto"/>
                <w:highlight w:val="none"/>
              </w:rPr>
              <w:t>絮凝沉淀、过滤消毒</w:t>
            </w:r>
            <w:r>
              <w:rPr>
                <w:rFonts w:hint="default"/>
                <w:color w:val="auto"/>
                <w:highlight w:val="none"/>
                <w:lang w:eastAsia="zh-CN"/>
              </w:rPr>
              <w:t>、二级生化</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0</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大河沟煤矿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2200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1200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54.5</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观音煤矿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3100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2000（包含生活污水处理）</w:t>
            </w:r>
          </w:p>
        </w:tc>
        <w:tc>
          <w:tcPr>
            <w:tcW w:w="1255" w:type="dxa"/>
            <w:noWrap w:val="0"/>
            <w:vAlign w:val="center"/>
          </w:tcPr>
          <w:p>
            <w:pPr>
              <w:pStyle w:val="22"/>
              <w:bidi w:val="0"/>
              <w:rPr>
                <w:rFonts w:hint="default"/>
                <w:color w:val="auto"/>
                <w:highlight w:val="none"/>
                <w:lang w:eastAsia="zh-CN"/>
              </w:rPr>
            </w:pPr>
            <w:r>
              <w:rPr>
                <w:rFonts w:hint="default"/>
                <w:color w:val="auto"/>
                <w:highlight w:val="none"/>
              </w:rPr>
              <w:t>絮凝沉淀、过滤消毒</w:t>
            </w:r>
            <w:r>
              <w:rPr>
                <w:rFonts w:hint="default"/>
                <w:color w:val="auto"/>
                <w:highlight w:val="none"/>
                <w:lang w:eastAsia="zh-CN"/>
              </w:rPr>
              <w:t>、二级生化</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1100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35.5</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刘家沟煤矿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850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900（包含生活污水处理）</w:t>
            </w:r>
          </w:p>
        </w:tc>
        <w:tc>
          <w:tcPr>
            <w:tcW w:w="1255" w:type="dxa"/>
            <w:noWrap w:val="0"/>
            <w:vAlign w:val="center"/>
          </w:tcPr>
          <w:p>
            <w:pPr>
              <w:pStyle w:val="22"/>
              <w:bidi w:val="0"/>
              <w:rPr>
                <w:rFonts w:hint="default"/>
                <w:color w:val="auto"/>
                <w:highlight w:val="none"/>
                <w:lang w:eastAsia="zh-CN"/>
              </w:rPr>
            </w:pPr>
            <w:r>
              <w:rPr>
                <w:rFonts w:hint="default"/>
                <w:color w:val="auto"/>
                <w:highlight w:val="none"/>
              </w:rPr>
              <w:t>絮凝沉淀、过滤消毒</w:t>
            </w:r>
            <w:r>
              <w:rPr>
                <w:rFonts w:hint="default"/>
                <w:color w:val="auto"/>
                <w:highlight w:val="none"/>
                <w:lang w:eastAsia="zh-CN"/>
              </w:rPr>
              <w:t>、二级生化</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5.9</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华家沟煤矿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2400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1400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58.3</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田坝煤矿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1600</w:t>
            </w:r>
          </w:p>
        </w:tc>
        <w:tc>
          <w:tcPr>
            <w:tcW w:w="1457" w:type="dxa"/>
            <w:noWrap w:val="0"/>
            <w:vAlign w:val="center"/>
          </w:tcPr>
          <w:p>
            <w:pPr>
              <w:pStyle w:val="22"/>
              <w:bidi w:val="0"/>
              <w:rPr>
                <w:rFonts w:hint="default"/>
                <w:color w:val="auto"/>
                <w:highlight w:val="none"/>
              </w:rPr>
            </w:pPr>
            <w:r>
              <w:rPr>
                <w:rFonts w:hint="default"/>
                <w:color w:val="auto"/>
                <w:highlight w:val="none"/>
                <w:lang w:val="en-US" w:eastAsia="zh-CN"/>
              </w:rPr>
              <w:t>500（独立）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1100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68.8</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柏林煤矿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1200（包含生活污水处理）</w:t>
            </w:r>
          </w:p>
        </w:tc>
        <w:tc>
          <w:tcPr>
            <w:tcW w:w="1255" w:type="dxa"/>
            <w:noWrap w:val="0"/>
            <w:vAlign w:val="center"/>
          </w:tcPr>
          <w:p>
            <w:pPr>
              <w:pStyle w:val="22"/>
              <w:bidi w:val="0"/>
              <w:rPr>
                <w:rFonts w:hint="default"/>
                <w:color w:val="auto"/>
                <w:highlight w:val="none"/>
                <w:lang w:eastAsia="zh-CN"/>
              </w:rPr>
            </w:pPr>
            <w:r>
              <w:rPr>
                <w:rFonts w:hint="default"/>
                <w:color w:val="auto"/>
                <w:highlight w:val="none"/>
              </w:rPr>
              <w:t>絮凝沉淀、过滤消毒</w:t>
            </w:r>
            <w:r>
              <w:rPr>
                <w:rFonts w:hint="default"/>
                <w:color w:val="auto"/>
                <w:highlight w:val="none"/>
                <w:lang w:eastAsia="zh-CN"/>
              </w:rPr>
              <w:t>、二级生化</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8800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1200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88</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荣华煤矿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2000</w:t>
            </w:r>
          </w:p>
        </w:tc>
        <w:tc>
          <w:tcPr>
            <w:tcW w:w="1457" w:type="dxa"/>
            <w:noWrap w:val="0"/>
            <w:vAlign w:val="center"/>
          </w:tcPr>
          <w:p>
            <w:pPr>
              <w:pStyle w:val="22"/>
              <w:bidi w:val="0"/>
              <w:rPr>
                <w:rFonts w:hint="default"/>
                <w:color w:val="auto"/>
                <w:highlight w:val="none"/>
                <w:lang w:eastAsia="zh-CN"/>
              </w:rPr>
            </w:pPr>
            <w:r>
              <w:rPr>
                <w:rFonts w:hint="default"/>
                <w:color w:val="auto"/>
                <w:highlight w:val="none"/>
                <w:lang w:eastAsia="zh-CN"/>
              </w:rPr>
              <w:t>无</w:t>
            </w:r>
          </w:p>
        </w:tc>
        <w:tc>
          <w:tcPr>
            <w:tcW w:w="1255" w:type="dxa"/>
            <w:noWrap w:val="0"/>
            <w:vAlign w:val="center"/>
          </w:tcPr>
          <w:p>
            <w:pPr>
              <w:pStyle w:val="22"/>
              <w:bidi w:val="0"/>
              <w:rPr>
                <w:rFonts w:hint="default"/>
                <w:color w:val="auto"/>
                <w:highlight w:val="none"/>
                <w:lang w:eastAsia="zh-CN"/>
              </w:rPr>
            </w:pPr>
            <w:r>
              <w:rPr>
                <w:rFonts w:hint="default"/>
                <w:color w:val="auto"/>
                <w:highlight w:val="none"/>
                <w:lang w:val="en-US" w:eastAsia="zh-CN"/>
              </w:rPr>
              <w:t>/</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黑滩煤矿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6200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2500（独立）</w:t>
            </w:r>
          </w:p>
        </w:tc>
        <w:tc>
          <w:tcPr>
            <w:tcW w:w="1255" w:type="dxa"/>
            <w:noWrap w:val="0"/>
            <w:vAlign w:val="center"/>
          </w:tcPr>
          <w:p>
            <w:pPr>
              <w:pStyle w:val="22"/>
              <w:bidi w:val="0"/>
              <w:rPr>
                <w:rFonts w:hint="default"/>
                <w:color w:val="auto"/>
                <w:highlight w:val="none"/>
                <w:lang w:eastAsia="zh-CN"/>
              </w:rPr>
            </w:pPr>
            <w:r>
              <w:rPr>
                <w:rFonts w:hint="default"/>
                <w:color w:val="auto"/>
                <w:highlight w:val="none"/>
              </w:rPr>
              <w:t>絮凝沉淀、过滤消毒</w:t>
            </w:r>
            <w:r>
              <w:rPr>
                <w:rFonts w:hint="default"/>
                <w:color w:val="auto"/>
                <w:highlight w:val="none"/>
                <w:lang w:eastAsia="zh-CN"/>
              </w:rPr>
              <w:t>、二级生化</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4670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1530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75.3</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孔家沟煤矿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3100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2650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450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85.5</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平桥煤矿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2400</w:t>
            </w:r>
          </w:p>
        </w:tc>
        <w:tc>
          <w:tcPr>
            <w:tcW w:w="1457" w:type="dxa"/>
            <w:noWrap w:val="0"/>
            <w:vAlign w:val="center"/>
          </w:tcPr>
          <w:p>
            <w:pPr>
              <w:pStyle w:val="22"/>
              <w:bidi w:val="0"/>
              <w:rPr>
                <w:rFonts w:hint="default"/>
                <w:color w:val="auto"/>
                <w:highlight w:val="none"/>
              </w:rPr>
            </w:pPr>
            <w:r>
              <w:rPr>
                <w:rFonts w:hint="default"/>
                <w:color w:val="auto"/>
                <w:highlight w:val="none"/>
                <w:lang w:val="en-US" w:eastAsia="zh-CN"/>
              </w:rPr>
              <w:t>500（独立）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2050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350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85.4</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牛郎沟煤矿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2000</w:t>
            </w:r>
          </w:p>
        </w:tc>
        <w:tc>
          <w:tcPr>
            <w:tcW w:w="145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1000（独立）</w:t>
            </w:r>
          </w:p>
        </w:tc>
        <w:tc>
          <w:tcPr>
            <w:tcW w:w="1255" w:type="dxa"/>
            <w:noWrap w:val="0"/>
            <w:vAlign w:val="center"/>
          </w:tcPr>
          <w:p>
            <w:pPr>
              <w:pStyle w:val="22"/>
              <w:bidi w:val="0"/>
              <w:rPr>
                <w:rFonts w:hint="default"/>
                <w:color w:val="auto"/>
                <w:highlight w:val="none"/>
                <w:lang w:eastAsia="zh-CN"/>
              </w:rPr>
            </w:pPr>
            <w:r>
              <w:rPr>
                <w:rFonts w:hint="default"/>
                <w:color w:val="auto"/>
                <w:highlight w:val="none"/>
              </w:rPr>
              <w:t>絮凝沉淀、过滤消毒</w:t>
            </w:r>
            <w:r>
              <w:rPr>
                <w:rFonts w:hint="default"/>
                <w:color w:val="auto"/>
                <w:highlight w:val="none"/>
                <w:lang w:eastAsia="zh-CN"/>
              </w:rPr>
              <w:t>、二级生化</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1250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750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62.5</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167" w:type="dxa"/>
            <w:noWrap w:val="0"/>
            <w:vAlign w:val="center"/>
          </w:tcPr>
          <w:p>
            <w:pPr>
              <w:pStyle w:val="22"/>
              <w:bidi w:val="0"/>
              <w:rPr>
                <w:rFonts w:hint="default"/>
                <w:color w:val="auto"/>
                <w:highlight w:val="none"/>
                <w:lang w:eastAsia="zh-CN"/>
              </w:rPr>
            </w:pPr>
            <w:r>
              <w:rPr>
                <w:rFonts w:hint="default"/>
                <w:color w:val="auto"/>
                <w:highlight w:val="none"/>
                <w:lang w:eastAsia="zh-CN"/>
              </w:rPr>
              <w:t>新桥红星煤矿</w:t>
            </w:r>
          </w:p>
        </w:tc>
        <w:tc>
          <w:tcPr>
            <w:tcW w:w="926"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1000</w:t>
            </w:r>
          </w:p>
        </w:tc>
        <w:tc>
          <w:tcPr>
            <w:tcW w:w="1457" w:type="dxa"/>
            <w:noWrap w:val="0"/>
            <w:vAlign w:val="center"/>
          </w:tcPr>
          <w:p>
            <w:pPr>
              <w:pStyle w:val="22"/>
              <w:bidi w:val="0"/>
              <w:rPr>
                <w:rFonts w:hint="default"/>
                <w:color w:val="auto"/>
                <w:highlight w:val="none"/>
              </w:rPr>
            </w:pPr>
            <w:r>
              <w:rPr>
                <w:rFonts w:hint="default"/>
                <w:color w:val="auto"/>
                <w:highlight w:val="none"/>
                <w:lang w:val="en-US" w:eastAsia="zh-CN"/>
              </w:rPr>
              <w:t>500（独立）</w:t>
            </w:r>
          </w:p>
        </w:tc>
        <w:tc>
          <w:tcPr>
            <w:tcW w:w="1255" w:type="dxa"/>
            <w:noWrap w:val="0"/>
            <w:vAlign w:val="center"/>
          </w:tcPr>
          <w:p>
            <w:pPr>
              <w:pStyle w:val="22"/>
              <w:bidi w:val="0"/>
              <w:rPr>
                <w:rFonts w:hint="default"/>
                <w:color w:val="auto"/>
                <w:highlight w:val="none"/>
              </w:rPr>
            </w:pPr>
            <w:r>
              <w:rPr>
                <w:rFonts w:hint="default"/>
                <w:color w:val="auto"/>
                <w:highlight w:val="none"/>
              </w:rPr>
              <w:t>絮凝沉淀、过滤消毒</w:t>
            </w:r>
          </w:p>
        </w:tc>
        <w:tc>
          <w:tcPr>
            <w:tcW w:w="85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500</w:t>
            </w:r>
          </w:p>
        </w:tc>
        <w:tc>
          <w:tcPr>
            <w:tcW w:w="853"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500</w:t>
            </w:r>
          </w:p>
        </w:tc>
        <w:tc>
          <w:tcPr>
            <w:tcW w:w="742"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w:t>
            </w:r>
          </w:p>
        </w:tc>
        <w:tc>
          <w:tcPr>
            <w:tcW w:w="1066" w:type="dxa"/>
            <w:noWrap w:val="0"/>
            <w:vAlign w:val="center"/>
          </w:tcPr>
          <w:p>
            <w:pPr>
              <w:pStyle w:val="22"/>
              <w:bidi w:val="0"/>
              <w:rPr>
                <w:rFonts w:hint="default"/>
                <w:color w:val="auto"/>
                <w:highlight w:val="none"/>
              </w:rPr>
            </w:pPr>
            <w:r>
              <w:rPr>
                <w:rFonts w:hint="default"/>
                <w:color w:val="auto"/>
                <w:highlight w:val="none"/>
              </w:rPr>
              <w:t>通过排水</w:t>
            </w:r>
          </w:p>
          <w:p>
            <w:pPr>
              <w:pStyle w:val="22"/>
              <w:bidi w:val="0"/>
              <w:rPr>
                <w:rFonts w:hint="default"/>
                <w:color w:val="auto"/>
                <w:highlight w:val="none"/>
              </w:rPr>
            </w:pPr>
            <w:r>
              <w:rPr>
                <w:rFonts w:hint="default"/>
                <w:color w:val="auto"/>
                <w:highlight w:val="none"/>
              </w:rPr>
              <w:t>管道外排</w:t>
            </w:r>
            <w:r>
              <w:rPr>
                <w:rFonts w:hint="default"/>
                <w:color w:val="auto"/>
                <w:highlight w:val="none"/>
                <w:lang w:eastAsia="zh-CN"/>
              </w:rPr>
              <w:t>至就近溪沟</w:t>
            </w:r>
          </w:p>
        </w:tc>
      </w:tr>
    </w:tbl>
    <w:p>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）生活污水及处理设施</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矿区内生产煤矿生活污水产生量及处理情况参见下表。</w:t>
      </w:r>
    </w:p>
    <w:p>
      <w:pPr>
        <w:pStyle w:val="22"/>
        <w:bidi w:val="0"/>
        <w:rPr>
          <w:rFonts w:hint="default"/>
          <w:color w:val="auto"/>
          <w:highlight w:val="none"/>
          <w:lang w:val="en-US" w:eastAsia="zh-CN"/>
        </w:rPr>
      </w:pPr>
      <w:r>
        <w:rPr>
          <w:rFonts w:hint="default"/>
          <w:color w:val="auto"/>
          <w:highlight w:val="none"/>
          <w:lang w:val="en-US" w:eastAsia="zh-CN"/>
        </w:rPr>
        <w:t>表2.1.11-4  现有煤矿生活污水处理措施一览表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1510"/>
        <w:gridCol w:w="1134"/>
        <w:gridCol w:w="945"/>
        <w:gridCol w:w="1510"/>
        <w:gridCol w:w="2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1170" w:type="dxa"/>
            <w:noWrap w:val="0"/>
            <w:vAlign w:val="center"/>
          </w:tcPr>
          <w:p>
            <w:pPr>
              <w:pStyle w:val="22"/>
              <w:bidi w:val="0"/>
              <w:rPr>
                <w:rFonts w:hint="default"/>
                <w:color w:val="auto"/>
                <w:highlight w:val="none"/>
              </w:rPr>
            </w:pPr>
            <w:r>
              <w:rPr>
                <w:rFonts w:hint="default"/>
                <w:color w:val="auto"/>
                <w:highlight w:val="none"/>
              </w:rPr>
              <w:t>名称</w:t>
            </w:r>
          </w:p>
        </w:tc>
        <w:tc>
          <w:tcPr>
            <w:tcW w:w="1510" w:type="dxa"/>
            <w:noWrap w:val="0"/>
            <w:vAlign w:val="center"/>
          </w:tcPr>
          <w:p>
            <w:pPr>
              <w:pStyle w:val="22"/>
              <w:bidi w:val="0"/>
              <w:rPr>
                <w:rFonts w:hint="default"/>
                <w:color w:val="auto"/>
                <w:highlight w:val="none"/>
              </w:rPr>
            </w:pPr>
            <w:r>
              <w:rPr>
                <w:rFonts w:hint="default"/>
                <w:color w:val="auto"/>
                <w:highlight w:val="none"/>
              </w:rPr>
              <w:t>生活污水产生量</w:t>
            </w:r>
          </w:p>
          <w:p>
            <w:pPr>
              <w:pStyle w:val="22"/>
              <w:bidi w:val="0"/>
              <w:rPr>
                <w:rFonts w:hint="default"/>
                <w:color w:val="auto"/>
                <w:highlight w:val="none"/>
              </w:rPr>
            </w:pPr>
            <w:r>
              <w:rPr>
                <w:rFonts w:hint="default"/>
                <w:color w:val="auto"/>
                <w:highlight w:val="none"/>
              </w:rPr>
              <w:t>（m3/d）</w:t>
            </w:r>
          </w:p>
        </w:tc>
        <w:tc>
          <w:tcPr>
            <w:tcW w:w="1134" w:type="dxa"/>
            <w:noWrap w:val="0"/>
            <w:vAlign w:val="center"/>
          </w:tcPr>
          <w:p>
            <w:pPr>
              <w:pStyle w:val="22"/>
              <w:bidi w:val="0"/>
              <w:rPr>
                <w:rFonts w:hint="default"/>
                <w:color w:val="auto"/>
                <w:highlight w:val="none"/>
              </w:rPr>
            </w:pPr>
            <w:r>
              <w:rPr>
                <w:rFonts w:hint="default"/>
                <w:color w:val="auto"/>
                <w:highlight w:val="none"/>
              </w:rPr>
              <w:t>处理站规模</w:t>
            </w:r>
          </w:p>
          <w:p>
            <w:pPr>
              <w:pStyle w:val="22"/>
              <w:bidi w:val="0"/>
              <w:rPr>
                <w:rFonts w:hint="default"/>
                <w:color w:val="auto"/>
                <w:highlight w:val="none"/>
              </w:rPr>
            </w:pPr>
            <w:r>
              <w:rPr>
                <w:rFonts w:hint="default"/>
                <w:color w:val="auto"/>
                <w:highlight w:val="none"/>
              </w:rPr>
              <w:t>（m3/</w:t>
            </w:r>
            <w:r>
              <w:rPr>
                <w:rFonts w:hint="default"/>
                <w:color w:val="auto"/>
                <w:highlight w:val="none"/>
                <w:lang w:val="en-US" w:eastAsia="zh-CN"/>
              </w:rPr>
              <w:t>d</w:t>
            </w:r>
            <w:r>
              <w:rPr>
                <w:rFonts w:hint="default"/>
                <w:color w:val="auto"/>
                <w:highlight w:val="none"/>
              </w:rPr>
              <w:t>）</w:t>
            </w:r>
          </w:p>
        </w:tc>
        <w:tc>
          <w:tcPr>
            <w:tcW w:w="945" w:type="dxa"/>
            <w:tcBorders>
              <w:right w:val="single" w:color="000000" w:sz="6" w:space="0"/>
            </w:tcBorders>
            <w:noWrap w:val="0"/>
            <w:vAlign w:val="center"/>
          </w:tcPr>
          <w:p>
            <w:pPr>
              <w:pStyle w:val="22"/>
              <w:bidi w:val="0"/>
              <w:rPr>
                <w:rFonts w:hint="default"/>
                <w:color w:val="auto"/>
                <w:highlight w:val="none"/>
              </w:rPr>
            </w:pPr>
            <w:r>
              <w:rPr>
                <w:rFonts w:hint="default"/>
                <w:color w:val="auto"/>
                <w:highlight w:val="none"/>
              </w:rPr>
              <w:t>处理工艺</w:t>
            </w:r>
          </w:p>
        </w:tc>
        <w:tc>
          <w:tcPr>
            <w:tcW w:w="1510" w:type="dxa"/>
            <w:tcBorders>
              <w:left w:val="single" w:color="000000" w:sz="6" w:space="0"/>
            </w:tcBorders>
            <w:noWrap w:val="0"/>
            <w:vAlign w:val="center"/>
          </w:tcPr>
          <w:p>
            <w:pPr>
              <w:pStyle w:val="22"/>
              <w:bidi w:val="0"/>
              <w:rPr>
                <w:rFonts w:hint="default"/>
                <w:color w:val="auto"/>
                <w:highlight w:val="none"/>
              </w:rPr>
            </w:pPr>
            <w:r>
              <w:rPr>
                <w:rFonts w:hint="default"/>
                <w:color w:val="auto"/>
                <w:highlight w:val="none"/>
              </w:rPr>
              <w:t>生活污水排放量</w:t>
            </w:r>
          </w:p>
          <w:p>
            <w:pPr>
              <w:pStyle w:val="22"/>
              <w:bidi w:val="0"/>
              <w:rPr>
                <w:rFonts w:hint="default"/>
                <w:color w:val="auto"/>
                <w:highlight w:val="none"/>
              </w:rPr>
            </w:pPr>
            <w:r>
              <w:rPr>
                <w:rFonts w:hint="default"/>
                <w:color w:val="auto"/>
                <w:highlight w:val="none"/>
              </w:rPr>
              <w:t>（m3/d）</w:t>
            </w:r>
          </w:p>
        </w:tc>
        <w:tc>
          <w:tcPr>
            <w:tcW w:w="2047" w:type="dxa"/>
            <w:noWrap w:val="0"/>
            <w:vAlign w:val="center"/>
          </w:tcPr>
          <w:p>
            <w:pPr>
              <w:pStyle w:val="22"/>
              <w:bidi w:val="0"/>
              <w:rPr>
                <w:rFonts w:hint="default"/>
                <w:color w:val="auto"/>
                <w:highlight w:val="none"/>
              </w:rPr>
            </w:pPr>
            <w:r>
              <w:rPr>
                <w:rFonts w:hint="default"/>
                <w:color w:val="auto"/>
                <w:highlight w:val="none"/>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堡子煤矿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31</w:t>
            </w:r>
          </w:p>
        </w:tc>
        <w:tc>
          <w:tcPr>
            <w:tcW w:w="113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二级生化</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31</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达</w:t>
            </w:r>
            <w:r>
              <w:rPr>
                <w:rFonts w:hint="default"/>
                <w:color w:val="auto"/>
                <w:highlight w:val="none"/>
                <w:lang w:val="en-US" w:eastAsia="zh-CN"/>
              </w:rPr>
              <w:t>GB8978-1996表4一级标准后排入溪沟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大硐坪煤矿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w:t>
            </w:r>
          </w:p>
        </w:tc>
        <w:tc>
          <w:tcPr>
            <w:tcW w:w="113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800（包含矿井水处理）</w:t>
            </w:r>
          </w:p>
        </w:tc>
        <w:tc>
          <w:tcPr>
            <w:tcW w:w="945" w:type="dxa"/>
            <w:tcBorders>
              <w:right w:val="single" w:color="000000" w:sz="6" w:space="0"/>
            </w:tcBorders>
            <w:noWrap w:val="0"/>
            <w:vAlign w:val="center"/>
          </w:tcPr>
          <w:p>
            <w:pPr>
              <w:pStyle w:val="22"/>
              <w:bidi w:val="0"/>
              <w:rPr>
                <w:rFonts w:hint="default"/>
                <w:color w:val="auto"/>
                <w:highlight w:val="none"/>
              </w:rPr>
            </w:pPr>
            <w:r>
              <w:rPr>
                <w:rFonts w:hint="default"/>
                <w:color w:val="auto"/>
                <w:highlight w:val="none"/>
                <w:lang w:eastAsia="zh-CN"/>
              </w:rPr>
              <w:t>二级生化</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8</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达GB20426‐2006</w:t>
            </w:r>
            <w:r>
              <w:rPr>
                <w:rFonts w:hint="default"/>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大河沟煤矿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9</w:t>
            </w:r>
          </w:p>
        </w:tc>
        <w:tc>
          <w:tcPr>
            <w:tcW w:w="1134" w:type="dxa"/>
            <w:noWrap w:val="0"/>
            <w:vAlign w:val="center"/>
          </w:tcPr>
          <w:p>
            <w:pPr>
              <w:pStyle w:val="22"/>
              <w:bidi w:val="0"/>
              <w:rPr>
                <w:rFonts w:hint="default"/>
                <w:color w:val="auto"/>
                <w:highlight w:val="none"/>
                <w:lang w:val="en-US"/>
              </w:rPr>
            </w:pPr>
            <w:r>
              <w:rPr>
                <w:rFonts w:hint="default"/>
                <w:color w:val="auto"/>
                <w:highlight w:val="none"/>
                <w:lang w:val="en-US" w:eastAsia="zh-CN"/>
              </w:rPr>
              <w:t>20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观音煤矿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20</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2000（包含生活污水处理）</w:t>
            </w:r>
          </w:p>
        </w:tc>
        <w:tc>
          <w:tcPr>
            <w:tcW w:w="945" w:type="dxa"/>
            <w:tcBorders>
              <w:right w:val="single" w:color="000000" w:sz="6" w:space="0"/>
            </w:tcBorders>
            <w:noWrap w:val="0"/>
            <w:vAlign w:val="center"/>
          </w:tcPr>
          <w:p>
            <w:pPr>
              <w:pStyle w:val="22"/>
              <w:bidi w:val="0"/>
              <w:rPr>
                <w:rFonts w:hint="default"/>
                <w:color w:val="auto"/>
                <w:highlight w:val="none"/>
              </w:rPr>
            </w:pPr>
            <w:r>
              <w:rPr>
                <w:rFonts w:hint="default"/>
                <w:color w:val="auto"/>
                <w:highlight w:val="none"/>
                <w:lang w:eastAsia="zh-CN"/>
              </w:rPr>
              <w:t>二级生化</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20</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达GB20426‐2006</w:t>
            </w:r>
            <w:r>
              <w:rPr>
                <w:rFonts w:hint="default"/>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刘家沟煤矿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8.5</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900（包含生活污水处理）</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二级生化</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8.5</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达GB20426‐2006</w:t>
            </w:r>
            <w:r>
              <w:rPr>
                <w:rFonts w:hint="default"/>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华家沟煤矿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8</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50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田坝煤矿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18</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50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柏林煤矿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52</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1200（包含生活污水处理）</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二级生化</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52</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达</w:t>
            </w:r>
            <w:r>
              <w:rPr>
                <w:rFonts w:hint="default"/>
                <w:color w:val="auto"/>
                <w:highlight w:val="none"/>
                <w:lang w:val="en-US" w:eastAsia="zh-CN"/>
              </w:rPr>
              <w:t>GB1891-2002及</w:t>
            </w:r>
            <w:r>
              <w:rPr>
                <w:rFonts w:hint="default"/>
                <w:color w:val="auto"/>
                <w:highlight w:val="none"/>
                <w:lang w:eastAsia="zh-CN"/>
              </w:rPr>
              <w:t>GB20426‐2006</w:t>
            </w:r>
            <w:r>
              <w:rPr>
                <w:rFonts w:hint="default"/>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荣华煤矿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w:t>
            </w:r>
          </w:p>
        </w:tc>
        <w:tc>
          <w:tcPr>
            <w:tcW w:w="945" w:type="dxa"/>
            <w:tcBorders>
              <w:righ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黑滩煤矿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11.5</w:t>
            </w:r>
          </w:p>
        </w:tc>
        <w:tc>
          <w:tcPr>
            <w:tcW w:w="113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400</w:t>
            </w:r>
          </w:p>
        </w:tc>
        <w:tc>
          <w:tcPr>
            <w:tcW w:w="945" w:type="dxa"/>
            <w:tcBorders>
              <w:righ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rPr>
            </w:pPr>
            <w:r>
              <w:rPr>
                <w:rFonts w:hint="default"/>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孔家沟煤矿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26</w:t>
            </w:r>
          </w:p>
        </w:tc>
        <w:tc>
          <w:tcPr>
            <w:tcW w:w="113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120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lang w:eastAsia="zh-CN"/>
              </w:rPr>
            </w:pPr>
            <w:r>
              <w:rPr>
                <w:rFonts w:hint="default"/>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平桥煤矿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w:t>
            </w:r>
          </w:p>
        </w:tc>
        <w:tc>
          <w:tcPr>
            <w:tcW w:w="113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50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二级生化</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10</w:t>
            </w:r>
          </w:p>
        </w:tc>
        <w:tc>
          <w:tcPr>
            <w:tcW w:w="2047" w:type="dxa"/>
            <w:noWrap w:val="0"/>
            <w:vAlign w:val="center"/>
          </w:tcPr>
          <w:p>
            <w:pPr>
              <w:pStyle w:val="22"/>
              <w:bidi w:val="0"/>
              <w:rPr>
                <w:rFonts w:hint="default"/>
                <w:color w:val="auto"/>
                <w:highlight w:val="none"/>
                <w:lang w:val="en-US" w:eastAsia="zh-CN"/>
              </w:rPr>
            </w:pPr>
            <w:r>
              <w:rPr>
                <w:rFonts w:hint="default"/>
                <w:color w:val="auto"/>
                <w:highlight w:val="none"/>
                <w:lang w:eastAsia="zh-CN"/>
              </w:rPr>
              <w:t>达</w:t>
            </w:r>
            <w:r>
              <w:rPr>
                <w:rFonts w:hint="default"/>
                <w:color w:val="auto"/>
                <w:highlight w:val="none"/>
                <w:lang w:val="en-US" w:eastAsia="zh-CN"/>
              </w:rPr>
              <w:t>GB8978-1996表4一级标准后排入溪沟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牛郎沟煤矿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4</w:t>
            </w:r>
          </w:p>
        </w:tc>
        <w:tc>
          <w:tcPr>
            <w:tcW w:w="1134"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100</w:t>
            </w:r>
          </w:p>
        </w:tc>
        <w:tc>
          <w:tcPr>
            <w:tcW w:w="945" w:type="dxa"/>
            <w:tcBorders>
              <w:right w:val="single" w:color="000000" w:sz="6" w:space="0"/>
            </w:tcBorders>
            <w:noWrap w:val="0"/>
            <w:vAlign w:val="center"/>
          </w:tcPr>
          <w:p>
            <w:pPr>
              <w:pStyle w:val="22"/>
              <w:bidi w:val="0"/>
              <w:rPr>
                <w:rFonts w:hint="default"/>
                <w:color w:val="auto"/>
                <w:highlight w:val="none"/>
                <w:lang w:eastAsia="zh-CN"/>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lang w:eastAsia="zh-CN"/>
              </w:rPr>
            </w:pPr>
            <w:r>
              <w:rPr>
                <w:rFonts w:hint="default"/>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170" w:type="dxa"/>
            <w:noWrap w:val="0"/>
            <w:vAlign w:val="center"/>
          </w:tcPr>
          <w:p>
            <w:pPr>
              <w:pStyle w:val="22"/>
              <w:bidi w:val="0"/>
              <w:rPr>
                <w:rFonts w:hint="default"/>
                <w:color w:val="auto"/>
                <w:highlight w:val="none"/>
                <w:lang w:val="en-US" w:eastAsia="zh-CN"/>
              </w:rPr>
            </w:pPr>
            <w:r>
              <w:rPr>
                <w:rFonts w:hint="default"/>
                <w:color w:val="auto"/>
                <w:highlight w:val="none"/>
                <w:lang w:eastAsia="zh-CN"/>
              </w:rPr>
              <w:t>新桥红星煤矿</w:t>
            </w:r>
          </w:p>
        </w:tc>
        <w:tc>
          <w:tcPr>
            <w:tcW w:w="1510" w:type="dxa"/>
            <w:noWrap w:val="0"/>
            <w:vAlign w:val="center"/>
          </w:tcPr>
          <w:p>
            <w:pPr>
              <w:pStyle w:val="22"/>
              <w:bidi w:val="0"/>
              <w:rPr>
                <w:rFonts w:hint="default"/>
                <w:color w:val="auto"/>
                <w:highlight w:val="none"/>
                <w:lang w:val="en-US" w:eastAsia="zh-CN"/>
              </w:rPr>
            </w:pPr>
            <w:r>
              <w:rPr>
                <w:rFonts w:hint="default"/>
                <w:color w:val="auto"/>
                <w:highlight w:val="none"/>
                <w:lang w:val="en-US" w:eastAsia="zh-CN"/>
              </w:rPr>
              <w:t>7</w:t>
            </w:r>
          </w:p>
        </w:tc>
        <w:tc>
          <w:tcPr>
            <w:tcW w:w="1134" w:type="dxa"/>
            <w:noWrap w:val="0"/>
            <w:vAlign w:val="center"/>
          </w:tcPr>
          <w:p>
            <w:pPr>
              <w:pStyle w:val="22"/>
              <w:bidi w:val="0"/>
              <w:rPr>
                <w:rFonts w:hint="default"/>
                <w:color w:val="auto"/>
                <w:highlight w:val="none"/>
              </w:rPr>
            </w:pPr>
            <w:r>
              <w:rPr>
                <w:rFonts w:hint="default"/>
                <w:color w:val="auto"/>
                <w:highlight w:val="none"/>
                <w:lang w:val="en-US" w:eastAsia="zh-CN"/>
              </w:rPr>
              <w:t>50</w:t>
            </w:r>
          </w:p>
        </w:tc>
        <w:tc>
          <w:tcPr>
            <w:tcW w:w="945" w:type="dxa"/>
            <w:tcBorders>
              <w:right w:val="single" w:color="000000" w:sz="6" w:space="0"/>
            </w:tcBorders>
            <w:noWrap w:val="0"/>
            <w:vAlign w:val="center"/>
          </w:tcPr>
          <w:p>
            <w:pPr>
              <w:pStyle w:val="22"/>
              <w:bidi w:val="0"/>
              <w:rPr>
                <w:rFonts w:hint="default"/>
                <w:color w:val="auto"/>
                <w:highlight w:val="none"/>
              </w:rPr>
            </w:pPr>
            <w:r>
              <w:rPr>
                <w:rFonts w:hint="default"/>
                <w:color w:val="auto"/>
                <w:highlight w:val="none"/>
                <w:lang w:eastAsia="zh-CN"/>
              </w:rPr>
              <w:t>化粪池</w:t>
            </w:r>
          </w:p>
        </w:tc>
        <w:tc>
          <w:tcPr>
            <w:tcW w:w="1510" w:type="dxa"/>
            <w:tcBorders>
              <w:left w:val="single" w:color="000000" w:sz="6" w:space="0"/>
            </w:tcBorders>
            <w:noWrap w:val="0"/>
            <w:vAlign w:val="center"/>
          </w:tcPr>
          <w:p>
            <w:pPr>
              <w:pStyle w:val="22"/>
              <w:bidi w:val="0"/>
              <w:rPr>
                <w:rFonts w:hint="default"/>
                <w:color w:val="auto"/>
                <w:highlight w:val="none"/>
                <w:lang w:val="en-US" w:eastAsia="zh-CN"/>
              </w:rPr>
            </w:pPr>
            <w:r>
              <w:rPr>
                <w:rFonts w:hint="default"/>
                <w:color w:val="auto"/>
                <w:highlight w:val="none"/>
                <w:lang w:val="en-US" w:eastAsia="zh-CN"/>
              </w:rPr>
              <w:t>/</w:t>
            </w:r>
          </w:p>
        </w:tc>
        <w:tc>
          <w:tcPr>
            <w:tcW w:w="2047" w:type="dxa"/>
            <w:noWrap w:val="0"/>
            <w:vAlign w:val="center"/>
          </w:tcPr>
          <w:p>
            <w:pPr>
              <w:pStyle w:val="22"/>
              <w:bidi w:val="0"/>
              <w:rPr>
                <w:rFonts w:hint="default"/>
                <w:color w:val="auto"/>
                <w:highlight w:val="none"/>
                <w:lang w:val="en-US" w:eastAsia="zh-CN"/>
              </w:rPr>
            </w:pPr>
            <w:r>
              <w:rPr>
                <w:rFonts w:hint="default"/>
                <w:color w:val="auto"/>
                <w:highlight w:val="none"/>
                <w:lang w:eastAsia="zh-CN"/>
              </w:rPr>
              <w:t>用作农肥</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规划区内现有矿井的生活污水处理方式主要有3种，一是直接收集经化粪池处理后用作农肥不外排；二是独立修建一座一体化生活污水处理设施，处理后达标排放；三是修建一座与矿井水一并处理的污水处理站，经处理达标后排放。以上三种方式是根据各个矿井的不同情况设置，均合理可行，但由于大部分矿井停产停运或受到今年雨季的洪水损毁，仅有柏林煤矿、堡子煤矿、平桥煤矿、观音煤矿4家煤矿的污水处理设施在正常运行。</w:t>
      </w:r>
    </w:p>
    <w:p>
      <w:pPr>
        <w:bidi w:val="0"/>
        <w:rPr>
          <w:rFonts w:hint="default"/>
          <w:color w:val="auto"/>
          <w:highlight w:val="none"/>
          <w:lang w:val="en-US" w:eastAsia="zh-CN"/>
        </w:rPr>
      </w:pPr>
      <w:r>
        <w:rPr>
          <w:rFonts w:hint="default"/>
          <w:color w:val="auto"/>
          <w:highlight w:val="none"/>
          <w:lang w:val="en-US" w:eastAsia="zh-CN"/>
        </w:rPr>
        <w:t>2、排水规划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（1）污水系统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各矿井应按照废水分类分质处理的原则，将矿井废水和生活污水分别进行处理，煤矿废水处理站应包含矿井废水处理系统和生活污水处理系统。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矿井废水经絮凝沉淀+过滤消毒后部分回用于矿井生产和厂区降尘用水（堆煤场、煤矸石场、厂区道路、车辆清洗、设备清洗等），生产废水回用率应不低于80%。剩余部分利用现状排水口达标排放。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矿区生活污水经二级生化处理后回用为厂区绿化用水及周边林地灌溉用水，不外排。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雨水系统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煤矿其地处山区，矿区内雨水采用砼管和排水地沟汇集后排入设在场区四周的主排水沟渠，并沿场区坡降自然排入流经工业场地附近的冲沟内，在各场地排出口附近下游处设置雨水沉淀池，经沉淀处理后外排。</w:t>
      </w:r>
    </w:p>
    <w:p>
      <w:pPr>
        <w:pStyle w:val="6"/>
        <w:bidi w:val="0"/>
        <w:rPr>
          <w:rFonts w:hint="default"/>
          <w:color w:val="auto"/>
          <w:highlight w:val="none"/>
          <w:lang w:val="en-US" w:eastAsia="zh-CN"/>
        </w:rPr>
      </w:pPr>
      <w:bookmarkStart w:id="124" w:name="_Toc28161"/>
      <w:bookmarkStart w:id="125" w:name="_Toc13860"/>
      <w:r>
        <w:rPr>
          <w:rFonts w:hint="default"/>
          <w:color w:val="auto"/>
          <w:highlight w:val="none"/>
          <w:lang w:val="en-US" w:eastAsia="zh-CN"/>
        </w:rPr>
        <w:t>2.1.12 矿区供电与信息网规划</w:t>
      </w:r>
      <w:bookmarkEnd w:id="124"/>
      <w:bookmarkEnd w:id="125"/>
    </w:p>
    <w:p>
      <w:pPr>
        <w:pStyle w:val="7"/>
        <w:bidi w:val="0"/>
        <w:rPr>
          <w:rFonts w:hint="default"/>
          <w:color w:val="auto"/>
          <w:highlight w:val="none"/>
          <w:lang w:val="en-US" w:eastAsia="zh-CN"/>
        </w:rPr>
      </w:pPr>
      <w:r>
        <w:rPr>
          <w:rFonts w:hint="default"/>
          <w:color w:val="auto"/>
          <w:highlight w:val="none"/>
          <w:lang w:val="en-US" w:eastAsia="zh-CN"/>
        </w:rPr>
        <w:t>2.1.12.1 供电规划</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de-DE"/>
        </w:rPr>
      </w:pPr>
      <w:r>
        <w:rPr>
          <w:rFonts w:hint="default" w:ascii="Times New Roman" w:hAnsi="Times New Roman" w:cs="Times New Roman"/>
          <w:bCs/>
          <w:color w:val="auto"/>
          <w:sz w:val="24"/>
          <w:szCs w:val="24"/>
          <w:highlight w:val="none"/>
          <w:lang w:val="de-DE"/>
        </w:rPr>
        <w:t>为满足矿区煤炭资源的全面开发，大竹供电局现正着手建设川主220kV变电站，预计2022年投运。建成后，届时将成为大竹县的主要下网点、枢纽点。川主220kV变电站需要分担城区变电站（双碑、乌木、茶园、云东）现有110kV网络供电压力。</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de-DE"/>
        </w:rPr>
      </w:pPr>
      <w:r>
        <w:rPr>
          <w:rFonts w:hint="default" w:ascii="Times New Roman" w:hAnsi="Times New Roman" w:cs="Times New Roman"/>
          <w:bCs/>
          <w:color w:val="auto"/>
          <w:sz w:val="24"/>
          <w:szCs w:val="24"/>
          <w:highlight w:val="none"/>
          <w:lang w:val="de-DE"/>
        </w:rPr>
        <w:t>根据《大竹县“十四·五”县（区）级电网发展规划》，大竹县“十四·五”期间规划扩建茶园110kV变电站（2×50MVA）、石桥110kV变电站（2×31.5MVA）、童家110kV变电站（2×40MVA）、庙坝110kV变电站（2×31.5MVA）等4座110kV变电站。同时规划建设庙坝—双碑110kV线路就近开断π接入川主220kV变电站，线路长约8km，庙坝侧导线型号为JL/G1A—240，双碑侧导线型号为JL/G1A—400，投运年限：2024年；茶园—双碑110kV线路就近开断π接入川主220kV变电站，线路长约8km，导线型号为JL/G1A—400，投运年限：2024年；乌木—云东110kV线路就近开断π接入川主220kV变电站，线路长约16km，导线型号为JL/G1A—400，投运年限：2024年；川主—庙坝110kV线路1回，线路长约12km，导线型号为JL/G1A—240，投运年限：2025年。这样，大竹县将形成可靠的110kV供电网络，能够满足境内煤炭资源开发所需的电能供应。</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de-DE"/>
        </w:rPr>
      </w:pPr>
      <w:r>
        <w:rPr>
          <w:rFonts w:hint="default" w:ascii="Times New Roman" w:hAnsi="Times New Roman" w:cs="Times New Roman"/>
          <w:bCs/>
          <w:color w:val="auto"/>
          <w:sz w:val="24"/>
          <w:szCs w:val="24"/>
          <w:highlight w:val="none"/>
          <w:lang w:val="de-DE"/>
        </w:rPr>
        <w:t>“十四·五”电网发展规划对大竹电网远景展望中，2021-2025年共新建110kV变电站1座，净增容量40MW；改造变电站4座，净增容量103MW。至2025年共有110千伏变电站8座，总容量66.8万千伏安；110kV线路6回，共计94km（其中均为架空线路），改造2回，共计14.671km。至2025年共有110kV线路19回，共计280.74</w:t>
      </w:r>
      <w:r>
        <w:rPr>
          <w:rFonts w:hint="default" w:ascii="Times New Roman" w:hAnsi="Times New Roman" w:cs="Times New Roman"/>
          <w:bCs/>
          <w:color w:val="auto"/>
          <w:sz w:val="24"/>
          <w:szCs w:val="24"/>
          <w:highlight w:val="none"/>
        </w:rPr>
        <w:t>km</w:t>
      </w:r>
      <w:r>
        <w:rPr>
          <w:rFonts w:hint="default" w:ascii="Times New Roman" w:hAnsi="Times New Roman" w:cs="Times New Roman"/>
          <w:bCs/>
          <w:color w:val="auto"/>
          <w:sz w:val="24"/>
          <w:szCs w:val="24"/>
          <w:highlight w:val="none"/>
          <w:lang w:val="de-DE"/>
        </w:rPr>
        <w:t>（其中线路均为架空线）；35kV变电站2座，净增容量24MVA，改造变电站9座，净增容量36.8MVA。至2025年有35千伏变电站20座，变电容量32.735万千伏安；35kV线路4回，共计53.9km（其中均为架空线路），共改造35kV线路6回，共计80.29m(其中均为架空线路)。至2025年共有35千伏线路41回，共计345.99</w:t>
      </w:r>
      <w:r>
        <w:rPr>
          <w:rFonts w:hint="default" w:ascii="Times New Roman" w:hAnsi="Times New Roman" w:cs="Times New Roman"/>
          <w:bCs/>
          <w:color w:val="auto"/>
          <w:sz w:val="24"/>
          <w:szCs w:val="24"/>
          <w:highlight w:val="none"/>
        </w:rPr>
        <w:t>km</w:t>
      </w:r>
      <w:r>
        <w:rPr>
          <w:rFonts w:hint="default" w:ascii="Times New Roman" w:hAnsi="Times New Roman" w:cs="Times New Roman"/>
          <w:bCs/>
          <w:color w:val="auto"/>
          <w:sz w:val="24"/>
          <w:szCs w:val="24"/>
          <w:highlight w:val="none"/>
          <w:lang w:val="de-DE"/>
        </w:rPr>
        <w:t>（其中均</w:t>
      </w:r>
      <w:r>
        <w:rPr>
          <w:rFonts w:hint="default" w:ascii="Times New Roman" w:hAnsi="Times New Roman" w:cs="Times New Roman"/>
          <w:color w:val="auto"/>
          <w:sz w:val="24"/>
          <w:szCs w:val="24"/>
          <w:highlight w:val="none"/>
        </w:rPr>
        <w:t>为</w:t>
      </w:r>
      <w:r>
        <w:rPr>
          <w:rFonts w:hint="default" w:ascii="Times New Roman" w:hAnsi="Times New Roman" w:cs="Times New Roman"/>
          <w:bCs/>
          <w:color w:val="auto"/>
          <w:sz w:val="24"/>
          <w:szCs w:val="24"/>
          <w:highlight w:val="none"/>
          <w:lang w:val="de-DE"/>
        </w:rPr>
        <w:t>架空线路）。</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de-DE"/>
        </w:rPr>
      </w:pPr>
      <w:r>
        <w:rPr>
          <w:rFonts w:hint="default" w:ascii="Times New Roman" w:hAnsi="Times New Roman" w:cs="Times New Roman"/>
          <w:bCs/>
          <w:color w:val="auto"/>
          <w:sz w:val="24"/>
          <w:szCs w:val="24"/>
          <w:highlight w:val="none"/>
          <w:lang w:val="de-DE"/>
        </w:rPr>
        <w:t>大竹县近期电网规划110kV变电站布点较广，能够满足各矿井建设的供电要求。因此矿区煤矿建设所需的供电电源是落实可靠的。</w:t>
      </w:r>
    </w:p>
    <w:p>
      <w:pPr>
        <w:pStyle w:val="7"/>
        <w:bidi w:val="0"/>
        <w:rPr>
          <w:rFonts w:hint="default"/>
          <w:color w:val="auto"/>
          <w:highlight w:val="none"/>
          <w:lang w:val="en-US" w:eastAsia="zh-CN"/>
        </w:rPr>
      </w:pPr>
      <w:r>
        <w:rPr>
          <w:rFonts w:hint="default"/>
          <w:color w:val="auto"/>
          <w:highlight w:val="none"/>
          <w:lang w:val="en-US" w:eastAsia="zh-CN"/>
        </w:rPr>
        <w:t>2.1.12.2 信息网规划</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矿区内已经建有中国电信、移动、联通的本地光纤传输环网，通讯安全可靠， 并且在各地区内也以建设有移动通讯基站。现有电信通讯网络能适应、覆盖各煤矿井所在地区中、长期有线、无线及高速数据传输之需求，能根据需要不断提升网络容量，满足其生产、生活信息化建设需要</w:t>
      </w:r>
      <w:r>
        <w:rPr>
          <w:rFonts w:hint="default" w:ascii="Times New Roman" w:hAnsi="Times New Roman" w:cs="Times New Roman"/>
          <w:color w:val="auto"/>
          <w:sz w:val="24"/>
          <w:szCs w:val="24"/>
          <w:highlight w:val="none"/>
          <w:lang w:eastAsia="zh-CN"/>
        </w:rPr>
        <w:t>。</w:t>
      </w:r>
    </w:p>
    <w:p>
      <w:pPr>
        <w:pStyle w:val="6"/>
        <w:bidi w:val="0"/>
        <w:rPr>
          <w:rFonts w:hint="default"/>
          <w:color w:val="auto"/>
          <w:highlight w:val="none"/>
          <w:lang w:val="en-US" w:eastAsia="zh-CN"/>
        </w:rPr>
      </w:pPr>
      <w:bookmarkStart w:id="126" w:name="_Toc10484"/>
      <w:bookmarkStart w:id="127" w:name="_Toc13057"/>
      <w:r>
        <w:rPr>
          <w:rFonts w:hint="default"/>
          <w:color w:val="auto"/>
          <w:highlight w:val="none"/>
          <w:lang w:val="en-US" w:eastAsia="zh-CN"/>
        </w:rPr>
        <w:t>2.1.13 供热规划</w:t>
      </w:r>
      <w:bookmarkEnd w:id="126"/>
      <w:bookmarkEnd w:id="127"/>
    </w:p>
    <w:p>
      <w:pPr>
        <w:bidi w:val="0"/>
        <w:rPr>
          <w:rFonts w:hint="default"/>
          <w:color w:val="auto"/>
          <w:highlight w:val="none"/>
        </w:rPr>
      </w:pPr>
      <w:r>
        <w:rPr>
          <w:rFonts w:hint="default"/>
          <w:color w:val="auto"/>
          <w:highlight w:val="none"/>
          <w:lang w:val="en-US" w:eastAsia="zh-CN"/>
        </w:rPr>
        <w:t>1</w:t>
      </w:r>
      <w:r>
        <w:rPr>
          <w:rFonts w:hint="default"/>
          <w:color w:val="auto"/>
          <w:highlight w:val="none"/>
        </w:rPr>
        <w:t>、采暖及空调制冷设备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竹县多年平均气温16.6℃，最高气温一般出现在8月（月平均气温26.6℃），极端最高温度39.4℃（1995年9月7日）。最低气温一般出现在1月（月平均气温6.0℃），极端最低气温-4.7℃（1991年12月28日）。故煤矿不设集中采暖及制冷系统，只在要求较高的办公楼的个别房间设置空调，并在浴室、更衣室及井口等候室等处采用设置热泵型空调装置进行采暖及空气调节，该类采暖及制冷设备均能满足矿井扩建后的采暖供热及空气调节的需要。</w:t>
      </w:r>
    </w:p>
    <w:p>
      <w:pPr>
        <w:bidi w:val="0"/>
        <w:rPr>
          <w:rFonts w:hint="default"/>
          <w:color w:val="auto"/>
          <w:highlight w:val="none"/>
        </w:rPr>
      </w:pPr>
      <w:r>
        <w:rPr>
          <w:rFonts w:hint="default"/>
          <w:color w:val="auto"/>
          <w:highlight w:val="none"/>
          <w:lang w:val="en-US" w:eastAsia="zh-CN"/>
        </w:rPr>
        <w:t>2</w:t>
      </w:r>
      <w:r>
        <w:rPr>
          <w:rFonts w:hint="default"/>
          <w:color w:val="auto"/>
          <w:highlight w:val="none"/>
        </w:rPr>
        <w:t>、采暖及空气调节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矿区气象条件，各矿井均不设集中采暖及制冷系统，各矿井根据自己要求在有需要的办公楼等个别房间设置空调，在浴室、更衣室及井口等候室等处采用设置热泵型空调装置进行采暖及空气调节，该类采暖及制冷设备均能满足各矿井的采暖供热及空气调节的需要。</w:t>
      </w:r>
    </w:p>
    <w:p>
      <w:pPr>
        <w:bidi w:val="0"/>
        <w:rPr>
          <w:rFonts w:hint="default"/>
          <w:color w:val="auto"/>
          <w:highlight w:val="none"/>
        </w:rPr>
      </w:pPr>
      <w:r>
        <w:rPr>
          <w:rFonts w:hint="default"/>
          <w:color w:val="auto"/>
          <w:highlight w:val="none"/>
          <w:lang w:val="en-US" w:eastAsia="zh-CN"/>
        </w:rPr>
        <w:t>3</w:t>
      </w:r>
      <w:r>
        <w:rPr>
          <w:rFonts w:hint="default"/>
          <w:color w:val="auto"/>
          <w:highlight w:val="none"/>
        </w:rPr>
        <w:t>、生活热水供应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热水供应对象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矿井的热水主要用于职工沐浴、下井职工衣物洗涤和食堂餐具的洗涤，故供应对象主要为浴室、洗衣房及食堂。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加热方式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矿井用热是在充分利用各矿井已有的瓦斯抽采及发电系统的基础上利用余热锅炉产生的热水作为主要的供热热源，即利用余热热锅炉产生的95℃高温热水作为热源。无瓦斯发电系统的矿井则采用空气源热泵+电加热辅助制热的方式供热，即采用以空气源热泵机组为主的制热装置产生的60℃热水作为供热介质。各矿井均采用恒温热水箱贮备热水直接供应浴室及洗衣房用热水，并现场采用电蒸汽制备设备产生的蒸汽烘干机烘干衣物，食堂用热水则采用管道天燃气或液化天燃气作为主要的燃料。除此之外，各矿井在井口综合楼、办公楼、井口等候室等处采用电开水炉的方式提供生活饮用水。</w:t>
      </w:r>
    </w:p>
    <w:p>
      <w:pPr>
        <w:pStyle w:val="6"/>
        <w:bidi w:val="0"/>
        <w:rPr>
          <w:rFonts w:hint="default"/>
          <w:color w:val="auto"/>
          <w:highlight w:val="none"/>
          <w:lang w:val="en-US" w:eastAsia="zh-CN"/>
        </w:rPr>
      </w:pPr>
      <w:bookmarkStart w:id="128" w:name="_Toc18551"/>
      <w:bookmarkStart w:id="129" w:name="_Toc8766"/>
      <w:r>
        <w:rPr>
          <w:rFonts w:hint="default"/>
          <w:color w:val="auto"/>
          <w:highlight w:val="none"/>
          <w:lang w:val="en-US" w:eastAsia="zh-CN"/>
        </w:rPr>
        <w:t>2.1.14 矿区环境保护规划</w:t>
      </w:r>
      <w:bookmarkEnd w:id="128"/>
      <w:bookmarkEnd w:id="129"/>
    </w:p>
    <w:p>
      <w:pPr>
        <w:pStyle w:val="7"/>
        <w:bidi w:val="0"/>
        <w:rPr>
          <w:rFonts w:hint="default"/>
          <w:color w:val="auto"/>
          <w:highlight w:val="none"/>
          <w:lang w:val="en-US" w:eastAsia="zh-CN"/>
        </w:rPr>
      </w:pPr>
      <w:r>
        <w:rPr>
          <w:rFonts w:hint="default"/>
          <w:color w:val="auto"/>
          <w:highlight w:val="none"/>
          <w:lang w:val="en-US" w:eastAsia="zh-CN"/>
        </w:rPr>
        <w:t>2.1.14.1 生态环境保护规划</w:t>
      </w:r>
    </w:p>
    <w:p>
      <w:pPr>
        <w:bidi w:val="0"/>
        <w:rPr>
          <w:rFonts w:hint="default"/>
          <w:color w:val="auto"/>
          <w:highlight w:val="none"/>
          <w:lang w:val="en-US" w:eastAsia="zh-CN"/>
        </w:rPr>
      </w:pPr>
      <w:r>
        <w:rPr>
          <w:rFonts w:hint="default"/>
          <w:color w:val="auto"/>
          <w:highlight w:val="none"/>
          <w:lang w:val="en-US" w:eastAsia="zh-CN"/>
        </w:rPr>
        <w:t>1、生态综合整治规划目标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根据《矿山生态环境保护与污染防治技术政策》，结合本矿区的实际情况和生态特征，确定矿区生态综合整治规划目标。具体目标见表 </w:t>
      </w:r>
      <w:r>
        <w:rPr>
          <w:rFonts w:hint="default" w:ascii="Times New Roman" w:hAnsi="Times New Roman" w:cs="Times New Roman"/>
          <w:color w:val="auto"/>
          <w:sz w:val="24"/>
          <w:szCs w:val="24"/>
          <w:highlight w:val="none"/>
          <w:lang w:val="en-US" w:eastAsia="zh-CN"/>
        </w:rPr>
        <w:t>2.1.14-1</w:t>
      </w:r>
      <w:r>
        <w:rPr>
          <w:rFonts w:hint="default" w:ascii="Times New Roman" w:hAnsi="Times New Roman" w:cs="Times New Roman"/>
          <w:color w:val="auto"/>
          <w:sz w:val="24"/>
          <w:szCs w:val="24"/>
          <w:highlight w:val="none"/>
        </w:rPr>
        <w:t>。</w:t>
      </w:r>
    </w:p>
    <w:p>
      <w:pPr>
        <w:pStyle w:val="22"/>
        <w:bidi w:val="0"/>
        <w:rPr>
          <w:rFonts w:hint="eastAsia"/>
          <w:color w:val="auto"/>
          <w:highlight w:val="none"/>
          <w:lang w:val="en-US" w:eastAsia="zh-CN"/>
        </w:rPr>
      </w:pPr>
      <w:r>
        <w:rPr>
          <w:rFonts w:hint="eastAsia"/>
          <w:color w:val="auto"/>
          <w:highlight w:val="none"/>
          <w:lang w:val="en-US" w:eastAsia="zh-CN"/>
        </w:rPr>
        <w:t>表2.1.14-1 生态综合整治及水土流失防治目标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项目</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评价指标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单位</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防治目标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生态恢复指标</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破坏土地复垦率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土地复垦程度</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复垦检验合格率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水土流失防治目标</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扰动土地整治率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水土流失总治理度</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土壤流失控制比</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拦渣率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林草植被恢复率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林草覆盖率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土壤荒漠化率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pStyle w:val="22"/>
              <w:bidi w:val="0"/>
              <w:rPr>
                <w:rFonts w:hint="eastAsia"/>
                <w:color w:val="auto"/>
                <w:highlight w:val="none"/>
                <w:lang w:val="en-US" w:eastAsia="zh-CN"/>
              </w:rPr>
            </w:pP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土壤盐渍化率</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＜1</w:t>
            </w:r>
          </w:p>
        </w:tc>
      </w:tr>
    </w:tbl>
    <w:p>
      <w:pPr>
        <w:bidi w:val="0"/>
        <w:rPr>
          <w:rFonts w:hint="eastAsia"/>
          <w:color w:val="auto"/>
          <w:highlight w:val="none"/>
          <w:lang w:val="en-US" w:eastAsia="zh-CN"/>
        </w:rPr>
      </w:pPr>
      <w:r>
        <w:rPr>
          <w:rFonts w:hint="eastAsia"/>
          <w:color w:val="auto"/>
          <w:highlight w:val="none"/>
          <w:lang w:val="en-US" w:eastAsia="zh-CN"/>
        </w:rPr>
        <w:t>2、塌陷区综合治理规划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矿区将塌陷治理和矸石合理处置结合起来，优先采用矸石充填法进行地表沉陷治理，并要求将矸石铺平夯实， 防止将积水引入井下， 同时也保持了地表平整， 防止水土流失，并逐步恢复生态</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塌陷土地治理率≥80%。</w:t>
      </w:r>
    </w:p>
    <w:p>
      <w:pPr>
        <w:bidi w:val="0"/>
        <w:rPr>
          <w:rFonts w:hint="eastAsia"/>
          <w:color w:val="auto"/>
          <w:highlight w:val="none"/>
          <w:lang w:val="en-US" w:eastAsia="zh-CN"/>
        </w:rPr>
      </w:pPr>
      <w:r>
        <w:rPr>
          <w:rFonts w:hint="eastAsia"/>
          <w:color w:val="auto"/>
          <w:highlight w:val="none"/>
          <w:lang w:val="en-US" w:eastAsia="zh-CN"/>
        </w:rPr>
        <w:t>3、矿区绿化</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结合当地植被的立地条件，厂区绿化采用当地耐旱植物进行绿化、美化，在办公区域采用花坛，道路两侧种植行道树，厂界四周种植防护林带，以起到绿色屏障的作用，降低厂内扬尘对外界的影响，工业场地、新建工业场地绿化面积达到 20％以上。</w:t>
      </w:r>
    </w:p>
    <w:p>
      <w:pPr>
        <w:pStyle w:val="7"/>
        <w:bidi w:val="0"/>
        <w:rPr>
          <w:rFonts w:hint="eastAsia"/>
          <w:color w:val="auto"/>
          <w:highlight w:val="none"/>
          <w:lang w:val="en-US" w:eastAsia="zh-CN"/>
        </w:rPr>
      </w:pPr>
      <w:r>
        <w:rPr>
          <w:rFonts w:hint="eastAsia"/>
          <w:color w:val="auto"/>
          <w:highlight w:val="none"/>
          <w:lang w:val="en-US" w:eastAsia="zh-CN"/>
        </w:rPr>
        <w:t>2.1.14.2 大气保护规划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1、煤炭转载、贮运</w:t>
      </w:r>
      <w:r>
        <w:rPr>
          <w:rFonts w:hint="eastAsia" w:ascii="Times New Roman" w:hAnsi="Times New Roman" w:cs="Times New Roman"/>
          <w:color w:val="auto"/>
          <w:sz w:val="24"/>
          <w:szCs w:val="24"/>
          <w:highlight w:val="none"/>
          <w:lang w:val="en-US" w:eastAsia="zh-CN"/>
        </w:rPr>
        <w:t>必须</w:t>
      </w:r>
      <w:r>
        <w:rPr>
          <w:rFonts w:hint="default" w:ascii="Times New Roman" w:hAnsi="Times New Roman" w:cs="Times New Roman"/>
          <w:color w:val="auto"/>
          <w:sz w:val="24"/>
          <w:szCs w:val="24"/>
          <w:highlight w:val="none"/>
        </w:rPr>
        <w:t>在封闭条件下操作，不设露天储煤场，对不封闭处应采取洒水除尘或其它降尘措施；</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2、临时排矸场配置洒水降尘装置，适时对矸石堆表面进行洒水抑尘。</w:t>
      </w:r>
    </w:p>
    <w:p>
      <w:pPr>
        <w:pStyle w:val="7"/>
        <w:bidi w:val="0"/>
        <w:rPr>
          <w:rFonts w:hint="eastAsia"/>
          <w:color w:val="auto"/>
          <w:highlight w:val="none"/>
          <w:lang w:val="en-US" w:eastAsia="zh-CN"/>
        </w:rPr>
      </w:pPr>
      <w:r>
        <w:rPr>
          <w:rFonts w:hint="eastAsia"/>
          <w:color w:val="auto"/>
          <w:highlight w:val="none"/>
          <w:lang w:val="en-US" w:eastAsia="zh-CN"/>
        </w:rPr>
        <w:t>2.1.14.3 水环境保护规划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各矿井均配备矿井水处理站、生活污水处理站。矿区选煤厂废水实行闭路循环，不外排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矿区废污水处理率达到100%</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矿井废水</w:t>
      </w:r>
      <w:r>
        <w:rPr>
          <w:rFonts w:hint="default" w:ascii="Times New Roman" w:hAnsi="Times New Roman" w:cs="Times New Roman"/>
          <w:color w:val="auto"/>
          <w:sz w:val="24"/>
          <w:szCs w:val="24"/>
          <w:highlight w:val="none"/>
        </w:rPr>
        <w:t>回用率达到</w:t>
      </w:r>
      <w:r>
        <w:rPr>
          <w:rFonts w:hint="eastAsia"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%以上</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生活污水处理后全部进行回用，洗选煤厂废水不排放</w:t>
      </w:r>
      <w:r>
        <w:rPr>
          <w:rFonts w:hint="default" w:ascii="Times New Roman" w:hAnsi="Times New Roman" w:cs="Times New Roman"/>
          <w:color w:val="auto"/>
          <w:sz w:val="24"/>
          <w:szCs w:val="24"/>
          <w:highlight w:val="none"/>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各个矿区井下排水采用絮凝沉淀、过滤、消毒工艺，处理后中水可作为井下洒水等环节，也可作为矿井生产用水、清洁用水及生活杂用水等循环利用， 不能利用部分外排</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回用率≥80%</w:t>
      </w:r>
      <w:r>
        <w:rPr>
          <w:rFonts w:hint="default" w:ascii="Times New Roman" w:hAnsi="Times New Roman" w:cs="Times New Roman"/>
          <w:color w:val="auto"/>
          <w:sz w:val="24"/>
          <w:szCs w:val="24"/>
          <w:highlight w:val="none"/>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生活污废水中主要含 SS、 CODcr、 BOD5、 油类等， 统一收集后进入各矿井生活污水处理站，采取化粪池+格栅+调节池+厌氧处理+好氧生物处理+过滤池+紫外线杀毒工艺</w:t>
      </w:r>
      <w:r>
        <w:rPr>
          <w:rFonts w:hint="eastAsia" w:ascii="Times New Roman" w:hAnsi="Times New Roman" w:cs="Times New Roman"/>
          <w:color w:val="auto"/>
          <w:sz w:val="24"/>
          <w:szCs w:val="24"/>
          <w:highlight w:val="none"/>
          <w:lang w:val="en-US" w:eastAsia="zh-CN"/>
        </w:rPr>
        <w:t>处理后作为厂区绿化用水及周边林地灌溉用水。</w:t>
      </w:r>
    </w:p>
    <w:p>
      <w:pPr>
        <w:pStyle w:val="7"/>
        <w:bidi w:val="0"/>
        <w:rPr>
          <w:rFonts w:hint="eastAsia"/>
          <w:color w:val="auto"/>
          <w:highlight w:val="none"/>
          <w:lang w:val="en-US" w:eastAsia="zh-CN"/>
        </w:rPr>
      </w:pPr>
      <w:r>
        <w:rPr>
          <w:rFonts w:hint="eastAsia"/>
          <w:color w:val="auto"/>
          <w:highlight w:val="none"/>
          <w:lang w:val="en-US" w:eastAsia="zh-CN"/>
        </w:rPr>
        <w:t>2.1.14.4 固体废弃物处置规划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建井及生产所产生矸石主要成份为基岩、 泥砂及少量煤炭等， 参照《一般工业固体废物储存、处置场污染控制标准》（GB18599-2001）属于第Ⅰ类一般工业固体废物。为了充分利用资源，保护环境，对固体废弃物先期应采取以下处理措施：</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矿区建设期间掘进矸石作为公路、矿井工业场地基础填方</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多余部分运至排矸场堆存。</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各矿井运营期间产生的煤矸石运至各自的排矸场，各排矸场内设置挡渣墙、截排水沟等水保设置，并确保其取用方便，待塌陷稳定后煤矸石用于填注沉陷坑；对煤矸石成分检测，将其综合利用，以减少煤矸石排放造成的环境影响。 闭坑期煤矸石取用后，对矸石场采取工程、绿化相结合的治理措施，以恢复到现有植被覆盖水平。</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各矿井工业场地内设置生活垃圾收集设施，定期清运至当地生活垃圾收集点。</w:t>
      </w:r>
    </w:p>
    <w:p>
      <w:pPr>
        <w:pStyle w:val="7"/>
        <w:bidi w:val="0"/>
        <w:rPr>
          <w:rFonts w:hint="default"/>
          <w:color w:val="auto"/>
          <w:highlight w:val="none"/>
          <w:lang w:val="en-US" w:eastAsia="zh-CN"/>
        </w:rPr>
      </w:pPr>
      <w:r>
        <w:rPr>
          <w:rFonts w:hint="default"/>
          <w:color w:val="auto"/>
          <w:highlight w:val="none"/>
          <w:lang w:val="en-US" w:eastAsia="zh-CN"/>
        </w:rPr>
        <w:t>2.1.1</w:t>
      </w:r>
      <w:r>
        <w:rPr>
          <w:rFonts w:hint="eastAsia"/>
          <w:color w:val="auto"/>
          <w:highlight w:val="none"/>
          <w:lang w:val="en-US" w:eastAsia="zh-CN"/>
        </w:rPr>
        <w:t>4</w:t>
      </w:r>
      <w:r>
        <w:rPr>
          <w:rFonts w:hint="default"/>
          <w:color w:val="auto"/>
          <w:highlight w:val="none"/>
          <w:lang w:val="en-US" w:eastAsia="zh-CN"/>
        </w:rPr>
        <w:t>.5 声环境保护规划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矿井各生产环节的高噪声设备，在设备选型时均考虑配带消声、隔声装置。 对于噪声源集中的地方，如提升机房、通风机房以及煤矿选煤厂均设隔声控制室， 隔声室的门窗采用双层隔声门窗。</w:t>
      </w:r>
    </w:p>
    <w:p>
      <w:pPr>
        <w:pStyle w:val="7"/>
        <w:bidi w:val="0"/>
        <w:rPr>
          <w:rFonts w:hint="eastAsia"/>
          <w:color w:val="auto"/>
          <w:highlight w:val="none"/>
          <w:lang w:val="en-US" w:eastAsia="zh-CN"/>
        </w:rPr>
      </w:pPr>
      <w:r>
        <w:rPr>
          <w:rFonts w:hint="eastAsia"/>
          <w:color w:val="auto"/>
          <w:highlight w:val="none"/>
          <w:lang w:val="en-US" w:eastAsia="zh-CN"/>
        </w:rPr>
        <w:t>2.1.14.6 村庄搬迁规划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本规划不涉及村庄搬迁。</w:t>
      </w:r>
    </w:p>
    <w:p>
      <w:pPr>
        <w:pStyle w:val="7"/>
        <w:bidi w:val="0"/>
        <w:rPr>
          <w:rFonts w:hint="eastAsia"/>
          <w:color w:val="auto"/>
          <w:highlight w:val="none"/>
          <w:lang w:val="en-US" w:eastAsia="zh-CN"/>
        </w:rPr>
      </w:pPr>
      <w:r>
        <w:rPr>
          <w:rFonts w:hint="eastAsia"/>
          <w:color w:val="auto"/>
          <w:highlight w:val="none"/>
          <w:lang w:val="en-US" w:eastAsia="zh-CN"/>
        </w:rPr>
        <w:t>2.1.14.7 环境管理与监控计划</w:t>
      </w:r>
    </w:p>
    <w:p>
      <w:pPr>
        <w:bidi w:val="0"/>
        <w:rPr>
          <w:rFonts w:hint="default"/>
          <w:color w:val="auto"/>
          <w:highlight w:val="none"/>
        </w:rPr>
      </w:pPr>
      <w:r>
        <w:rPr>
          <w:rFonts w:hint="default"/>
          <w:color w:val="auto"/>
          <w:highlight w:val="none"/>
        </w:rPr>
        <w:t>1、环境管理</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矿区各矿井配置专门的环保部门，机构人员配置 1-3 人，成立专门的环境管理机构，配置 2~3 人，</w:t>
      </w:r>
      <w:r>
        <w:rPr>
          <w:rFonts w:hint="eastAsia" w:ascii="Times New Roman" w:hAnsi="Times New Roman" w:cs="Times New Roman"/>
          <w:color w:val="auto"/>
          <w:sz w:val="24"/>
          <w:szCs w:val="24"/>
          <w:highlight w:val="none"/>
          <w:lang w:val="en-US" w:eastAsia="zh-CN"/>
        </w:rPr>
        <w:t>达州市大竹</w:t>
      </w:r>
      <w:r>
        <w:rPr>
          <w:rFonts w:hint="default" w:ascii="Times New Roman" w:hAnsi="Times New Roman" w:cs="Times New Roman"/>
          <w:color w:val="auto"/>
          <w:sz w:val="24"/>
          <w:szCs w:val="24"/>
          <w:highlight w:val="none"/>
        </w:rPr>
        <w:t>生态环境局实施监督管理。环境管理机构职责如下：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（1）认真贯彻执行国家和地方政府、 环保行政管理部门颁布的有关法律、 法规和</w:t>
      </w:r>
      <w:r>
        <w:rPr>
          <w:rFonts w:hint="eastAsia" w:ascii="Times New Roman" w:hAnsi="Times New Roman" w:cs="Times New Roman"/>
          <w:color w:val="auto"/>
          <w:sz w:val="24"/>
          <w:szCs w:val="24"/>
          <w:highlight w:val="none"/>
          <w:lang w:val="en-US" w:eastAsia="zh-CN"/>
        </w:rPr>
        <w:t>标准；</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（2）制定环境管理目标、指标和方案以及监控计划等，组织各项目的环境统计和污染源建档等工作，并编制环境监测报告；</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（3）负责各环保基础设施的运行和维修，确保其正常稳定运行</w:t>
      </w:r>
      <w:r>
        <w:rPr>
          <w:rFonts w:hint="eastAsia" w:ascii="Times New Roman" w:hAnsi="Times New Roman" w:cs="Times New Roman"/>
          <w:color w:val="auto"/>
          <w:sz w:val="24"/>
          <w:szCs w:val="24"/>
          <w:highlight w:val="none"/>
          <w:lang w:eastAsia="zh-CN"/>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（4）负责对规划开发活动者进行环境教育与培训</w:t>
      </w:r>
      <w:r>
        <w:rPr>
          <w:rFonts w:hint="eastAsia" w:ascii="Times New Roman" w:hAnsi="Times New Roman" w:cs="Times New Roman"/>
          <w:color w:val="auto"/>
          <w:sz w:val="24"/>
          <w:szCs w:val="24"/>
          <w:highlight w:val="none"/>
          <w:lang w:eastAsia="zh-CN"/>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（5）负责有关环境事务方面的对外联络，如及时了解政府有关部门的相关环境政策和法规的颁布与修改，并及时贯彻和执行；负责对公众的联络、解释、 答复和协调矿区涉及公共利益的活动及相应措施</w:t>
      </w:r>
      <w:r>
        <w:rPr>
          <w:rFonts w:hint="eastAsia" w:ascii="Times New Roman" w:hAnsi="Times New Roman" w:cs="Times New Roman"/>
          <w:color w:val="auto"/>
          <w:sz w:val="24"/>
          <w:szCs w:val="24"/>
          <w:highlight w:val="none"/>
          <w:lang w:eastAsia="zh-CN"/>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（6）组织建立各项目的危废贮存、申报、经营许可、转移、排放制度</w:t>
      </w:r>
      <w:r>
        <w:rPr>
          <w:rFonts w:hint="eastAsia" w:ascii="Times New Roman" w:hAnsi="Times New Roman" w:cs="Times New Roman"/>
          <w:color w:val="auto"/>
          <w:sz w:val="24"/>
          <w:szCs w:val="24"/>
          <w:highlight w:val="none"/>
          <w:lang w:eastAsia="zh-CN"/>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（7）努力促进矿区按照 ISO14000 标准建立环境管理体系。</w:t>
      </w:r>
    </w:p>
    <w:p>
      <w:pPr>
        <w:bidi w:val="0"/>
        <w:rPr>
          <w:rFonts w:hint="eastAsia"/>
          <w:color w:val="auto"/>
          <w:highlight w:val="none"/>
          <w:lang w:val="en-US" w:eastAsia="zh-CN"/>
        </w:rPr>
      </w:pPr>
      <w:r>
        <w:rPr>
          <w:rFonts w:hint="eastAsia"/>
          <w:color w:val="auto"/>
          <w:highlight w:val="none"/>
          <w:lang w:val="en-US" w:eastAsia="zh-CN"/>
        </w:rPr>
        <w:t>2、环境监测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（1）监测范围</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包括矿区环境质量监测、污染源监测、生态环境影响调查及污染事故应急监测四部分。</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（2）监测机构</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考虑矿区环境监测，单独设立矿区环境保护机构，并配备相应常规监测设备及人员负责矿区环境质量监测以及各规划项目的污染源日常监测工作；每年还应委托</w:t>
      </w:r>
      <w:r>
        <w:rPr>
          <w:rFonts w:hint="eastAsia" w:ascii="Times New Roman" w:hAnsi="Times New Roman" w:cs="Times New Roman"/>
          <w:color w:val="auto"/>
          <w:sz w:val="24"/>
          <w:szCs w:val="24"/>
          <w:highlight w:val="none"/>
          <w:lang w:val="en-US" w:eastAsia="zh-CN"/>
        </w:rPr>
        <w:t>监测机构</w:t>
      </w:r>
      <w:r>
        <w:rPr>
          <w:rFonts w:hint="default" w:ascii="Times New Roman" w:hAnsi="Times New Roman" w:cs="Times New Roman"/>
          <w:color w:val="auto"/>
          <w:sz w:val="24"/>
          <w:szCs w:val="24"/>
          <w:highlight w:val="none"/>
        </w:rPr>
        <w:t>对矿区环境质量现状进行全面监测评估。</w:t>
      </w:r>
    </w:p>
    <w:p>
      <w:pPr>
        <w:bidi w:val="0"/>
        <w:rPr>
          <w:rFonts w:hint="eastAsia"/>
          <w:color w:val="auto"/>
          <w:highlight w:val="none"/>
          <w:lang w:val="en-US" w:eastAsia="zh-CN"/>
        </w:rPr>
      </w:pPr>
      <w:r>
        <w:rPr>
          <w:rFonts w:hint="eastAsia"/>
          <w:color w:val="auto"/>
          <w:highlight w:val="none"/>
          <w:lang w:val="en-US" w:eastAsia="zh-CN"/>
        </w:rPr>
        <w:t>3、环境质量监测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环境质量监测项目、监测频率及监测点设置见表</w:t>
      </w:r>
      <w:r>
        <w:rPr>
          <w:rFonts w:hint="eastAsia" w:ascii="Times New Roman" w:hAnsi="Times New Roman" w:cs="Times New Roman"/>
          <w:color w:val="auto"/>
          <w:sz w:val="24"/>
          <w:szCs w:val="24"/>
          <w:highlight w:val="none"/>
          <w:lang w:val="en-US" w:eastAsia="zh-CN"/>
        </w:rPr>
        <w:t>2.1.14-1</w:t>
      </w:r>
      <w:r>
        <w:rPr>
          <w:rFonts w:hint="default" w:ascii="Times New Roman" w:hAnsi="Times New Roman" w:cs="Times New Roman"/>
          <w:color w:val="auto"/>
          <w:sz w:val="24"/>
          <w:szCs w:val="24"/>
          <w:highlight w:val="none"/>
        </w:rPr>
        <w:t>。</w:t>
      </w:r>
    </w:p>
    <w:p>
      <w:pPr>
        <w:pStyle w:val="22"/>
        <w:bidi w:val="0"/>
        <w:rPr>
          <w:rFonts w:hint="default"/>
          <w:color w:val="auto"/>
          <w:highlight w:val="none"/>
          <w:lang w:val="en-US" w:eastAsia="zh-CN"/>
        </w:rPr>
      </w:pPr>
      <w:r>
        <w:rPr>
          <w:rFonts w:hint="default"/>
          <w:color w:val="auto"/>
          <w:highlight w:val="none"/>
          <w:lang w:val="en-US" w:eastAsia="zh-CN"/>
        </w:rPr>
        <w:t>表2.1.14-1 环境质量监测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lang w:val="en-US" w:eastAsia="zh-CN"/>
        </w:rPr>
      </w:pPr>
      <w:r>
        <w:rPr>
          <w:color w:val="auto"/>
          <w:highlight w:val="none"/>
        </w:rPr>
        <w:drawing>
          <wp:inline distT="0" distB="0" distL="114300" distR="114300">
            <wp:extent cx="5270500" cy="2622550"/>
            <wp:effectExtent l="0" t="0" r="6350" b="6350"/>
            <wp:docPr id="1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
                    <pic:cNvPicPr>
                      <a:picLocks noChangeAspect="1"/>
                    </pic:cNvPicPr>
                  </pic:nvPicPr>
                  <pic:blipFill>
                    <a:blip r:embed="rId43"/>
                    <a:stretch>
                      <a:fillRect/>
                    </a:stretch>
                  </pic:blipFill>
                  <pic:spPr>
                    <a:xfrm>
                      <a:off x="0" y="0"/>
                      <a:ext cx="5270500" cy="2622550"/>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4、污染源监测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矿区内污染源监测包括：大气污染源、水污染源、噪声污染源、采煤地表沉陷等。监测项目、监测频率及监测点设置见表 </w:t>
      </w:r>
      <w:r>
        <w:rPr>
          <w:rFonts w:hint="eastAsia" w:ascii="Times New Roman" w:hAnsi="Times New Roman" w:cs="Times New Roman"/>
          <w:color w:val="auto"/>
          <w:sz w:val="24"/>
          <w:szCs w:val="24"/>
          <w:highlight w:val="none"/>
          <w:lang w:val="en-US" w:eastAsia="zh-CN"/>
        </w:rPr>
        <w:t>2.1.14-2</w:t>
      </w:r>
      <w:r>
        <w:rPr>
          <w:rFonts w:hint="default" w:ascii="Times New Roman" w:hAnsi="Times New Roman" w:cs="Times New Roman"/>
          <w:color w:val="auto"/>
          <w:sz w:val="24"/>
          <w:szCs w:val="24"/>
          <w:highlight w:val="none"/>
        </w:rPr>
        <w:t>。</w:t>
      </w:r>
    </w:p>
    <w:p>
      <w:pPr>
        <w:pStyle w:val="22"/>
        <w:bidi w:val="0"/>
        <w:rPr>
          <w:rFonts w:hint="default"/>
          <w:color w:val="auto"/>
          <w:highlight w:val="none"/>
          <w:lang w:val="en-US" w:eastAsia="zh-CN"/>
        </w:rPr>
      </w:pPr>
      <w:r>
        <w:rPr>
          <w:rFonts w:hint="default"/>
          <w:color w:val="auto"/>
          <w:highlight w:val="none"/>
          <w:lang w:val="en-US" w:eastAsia="zh-CN"/>
        </w:rPr>
        <w:t>表2.1.14-</w:t>
      </w:r>
      <w:r>
        <w:rPr>
          <w:rFonts w:hint="eastAsia"/>
          <w:color w:val="auto"/>
          <w:highlight w:val="none"/>
          <w:lang w:val="en-US" w:eastAsia="zh-CN"/>
        </w:rPr>
        <w:t>2</w:t>
      </w:r>
      <w:r>
        <w:rPr>
          <w:rFonts w:hint="default"/>
          <w:color w:val="auto"/>
          <w:highlight w:val="none"/>
          <w:lang w:val="en-US" w:eastAsia="zh-CN"/>
        </w:rPr>
        <w:t xml:space="preserve"> </w:t>
      </w:r>
      <w:r>
        <w:rPr>
          <w:rFonts w:hint="eastAsia"/>
          <w:color w:val="auto"/>
          <w:highlight w:val="none"/>
          <w:lang w:val="en-US" w:eastAsia="zh-CN"/>
        </w:rPr>
        <w:t>污染源</w:t>
      </w:r>
      <w:r>
        <w:rPr>
          <w:rFonts w:hint="default"/>
          <w:color w:val="auto"/>
          <w:highlight w:val="none"/>
          <w:lang w:val="en-US" w:eastAsia="zh-CN"/>
        </w:rPr>
        <w:t>监测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lang w:val="en-US" w:eastAsia="zh-CN"/>
        </w:rPr>
      </w:pPr>
      <w:r>
        <w:rPr>
          <w:color w:val="auto"/>
          <w:highlight w:val="none"/>
        </w:rPr>
        <w:drawing>
          <wp:inline distT="0" distB="0" distL="114300" distR="114300">
            <wp:extent cx="5270500" cy="2164080"/>
            <wp:effectExtent l="0" t="0" r="6350" b="7620"/>
            <wp:docPr id="1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3"/>
                    <pic:cNvPicPr>
                      <a:picLocks noChangeAspect="1"/>
                    </pic:cNvPicPr>
                  </pic:nvPicPr>
                  <pic:blipFill>
                    <a:blip r:embed="rId44"/>
                    <a:stretch>
                      <a:fillRect/>
                    </a:stretch>
                  </pic:blipFill>
                  <pic:spPr>
                    <a:xfrm>
                      <a:off x="0" y="0"/>
                      <a:ext cx="5270500" cy="2164080"/>
                    </a:xfrm>
                    <a:prstGeom prst="rect">
                      <a:avLst/>
                    </a:prstGeom>
                    <a:noFill/>
                    <a:ln>
                      <a:noFill/>
                    </a:ln>
                  </pic:spPr>
                </pic:pic>
              </a:graphicData>
            </a:graphic>
          </wp:inline>
        </w:drawing>
      </w:r>
    </w:p>
    <w:p>
      <w:pPr>
        <w:pStyle w:val="6"/>
        <w:bidi w:val="0"/>
        <w:rPr>
          <w:rFonts w:hint="eastAsia"/>
          <w:color w:val="auto"/>
          <w:highlight w:val="none"/>
          <w:lang w:val="en-US" w:eastAsia="zh-CN"/>
        </w:rPr>
      </w:pPr>
      <w:bookmarkStart w:id="130" w:name="_Toc24298"/>
      <w:bookmarkStart w:id="131" w:name="_Toc27294"/>
      <w:r>
        <w:rPr>
          <w:rFonts w:hint="eastAsia"/>
          <w:color w:val="auto"/>
          <w:highlight w:val="none"/>
          <w:lang w:val="en-US" w:eastAsia="zh-CN"/>
        </w:rPr>
        <w:t>2.1.15 矿区水土保持规划</w:t>
      </w:r>
      <w:bookmarkEnd w:id="130"/>
      <w:bookmarkEnd w:id="131"/>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采用《水土保持综合治理技术规范》 要求， 中部矿区水土保持防治目标见表 </w:t>
      </w:r>
      <w:r>
        <w:rPr>
          <w:rFonts w:hint="eastAsia" w:ascii="Times New Roman" w:hAnsi="Times New Roman" w:cs="Times New Roman"/>
          <w:color w:val="auto"/>
          <w:sz w:val="24"/>
          <w:szCs w:val="24"/>
          <w:highlight w:val="none"/>
          <w:lang w:val="en-US" w:eastAsia="zh-CN"/>
        </w:rPr>
        <w:t>2.1.15-1</w:t>
      </w:r>
      <w:r>
        <w:rPr>
          <w:rFonts w:hint="default" w:ascii="Times New Roman" w:hAnsi="Times New Roman" w:cs="Times New Roman"/>
          <w:color w:val="auto"/>
          <w:sz w:val="24"/>
          <w:szCs w:val="24"/>
          <w:highlight w:val="none"/>
        </w:rPr>
        <w:t>。</w:t>
      </w:r>
    </w:p>
    <w:p>
      <w:pPr>
        <w:pStyle w:val="22"/>
        <w:bidi w:val="0"/>
        <w:rPr>
          <w:rFonts w:hint="eastAsia"/>
          <w:color w:val="auto"/>
          <w:highlight w:val="none"/>
          <w:lang w:val="en-US" w:eastAsia="zh-CN"/>
        </w:rPr>
      </w:pPr>
      <w:r>
        <w:rPr>
          <w:rFonts w:hint="eastAsia"/>
          <w:color w:val="auto"/>
          <w:highlight w:val="none"/>
          <w:lang w:val="en-US" w:eastAsia="zh-CN"/>
        </w:rPr>
        <w:t>表2.1.15-1 矿区水土保持防治目标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3607"/>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序号</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名称</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1</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水土流失治理程度</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2</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扰动土地治理率</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3</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水土流失控制比</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4</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拦渣率</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5</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植被恢复系数</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6</w:t>
            </w:r>
          </w:p>
        </w:tc>
        <w:tc>
          <w:tcPr>
            <w:tcW w:w="3607"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林草植被覆盖度</w:t>
            </w:r>
          </w:p>
        </w:tc>
        <w:tc>
          <w:tcPr>
            <w:tcW w:w="2841" w:type="dxa"/>
            <w:noWrap w:val="0"/>
            <w:vAlign w:val="top"/>
          </w:tcPr>
          <w:p>
            <w:pPr>
              <w:pStyle w:val="22"/>
              <w:bidi w:val="0"/>
              <w:rPr>
                <w:rFonts w:hint="eastAsia"/>
                <w:color w:val="auto"/>
                <w:highlight w:val="none"/>
                <w:lang w:val="en-US" w:eastAsia="zh-CN"/>
              </w:rPr>
            </w:pPr>
            <w:r>
              <w:rPr>
                <w:rFonts w:hint="eastAsia"/>
                <w:color w:val="auto"/>
                <w:highlight w:val="none"/>
                <w:lang w:val="en-US" w:eastAsia="zh-CN"/>
              </w:rPr>
              <w:t>＞35%</w:t>
            </w:r>
          </w:p>
        </w:tc>
      </w:tr>
    </w:tbl>
    <w:p>
      <w:pPr>
        <w:bidi w:val="0"/>
        <w:rPr>
          <w:rFonts w:hint="default"/>
          <w:color w:val="auto"/>
          <w:highlight w:val="none"/>
        </w:rPr>
      </w:pPr>
      <w:r>
        <w:rPr>
          <w:rFonts w:hint="default"/>
          <w:color w:val="auto"/>
          <w:highlight w:val="none"/>
        </w:rPr>
        <w:t>1、工业场地水土保持规划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（1）在工业场地和进场沿线设置的排水沟采用浆砌片石砌筑；</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 产区种植高低相结合的乔灌木，形成隔离林带，防止污染扩散；办公及居住区应以美化环境为主，种植树木、布置花坛、草坪等。道路的绿化以种植道树为主，选择适宜的树种，进行多种树种混栽，形成沿道路的绿化带。工业场地绿化系数不能低于</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p>
    <w:p>
      <w:pPr>
        <w:bidi w:val="0"/>
        <w:rPr>
          <w:rFonts w:hint="default"/>
          <w:color w:val="auto"/>
          <w:highlight w:val="none"/>
        </w:rPr>
      </w:pPr>
      <w:r>
        <w:rPr>
          <w:rFonts w:hint="default"/>
          <w:color w:val="auto"/>
          <w:highlight w:val="none"/>
        </w:rPr>
        <w:t>2、排矸场水土保持规划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排矸场沟口处的挡渣墙、截水沟、排水沟等相应水保设施，以达到环保、水保要求。</w:t>
      </w:r>
    </w:p>
    <w:p>
      <w:pPr>
        <w:bidi w:val="0"/>
        <w:rPr>
          <w:rFonts w:hint="default"/>
          <w:color w:val="auto"/>
          <w:highlight w:val="none"/>
        </w:rPr>
      </w:pPr>
      <w:r>
        <w:rPr>
          <w:rFonts w:hint="default"/>
          <w:color w:val="auto"/>
          <w:highlight w:val="none"/>
        </w:rPr>
        <w:t>3、沉陷区水土保持规划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对台阶状沉陷和坑穴沉陷中心区域采用填矸覆土（土层厚度≥0.5m） 措施， 外围区域采用压实整平措施，宽裂缝、表土堆砌地带采用削高填洼、削坡、整平方案。</w:t>
      </w:r>
    </w:p>
    <w:p>
      <w:pPr>
        <w:pStyle w:val="6"/>
        <w:bidi w:val="0"/>
        <w:rPr>
          <w:rFonts w:hint="eastAsia"/>
          <w:color w:val="auto"/>
          <w:highlight w:val="none"/>
          <w:lang w:val="en-US" w:eastAsia="zh-CN"/>
        </w:rPr>
      </w:pPr>
      <w:bookmarkStart w:id="132" w:name="_Toc14454"/>
      <w:bookmarkStart w:id="133" w:name="_Toc19069"/>
      <w:r>
        <w:rPr>
          <w:rFonts w:hint="eastAsia"/>
          <w:color w:val="auto"/>
          <w:highlight w:val="none"/>
          <w:lang w:val="en-US" w:eastAsia="zh-CN"/>
        </w:rPr>
        <w:t>2.1.16 矿区土地复垦规划方案</w:t>
      </w:r>
      <w:bookmarkEnd w:id="132"/>
      <w:bookmarkEnd w:id="133"/>
    </w:p>
    <w:p>
      <w:pPr>
        <w:bidi w:val="0"/>
        <w:rPr>
          <w:rFonts w:hint="eastAsia"/>
          <w:color w:val="auto"/>
          <w:highlight w:val="none"/>
          <w:lang w:val="en-US" w:eastAsia="zh-CN"/>
        </w:rPr>
      </w:pPr>
      <w:r>
        <w:rPr>
          <w:rFonts w:hint="eastAsia"/>
          <w:color w:val="auto"/>
          <w:highlight w:val="none"/>
          <w:lang w:val="en-US" w:eastAsia="zh-CN"/>
        </w:rPr>
        <w:t>1、土地复垦目标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根据项目区自然气候条件、地形地貌和破坏强度等将矿区划分为不同复垦单元，各单元土地复垦目标见表</w:t>
      </w:r>
      <w:r>
        <w:rPr>
          <w:rFonts w:hint="eastAsia" w:ascii="Times New Roman" w:hAnsi="Times New Roman" w:cs="Times New Roman"/>
          <w:color w:val="auto"/>
          <w:sz w:val="24"/>
          <w:szCs w:val="24"/>
          <w:highlight w:val="none"/>
          <w:lang w:val="en-US" w:eastAsia="zh-CN"/>
        </w:rPr>
        <w:t>2.1.16-1</w:t>
      </w:r>
      <w:r>
        <w:rPr>
          <w:rFonts w:hint="default" w:ascii="Times New Roman" w:hAnsi="Times New Roman" w:cs="Times New Roman"/>
          <w:color w:val="auto"/>
          <w:sz w:val="24"/>
          <w:szCs w:val="24"/>
          <w:highlight w:val="none"/>
        </w:rPr>
        <w:t>。</w:t>
      </w:r>
    </w:p>
    <w:p>
      <w:pPr>
        <w:pStyle w:val="22"/>
        <w:bidi w:val="0"/>
        <w:rPr>
          <w:rFonts w:hint="eastAsia"/>
          <w:color w:val="auto"/>
          <w:highlight w:val="none"/>
          <w:lang w:val="en-US" w:eastAsia="zh-CN"/>
        </w:rPr>
      </w:pPr>
      <w:r>
        <w:rPr>
          <w:rFonts w:hint="eastAsia"/>
          <w:color w:val="auto"/>
          <w:highlight w:val="none"/>
          <w:lang w:val="en-US" w:eastAsia="zh-CN"/>
        </w:rPr>
        <w:t>表2.1.16-1 各单元土地复垦目标统计表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091"/>
        <w:gridCol w:w="1159"/>
        <w:gridCol w:w="1145"/>
        <w:gridCol w:w="1037"/>
        <w:gridCol w:w="1145"/>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pStyle w:val="22"/>
              <w:bidi w:val="0"/>
              <w:rPr>
                <w:rFonts w:hint="eastAsia"/>
                <w:color w:val="auto"/>
                <w:highlight w:val="none"/>
                <w:lang w:val="en-US" w:eastAsia="zh-CN"/>
              </w:rPr>
            </w:pPr>
          </w:p>
        </w:tc>
        <w:tc>
          <w:tcPr>
            <w:tcW w:w="109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矸石场</w:t>
            </w:r>
          </w:p>
        </w:tc>
        <w:tc>
          <w:tcPr>
            <w:tcW w:w="1159"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生活区</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工业场地</w:t>
            </w:r>
          </w:p>
        </w:tc>
        <w:tc>
          <w:tcPr>
            <w:tcW w:w="1037"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沉陷区</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道路两侧</w:t>
            </w:r>
          </w:p>
        </w:tc>
        <w:tc>
          <w:tcPr>
            <w:tcW w:w="1102"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综合目标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破坏土地复垦率</w:t>
            </w:r>
          </w:p>
        </w:tc>
        <w:tc>
          <w:tcPr>
            <w:tcW w:w="109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59"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＞95%</w:t>
            </w:r>
          </w:p>
        </w:tc>
        <w:tc>
          <w:tcPr>
            <w:tcW w:w="1037"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02"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土地复垦程度</w:t>
            </w:r>
          </w:p>
        </w:tc>
        <w:tc>
          <w:tcPr>
            <w:tcW w:w="109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＞85%</w:t>
            </w:r>
          </w:p>
        </w:tc>
        <w:tc>
          <w:tcPr>
            <w:tcW w:w="1159"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＞85%</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＞82%</w:t>
            </w:r>
          </w:p>
        </w:tc>
        <w:tc>
          <w:tcPr>
            <w:tcW w:w="1037"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＞85%</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＞85%</w:t>
            </w:r>
          </w:p>
        </w:tc>
        <w:tc>
          <w:tcPr>
            <w:tcW w:w="1102"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复垦验收合格率</w:t>
            </w:r>
          </w:p>
        </w:tc>
        <w:tc>
          <w:tcPr>
            <w:tcW w:w="109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c>
          <w:tcPr>
            <w:tcW w:w="1159"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c>
          <w:tcPr>
            <w:tcW w:w="1037"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c>
          <w:tcPr>
            <w:tcW w:w="1102"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植被恢复率</w:t>
            </w:r>
          </w:p>
        </w:tc>
        <w:tc>
          <w:tcPr>
            <w:tcW w:w="109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59"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037"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c>
          <w:tcPr>
            <w:tcW w:w="1102"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植被覆盖度</w:t>
            </w:r>
          </w:p>
        </w:tc>
        <w:tc>
          <w:tcPr>
            <w:tcW w:w="109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＞35%</w:t>
            </w:r>
          </w:p>
        </w:tc>
        <w:tc>
          <w:tcPr>
            <w:tcW w:w="1159"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＞25%</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＞25%</w:t>
            </w:r>
          </w:p>
        </w:tc>
        <w:tc>
          <w:tcPr>
            <w:tcW w:w="1037"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＞25%</w:t>
            </w:r>
          </w:p>
        </w:tc>
        <w:tc>
          <w:tcPr>
            <w:tcW w:w="1145"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＞25%</w:t>
            </w:r>
          </w:p>
        </w:tc>
        <w:tc>
          <w:tcPr>
            <w:tcW w:w="1102"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＞25%</w:t>
            </w:r>
          </w:p>
        </w:tc>
      </w:tr>
    </w:tbl>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2、土地复垦措施</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根据煤矿开采特点及施工工艺、时序，结合工程土地复垦适宜性分析，本矿区土地复垦主要采取以下几种工程技术措施：</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（1）耕作层腐殖质土剥离及堆放</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根据项目区各复垦单元立地条件和耕作层厚度， 确定其不同的剥离厚度和堆放点，表土在临近复垦单元境外的地方建立临时的表土堆放场，贮存表土，在土地复垦时将表土覆盖在复垦平整后的地表，以恢复植被或种树种草。在采区、 弃渣场，土地复垦时，也可将采前剥离的表土直接铺覆于已回填或部分回填的采空区、堆弃物表面，避免二次搬运。</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（2）土地平整工程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复垦为耕地的损坏土地平整后，地面坡度不超过2-3度；复垦为草地的损坏土地平整后，地面坡度不超过25度；复垦为建设用地的损坏土地平整后，要根据建筑物地基设计规范的要求，进行夯实。</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（3）覆土</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土地平整后，要对平整后的土地进行覆土，覆土来源来自原有土地表层腐殖质土的剥离，覆土厚度根据复垦后土地的利用方向具体确定。</w:t>
      </w:r>
    </w:p>
    <w:p>
      <w:pPr>
        <w:bidi w:val="0"/>
        <w:rPr>
          <w:rFonts w:hint="default"/>
          <w:color w:val="auto"/>
          <w:highlight w:val="none"/>
        </w:rPr>
      </w:pPr>
      <w:r>
        <w:rPr>
          <w:rFonts w:hint="default"/>
          <w:color w:val="auto"/>
          <w:highlight w:val="none"/>
        </w:rPr>
        <w:t>2、土地复垦的用途</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区所在地的自然、气候条件，按照土地适宜性评价的结果，宜农则农，宜林则林，宜农则农的原则，初步确定矿区复垦土地的用途仍为耕地或林草地，靠近工业场地有灌溉条件的周边区域可考虑复垦为林地、草地或耕地。</w:t>
      </w:r>
    </w:p>
    <w:p>
      <w:pPr>
        <w:pStyle w:val="6"/>
        <w:bidi w:val="0"/>
        <w:rPr>
          <w:rFonts w:hint="eastAsia"/>
          <w:color w:val="auto"/>
          <w:highlight w:val="none"/>
          <w:lang w:val="en-US" w:eastAsia="zh-CN"/>
        </w:rPr>
      </w:pPr>
      <w:bookmarkStart w:id="134" w:name="_Toc8364"/>
      <w:bookmarkStart w:id="135" w:name="_Toc20212"/>
      <w:r>
        <w:rPr>
          <w:rFonts w:hint="eastAsia"/>
          <w:color w:val="auto"/>
          <w:highlight w:val="none"/>
          <w:lang w:val="en-US" w:eastAsia="zh-CN"/>
        </w:rPr>
        <w:t>2.1.17 矿区规划总投资、劳动定员及经济技术指标</w:t>
      </w:r>
      <w:bookmarkEnd w:id="134"/>
      <w:bookmarkEnd w:id="135"/>
    </w:p>
    <w:p>
      <w:pPr>
        <w:pStyle w:val="7"/>
        <w:bidi w:val="0"/>
        <w:rPr>
          <w:rFonts w:hint="eastAsia"/>
          <w:color w:val="auto"/>
          <w:highlight w:val="none"/>
          <w:lang w:val="en-US" w:eastAsia="zh-CN"/>
        </w:rPr>
      </w:pPr>
      <w:r>
        <w:rPr>
          <w:rFonts w:hint="eastAsia"/>
          <w:color w:val="auto"/>
          <w:highlight w:val="none"/>
          <w:lang w:val="en-US" w:eastAsia="zh-CN"/>
        </w:rPr>
        <w:t>2.1.17.1 矿区规划总投资</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华蓥山北段矿区达到设计生产能力时，需要新增建设投资17761.34万元，“增量”吨煤投资311.60元/t；中山明月峡矿区达到设计生产能力时，需要新增建设投资45267.62万元，“增量”吨煤投资443.80元/t。大竹县矿井需要新增建设投资合计为63028.96万元，“增量”吨煤投资396.41元/t。</w:t>
      </w:r>
      <w:r>
        <w:rPr>
          <w:rFonts w:hint="eastAsia" w:ascii="Times New Roman" w:hAnsi="Times New Roman" w:cs="Times New Roman"/>
          <w:color w:val="auto"/>
          <w:sz w:val="24"/>
          <w:szCs w:val="24"/>
          <w:highlight w:val="none"/>
          <w:lang w:val="en-US" w:eastAsia="zh-CN"/>
        </w:rPr>
        <w:t>投资估算表如下：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sectPr>
          <w:pgSz w:w="11906" w:h="16838"/>
          <w:pgMar w:top="1440" w:right="1800" w:bottom="1440" w:left="1800" w:header="851" w:footer="992" w:gutter="0"/>
          <w:pgNumType w:fmt="decimal"/>
          <w:cols w:space="720" w:num="1"/>
          <w:docGrid w:type="lines" w:linePitch="312" w:charSpace="0"/>
        </w:sectPr>
      </w:pPr>
    </w:p>
    <w:p>
      <w:pPr>
        <w:pStyle w:val="22"/>
        <w:bidi w:val="0"/>
        <w:rPr>
          <w:color w:val="auto"/>
          <w:highlight w:val="none"/>
        </w:rPr>
      </w:pPr>
      <w:r>
        <w:rPr>
          <w:rFonts w:hint="eastAsia"/>
          <w:color w:val="auto"/>
          <w:highlight w:val="none"/>
        </w:rPr>
        <w:t>表</w:t>
      </w:r>
      <w:r>
        <w:rPr>
          <w:rFonts w:hint="eastAsia"/>
          <w:color w:val="auto"/>
          <w:highlight w:val="none"/>
          <w:lang w:val="en-US" w:eastAsia="zh-CN"/>
        </w:rPr>
        <w:t>2.1.17-1</w:t>
      </w:r>
      <w:r>
        <w:rPr>
          <w:rFonts w:hint="eastAsia"/>
          <w:color w:val="auto"/>
          <w:highlight w:val="none"/>
        </w:rPr>
        <w:t xml:space="preserve">                                       矿井新增建设投资总估算表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113"/>
        <w:gridCol w:w="1800"/>
        <w:gridCol w:w="1134"/>
        <w:gridCol w:w="866"/>
        <w:gridCol w:w="867"/>
        <w:gridCol w:w="1000"/>
        <w:gridCol w:w="750"/>
        <w:gridCol w:w="825"/>
        <w:gridCol w:w="1008"/>
        <w:gridCol w:w="900"/>
        <w:gridCol w:w="767"/>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blHeader/>
          <w:jc w:val="center"/>
        </w:trPr>
        <w:tc>
          <w:tcPr>
            <w:tcW w:w="676" w:type="dxa"/>
            <w:noWrap w:val="0"/>
            <w:vAlign w:val="center"/>
          </w:tcPr>
          <w:p>
            <w:pPr>
              <w:pStyle w:val="22"/>
              <w:bidi w:val="0"/>
              <w:rPr>
                <w:rFonts w:hint="default"/>
                <w:color w:val="auto"/>
                <w:highlight w:val="none"/>
              </w:rPr>
            </w:pPr>
            <w:r>
              <w:rPr>
                <w:rFonts w:hint="default"/>
                <w:color w:val="auto"/>
                <w:highlight w:val="none"/>
              </w:rPr>
              <w:t>序号</w:t>
            </w:r>
          </w:p>
        </w:tc>
        <w:tc>
          <w:tcPr>
            <w:tcW w:w="2113" w:type="dxa"/>
            <w:noWrap w:val="0"/>
            <w:vAlign w:val="center"/>
          </w:tcPr>
          <w:p>
            <w:pPr>
              <w:pStyle w:val="22"/>
              <w:bidi w:val="0"/>
              <w:rPr>
                <w:rFonts w:hint="default"/>
                <w:color w:val="auto"/>
                <w:highlight w:val="none"/>
              </w:rPr>
            </w:pPr>
            <w:r>
              <w:rPr>
                <w:rFonts w:hint="default"/>
                <w:color w:val="auto"/>
                <w:highlight w:val="none"/>
              </w:rPr>
              <w:t>名称</w:t>
            </w:r>
          </w:p>
        </w:tc>
        <w:tc>
          <w:tcPr>
            <w:tcW w:w="1800" w:type="dxa"/>
            <w:noWrap w:val="0"/>
            <w:vAlign w:val="center"/>
          </w:tcPr>
          <w:p>
            <w:pPr>
              <w:pStyle w:val="22"/>
              <w:bidi w:val="0"/>
              <w:rPr>
                <w:rFonts w:hint="default"/>
                <w:color w:val="auto"/>
                <w:highlight w:val="none"/>
              </w:rPr>
            </w:pPr>
            <w:r>
              <w:rPr>
                <w:rFonts w:hint="default"/>
                <w:color w:val="auto"/>
                <w:highlight w:val="none"/>
              </w:rPr>
              <w:t>改扩建情况</w:t>
            </w:r>
          </w:p>
        </w:tc>
        <w:tc>
          <w:tcPr>
            <w:tcW w:w="1134" w:type="dxa"/>
            <w:noWrap w:val="0"/>
            <w:vAlign w:val="center"/>
          </w:tcPr>
          <w:p>
            <w:pPr>
              <w:pStyle w:val="22"/>
              <w:bidi w:val="0"/>
              <w:rPr>
                <w:rFonts w:hint="default"/>
                <w:color w:val="auto"/>
                <w:highlight w:val="none"/>
              </w:rPr>
            </w:pPr>
            <w:r>
              <w:rPr>
                <w:rFonts w:hint="default"/>
                <w:color w:val="auto"/>
                <w:highlight w:val="none"/>
              </w:rPr>
              <w:t>原设计生产能力</w:t>
            </w:r>
          </w:p>
          <w:p>
            <w:pPr>
              <w:pStyle w:val="22"/>
              <w:bidi w:val="0"/>
              <w:rPr>
                <w:rFonts w:hint="default"/>
                <w:color w:val="auto"/>
                <w:highlight w:val="none"/>
              </w:rPr>
            </w:pPr>
            <w:r>
              <w:rPr>
                <w:rFonts w:hint="default"/>
                <w:color w:val="auto"/>
                <w:highlight w:val="none"/>
              </w:rPr>
              <w:t>（万吨/年）</w:t>
            </w:r>
          </w:p>
        </w:tc>
        <w:tc>
          <w:tcPr>
            <w:tcW w:w="866" w:type="dxa"/>
            <w:noWrap w:val="0"/>
            <w:vAlign w:val="center"/>
          </w:tcPr>
          <w:p>
            <w:pPr>
              <w:pStyle w:val="22"/>
              <w:bidi w:val="0"/>
              <w:rPr>
                <w:rFonts w:hint="default"/>
                <w:color w:val="auto"/>
                <w:highlight w:val="none"/>
              </w:rPr>
            </w:pPr>
            <w:r>
              <w:rPr>
                <w:rFonts w:hint="default"/>
                <w:color w:val="auto"/>
                <w:highlight w:val="none"/>
              </w:rPr>
              <w:t>规划生产能力</w:t>
            </w:r>
          </w:p>
          <w:p>
            <w:pPr>
              <w:pStyle w:val="22"/>
              <w:bidi w:val="0"/>
              <w:rPr>
                <w:rFonts w:hint="default"/>
                <w:color w:val="auto"/>
                <w:highlight w:val="none"/>
              </w:rPr>
            </w:pPr>
            <w:r>
              <w:rPr>
                <w:rFonts w:hint="default"/>
                <w:color w:val="auto"/>
                <w:highlight w:val="none"/>
              </w:rPr>
              <w:t>（万吨/年）</w:t>
            </w:r>
          </w:p>
        </w:tc>
        <w:tc>
          <w:tcPr>
            <w:tcW w:w="867" w:type="dxa"/>
            <w:noWrap w:val="0"/>
            <w:vAlign w:val="center"/>
          </w:tcPr>
          <w:p>
            <w:pPr>
              <w:pStyle w:val="22"/>
              <w:bidi w:val="0"/>
              <w:rPr>
                <w:rFonts w:hint="default"/>
                <w:color w:val="auto"/>
                <w:highlight w:val="none"/>
              </w:rPr>
            </w:pPr>
            <w:r>
              <w:rPr>
                <w:rFonts w:hint="default"/>
                <w:color w:val="auto"/>
                <w:highlight w:val="none"/>
              </w:rPr>
              <w:t>增量生产能力</w:t>
            </w:r>
          </w:p>
          <w:p>
            <w:pPr>
              <w:pStyle w:val="22"/>
              <w:bidi w:val="0"/>
              <w:rPr>
                <w:rFonts w:hint="default"/>
                <w:color w:val="auto"/>
                <w:highlight w:val="none"/>
              </w:rPr>
            </w:pPr>
            <w:r>
              <w:rPr>
                <w:rFonts w:hint="default"/>
                <w:color w:val="auto"/>
                <w:highlight w:val="none"/>
              </w:rPr>
              <w:t>（万吨/年）</w:t>
            </w:r>
          </w:p>
        </w:tc>
        <w:tc>
          <w:tcPr>
            <w:tcW w:w="1000" w:type="dxa"/>
            <w:noWrap w:val="0"/>
            <w:vAlign w:val="center"/>
          </w:tcPr>
          <w:p>
            <w:pPr>
              <w:pStyle w:val="22"/>
              <w:bidi w:val="0"/>
              <w:rPr>
                <w:rFonts w:hint="default"/>
                <w:color w:val="auto"/>
                <w:highlight w:val="none"/>
              </w:rPr>
            </w:pPr>
            <w:r>
              <w:rPr>
                <w:rFonts w:hint="default"/>
                <w:color w:val="auto"/>
                <w:highlight w:val="none"/>
              </w:rPr>
              <w:t>开拓方式</w:t>
            </w:r>
          </w:p>
        </w:tc>
        <w:tc>
          <w:tcPr>
            <w:tcW w:w="750" w:type="dxa"/>
            <w:noWrap w:val="0"/>
            <w:vAlign w:val="center"/>
          </w:tcPr>
          <w:p>
            <w:pPr>
              <w:pStyle w:val="22"/>
              <w:bidi w:val="0"/>
              <w:rPr>
                <w:rFonts w:hint="default"/>
                <w:color w:val="auto"/>
                <w:highlight w:val="none"/>
              </w:rPr>
            </w:pPr>
            <w:r>
              <w:rPr>
                <w:rFonts w:hint="default"/>
                <w:color w:val="auto"/>
                <w:highlight w:val="none"/>
              </w:rPr>
              <w:t>瓦斯等级</w:t>
            </w:r>
          </w:p>
        </w:tc>
        <w:tc>
          <w:tcPr>
            <w:tcW w:w="825" w:type="dxa"/>
            <w:noWrap w:val="0"/>
            <w:vAlign w:val="center"/>
          </w:tcPr>
          <w:p>
            <w:pPr>
              <w:pStyle w:val="22"/>
              <w:bidi w:val="0"/>
              <w:rPr>
                <w:rFonts w:hint="default"/>
                <w:color w:val="auto"/>
                <w:highlight w:val="none"/>
              </w:rPr>
            </w:pPr>
            <w:r>
              <w:rPr>
                <w:rFonts w:hint="default"/>
                <w:color w:val="auto"/>
                <w:highlight w:val="none"/>
              </w:rPr>
              <w:t>水文</w:t>
            </w:r>
          </w:p>
        </w:tc>
        <w:tc>
          <w:tcPr>
            <w:tcW w:w="1008" w:type="dxa"/>
            <w:noWrap w:val="0"/>
            <w:vAlign w:val="center"/>
          </w:tcPr>
          <w:p>
            <w:pPr>
              <w:pStyle w:val="22"/>
              <w:bidi w:val="0"/>
              <w:rPr>
                <w:rFonts w:hint="default"/>
                <w:color w:val="auto"/>
                <w:highlight w:val="none"/>
              </w:rPr>
            </w:pPr>
            <w:r>
              <w:rPr>
                <w:rFonts w:hint="default"/>
                <w:color w:val="auto"/>
                <w:highlight w:val="none"/>
              </w:rPr>
              <w:t>新增建设投资估算</w:t>
            </w:r>
          </w:p>
          <w:p>
            <w:pPr>
              <w:pStyle w:val="22"/>
              <w:bidi w:val="0"/>
              <w:rPr>
                <w:rFonts w:hint="default"/>
                <w:color w:val="auto"/>
                <w:highlight w:val="none"/>
              </w:rPr>
            </w:pPr>
            <w:r>
              <w:rPr>
                <w:rFonts w:hint="default"/>
                <w:color w:val="auto"/>
                <w:highlight w:val="none"/>
              </w:rPr>
              <w:t>（万元）</w:t>
            </w:r>
          </w:p>
        </w:tc>
        <w:tc>
          <w:tcPr>
            <w:tcW w:w="900" w:type="dxa"/>
            <w:noWrap w:val="0"/>
            <w:vAlign w:val="center"/>
          </w:tcPr>
          <w:p>
            <w:pPr>
              <w:pStyle w:val="22"/>
              <w:bidi w:val="0"/>
              <w:rPr>
                <w:rFonts w:hint="default"/>
                <w:color w:val="auto"/>
                <w:highlight w:val="none"/>
              </w:rPr>
            </w:pPr>
            <w:r>
              <w:rPr>
                <w:rFonts w:hint="default"/>
                <w:color w:val="auto"/>
                <w:highlight w:val="none"/>
              </w:rPr>
              <w:t>“增量”吨煤投资</w:t>
            </w:r>
          </w:p>
          <w:p>
            <w:pPr>
              <w:pStyle w:val="22"/>
              <w:bidi w:val="0"/>
              <w:rPr>
                <w:rFonts w:hint="default"/>
                <w:color w:val="auto"/>
                <w:highlight w:val="none"/>
              </w:rPr>
            </w:pPr>
            <w:r>
              <w:rPr>
                <w:rFonts w:hint="default"/>
                <w:color w:val="auto"/>
                <w:highlight w:val="none"/>
              </w:rPr>
              <w:t>（元/t）</w:t>
            </w:r>
          </w:p>
        </w:tc>
        <w:tc>
          <w:tcPr>
            <w:tcW w:w="767" w:type="dxa"/>
            <w:noWrap w:val="0"/>
            <w:vAlign w:val="center"/>
          </w:tcPr>
          <w:p>
            <w:pPr>
              <w:pStyle w:val="22"/>
              <w:bidi w:val="0"/>
              <w:rPr>
                <w:rFonts w:hint="default"/>
                <w:color w:val="auto"/>
                <w:highlight w:val="none"/>
              </w:rPr>
            </w:pPr>
            <w:r>
              <w:rPr>
                <w:rFonts w:hint="default"/>
                <w:color w:val="auto"/>
                <w:highlight w:val="none"/>
              </w:rPr>
              <w:t>投资比重</w:t>
            </w:r>
          </w:p>
          <w:p>
            <w:pPr>
              <w:pStyle w:val="22"/>
              <w:bidi w:val="0"/>
              <w:rPr>
                <w:rFonts w:hint="default"/>
                <w:color w:val="auto"/>
                <w:highlight w:val="none"/>
              </w:rPr>
            </w:pPr>
            <w:r>
              <w:rPr>
                <w:rFonts w:hint="default"/>
                <w:color w:val="auto"/>
                <w:highlight w:val="none"/>
              </w:rPr>
              <w:t>（%）</w:t>
            </w:r>
          </w:p>
        </w:tc>
        <w:tc>
          <w:tcPr>
            <w:tcW w:w="1468" w:type="dxa"/>
            <w:noWrap w:val="0"/>
            <w:vAlign w:val="center"/>
          </w:tcPr>
          <w:p>
            <w:pPr>
              <w:pStyle w:val="22"/>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一</w:t>
            </w:r>
          </w:p>
        </w:tc>
        <w:tc>
          <w:tcPr>
            <w:tcW w:w="2113" w:type="dxa"/>
            <w:noWrap w:val="0"/>
            <w:vAlign w:val="center"/>
          </w:tcPr>
          <w:p>
            <w:pPr>
              <w:pStyle w:val="22"/>
              <w:bidi w:val="0"/>
              <w:rPr>
                <w:rFonts w:hint="default"/>
                <w:color w:val="auto"/>
                <w:highlight w:val="none"/>
              </w:rPr>
            </w:pPr>
            <w:r>
              <w:rPr>
                <w:rFonts w:hint="default"/>
                <w:color w:val="auto"/>
                <w:highlight w:val="none"/>
              </w:rPr>
              <w:t>井工矿井</w:t>
            </w:r>
          </w:p>
        </w:tc>
        <w:tc>
          <w:tcPr>
            <w:tcW w:w="1800" w:type="dxa"/>
            <w:noWrap w:val="0"/>
            <w:vAlign w:val="center"/>
          </w:tcPr>
          <w:p>
            <w:pPr>
              <w:pStyle w:val="22"/>
              <w:bidi w:val="0"/>
              <w:rPr>
                <w:rFonts w:hint="default"/>
                <w:color w:val="auto"/>
                <w:highlight w:val="none"/>
              </w:rPr>
            </w:pPr>
          </w:p>
        </w:tc>
        <w:tc>
          <w:tcPr>
            <w:tcW w:w="1134" w:type="dxa"/>
            <w:noWrap w:val="0"/>
            <w:vAlign w:val="center"/>
          </w:tcPr>
          <w:p>
            <w:pPr>
              <w:pStyle w:val="22"/>
              <w:bidi w:val="0"/>
              <w:rPr>
                <w:rFonts w:hint="default"/>
                <w:color w:val="auto"/>
                <w:highlight w:val="none"/>
              </w:rPr>
            </w:pPr>
          </w:p>
        </w:tc>
        <w:tc>
          <w:tcPr>
            <w:tcW w:w="866" w:type="dxa"/>
            <w:noWrap w:val="0"/>
            <w:vAlign w:val="center"/>
          </w:tcPr>
          <w:p>
            <w:pPr>
              <w:pStyle w:val="22"/>
              <w:bidi w:val="0"/>
              <w:rPr>
                <w:rFonts w:hint="default"/>
                <w:color w:val="auto"/>
                <w:highlight w:val="none"/>
              </w:rPr>
            </w:pPr>
          </w:p>
        </w:tc>
        <w:tc>
          <w:tcPr>
            <w:tcW w:w="867" w:type="dxa"/>
            <w:noWrap w:val="0"/>
            <w:vAlign w:val="center"/>
          </w:tcPr>
          <w:p>
            <w:pPr>
              <w:pStyle w:val="22"/>
              <w:bidi w:val="0"/>
              <w:rPr>
                <w:rFonts w:hint="default"/>
                <w:color w:val="auto"/>
                <w:highlight w:val="none"/>
              </w:rPr>
            </w:pPr>
          </w:p>
        </w:tc>
        <w:tc>
          <w:tcPr>
            <w:tcW w:w="1000" w:type="dxa"/>
            <w:noWrap w:val="0"/>
            <w:vAlign w:val="center"/>
          </w:tcPr>
          <w:p>
            <w:pPr>
              <w:pStyle w:val="22"/>
              <w:bidi w:val="0"/>
              <w:rPr>
                <w:rFonts w:hint="default"/>
                <w:color w:val="auto"/>
                <w:highlight w:val="none"/>
              </w:rPr>
            </w:pPr>
          </w:p>
        </w:tc>
        <w:tc>
          <w:tcPr>
            <w:tcW w:w="750" w:type="dxa"/>
            <w:noWrap w:val="0"/>
            <w:vAlign w:val="center"/>
          </w:tcPr>
          <w:p>
            <w:pPr>
              <w:pStyle w:val="22"/>
              <w:bidi w:val="0"/>
              <w:rPr>
                <w:rFonts w:hint="default"/>
                <w:color w:val="auto"/>
                <w:highlight w:val="none"/>
              </w:rPr>
            </w:pPr>
          </w:p>
        </w:tc>
        <w:tc>
          <w:tcPr>
            <w:tcW w:w="825" w:type="dxa"/>
            <w:noWrap w:val="0"/>
            <w:vAlign w:val="center"/>
          </w:tcPr>
          <w:p>
            <w:pPr>
              <w:pStyle w:val="22"/>
              <w:bidi w:val="0"/>
              <w:rPr>
                <w:rFonts w:hint="default"/>
                <w:color w:val="auto"/>
                <w:highlight w:val="none"/>
              </w:rPr>
            </w:pPr>
          </w:p>
        </w:tc>
        <w:tc>
          <w:tcPr>
            <w:tcW w:w="1008"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（一）</w:t>
            </w:r>
          </w:p>
        </w:tc>
        <w:tc>
          <w:tcPr>
            <w:tcW w:w="2113" w:type="dxa"/>
            <w:noWrap w:val="0"/>
            <w:vAlign w:val="center"/>
          </w:tcPr>
          <w:p>
            <w:pPr>
              <w:pStyle w:val="22"/>
              <w:bidi w:val="0"/>
              <w:rPr>
                <w:rFonts w:hint="default"/>
                <w:color w:val="auto"/>
                <w:highlight w:val="none"/>
              </w:rPr>
            </w:pPr>
            <w:r>
              <w:rPr>
                <w:rFonts w:hint="default"/>
                <w:color w:val="auto"/>
                <w:highlight w:val="none"/>
              </w:rPr>
              <w:t>华蓥山北段矿区</w:t>
            </w:r>
          </w:p>
        </w:tc>
        <w:tc>
          <w:tcPr>
            <w:tcW w:w="1800" w:type="dxa"/>
            <w:noWrap w:val="0"/>
            <w:vAlign w:val="center"/>
          </w:tcPr>
          <w:p>
            <w:pPr>
              <w:pStyle w:val="22"/>
              <w:bidi w:val="0"/>
              <w:rPr>
                <w:rFonts w:hint="default"/>
                <w:color w:val="auto"/>
                <w:highlight w:val="none"/>
              </w:rPr>
            </w:pPr>
          </w:p>
        </w:tc>
        <w:tc>
          <w:tcPr>
            <w:tcW w:w="1134" w:type="dxa"/>
            <w:noWrap w:val="0"/>
            <w:vAlign w:val="center"/>
          </w:tcPr>
          <w:p>
            <w:pPr>
              <w:pStyle w:val="22"/>
              <w:bidi w:val="0"/>
              <w:rPr>
                <w:rFonts w:hint="default"/>
                <w:color w:val="auto"/>
                <w:highlight w:val="none"/>
              </w:rPr>
            </w:pPr>
          </w:p>
        </w:tc>
        <w:tc>
          <w:tcPr>
            <w:tcW w:w="866" w:type="dxa"/>
            <w:noWrap w:val="0"/>
            <w:vAlign w:val="center"/>
          </w:tcPr>
          <w:p>
            <w:pPr>
              <w:pStyle w:val="22"/>
              <w:bidi w:val="0"/>
              <w:rPr>
                <w:rFonts w:hint="default"/>
                <w:color w:val="auto"/>
                <w:highlight w:val="none"/>
              </w:rPr>
            </w:pPr>
          </w:p>
        </w:tc>
        <w:tc>
          <w:tcPr>
            <w:tcW w:w="867" w:type="dxa"/>
            <w:noWrap w:val="0"/>
            <w:vAlign w:val="center"/>
          </w:tcPr>
          <w:p>
            <w:pPr>
              <w:pStyle w:val="22"/>
              <w:bidi w:val="0"/>
              <w:rPr>
                <w:rFonts w:hint="default"/>
                <w:color w:val="auto"/>
                <w:highlight w:val="none"/>
              </w:rPr>
            </w:pPr>
          </w:p>
        </w:tc>
        <w:tc>
          <w:tcPr>
            <w:tcW w:w="1000" w:type="dxa"/>
            <w:noWrap w:val="0"/>
            <w:vAlign w:val="center"/>
          </w:tcPr>
          <w:p>
            <w:pPr>
              <w:pStyle w:val="22"/>
              <w:bidi w:val="0"/>
              <w:rPr>
                <w:rFonts w:hint="default"/>
                <w:color w:val="auto"/>
                <w:highlight w:val="none"/>
              </w:rPr>
            </w:pPr>
          </w:p>
        </w:tc>
        <w:tc>
          <w:tcPr>
            <w:tcW w:w="750" w:type="dxa"/>
            <w:noWrap w:val="0"/>
            <w:vAlign w:val="center"/>
          </w:tcPr>
          <w:p>
            <w:pPr>
              <w:pStyle w:val="22"/>
              <w:bidi w:val="0"/>
              <w:rPr>
                <w:rFonts w:hint="default"/>
                <w:color w:val="auto"/>
                <w:highlight w:val="none"/>
              </w:rPr>
            </w:pPr>
          </w:p>
        </w:tc>
        <w:tc>
          <w:tcPr>
            <w:tcW w:w="825" w:type="dxa"/>
            <w:noWrap w:val="0"/>
            <w:vAlign w:val="center"/>
          </w:tcPr>
          <w:p>
            <w:pPr>
              <w:pStyle w:val="22"/>
              <w:bidi w:val="0"/>
              <w:rPr>
                <w:rFonts w:hint="default"/>
                <w:color w:val="auto"/>
                <w:highlight w:val="none"/>
              </w:rPr>
            </w:pPr>
          </w:p>
        </w:tc>
        <w:tc>
          <w:tcPr>
            <w:tcW w:w="1008"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1</w:t>
            </w:r>
          </w:p>
        </w:tc>
        <w:tc>
          <w:tcPr>
            <w:tcW w:w="2113" w:type="dxa"/>
            <w:noWrap w:val="0"/>
            <w:vAlign w:val="center"/>
          </w:tcPr>
          <w:p>
            <w:pPr>
              <w:pStyle w:val="22"/>
              <w:bidi w:val="0"/>
              <w:rPr>
                <w:rFonts w:hint="default"/>
                <w:color w:val="auto"/>
                <w:highlight w:val="none"/>
              </w:rPr>
            </w:pPr>
            <w:r>
              <w:rPr>
                <w:rFonts w:hint="default"/>
                <w:color w:val="auto"/>
                <w:highlight w:val="none"/>
              </w:rPr>
              <w:t>四川川煤华荣能源有限责任公司柏林煤矿</w:t>
            </w:r>
          </w:p>
        </w:tc>
        <w:tc>
          <w:tcPr>
            <w:tcW w:w="1800" w:type="dxa"/>
            <w:noWrap w:val="0"/>
            <w:vAlign w:val="center"/>
          </w:tcPr>
          <w:p>
            <w:pPr>
              <w:pStyle w:val="22"/>
              <w:bidi w:val="0"/>
              <w:rPr>
                <w:rFonts w:hint="default"/>
                <w:color w:val="auto"/>
                <w:highlight w:val="none"/>
              </w:rPr>
            </w:pPr>
            <w:r>
              <w:rPr>
                <w:rFonts w:hint="default"/>
                <w:color w:val="auto"/>
                <w:highlight w:val="none"/>
              </w:rPr>
              <w:t>生产矿井</w:t>
            </w:r>
          </w:p>
        </w:tc>
        <w:tc>
          <w:tcPr>
            <w:tcW w:w="1134" w:type="dxa"/>
            <w:noWrap w:val="0"/>
            <w:vAlign w:val="center"/>
          </w:tcPr>
          <w:p>
            <w:pPr>
              <w:pStyle w:val="22"/>
              <w:bidi w:val="0"/>
              <w:rPr>
                <w:rFonts w:hint="default"/>
                <w:color w:val="auto"/>
                <w:highlight w:val="none"/>
              </w:rPr>
            </w:pPr>
            <w:r>
              <w:rPr>
                <w:rFonts w:hint="default"/>
                <w:color w:val="auto"/>
                <w:highlight w:val="none"/>
              </w:rPr>
              <w:t>45</w:t>
            </w:r>
          </w:p>
        </w:tc>
        <w:tc>
          <w:tcPr>
            <w:tcW w:w="866" w:type="dxa"/>
            <w:noWrap w:val="0"/>
            <w:vAlign w:val="center"/>
          </w:tcPr>
          <w:p>
            <w:pPr>
              <w:pStyle w:val="22"/>
              <w:bidi w:val="0"/>
              <w:rPr>
                <w:rFonts w:hint="default"/>
                <w:color w:val="auto"/>
                <w:highlight w:val="none"/>
              </w:rPr>
            </w:pPr>
            <w:r>
              <w:rPr>
                <w:rFonts w:hint="default"/>
                <w:color w:val="auto"/>
                <w:highlight w:val="none"/>
              </w:rPr>
              <w:t>45</w:t>
            </w:r>
          </w:p>
        </w:tc>
        <w:tc>
          <w:tcPr>
            <w:tcW w:w="867" w:type="dxa"/>
            <w:noWrap w:val="0"/>
            <w:vAlign w:val="center"/>
          </w:tcPr>
          <w:p>
            <w:pPr>
              <w:pStyle w:val="22"/>
              <w:bidi w:val="0"/>
              <w:rPr>
                <w:rFonts w:hint="default"/>
                <w:color w:val="auto"/>
                <w:highlight w:val="none"/>
              </w:rPr>
            </w:pPr>
            <w:r>
              <w:rPr>
                <w:rFonts w:hint="default"/>
                <w:color w:val="auto"/>
                <w:highlight w:val="none"/>
              </w:rPr>
              <w:t>0</w:t>
            </w:r>
          </w:p>
        </w:tc>
        <w:tc>
          <w:tcPr>
            <w:tcW w:w="1000" w:type="dxa"/>
            <w:noWrap w:val="0"/>
            <w:vAlign w:val="center"/>
          </w:tcPr>
          <w:p>
            <w:pPr>
              <w:pStyle w:val="22"/>
              <w:bidi w:val="0"/>
              <w:rPr>
                <w:rFonts w:hint="default"/>
                <w:color w:val="auto"/>
                <w:highlight w:val="none"/>
              </w:rPr>
            </w:pPr>
            <w:r>
              <w:rPr>
                <w:rFonts w:hint="default"/>
                <w:color w:val="auto"/>
                <w:highlight w:val="none"/>
              </w:rPr>
              <w:t>斜井开拓</w:t>
            </w:r>
          </w:p>
        </w:tc>
        <w:tc>
          <w:tcPr>
            <w:tcW w:w="750" w:type="dxa"/>
            <w:noWrap w:val="0"/>
            <w:vAlign w:val="center"/>
          </w:tcPr>
          <w:p>
            <w:pPr>
              <w:pStyle w:val="22"/>
              <w:bidi w:val="0"/>
              <w:rPr>
                <w:rFonts w:hint="default"/>
                <w:color w:val="auto"/>
                <w:highlight w:val="none"/>
              </w:rPr>
            </w:pPr>
            <w:r>
              <w:rPr>
                <w:rFonts w:hint="default"/>
                <w:color w:val="auto"/>
                <w:highlight w:val="none"/>
              </w:rPr>
              <w:t>高瓦斯</w:t>
            </w:r>
          </w:p>
        </w:tc>
        <w:tc>
          <w:tcPr>
            <w:tcW w:w="825" w:type="dxa"/>
            <w:noWrap w:val="0"/>
            <w:vAlign w:val="center"/>
          </w:tcPr>
          <w:p>
            <w:pPr>
              <w:pStyle w:val="22"/>
              <w:bidi w:val="0"/>
              <w:rPr>
                <w:rFonts w:hint="default"/>
                <w:color w:val="auto"/>
                <w:highlight w:val="none"/>
              </w:rPr>
            </w:pPr>
            <w:r>
              <w:rPr>
                <w:rFonts w:hint="default"/>
                <w:color w:val="auto"/>
                <w:highlight w:val="none"/>
              </w:rPr>
              <w:t>中等</w:t>
            </w:r>
          </w:p>
        </w:tc>
        <w:tc>
          <w:tcPr>
            <w:tcW w:w="1008" w:type="dxa"/>
            <w:noWrap w:val="0"/>
            <w:vAlign w:val="center"/>
          </w:tcPr>
          <w:p>
            <w:pPr>
              <w:pStyle w:val="22"/>
              <w:bidi w:val="0"/>
              <w:rPr>
                <w:rFonts w:hint="default"/>
                <w:color w:val="auto"/>
                <w:highlight w:val="none"/>
              </w:rPr>
            </w:pPr>
            <w:r>
              <w:rPr>
                <w:rFonts w:hint="default"/>
                <w:color w:val="auto"/>
                <w:highlight w:val="none"/>
              </w:rPr>
              <w:t>0</w:t>
            </w: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r>
              <w:rPr>
                <w:rFonts w:hint="default"/>
                <w:color w:val="auto"/>
                <w:highlight w:val="none"/>
              </w:rPr>
              <w:t>25.34</w:t>
            </w: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2</w:t>
            </w:r>
          </w:p>
        </w:tc>
        <w:tc>
          <w:tcPr>
            <w:tcW w:w="2113" w:type="dxa"/>
            <w:noWrap w:val="0"/>
            <w:vAlign w:val="center"/>
          </w:tcPr>
          <w:p>
            <w:pPr>
              <w:pStyle w:val="22"/>
              <w:bidi w:val="0"/>
              <w:rPr>
                <w:rFonts w:hint="default"/>
                <w:color w:val="auto"/>
                <w:highlight w:val="none"/>
              </w:rPr>
            </w:pPr>
            <w:r>
              <w:rPr>
                <w:rFonts w:hint="default"/>
                <w:color w:val="auto"/>
                <w:highlight w:val="none"/>
              </w:rPr>
              <w:t>大竹县红旗煤业有限责任公司田坝煤矿</w:t>
            </w:r>
          </w:p>
        </w:tc>
        <w:tc>
          <w:tcPr>
            <w:tcW w:w="1800" w:type="dxa"/>
            <w:noWrap w:val="0"/>
            <w:vAlign w:val="center"/>
          </w:tcPr>
          <w:p>
            <w:pPr>
              <w:pStyle w:val="22"/>
              <w:bidi w:val="0"/>
              <w:rPr>
                <w:rFonts w:hint="default"/>
                <w:color w:val="auto"/>
                <w:highlight w:val="none"/>
              </w:rPr>
            </w:pPr>
            <w:r>
              <w:rPr>
                <w:rFonts w:hint="default"/>
                <w:color w:val="auto"/>
                <w:highlight w:val="none"/>
              </w:rPr>
              <w:t>独立升级改造</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15</w:t>
            </w:r>
          </w:p>
        </w:tc>
        <w:tc>
          <w:tcPr>
            <w:tcW w:w="1000" w:type="dxa"/>
            <w:noWrap w:val="0"/>
            <w:vAlign w:val="center"/>
          </w:tcPr>
          <w:p>
            <w:pPr>
              <w:pStyle w:val="22"/>
              <w:bidi w:val="0"/>
              <w:rPr>
                <w:rFonts w:hint="default"/>
                <w:color w:val="auto"/>
                <w:highlight w:val="none"/>
              </w:rPr>
            </w:pPr>
            <w:r>
              <w:rPr>
                <w:rFonts w:hint="default"/>
                <w:color w:val="auto"/>
                <w:highlight w:val="none"/>
              </w:rPr>
              <w:t>斜井开拓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中等Ⅱ级</w:t>
            </w:r>
          </w:p>
        </w:tc>
        <w:tc>
          <w:tcPr>
            <w:tcW w:w="1008" w:type="dxa"/>
            <w:noWrap w:val="0"/>
            <w:vAlign w:val="center"/>
          </w:tcPr>
          <w:p>
            <w:pPr>
              <w:pStyle w:val="22"/>
              <w:bidi w:val="0"/>
              <w:rPr>
                <w:rFonts w:hint="default"/>
                <w:color w:val="auto"/>
                <w:highlight w:val="none"/>
              </w:rPr>
            </w:pPr>
            <w:r>
              <w:rPr>
                <w:rFonts w:hint="default"/>
                <w:color w:val="auto"/>
                <w:highlight w:val="none"/>
              </w:rPr>
              <w:t>4500.00</w:t>
            </w:r>
          </w:p>
        </w:tc>
        <w:tc>
          <w:tcPr>
            <w:tcW w:w="900" w:type="dxa"/>
            <w:noWrap w:val="0"/>
            <w:vAlign w:val="center"/>
          </w:tcPr>
          <w:p>
            <w:pPr>
              <w:pStyle w:val="22"/>
              <w:bidi w:val="0"/>
              <w:rPr>
                <w:rFonts w:hint="default"/>
                <w:color w:val="auto"/>
                <w:highlight w:val="none"/>
              </w:rPr>
            </w:pPr>
            <w:r>
              <w:rPr>
                <w:rFonts w:hint="default"/>
                <w:color w:val="auto"/>
                <w:highlight w:val="none"/>
              </w:rPr>
              <w:t>300.00</w:t>
            </w:r>
          </w:p>
        </w:tc>
        <w:tc>
          <w:tcPr>
            <w:tcW w:w="767" w:type="dxa"/>
            <w:noWrap w:val="0"/>
            <w:vAlign w:val="center"/>
          </w:tcPr>
          <w:p>
            <w:pPr>
              <w:pStyle w:val="22"/>
              <w:bidi w:val="0"/>
              <w:rPr>
                <w:rFonts w:hint="default"/>
                <w:color w:val="auto"/>
                <w:highlight w:val="none"/>
              </w:rPr>
            </w:pPr>
            <w:r>
              <w:rPr>
                <w:rFonts w:hint="default"/>
                <w:color w:val="auto"/>
                <w:highlight w:val="none"/>
              </w:rPr>
              <w:t>51.94</w:t>
            </w:r>
          </w:p>
        </w:tc>
        <w:tc>
          <w:tcPr>
            <w:tcW w:w="1468" w:type="dxa"/>
            <w:noWrap w:val="0"/>
            <w:vAlign w:val="center"/>
          </w:tcPr>
          <w:p>
            <w:pPr>
              <w:pStyle w:val="22"/>
              <w:bidi w:val="0"/>
              <w:rPr>
                <w:rFonts w:hint="default"/>
                <w:color w:val="auto"/>
                <w:highlight w:val="none"/>
              </w:rPr>
            </w:pPr>
            <w:r>
              <w:rPr>
                <w:rFonts w:hint="default"/>
                <w:color w:val="auto"/>
                <w:highlight w:val="none"/>
              </w:rPr>
              <w:t>暂估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3</w:t>
            </w:r>
          </w:p>
        </w:tc>
        <w:tc>
          <w:tcPr>
            <w:tcW w:w="2113" w:type="dxa"/>
            <w:noWrap w:val="0"/>
            <w:vAlign w:val="center"/>
          </w:tcPr>
          <w:p>
            <w:pPr>
              <w:pStyle w:val="22"/>
              <w:bidi w:val="0"/>
              <w:rPr>
                <w:rFonts w:hint="default"/>
                <w:color w:val="auto"/>
                <w:highlight w:val="none"/>
              </w:rPr>
            </w:pPr>
            <w:r>
              <w:rPr>
                <w:rFonts w:hint="default"/>
                <w:color w:val="auto"/>
                <w:highlight w:val="none"/>
              </w:rPr>
              <w:t>达州市黑滩煤业有限公司黑滩煤矿</w:t>
            </w:r>
          </w:p>
        </w:tc>
        <w:tc>
          <w:tcPr>
            <w:tcW w:w="1800" w:type="dxa"/>
            <w:noWrap w:val="0"/>
            <w:vAlign w:val="center"/>
          </w:tcPr>
          <w:p>
            <w:pPr>
              <w:pStyle w:val="22"/>
              <w:bidi w:val="0"/>
              <w:rPr>
                <w:rFonts w:hint="default"/>
                <w:color w:val="auto"/>
                <w:highlight w:val="none"/>
              </w:rPr>
            </w:pPr>
            <w:r>
              <w:rPr>
                <w:rFonts w:hint="default"/>
                <w:color w:val="auto"/>
                <w:highlight w:val="none"/>
              </w:rPr>
              <w:t>独立升级改造</w:t>
            </w:r>
          </w:p>
        </w:tc>
        <w:tc>
          <w:tcPr>
            <w:tcW w:w="1134" w:type="dxa"/>
            <w:noWrap w:val="0"/>
            <w:vAlign w:val="center"/>
          </w:tcPr>
          <w:p>
            <w:pPr>
              <w:pStyle w:val="22"/>
              <w:bidi w:val="0"/>
              <w:rPr>
                <w:rFonts w:hint="default"/>
                <w:color w:val="auto"/>
                <w:highlight w:val="none"/>
              </w:rPr>
            </w:pPr>
            <w:r>
              <w:rPr>
                <w:rFonts w:hint="default"/>
                <w:color w:val="auto"/>
                <w:highlight w:val="none"/>
              </w:rPr>
              <w:t>9</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21</w:t>
            </w:r>
          </w:p>
        </w:tc>
        <w:tc>
          <w:tcPr>
            <w:tcW w:w="1000" w:type="dxa"/>
            <w:noWrap w:val="0"/>
            <w:vAlign w:val="center"/>
          </w:tcPr>
          <w:p>
            <w:pPr>
              <w:pStyle w:val="22"/>
              <w:bidi w:val="0"/>
              <w:rPr>
                <w:rFonts w:hint="default"/>
                <w:color w:val="auto"/>
                <w:highlight w:val="none"/>
              </w:rPr>
            </w:pPr>
            <w:r>
              <w:rPr>
                <w:rFonts w:hint="default"/>
                <w:color w:val="auto"/>
                <w:highlight w:val="none"/>
              </w:rPr>
              <w:t>斜井平硐开拓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9226.18</w:t>
            </w:r>
          </w:p>
        </w:tc>
        <w:tc>
          <w:tcPr>
            <w:tcW w:w="900" w:type="dxa"/>
            <w:noWrap w:val="0"/>
            <w:vAlign w:val="center"/>
          </w:tcPr>
          <w:p>
            <w:pPr>
              <w:pStyle w:val="22"/>
              <w:bidi w:val="0"/>
              <w:rPr>
                <w:rFonts w:hint="default"/>
                <w:color w:val="auto"/>
                <w:highlight w:val="none"/>
              </w:rPr>
            </w:pPr>
            <w:r>
              <w:rPr>
                <w:rFonts w:hint="default"/>
                <w:color w:val="auto"/>
                <w:highlight w:val="none"/>
              </w:rPr>
              <w:t>439.34</w:t>
            </w: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r>
              <w:rPr>
                <w:rFonts w:hint="default"/>
                <w:color w:val="auto"/>
                <w:highlight w:val="none"/>
              </w:rPr>
              <w:t>依据已编制可研报告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4</w:t>
            </w:r>
          </w:p>
        </w:tc>
        <w:tc>
          <w:tcPr>
            <w:tcW w:w="2113" w:type="dxa"/>
            <w:noWrap w:val="0"/>
            <w:vAlign w:val="center"/>
          </w:tcPr>
          <w:p>
            <w:pPr>
              <w:pStyle w:val="22"/>
              <w:bidi w:val="0"/>
              <w:rPr>
                <w:rFonts w:hint="default"/>
                <w:color w:val="auto"/>
                <w:highlight w:val="none"/>
              </w:rPr>
            </w:pPr>
            <w:r>
              <w:rPr>
                <w:rFonts w:hint="default"/>
                <w:color w:val="auto"/>
                <w:highlight w:val="none"/>
              </w:rPr>
              <w:t>大竹县清水大河沟煤矿</w:t>
            </w:r>
          </w:p>
        </w:tc>
        <w:tc>
          <w:tcPr>
            <w:tcW w:w="1800" w:type="dxa"/>
            <w:noWrap w:val="0"/>
            <w:vAlign w:val="center"/>
          </w:tcPr>
          <w:p>
            <w:pPr>
              <w:pStyle w:val="22"/>
              <w:bidi w:val="0"/>
              <w:rPr>
                <w:rFonts w:hint="default"/>
                <w:color w:val="auto"/>
                <w:highlight w:val="none"/>
              </w:rPr>
            </w:pPr>
            <w:r>
              <w:rPr>
                <w:rFonts w:hint="default"/>
                <w:color w:val="auto"/>
                <w:highlight w:val="none"/>
              </w:rPr>
              <w:t>保留矿井</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15</w:t>
            </w:r>
          </w:p>
        </w:tc>
        <w:tc>
          <w:tcPr>
            <w:tcW w:w="867" w:type="dxa"/>
            <w:noWrap w:val="0"/>
            <w:vAlign w:val="center"/>
          </w:tcPr>
          <w:p>
            <w:pPr>
              <w:pStyle w:val="22"/>
              <w:bidi w:val="0"/>
              <w:rPr>
                <w:rFonts w:hint="default"/>
                <w:color w:val="auto"/>
                <w:highlight w:val="none"/>
              </w:rPr>
            </w:pPr>
            <w:r>
              <w:rPr>
                <w:rFonts w:hint="default"/>
                <w:color w:val="auto"/>
                <w:highlight w:val="none"/>
              </w:rPr>
              <w:t>0</w:t>
            </w:r>
          </w:p>
        </w:tc>
        <w:tc>
          <w:tcPr>
            <w:tcW w:w="1000" w:type="dxa"/>
            <w:noWrap w:val="0"/>
            <w:vAlign w:val="center"/>
          </w:tcPr>
          <w:p>
            <w:pPr>
              <w:pStyle w:val="22"/>
              <w:bidi w:val="0"/>
              <w:rPr>
                <w:rFonts w:hint="default"/>
                <w:color w:val="auto"/>
                <w:highlight w:val="none"/>
              </w:rPr>
            </w:pPr>
            <w:r>
              <w:rPr>
                <w:rFonts w:hint="default"/>
                <w:color w:val="auto"/>
                <w:highlight w:val="none"/>
              </w:rPr>
              <w:t>斜井平硐开拓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0</w:t>
            </w: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5</w:t>
            </w:r>
          </w:p>
        </w:tc>
        <w:tc>
          <w:tcPr>
            <w:tcW w:w="2113" w:type="dxa"/>
            <w:noWrap w:val="0"/>
            <w:vAlign w:val="center"/>
          </w:tcPr>
          <w:p>
            <w:pPr>
              <w:pStyle w:val="22"/>
              <w:bidi w:val="0"/>
              <w:rPr>
                <w:rFonts w:hint="default"/>
                <w:color w:val="auto"/>
                <w:highlight w:val="none"/>
              </w:rPr>
            </w:pPr>
            <w:r>
              <w:rPr>
                <w:rFonts w:hint="default"/>
                <w:color w:val="auto"/>
                <w:highlight w:val="none"/>
              </w:rPr>
              <w:t>大竹县大硐坪煤矿</w:t>
            </w:r>
          </w:p>
        </w:tc>
        <w:tc>
          <w:tcPr>
            <w:tcW w:w="1800" w:type="dxa"/>
            <w:noWrap w:val="0"/>
            <w:vAlign w:val="center"/>
          </w:tcPr>
          <w:p>
            <w:pPr>
              <w:pStyle w:val="22"/>
              <w:bidi w:val="0"/>
              <w:rPr>
                <w:rFonts w:hint="default"/>
                <w:color w:val="auto"/>
                <w:highlight w:val="none"/>
              </w:rPr>
            </w:pPr>
            <w:r>
              <w:rPr>
                <w:rFonts w:hint="default"/>
                <w:color w:val="auto"/>
                <w:highlight w:val="none"/>
              </w:rPr>
              <w:t>保留矿井</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15</w:t>
            </w:r>
          </w:p>
        </w:tc>
        <w:tc>
          <w:tcPr>
            <w:tcW w:w="867" w:type="dxa"/>
            <w:noWrap w:val="0"/>
            <w:vAlign w:val="center"/>
          </w:tcPr>
          <w:p>
            <w:pPr>
              <w:pStyle w:val="22"/>
              <w:bidi w:val="0"/>
              <w:rPr>
                <w:rFonts w:hint="default"/>
                <w:color w:val="auto"/>
                <w:highlight w:val="none"/>
              </w:rPr>
            </w:pPr>
            <w:r>
              <w:rPr>
                <w:rFonts w:hint="default"/>
                <w:color w:val="auto"/>
                <w:highlight w:val="none"/>
              </w:rPr>
              <w:t>0</w:t>
            </w:r>
          </w:p>
        </w:tc>
        <w:tc>
          <w:tcPr>
            <w:tcW w:w="1000" w:type="dxa"/>
            <w:noWrap w:val="0"/>
            <w:vAlign w:val="center"/>
          </w:tcPr>
          <w:p>
            <w:pPr>
              <w:pStyle w:val="22"/>
              <w:bidi w:val="0"/>
              <w:rPr>
                <w:rFonts w:hint="default"/>
                <w:color w:val="auto"/>
                <w:highlight w:val="none"/>
              </w:rPr>
            </w:pPr>
            <w:r>
              <w:rPr>
                <w:rFonts w:hint="default"/>
                <w:color w:val="auto"/>
                <w:highlight w:val="none"/>
              </w:rPr>
              <w:t>阶梯平硐</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0</w:t>
            </w: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6</w:t>
            </w:r>
          </w:p>
        </w:tc>
        <w:tc>
          <w:tcPr>
            <w:tcW w:w="2113" w:type="dxa"/>
            <w:noWrap w:val="0"/>
            <w:vAlign w:val="center"/>
          </w:tcPr>
          <w:p>
            <w:pPr>
              <w:pStyle w:val="22"/>
              <w:bidi w:val="0"/>
              <w:rPr>
                <w:rFonts w:hint="default"/>
                <w:color w:val="auto"/>
                <w:highlight w:val="none"/>
              </w:rPr>
            </w:pPr>
            <w:r>
              <w:rPr>
                <w:rFonts w:hint="default"/>
                <w:color w:val="auto"/>
                <w:highlight w:val="none"/>
              </w:rPr>
              <w:t>大竹县新桥红星煤矿</w:t>
            </w:r>
          </w:p>
        </w:tc>
        <w:tc>
          <w:tcPr>
            <w:tcW w:w="1800" w:type="dxa"/>
            <w:noWrap w:val="0"/>
            <w:vAlign w:val="center"/>
          </w:tcPr>
          <w:p>
            <w:pPr>
              <w:pStyle w:val="22"/>
              <w:bidi w:val="0"/>
              <w:rPr>
                <w:rFonts w:hint="default"/>
                <w:color w:val="auto"/>
                <w:highlight w:val="none"/>
              </w:rPr>
            </w:pPr>
            <w:r>
              <w:rPr>
                <w:rFonts w:hint="default"/>
                <w:color w:val="auto"/>
                <w:highlight w:val="none"/>
              </w:rPr>
              <w:t>兼并升级（巫山峡煤矿）</w:t>
            </w:r>
          </w:p>
        </w:tc>
        <w:tc>
          <w:tcPr>
            <w:tcW w:w="1134" w:type="dxa"/>
            <w:noWrap w:val="0"/>
            <w:vAlign w:val="center"/>
          </w:tcPr>
          <w:p>
            <w:pPr>
              <w:pStyle w:val="22"/>
              <w:bidi w:val="0"/>
              <w:rPr>
                <w:rFonts w:hint="default"/>
                <w:color w:val="auto"/>
                <w:highlight w:val="none"/>
              </w:rPr>
            </w:pPr>
            <w:r>
              <w:rPr>
                <w:rFonts w:hint="default"/>
                <w:color w:val="auto"/>
                <w:highlight w:val="none"/>
              </w:rPr>
              <w:t>9</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21</w:t>
            </w:r>
          </w:p>
        </w:tc>
        <w:tc>
          <w:tcPr>
            <w:tcW w:w="1000" w:type="dxa"/>
            <w:noWrap w:val="0"/>
            <w:vAlign w:val="center"/>
          </w:tcPr>
          <w:p>
            <w:pPr>
              <w:pStyle w:val="22"/>
              <w:bidi w:val="0"/>
              <w:rPr>
                <w:rFonts w:hint="default"/>
                <w:color w:val="auto"/>
                <w:highlight w:val="none"/>
              </w:rPr>
            </w:pPr>
            <w:r>
              <w:rPr>
                <w:rFonts w:hint="default"/>
                <w:color w:val="auto"/>
                <w:highlight w:val="none"/>
              </w:rPr>
              <w:t>斜井开拓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4035.16</w:t>
            </w:r>
          </w:p>
        </w:tc>
        <w:tc>
          <w:tcPr>
            <w:tcW w:w="900" w:type="dxa"/>
            <w:noWrap w:val="0"/>
            <w:vAlign w:val="center"/>
          </w:tcPr>
          <w:p>
            <w:pPr>
              <w:pStyle w:val="22"/>
              <w:bidi w:val="0"/>
              <w:rPr>
                <w:rFonts w:hint="default"/>
                <w:color w:val="auto"/>
                <w:highlight w:val="none"/>
              </w:rPr>
            </w:pPr>
            <w:r>
              <w:rPr>
                <w:rFonts w:hint="default"/>
                <w:color w:val="auto"/>
                <w:highlight w:val="none"/>
              </w:rPr>
              <w:t>192.15</w:t>
            </w:r>
          </w:p>
        </w:tc>
        <w:tc>
          <w:tcPr>
            <w:tcW w:w="767" w:type="dxa"/>
            <w:noWrap w:val="0"/>
            <w:vAlign w:val="center"/>
          </w:tcPr>
          <w:p>
            <w:pPr>
              <w:pStyle w:val="22"/>
              <w:bidi w:val="0"/>
              <w:rPr>
                <w:rFonts w:hint="default"/>
                <w:color w:val="auto"/>
                <w:highlight w:val="none"/>
              </w:rPr>
            </w:pPr>
            <w:r>
              <w:rPr>
                <w:rFonts w:hint="default"/>
                <w:color w:val="auto"/>
                <w:highlight w:val="none"/>
              </w:rPr>
              <w:t>22.72</w:t>
            </w:r>
          </w:p>
        </w:tc>
        <w:tc>
          <w:tcPr>
            <w:tcW w:w="1468" w:type="dxa"/>
            <w:noWrap w:val="0"/>
            <w:vAlign w:val="center"/>
          </w:tcPr>
          <w:p>
            <w:pPr>
              <w:pStyle w:val="22"/>
              <w:bidi w:val="0"/>
              <w:rPr>
                <w:rFonts w:hint="default"/>
                <w:color w:val="auto"/>
                <w:highlight w:val="none"/>
              </w:rPr>
            </w:pPr>
            <w:r>
              <w:rPr>
                <w:rFonts w:hint="default"/>
                <w:color w:val="auto"/>
                <w:highlight w:val="none"/>
              </w:rPr>
              <w:t>依据已编制项目申请与安全审核报告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p>
        </w:tc>
        <w:tc>
          <w:tcPr>
            <w:tcW w:w="2113" w:type="dxa"/>
            <w:noWrap w:val="0"/>
            <w:vAlign w:val="center"/>
          </w:tcPr>
          <w:p>
            <w:pPr>
              <w:pStyle w:val="22"/>
              <w:bidi w:val="0"/>
              <w:rPr>
                <w:rFonts w:hint="default"/>
                <w:color w:val="auto"/>
                <w:highlight w:val="none"/>
              </w:rPr>
            </w:pPr>
            <w:r>
              <w:rPr>
                <w:rFonts w:hint="default"/>
                <w:color w:val="auto"/>
                <w:highlight w:val="none"/>
              </w:rPr>
              <w:t>小计</w:t>
            </w:r>
          </w:p>
        </w:tc>
        <w:tc>
          <w:tcPr>
            <w:tcW w:w="1800" w:type="dxa"/>
            <w:noWrap w:val="0"/>
            <w:vAlign w:val="center"/>
          </w:tcPr>
          <w:p>
            <w:pPr>
              <w:pStyle w:val="22"/>
              <w:bidi w:val="0"/>
              <w:rPr>
                <w:rFonts w:hint="default"/>
                <w:color w:val="auto"/>
                <w:highlight w:val="none"/>
              </w:rPr>
            </w:pPr>
          </w:p>
        </w:tc>
        <w:tc>
          <w:tcPr>
            <w:tcW w:w="1134" w:type="dxa"/>
            <w:noWrap w:val="0"/>
            <w:vAlign w:val="center"/>
          </w:tcPr>
          <w:p>
            <w:pPr>
              <w:pStyle w:val="22"/>
              <w:bidi w:val="0"/>
              <w:rPr>
                <w:rFonts w:hint="default"/>
                <w:color w:val="auto"/>
                <w:highlight w:val="none"/>
              </w:rPr>
            </w:pPr>
            <w:r>
              <w:rPr>
                <w:rFonts w:hint="default"/>
                <w:color w:val="auto"/>
                <w:highlight w:val="none"/>
              </w:rPr>
              <w:t>108</w:t>
            </w:r>
          </w:p>
        </w:tc>
        <w:tc>
          <w:tcPr>
            <w:tcW w:w="866" w:type="dxa"/>
            <w:noWrap w:val="0"/>
            <w:vAlign w:val="center"/>
          </w:tcPr>
          <w:p>
            <w:pPr>
              <w:pStyle w:val="22"/>
              <w:bidi w:val="0"/>
              <w:rPr>
                <w:rFonts w:hint="default"/>
                <w:color w:val="auto"/>
                <w:highlight w:val="none"/>
              </w:rPr>
            </w:pPr>
            <w:r>
              <w:rPr>
                <w:rFonts w:hint="default"/>
                <w:color w:val="auto"/>
                <w:highlight w:val="none"/>
              </w:rPr>
              <w:t>165</w:t>
            </w:r>
          </w:p>
        </w:tc>
        <w:tc>
          <w:tcPr>
            <w:tcW w:w="867" w:type="dxa"/>
            <w:noWrap w:val="0"/>
            <w:vAlign w:val="center"/>
          </w:tcPr>
          <w:p>
            <w:pPr>
              <w:pStyle w:val="22"/>
              <w:bidi w:val="0"/>
              <w:rPr>
                <w:rFonts w:hint="default"/>
                <w:color w:val="auto"/>
                <w:highlight w:val="none"/>
              </w:rPr>
            </w:pPr>
            <w:r>
              <w:rPr>
                <w:rFonts w:hint="default"/>
                <w:color w:val="auto"/>
                <w:highlight w:val="none"/>
              </w:rPr>
              <w:t>57</w:t>
            </w:r>
          </w:p>
        </w:tc>
        <w:tc>
          <w:tcPr>
            <w:tcW w:w="1000" w:type="dxa"/>
            <w:noWrap w:val="0"/>
            <w:vAlign w:val="center"/>
          </w:tcPr>
          <w:p>
            <w:pPr>
              <w:pStyle w:val="22"/>
              <w:bidi w:val="0"/>
              <w:rPr>
                <w:rFonts w:hint="default"/>
                <w:color w:val="auto"/>
                <w:highlight w:val="none"/>
              </w:rPr>
            </w:pPr>
          </w:p>
        </w:tc>
        <w:tc>
          <w:tcPr>
            <w:tcW w:w="750" w:type="dxa"/>
            <w:noWrap w:val="0"/>
            <w:vAlign w:val="center"/>
          </w:tcPr>
          <w:p>
            <w:pPr>
              <w:pStyle w:val="22"/>
              <w:bidi w:val="0"/>
              <w:rPr>
                <w:rFonts w:hint="default"/>
                <w:color w:val="auto"/>
                <w:highlight w:val="none"/>
              </w:rPr>
            </w:pPr>
          </w:p>
        </w:tc>
        <w:tc>
          <w:tcPr>
            <w:tcW w:w="825" w:type="dxa"/>
            <w:noWrap w:val="0"/>
            <w:vAlign w:val="center"/>
          </w:tcPr>
          <w:p>
            <w:pPr>
              <w:pStyle w:val="22"/>
              <w:bidi w:val="0"/>
              <w:rPr>
                <w:rFonts w:hint="default"/>
                <w:color w:val="auto"/>
                <w:highlight w:val="none"/>
              </w:rPr>
            </w:pPr>
          </w:p>
        </w:tc>
        <w:tc>
          <w:tcPr>
            <w:tcW w:w="1008" w:type="dxa"/>
            <w:noWrap w:val="0"/>
            <w:vAlign w:val="center"/>
          </w:tcPr>
          <w:p>
            <w:pPr>
              <w:pStyle w:val="22"/>
              <w:bidi w:val="0"/>
              <w:rPr>
                <w:rFonts w:hint="default"/>
                <w:color w:val="auto"/>
                <w:highlight w:val="none"/>
              </w:rPr>
            </w:pPr>
            <w:r>
              <w:rPr>
                <w:rFonts w:hint="default"/>
                <w:color w:val="auto"/>
                <w:highlight w:val="none"/>
              </w:rPr>
              <w:t>17761.34</w:t>
            </w:r>
          </w:p>
        </w:tc>
        <w:tc>
          <w:tcPr>
            <w:tcW w:w="900" w:type="dxa"/>
            <w:noWrap w:val="0"/>
            <w:vAlign w:val="center"/>
          </w:tcPr>
          <w:p>
            <w:pPr>
              <w:pStyle w:val="22"/>
              <w:bidi w:val="0"/>
              <w:rPr>
                <w:rFonts w:hint="default"/>
                <w:color w:val="auto"/>
                <w:highlight w:val="none"/>
              </w:rPr>
            </w:pPr>
            <w:r>
              <w:rPr>
                <w:rFonts w:hint="default"/>
                <w:color w:val="auto"/>
                <w:highlight w:val="none"/>
              </w:rPr>
              <w:t>311.60</w:t>
            </w:r>
          </w:p>
        </w:tc>
        <w:tc>
          <w:tcPr>
            <w:tcW w:w="767" w:type="dxa"/>
            <w:noWrap w:val="0"/>
            <w:vAlign w:val="center"/>
          </w:tcPr>
          <w:p>
            <w:pPr>
              <w:pStyle w:val="22"/>
              <w:bidi w:val="0"/>
              <w:rPr>
                <w:rFonts w:hint="default"/>
                <w:color w:val="auto"/>
                <w:highlight w:val="none"/>
              </w:rPr>
            </w:pPr>
            <w:r>
              <w:rPr>
                <w:rFonts w:hint="default"/>
                <w:color w:val="auto"/>
                <w:highlight w:val="none"/>
              </w:rPr>
              <w:t>100.00</w:t>
            </w: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（二）</w:t>
            </w:r>
          </w:p>
        </w:tc>
        <w:tc>
          <w:tcPr>
            <w:tcW w:w="2113" w:type="dxa"/>
            <w:noWrap w:val="0"/>
            <w:vAlign w:val="center"/>
          </w:tcPr>
          <w:p>
            <w:pPr>
              <w:pStyle w:val="22"/>
              <w:bidi w:val="0"/>
              <w:rPr>
                <w:rFonts w:hint="default"/>
                <w:color w:val="auto"/>
                <w:highlight w:val="none"/>
              </w:rPr>
            </w:pPr>
            <w:r>
              <w:rPr>
                <w:rFonts w:hint="default"/>
                <w:color w:val="auto"/>
                <w:highlight w:val="none"/>
              </w:rPr>
              <w:t>中山明月峡矿区</w:t>
            </w:r>
          </w:p>
        </w:tc>
        <w:tc>
          <w:tcPr>
            <w:tcW w:w="1800" w:type="dxa"/>
            <w:noWrap w:val="0"/>
            <w:vAlign w:val="center"/>
          </w:tcPr>
          <w:p>
            <w:pPr>
              <w:pStyle w:val="22"/>
              <w:bidi w:val="0"/>
              <w:rPr>
                <w:rFonts w:hint="default"/>
                <w:color w:val="auto"/>
                <w:highlight w:val="none"/>
              </w:rPr>
            </w:pPr>
          </w:p>
        </w:tc>
        <w:tc>
          <w:tcPr>
            <w:tcW w:w="1134" w:type="dxa"/>
            <w:noWrap w:val="0"/>
            <w:vAlign w:val="center"/>
          </w:tcPr>
          <w:p>
            <w:pPr>
              <w:pStyle w:val="22"/>
              <w:bidi w:val="0"/>
              <w:rPr>
                <w:rFonts w:hint="default"/>
                <w:color w:val="auto"/>
                <w:highlight w:val="none"/>
              </w:rPr>
            </w:pPr>
          </w:p>
        </w:tc>
        <w:tc>
          <w:tcPr>
            <w:tcW w:w="866" w:type="dxa"/>
            <w:noWrap w:val="0"/>
            <w:vAlign w:val="center"/>
          </w:tcPr>
          <w:p>
            <w:pPr>
              <w:pStyle w:val="22"/>
              <w:bidi w:val="0"/>
              <w:rPr>
                <w:rFonts w:hint="default"/>
                <w:color w:val="auto"/>
                <w:highlight w:val="none"/>
              </w:rPr>
            </w:pPr>
          </w:p>
        </w:tc>
        <w:tc>
          <w:tcPr>
            <w:tcW w:w="867" w:type="dxa"/>
            <w:noWrap w:val="0"/>
            <w:vAlign w:val="center"/>
          </w:tcPr>
          <w:p>
            <w:pPr>
              <w:pStyle w:val="22"/>
              <w:bidi w:val="0"/>
              <w:rPr>
                <w:rFonts w:hint="default"/>
                <w:color w:val="auto"/>
                <w:highlight w:val="none"/>
              </w:rPr>
            </w:pPr>
          </w:p>
        </w:tc>
        <w:tc>
          <w:tcPr>
            <w:tcW w:w="1000" w:type="dxa"/>
            <w:noWrap w:val="0"/>
            <w:vAlign w:val="center"/>
          </w:tcPr>
          <w:p>
            <w:pPr>
              <w:pStyle w:val="22"/>
              <w:bidi w:val="0"/>
              <w:rPr>
                <w:rFonts w:hint="default"/>
                <w:color w:val="auto"/>
                <w:highlight w:val="none"/>
              </w:rPr>
            </w:pPr>
          </w:p>
        </w:tc>
        <w:tc>
          <w:tcPr>
            <w:tcW w:w="750" w:type="dxa"/>
            <w:noWrap w:val="0"/>
            <w:vAlign w:val="center"/>
          </w:tcPr>
          <w:p>
            <w:pPr>
              <w:pStyle w:val="22"/>
              <w:bidi w:val="0"/>
              <w:rPr>
                <w:rFonts w:hint="default"/>
                <w:color w:val="auto"/>
                <w:highlight w:val="none"/>
              </w:rPr>
            </w:pPr>
          </w:p>
        </w:tc>
        <w:tc>
          <w:tcPr>
            <w:tcW w:w="825" w:type="dxa"/>
            <w:noWrap w:val="0"/>
            <w:vAlign w:val="center"/>
          </w:tcPr>
          <w:p>
            <w:pPr>
              <w:pStyle w:val="22"/>
              <w:bidi w:val="0"/>
              <w:rPr>
                <w:rFonts w:hint="default"/>
                <w:color w:val="auto"/>
                <w:highlight w:val="none"/>
              </w:rPr>
            </w:pPr>
          </w:p>
        </w:tc>
        <w:tc>
          <w:tcPr>
            <w:tcW w:w="1008" w:type="dxa"/>
            <w:noWrap w:val="0"/>
            <w:vAlign w:val="center"/>
          </w:tcPr>
          <w:p>
            <w:pPr>
              <w:pStyle w:val="22"/>
              <w:bidi w:val="0"/>
              <w:rPr>
                <w:rFonts w:hint="default"/>
                <w:color w:val="auto"/>
                <w:highlight w:val="none"/>
              </w:rPr>
            </w:pP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1</w:t>
            </w:r>
          </w:p>
        </w:tc>
        <w:tc>
          <w:tcPr>
            <w:tcW w:w="2113" w:type="dxa"/>
            <w:noWrap w:val="0"/>
            <w:vAlign w:val="center"/>
          </w:tcPr>
          <w:p>
            <w:pPr>
              <w:pStyle w:val="22"/>
              <w:bidi w:val="0"/>
              <w:rPr>
                <w:rFonts w:hint="default"/>
                <w:color w:val="auto"/>
                <w:highlight w:val="none"/>
              </w:rPr>
            </w:pPr>
            <w:r>
              <w:rPr>
                <w:rFonts w:hint="default"/>
                <w:color w:val="auto"/>
                <w:highlight w:val="none"/>
              </w:rPr>
              <w:t>大竹县堡子矿业有限责任公司堡子煤矿</w:t>
            </w:r>
          </w:p>
        </w:tc>
        <w:tc>
          <w:tcPr>
            <w:tcW w:w="1800" w:type="dxa"/>
            <w:noWrap w:val="0"/>
            <w:vAlign w:val="center"/>
          </w:tcPr>
          <w:p>
            <w:pPr>
              <w:pStyle w:val="22"/>
              <w:bidi w:val="0"/>
              <w:rPr>
                <w:rFonts w:hint="default"/>
                <w:color w:val="auto"/>
                <w:highlight w:val="none"/>
              </w:rPr>
            </w:pPr>
            <w:r>
              <w:rPr>
                <w:rFonts w:hint="default"/>
                <w:color w:val="auto"/>
                <w:highlight w:val="none"/>
              </w:rPr>
              <w:t>生产矿井</w:t>
            </w:r>
          </w:p>
        </w:tc>
        <w:tc>
          <w:tcPr>
            <w:tcW w:w="1134" w:type="dxa"/>
            <w:noWrap w:val="0"/>
            <w:vAlign w:val="center"/>
          </w:tcPr>
          <w:p>
            <w:pPr>
              <w:pStyle w:val="22"/>
              <w:bidi w:val="0"/>
              <w:rPr>
                <w:rFonts w:hint="default"/>
                <w:color w:val="auto"/>
                <w:highlight w:val="none"/>
              </w:rPr>
            </w:pPr>
            <w:r>
              <w:rPr>
                <w:rFonts w:hint="default"/>
                <w:color w:val="auto"/>
                <w:highlight w:val="none"/>
              </w:rPr>
              <w:t>30</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0</w:t>
            </w:r>
          </w:p>
        </w:tc>
        <w:tc>
          <w:tcPr>
            <w:tcW w:w="1000" w:type="dxa"/>
            <w:noWrap w:val="0"/>
            <w:vAlign w:val="center"/>
          </w:tcPr>
          <w:p>
            <w:pPr>
              <w:pStyle w:val="22"/>
              <w:bidi w:val="0"/>
              <w:rPr>
                <w:rFonts w:hint="default"/>
                <w:color w:val="auto"/>
                <w:highlight w:val="none"/>
              </w:rPr>
            </w:pPr>
            <w:r>
              <w:rPr>
                <w:rFonts w:hint="default"/>
                <w:color w:val="auto"/>
                <w:highlight w:val="none"/>
              </w:rPr>
              <w:t>斜井平硐开拓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复杂Ⅰ级</w:t>
            </w:r>
          </w:p>
        </w:tc>
        <w:tc>
          <w:tcPr>
            <w:tcW w:w="1008" w:type="dxa"/>
            <w:noWrap w:val="0"/>
            <w:vAlign w:val="center"/>
          </w:tcPr>
          <w:p>
            <w:pPr>
              <w:pStyle w:val="22"/>
              <w:bidi w:val="0"/>
              <w:rPr>
                <w:rFonts w:hint="default"/>
                <w:color w:val="auto"/>
                <w:highlight w:val="none"/>
              </w:rPr>
            </w:pPr>
            <w:r>
              <w:rPr>
                <w:rFonts w:hint="default"/>
                <w:color w:val="auto"/>
                <w:highlight w:val="none"/>
              </w:rPr>
              <w:t>0</w:t>
            </w: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2</w:t>
            </w:r>
          </w:p>
        </w:tc>
        <w:tc>
          <w:tcPr>
            <w:tcW w:w="2113" w:type="dxa"/>
            <w:noWrap w:val="0"/>
            <w:vAlign w:val="center"/>
          </w:tcPr>
          <w:p>
            <w:pPr>
              <w:pStyle w:val="22"/>
              <w:bidi w:val="0"/>
              <w:rPr>
                <w:rFonts w:hint="default"/>
                <w:color w:val="auto"/>
                <w:highlight w:val="none"/>
              </w:rPr>
            </w:pPr>
            <w:r>
              <w:rPr>
                <w:rFonts w:hint="default"/>
                <w:color w:val="auto"/>
                <w:highlight w:val="none"/>
              </w:rPr>
              <w:t>大竹县荣华煤矿</w:t>
            </w:r>
          </w:p>
        </w:tc>
        <w:tc>
          <w:tcPr>
            <w:tcW w:w="1800" w:type="dxa"/>
            <w:noWrap w:val="0"/>
            <w:vAlign w:val="center"/>
          </w:tcPr>
          <w:p>
            <w:pPr>
              <w:pStyle w:val="22"/>
              <w:bidi w:val="0"/>
              <w:rPr>
                <w:rFonts w:hint="default"/>
                <w:color w:val="auto"/>
                <w:highlight w:val="none"/>
              </w:rPr>
            </w:pPr>
            <w:r>
              <w:rPr>
                <w:rFonts w:hint="default"/>
                <w:color w:val="auto"/>
                <w:highlight w:val="none"/>
              </w:rPr>
              <w:t>独立升级改造</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15</w:t>
            </w:r>
          </w:p>
        </w:tc>
        <w:tc>
          <w:tcPr>
            <w:tcW w:w="1000" w:type="dxa"/>
            <w:noWrap w:val="0"/>
            <w:vAlign w:val="center"/>
          </w:tcPr>
          <w:p>
            <w:pPr>
              <w:pStyle w:val="22"/>
              <w:bidi w:val="0"/>
              <w:rPr>
                <w:rFonts w:hint="default"/>
                <w:color w:val="auto"/>
                <w:highlight w:val="none"/>
              </w:rPr>
            </w:pPr>
            <w:r>
              <w:rPr>
                <w:rFonts w:hint="default"/>
                <w:color w:val="auto"/>
                <w:highlight w:val="none"/>
              </w:rPr>
              <w:t>斜井开拓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复杂Ⅱ级</w:t>
            </w:r>
          </w:p>
        </w:tc>
        <w:tc>
          <w:tcPr>
            <w:tcW w:w="1008" w:type="dxa"/>
            <w:noWrap w:val="0"/>
            <w:vAlign w:val="center"/>
          </w:tcPr>
          <w:p>
            <w:pPr>
              <w:pStyle w:val="22"/>
              <w:bidi w:val="0"/>
              <w:rPr>
                <w:rFonts w:hint="default"/>
                <w:color w:val="auto"/>
                <w:highlight w:val="none"/>
              </w:rPr>
            </w:pPr>
            <w:r>
              <w:rPr>
                <w:rFonts w:hint="default"/>
                <w:color w:val="auto"/>
                <w:highlight w:val="none"/>
              </w:rPr>
              <w:t>9450.00</w:t>
            </w:r>
          </w:p>
        </w:tc>
        <w:tc>
          <w:tcPr>
            <w:tcW w:w="900" w:type="dxa"/>
            <w:noWrap w:val="0"/>
            <w:vAlign w:val="center"/>
          </w:tcPr>
          <w:p>
            <w:pPr>
              <w:pStyle w:val="22"/>
              <w:bidi w:val="0"/>
              <w:rPr>
                <w:rFonts w:hint="default"/>
                <w:color w:val="auto"/>
                <w:highlight w:val="none"/>
              </w:rPr>
            </w:pPr>
            <w:r>
              <w:rPr>
                <w:rFonts w:hint="default"/>
                <w:color w:val="auto"/>
                <w:highlight w:val="none"/>
              </w:rPr>
              <w:t>350.00</w:t>
            </w:r>
          </w:p>
        </w:tc>
        <w:tc>
          <w:tcPr>
            <w:tcW w:w="767" w:type="dxa"/>
            <w:noWrap w:val="0"/>
            <w:vAlign w:val="center"/>
          </w:tcPr>
          <w:p>
            <w:pPr>
              <w:pStyle w:val="22"/>
              <w:bidi w:val="0"/>
              <w:rPr>
                <w:rFonts w:hint="default"/>
                <w:color w:val="auto"/>
                <w:highlight w:val="none"/>
              </w:rPr>
            </w:pPr>
            <w:r>
              <w:rPr>
                <w:rFonts w:hint="default"/>
                <w:color w:val="auto"/>
                <w:highlight w:val="none"/>
              </w:rPr>
              <w:t>20.88</w:t>
            </w:r>
          </w:p>
        </w:tc>
        <w:tc>
          <w:tcPr>
            <w:tcW w:w="1468" w:type="dxa"/>
            <w:noWrap w:val="0"/>
            <w:vAlign w:val="center"/>
          </w:tcPr>
          <w:p>
            <w:pPr>
              <w:pStyle w:val="22"/>
              <w:bidi w:val="0"/>
              <w:rPr>
                <w:rFonts w:hint="default"/>
                <w:color w:val="auto"/>
                <w:highlight w:val="none"/>
              </w:rPr>
            </w:pPr>
            <w:r>
              <w:rPr>
                <w:rFonts w:hint="default"/>
                <w:color w:val="auto"/>
                <w:highlight w:val="none"/>
              </w:rPr>
              <w:t>暂估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3</w:t>
            </w:r>
          </w:p>
        </w:tc>
        <w:tc>
          <w:tcPr>
            <w:tcW w:w="2113" w:type="dxa"/>
            <w:noWrap w:val="0"/>
            <w:vAlign w:val="center"/>
          </w:tcPr>
          <w:p>
            <w:pPr>
              <w:pStyle w:val="22"/>
              <w:bidi w:val="0"/>
              <w:rPr>
                <w:rFonts w:hint="default"/>
                <w:color w:val="auto"/>
                <w:highlight w:val="none"/>
              </w:rPr>
            </w:pPr>
            <w:r>
              <w:rPr>
                <w:rFonts w:hint="default"/>
                <w:color w:val="auto"/>
                <w:highlight w:val="none"/>
              </w:rPr>
              <w:t>大竹县永兴矿业有限责任公司华家沟煤矿</w:t>
            </w:r>
          </w:p>
        </w:tc>
        <w:tc>
          <w:tcPr>
            <w:tcW w:w="1800" w:type="dxa"/>
            <w:noWrap w:val="0"/>
            <w:vAlign w:val="center"/>
          </w:tcPr>
          <w:p>
            <w:pPr>
              <w:pStyle w:val="22"/>
              <w:bidi w:val="0"/>
              <w:rPr>
                <w:rFonts w:hint="default"/>
                <w:color w:val="auto"/>
                <w:highlight w:val="none"/>
              </w:rPr>
            </w:pPr>
            <w:r>
              <w:rPr>
                <w:rFonts w:hint="default"/>
                <w:color w:val="auto"/>
                <w:highlight w:val="none"/>
              </w:rPr>
              <w:t>独立升级改造</w:t>
            </w:r>
          </w:p>
        </w:tc>
        <w:tc>
          <w:tcPr>
            <w:tcW w:w="1134" w:type="dxa"/>
            <w:noWrap w:val="0"/>
            <w:vAlign w:val="center"/>
          </w:tcPr>
          <w:p>
            <w:pPr>
              <w:pStyle w:val="22"/>
              <w:bidi w:val="0"/>
              <w:rPr>
                <w:rFonts w:hint="default"/>
                <w:color w:val="auto"/>
                <w:highlight w:val="none"/>
              </w:rPr>
            </w:pPr>
            <w:r>
              <w:rPr>
                <w:rFonts w:hint="default"/>
                <w:color w:val="auto"/>
                <w:highlight w:val="none"/>
              </w:rPr>
              <w:t>9</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21</w:t>
            </w:r>
          </w:p>
        </w:tc>
        <w:tc>
          <w:tcPr>
            <w:tcW w:w="1000" w:type="dxa"/>
            <w:noWrap w:val="0"/>
            <w:vAlign w:val="center"/>
          </w:tcPr>
          <w:p>
            <w:pPr>
              <w:pStyle w:val="22"/>
              <w:bidi w:val="0"/>
              <w:rPr>
                <w:rFonts w:hint="default"/>
                <w:color w:val="auto"/>
                <w:highlight w:val="none"/>
              </w:rPr>
            </w:pPr>
            <w:r>
              <w:rPr>
                <w:rFonts w:hint="default"/>
                <w:color w:val="auto"/>
                <w:highlight w:val="none"/>
              </w:rPr>
              <w:t>斜井开拓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4735.21</w:t>
            </w:r>
          </w:p>
        </w:tc>
        <w:tc>
          <w:tcPr>
            <w:tcW w:w="900" w:type="dxa"/>
            <w:noWrap w:val="0"/>
            <w:vAlign w:val="center"/>
          </w:tcPr>
          <w:p>
            <w:pPr>
              <w:pStyle w:val="22"/>
              <w:bidi w:val="0"/>
              <w:rPr>
                <w:rFonts w:hint="default"/>
                <w:color w:val="auto"/>
                <w:highlight w:val="none"/>
              </w:rPr>
            </w:pPr>
            <w:r>
              <w:rPr>
                <w:rFonts w:hint="default"/>
                <w:color w:val="auto"/>
                <w:highlight w:val="none"/>
              </w:rPr>
              <w:t>225.49</w:t>
            </w:r>
          </w:p>
        </w:tc>
        <w:tc>
          <w:tcPr>
            <w:tcW w:w="767" w:type="dxa"/>
            <w:noWrap w:val="0"/>
            <w:vAlign w:val="center"/>
          </w:tcPr>
          <w:p>
            <w:pPr>
              <w:pStyle w:val="22"/>
              <w:bidi w:val="0"/>
              <w:rPr>
                <w:rFonts w:hint="default"/>
                <w:color w:val="auto"/>
                <w:highlight w:val="none"/>
              </w:rPr>
            </w:pPr>
            <w:r>
              <w:rPr>
                <w:rFonts w:hint="default"/>
                <w:color w:val="auto"/>
                <w:highlight w:val="none"/>
              </w:rPr>
              <w:t>10.46</w:t>
            </w:r>
          </w:p>
        </w:tc>
        <w:tc>
          <w:tcPr>
            <w:tcW w:w="1468" w:type="dxa"/>
            <w:noWrap w:val="0"/>
            <w:vAlign w:val="center"/>
          </w:tcPr>
          <w:p>
            <w:pPr>
              <w:pStyle w:val="22"/>
              <w:bidi w:val="0"/>
              <w:rPr>
                <w:rFonts w:hint="default"/>
                <w:color w:val="auto"/>
                <w:highlight w:val="none"/>
              </w:rPr>
            </w:pPr>
            <w:r>
              <w:rPr>
                <w:rFonts w:hint="default"/>
                <w:color w:val="auto"/>
                <w:highlight w:val="none"/>
              </w:rPr>
              <w:t>依据已编制项目申请与安全审核报告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4</w:t>
            </w:r>
          </w:p>
        </w:tc>
        <w:tc>
          <w:tcPr>
            <w:tcW w:w="2113" w:type="dxa"/>
            <w:noWrap w:val="0"/>
            <w:vAlign w:val="center"/>
          </w:tcPr>
          <w:p>
            <w:pPr>
              <w:pStyle w:val="22"/>
              <w:bidi w:val="0"/>
              <w:rPr>
                <w:rFonts w:hint="default"/>
                <w:color w:val="auto"/>
                <w:highlight w:val="none"/>
              </w:rPr>
            </w:pPr>
            <w:r>
              <w:rPr>
                <w:rFonts w:hint="default"/>
                <w:color w:val="auto"/>
                <w:highlight w:val="none"/>
              </w:rPr>
              <w:t>达州市全新能源发展有限公司孔家沟煤矿</w:t>
            </w:r>
          </w:p>
        </w:tc>
        <w:tc>
          <w:tcPr>
            <w:tcW w:w="1800" w:type="dxa"/>
            <w:noWrap w:val="0"/>
            <w:vAlign w:val="center"/>
          </w:tcPr>
          <w:p>
            <w:pPr>
              <w:pStyle w:val="22"/>
              <w:bidi w:val="0"/>
              <w:rPr>
                <w:rFonts w:hint="default"/>
                <w:color w:val="auto"/>
                <w:highlight w:val="none"/>
              </w:rPr>
            </w:pPr>
            <w:r>
              <w:rPr>
                <w:rFonts w:hint="default"/>
                <w:color w:val="auto"/>
                <w:highlight w:val="none"/>
              </w:rPr>
              <w:t>兼并升级（石桥铺煤矿）</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15</w:t>
            </w:r>
          </w:p>
        </w:tc>
        <w:tc>
          <w:tcPr>
            <w:tcW w:w="1000" w:type="dxa"/>
            <w:noWrap w:val="0"/>
            <w:vAlign w:val="center"/>
          </w:tcPr>
          <w:p>
            <w:pPr>
              <w:pStyle w:val="22"/>
              <w:bidi w:val="0"/>
              <w:rPr>
                <w:rFonts w:hint="default"/>
                <w:color w:val="auto"/>
                <w:highlight w:val="none"/>
              </w:rPr>
            </w:pPr>
            <w:r>
              <w:rPr>
                <w:rFonts w:hint="default"/>
                <w:color w:val="auto"/>
                <w:highlight w:val="none"/>
              </w:rPr>
              <w:t>斜井平硐开拓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中等Ⅱ级</w:t>
            </w:r>
          </w:p>
        </w:tc>
        <w:tc>
          <w:tcPr>
            <w:tcW w:w="1008" w:type="dxa"/>
            <w:noWrap w:val="0"/>
            <w:vAlign w:val="center"/>
          </w:tcPr>
          <w:p>
            <w:pPr>
              <w:pStyle w:val="22"/>
              <w:bidi w:val="0"/>
              <w:rPr>
                <w:rFonts w:hint="default"/>
                <w:color w:val="auto"/>
                <w:highlight w:val="none"/>
              </w:rPr>
            </w:pPr>
            <w:r>
              <w:rPr>
                <w:rFonts w:hint="default"/>
                <w:color w:val="auto"/>
                <w:highlight w:val="none"/>
              </w:rPr>
              <w:t>9848.77</w:t>
            </w:r>
          </w:p>
        </w:tc>
        <w:tc>
          <w:tcPr>
            <w:tcW w:w="900" w:type="dxa"/>
            <w:noWrap w:val="0"/>
            <w:vAlign w:val="center"/>
          </w:tcPr>
          <w:p>
            <w:pPr>
              <w:pStyle w:val="22"/>
              <w:bidi w:val="0"/>
              <w:rPr>
                <w:rFonts w:hint="default"/>
                <w:color w:val="auto"/>
                <w:highlight w:val="none"/>
              </w:rPr>
            </w:pPr>
            <w:r>
              <w:rPr>
                <w:rFonts w:hint="default"/>
                <w:color w:val="auto"/>
                <w:highlight w:val="none"/>
              </w:rPr>
              <w:t>656.58</w:t>
            </w:r>
          </w:p>
        </w:tc>
        <w:tc>
          <w:tcPr>
            <w:tcW w:w="767" w:type="dxa"/>
            <w:noWrap w:val="0"/>
            <w:vAlign w:val="center"/>
          </w:tcPr>
          <w:p>
            <w:pPr>
              <w:pStyle w:val="22"/>
              <w:bidi w:val="0"/>
              <w:rPr>
                <w:rFonts w:hint="default"/>
                <w:color w:val="auto"/>
                <w:highlight w:val="none"/>
              </w:rPr>
            </w:pPr>
            <w:r>
              <w:rPr>
                <w:rFonts w:hint="default"/>
                <w:color w:val="auto"/>
                <w:highlight w:val="none"/>
              </w:rPr>
              <w:t>21.76</w:t>
            </w:r>
          </w:p>
        </w:tc>
        <w:tc>
          <w:tcPr>
            <w:tcW w:w="1468" w:type="dxa"/>
            <w:noWrap w:val="0"/>
            <w:vAlign w:val="center"/>
          </w:tcPr>
          <w:p>
            <w:pPr>
              <w:pStyle w:val="22"/>
              <w:bidi w:val="0"/>
              <w:rPr>
                <w:rFonts w:hint="default"/>
                <w:color w:val="auto"/>
                <w:highlight w:val="none"/>
              </w:rPr>
            </w:pPr>
            <w:r>
              <w:rPr>
                <w:rFonts w:hint="default"/>
                <w:color w:val="auto"/>
                <w:highlight w:val="none"/>
              </w:rPr>
              <w:t>依据已编制项目申请与安全审核报告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5</w:t>
            </w:r>
          </w:p>
        </w:tc>
        <w:tc>
          <w:tcPr>
            <w:tcW w:w="2113" w:type="dxa"/>
            <w:noWrap w:val="0"/>
            <w:vAlign w:val="center"/>
          </w:tcPr>
          <w:p>
            <w:pPr>
              <w:pStyle w:val="22"/>
              <w:bidi w:val="0"/>
              <w:rPr>
                <w:rFonts w:hint="default"/>
                <w:color w:val="auto"/>
                <w:highlight w:val="none"/>
              </w:rPr>
            </w:pPr>
            <w:r>
              <w:rPr>
                <w:rFonts w:hint="default"/>
                <w:color w:val="auto"/>
                <w:highlight w:val="none"/>
              </w:rPr>
              <w:t>大竹县双溪乡刘家沟联合煤矿</w:t>
            </w:r>
          </w:p>
        </w:tc>
        <w:tc>
          <w:tcPr>
            <w:tcW w:w="1800" w:type="dxa"/>
            <w:noWrap w:val="0"/>
            <w:vAlign w:val="center"/>
          </w:tcPr>
          <w:p>
            <w:pPr>
              <w:pStyle w:val="22"/>
              <w:bidi w:val="0"/>
              <w:rPr>
                <w:rFonts w:hint="default"/>
                <w:color w:val="auto"/>
                <w:highlight w:val="none"/>
              </w:rPr>
            </w:pPr>
            <w:r>
              <w:rPr>
                <w:rFonts w:hint="default"/>
                <w:color w:val="auto"/>
                <w:highlight w:val="none"/>
              </w:rPr>
              <w:t>独立升级改造</w:t>
            </w:r>
          </w:p>
        </w:tc>
        <w:tc>
          <w:tcPr>
            <w:tcW w:w="1134" w:type="dxa"/>
            <w:noWrap w:val="0"/>
            <w:vAlign w:val="center"/>
          </w:tcPr>
          <w:p>
            <w:pPr>
              <w:pStyle w:val="22"/>
              <w:bidi w:val="0"/>
              <w:rPr>
                <w:rFonts w:hint="default"/>
                <w:color w:val="auto"/>
                <w:highlight w:val="none"/>
              </w:rPr>
            </w:pPr>
            <w:r>
              <w:rPr>
                <w:rFonts w:hint="default"/>
                <w:color w:val="auto"/>
                <w:highlight w:val="none"/>
              </w:rPr>
              <w:t>9</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21</w:t>
            </w:r>
          </w:p>
        </w:tc>
        <w:tc>
          <w:tcPr>
            <w:tcW w:w="1000" w:type="dxa"/>
            <w:noWrap w:val="0"/>
            <w:vAlign w:val="center"/>
          </w:tcPr>
          <w:p>
            <w:pPr>
              <w:pStyle w:val="22"/>
              <w:bidi w:val="0"/>
              <w:rPr>
                <w:rFonts w:hint="default"/>
                <w:color w:val="auto"/>
                <w:highlight w:val="none"/>
              </w:rPr>
            </w:pPr>
            <w:r>
              <w:rPr>
                <w:rFonts w:hint="default"/>
                <w:color w:val="auto"/>
                <w:highlight w:val="none"/>
              </w:rPr>
              <w:t>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简单Ⅲ级</w:t>
            </w:r>
          </w:p>
        </w:tc>
        <w:tc>
          <w:tcPr>
            <w:tcW w:w="1008" w:type="dxa"/>
            <w:noWrap w:val="0"/>
            <w:vAlign w:val="center"/>
          </w:tcPr>
          <w:p>
            <w:pPr>
              <w:pStyle w:val="22"/>
              <w:bidi w:val="0"/>
              <w:rPr>
                <w:rFonts w:hint="default"/>
                <w:color w:val="auto"/>
                <w:highlight w:val="none"/>
              </w:rPr>
            </w:pPr>
            <w:r>
              <w:rPr>
                <w:rFonts w:hint="default"/>
                <w:color w:val="auto"/>
                <w:highlight w:val="none"/>
              </w:rPr>
              <w:t>8400.00</w:t>
            </w:r>
          </w:p>
        </w:tc>
        <w:tc>
          <w:tcPr>
            <w:tcW w:w="900" w:type="dxa"/>
            <w:noWrap w:val="0"/>
            <w:vAlign w:val="center"/>
          </w:tcPr>
          <w:p>
            <w:pPr>
              <w:pStyle w:val="22"/>
              <w:bidi w:val="0"/>
              <w:rPr>
                <w:rFonts w:hint="default"/>
                <w:color w:val="auto"/>
                <w:highlight w:val="none"/>
              </w:rPr>
            </w:pPr>
            <w:r>
              <w:rPr>
                <w:rFonts w:hint="default"/>
                <w:color w:val="auto"/>
                <w:highlight w:val="none"/>
              </w:rPr>
              <w:t>400.00</w:t>
            </w:r>
          </w:p>
        </w:tc>
        <w:tc>
          <w:tcPr>
            <w:tcW w:w="767" w:type="dxa"/>
            <w:noWrap w:val="0"/>
            <w:vAlign w:val="center"/>
          </w:tcPr>
          <w:p>
            <w:pPr>
              <w:pStyle w:val="22"/>
              <w:bidi w:val="0"/>
              <w:rPr>
                <w:rFonts w:hint="default"/>
                <w:color w:val="auto"/>
                <w:highlight w:val="none"/>
              </w:rPr>
            </w:pPr>
            <w:r>
              <w:rPr>
                <w:rFonts w:hint="default"/>
                <w:color w:val="auto"/>
                <w:highlight w:val="none"/>
              </w:rPr>
              <w:t>18.56</w:t>
            </w:r>
          </w:p>
        </w:tc>
        <w:tc>
          <w:tcPr>
            <w:tcW w:w="1468" w:type="dxa"/>
            <w:noWrap w:val="0"/>
            <w:vAlign w:val="center"/>
          </w:tcPr>
          <w:p>
            <w:pPr>
              <w:pStyle w:val="22"/>
              <w:bidi w:val="0"/>
              <w:rPr>
                <w:rFonts w:hint="default"/>
                <w:color w:val="auto"/>
                <w:highlight w:val="none"/>
              </w:rPr>
            </w:pPr>
            <w:r>
              <w:rPr>
                <w:rFonts w:hint="default"/>
                <w:color w:val="auto"/>
                <w:highlight w:val="none"/>
              </w:rPr>
              <w:t>暂估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6</w:t>
            </w:r>
          </w:p>
        </w:tc>
        <w:tc>
          <w:tcPr>
            <w:tcW w:w="2113" w:type="dxa"/>
            <w:noWrap w:val="0"/>
            <w:vAlign w:val="center"/>
          </w:tcPr>
          <w:p>
            <w:pPr>
              <w:pStyle w:val="22"/>
              <w:bidi w:val="0"/>
              <w:rPr>
                <w:rFonts w:hint="default"/>
                <w:color w:val="auto"/>
                <w:highlight w:val="none"/>
              </w:rPr>
            </w:pPr>
            <w:r>
              <w:rPr>
                <w:rFonts w:hint="default"/>
                <w:color w:val="auto"/>
                <w:highlight w:val="none"/>
              </w:rPr>
              <w:t>大竹县牛郎沟煤业有限公司牛郎沟煤矿</w:t>
            </w:r>
          </w:p>
        </w:tc>
        <w:tc>
          <w:tcPr>
            <w:tcW w:w="1800" w:type="dxa"/>
            <w:noWrap w:val="0"/>
            <w:vAlign w:val="center"/>
          </w:tcPr>
          <w:p>
            <w:pPr>
              <w:pStyle w:val="22"/>
              <w:bidi w:val="0"/>
              <w:rPr>
                <w:rFonts w:hint="default"/>
                <w:color w:val="auto"/>
                <w:highlight w:val="none"/>
              </w:rPr>
            </w:pPr>
            <w:r>
              <w:rPr>
                <w:rFonts w:hint="default"/>
                <w:color w:val="auto"/>
                <w:highlight w:val="none"/>
              </w:rPr>
              <w:t>兼并升级（芋子沟煤矿）</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15</w:t>
            </w:r>
          </w:p>
        </w:tc>
        <w:tc>
          <w:tcPr>
            <w:tcW w:w="1000" w:type="dxa"/>
            <w:noWrap w:val="0"/>
            <w:vAlign w:val="center"/>
          </w:tcPr>
          <w:p>
            <w:pPr>
              <w:pStyle w:val="22"/>
              <w:bidi w:val="0"/>
              <w:rPr>
                <w:rFonts w:hint="default"/>
                <w:color w:val="auto"/>
                <w:highlight w:val="none"/>
              </w:rPr>
            </w:pPr>
            <w:r>
              <w:rPr>
                <w:rFonts w:hint="default"/>
                <w:color w:val="auto"/>
                <w:highlight w:val="none"/>
              </w:rPr>
              <w:t>斜井平硐开拓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4666.72</w:t>
            </w:r>
          </w:p>
        </w:tc>
        <w:tc>
          <w:tcPr>
            <w:tcW w:w="900" w:type="dxa"/>
            <w:noWrap w:val="0"/>
            <w:vAlign w:val="center"/>
          </w:tcPr>
          <w:p>
            <w:pPr>
              <w:pStyle w:val="22"/>
              <w:bidi w:val="0"/>
              <w:rPr>
                <w:rFonts w:hint="default"/>
                <w:color w:val="auto"/>
                <w:highlight w:val="none"/>
              </w:rPr>
            </w:pPr>
            <w:r>
              <w:rPr>
                <w:rFonts w:hint="default"/>
                <w:color w:val="auto"/>
                <w:highlight w:val="none"/>
              </w:rPr>
              <w:t>222.22</w:t>
            </w:r>
          </w:p>
        </w:tc>
        <w:tc>
          <w:tcPr>
            <w:tcW w:w="767" w:type="dxa"/>
            <w:noWrap w:val="0"/>
            <w:vAlign w:val="center"/>
          </w:tcPr>
          <w:p>
            <w:pPr>
              <w:pStyle w:val="22"/>
              <w:bidi w:val="0"/>
              <w:rPr>
                <w:rFonts w:hint="default"/>
                <w:color w:val="auto"/>
                <w:highlight w:val="none"/>
              </w:rPr>
            </w:pPr>
            <w:r>
              <w:rPr>
                <w:rFonts w:hint="default"/>
                <w:color w:val="auto"/>
                <w:highlight w:val="none"/>
              </w:rPr>
              <w:t>10.31</w:t>
            </w:r>
          </w:p>
        </w:tc>
        <w:tc>
          <w:tcPr>
            <w:tcW w:w="1468" w:type="dxa"/>
            <w:noWrap w:val="0"/>
            <w:vAlign w:val="center"/>
          </w:tcPr>
          <w:p>
            <w:pPr>
              <w:pStyle w:val="22"/>
              <w:bidi w:val="0"/>
              <w:rPr>
                <w:rFonts w:hint="default"/>
                <w:color w:val="auto"/>
                <w:highlight w:val="none"/>
              </w:rPr>
            </w:pPr>
            <w:r>
              <w:rPr>
                <w:rFonts w:hint="default"/>
                <w:color w:val="auto"/>
                <w:highlight w:val="none"/>
              </w:rPr>
              <w:t>依据已编制项目申请与安全审核报告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7</w:t>
            </w:r>
          </w:p>
        </w:tc>
        <w:tc>
          <w:tcPr>
            <w:tcW w:w="2113" w:type="dxa"/>
            <w:noWrap w:val="0"/>
            <w:vAlign w:val="center"/>
          </w:tcPr>
          <w:p>
            <w:pPr>
              <w:pStyle w:val="22"/>
              <w:bidi w:val="0"/>
              <w:rPr>
                <w:rFonts w:hint="default"/>
                <w:color w:val="auto"/>
                <w:highlight w:val="none"/>
              </w:rPr>
            </w:pPr>
            <w:r>
              <w:rPr>
                <w:rFonts w:hint="default"/>
                <w:color w:val="auto"/>
                <w:highlight w:val="none"/>
              </w:rPr>
              <w:t>大竹县平桥煤业有限公司平桥煤矿</w:t>
            </w:r>
          </w:p>
        </w:tc>
        <w:tc>
          <w:tcPr>
            <w:tcW w:w="1800" w:type="dxa"/>
            <w:noWrap w:val="0"/>
            <w:vAlign w:val="center"/>
          </w:tcPr>
          <w:p>
            <w:pPr>
              <w:pStyle w:val="22"/>
              <w:bidi w:val="0"/>
              <w:rPr>
                <w:rFonts w:hint="default"/>
                <w:color w:val="auto"/>
                <w:highlight w:val="none"/>
              </w:rPr>
            </w:pPr>
            <w:r>
              <w:rPr>
                <w:rFonts w:hint="default"/>
                <w:color w:val="auto"/>
                <w:highlight w:val="none"/>
              </w:rPr>
              <w:t>兼并升级（陈家河煤矿）</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30</w:t>
            </w:r>
          </w:p>
        </w:tc>
        <w:tc>
          <w:tcPr>
            <w:tcW w:w="867" w:type="dxa"/>
            <w:noWrap w:val="0"/>
            <w:vAlign w:val="center"/>
          </w:tcPr>
          <w:p>
            <w:pPr>
              <w:pStyle w:val="22"/>
              <w:bidi w:val="0"/>
              <w:rPr>
                <w:rFonts w:hint="default"/>
                <w:color w:val="auto"/>
                <w:highlight w:val="none"/>
              </w:rPr>
            </w:pPr>
            <w:r>
              <w:rPr>
                <w:rFonts w:hint="default"/>
                <w:color w:val="auto"/>
                <w:highlight w:val="none"/>
              </w:rPr>
              <w:t>15</w:t>
            </w:r>
          </w:p>
        </w:tc>
        <w:tc>
          <w:tcPr>
            <w:tcW w:w="1000" w:type="dxa"/>
            <w:noWrap w:val="0"/>
            <w:vAlign w:val="center"/>
          </w:tcPr>
          <w:p>
            <w:pPr>
              <w:pStyle w:val="22"/>
              <w:bidi w:val="0"/>
              <w:rPr>
                <w:rFonts w:hint="default"/>
                <w:color w:val="auto"/>
                <w:highlight w:val="none"/>
              </w:rPr>
            </w:pPr>
            <w:r>
              <w:rPr>
                <w:rFonts w:hint="default"/>
                <w:color w:val="auto"/>
                <w:highlight w:val="none"/>
              </w:rPr>
              <w:t>斜井平硐开拓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中等Ⅲ级</w:t>
            </w:r>
          </w:p>
        </w:tc>
        <w:tc>
          <w:tcPr>
            <w:tcW w:w="1008" w:type="dxa"/>
            <w:noWrap w:val="0"/>
            <w:vAlign w:val="center"/>
          </w:tcPr>
          <w:p>
            <w:pPr>
              <w:pStyle w:val="22"/>
              <w:bidi w:val="0"/>
              <w:rPr>
                <w:rFonts w:hint="default"/>
                <w:color w:val="auto"/>
                <w:highlight w:val="none"/>
              </w:rPr>
            </w:pPr>
            <w:r>
              <w:rPr>
                <w:rFonts w:hint="default"/>
                <w:color w:val="auto"/>
                <w:highlight w:val="none"/>
              </w:rPr>
              <w:t>8166.92</w:t>
            </w:r>
          </w:p>
        </w:tc>
        <w:tc>
          <w:tcPr>
            <w:tcW w:w="900" w:type="dxa"/>
            <w:noWrap w:val="0"/>
            <w:vAlign w:val="center"/>
          </w:tcPr>
          <w:p>
            <w:pPr>
              <w:pStyle w:val="22"/>
              <w:bidi w:val="0"/>
              <w:rPr>
                <w:rFonts w:hint="default"/>
                <w:color w:val="auto"/>
                <w:highlight w:val="none"/>
              </w:rPr>
            </w:pPr>
            <w:r>
              <w:rPr>
                <w:rFonts w:hint="default"/>
                <w:color w:val="auto"/>
                <w:highlight w:val="none"/>
              </w:rPr>
              <w:t>544.46</w:t>
            </w:r>
          </w:p>
        </w:tc>
        <w:tc>
          <w:tcPr>
            <w:tcW w:w="767" w:type="dxa"/>
            <w:noWrap w:val="0"/>
            <w:vAlign w:val="center"/>
          </w:tcPr>
          <w:p>
            <w:pPr>
              <w:pStyle w:val="22"/>
              <w:bidi w:val="0"/>
              <w:rPr>
                <w:rFonts w:hint="default"/>
                <w:color w:val="auto"/>
                <w:highlight w:val="none"/>
              </w:rPr>
            </w:pPr>
            <w:r>
              <w:rPr>
                <w:rFonts w:hint="default"/>
                <w:color w:val="auto"/>
                <w:highlight w:val="none"/>
              </w:rPr>
              <w:t>18.04</w:t>
            </w:r>
          </w:p>
        </w:tc>
        <w:tc>
          <w:tcPr>
            <w:tcW w:w="1468" w:type="dxa"/>
            <w:noWrap w:val="0"/>
            <w:vAlign w:val="center"/>
          </w:tcPr>
          <w:p>
            <w:pPr>
              <w:pStyle w:val="22"/>
              <w:bidi w:val="0"/>
              <w:rPr>
                <w:rFonts w:hint="default"/>
                <w:color w:val="auto"/>
                <w:highlight w:val="none"/>
              </w:rPr>
            </w:pPr>
            <w:r>
              <w:rPr>
                <w:rFonts w:hint="default"/>
                <w:color w:val="auto"/>
                <w:highlight w:val="none"/>
              </w:rPr>
              <w:t>依据已编制项目申请与安全审核报告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r>
              <w:rPr>
                <w:rFonts w:hint="default"/>
                <w:color w:val="auto"/>
                <w:highlight w:val="none"/>
              </w:rPr>
              <w:t>8</w:t>
            </w:r>
          </w:p>
        </w:tc>
        <w:tc>
          <w:tcPr>
            <w:tcW w:w="2113" w:type="dxa"/>
            <w:noWrap w:val="0"/>
            <w:vAlign w:val="center"/>
          </w:tcPr>
          <w:p>
            <w:pPr>
              <w:pStyle w:val="22"/>
              <w:bidi w:val="0"/>
              <w:rPr>
                <w:rFonts w:hint="default"/>
                <w:color w:val="auto"/>
                <w:highlight w:val="none"/>
              </w:rPr>
            </w:pPr>
            <w:r>
              <w:rPr>
                <w:rFonts w:hint="default"/>
                <w:color w:val="auto"/>
                <w:highlight w:val="none"/>
              </w:rPr>
              <w:t>四川省神州矿业开发有限公司观音煤矿</w:t>
            </w:r>
          </w:p>
        </w:tc>
        <w:tc>
          <w:tcPr>
            <w:tcW w:w="1800" w:type="dxa"/>
            <w:noWrap w:val="0"/>
            <w:vAlign w:val="center"/>
          </w:tcPr>
          <w:p>
            <w:pPr>
              <w:pStyle w:val="22"/>
              <w:bidi w:val="0"/>
              <w:rPr>
                <w:rFonts w:hint="default"/>
                <w:color w:val="auto"/>
                <w:highlight w:val="none"/>
              </w:rPr>
            </w:pPr>
            <w:r>
              <w:rPr>
                <w:rFonts w:hint="default"/>
                <w:color w:val="auto"/>
                <w:highlight w:val="none"/>
              </w:rPr>
              <w:t>保留矿井</w:t>
            </w:r>
          </w:p>
        </w:tc>
        <w:tc>
          <w:tcPr>
            <w:tcW w:w="1134" w:type="dxa"/>
            <w:noWrap w:val="0"/>
            <w:vAlign w:val="center"/>
          </w:tcPr>
          <w:p>
            <w:pPr>
              <w:pStyle w:val="22"/>
              <w:bidi w:val="0"/>
              <w:rPr>
                <w:rFonts w:hint="default"/>
                <w:color w:val="auto"/>
                <w:highlight w:val="none"/>
              </w:rPr>
            </w:pPr>
            <w:r>
              <w:rPr>
                <w:rFonts w:hint="default"/>
                <w:color w:val="auto"/>
                <w:highlight w:val="none"/>
              </w:rPr>
              <w:t>15</w:t>
            </w:r>
          </w:p>
        </w:tc>
        <w:tc>
          <w:tcPr>
            <w:tcW w:w="866" w:type="dxa"/>
            <w:noWrap w:val="0"/>
            <w:vAlign w:val="center"/>
          </w:tcPr>
          <w:p>
            <w:pPr>
              <w:pStyle w:val="22"/>
              <w:bidi w:val="0"/>
              <w:rPr>
                <w:rFonts w:hint="default"/>
                <w:color w:val="auto"/>
                <w:highlight w:val="none"/>
              </w:rPr>
            </w:pPr>
            <w:r>
              <w:rPr>
                <w:rFonts w:hint="default"/>
                <w:color w:val="auto"/>
                <w:highlight w:val="none"/>
              </w:rPr>
              <w:t>15</w:t>
            </w:r>
          </w:p>
        </w:tc>
        <w:tc>
          <w:tcPr>
            <w:tcW w:w="867" w:type="dxa"/>
            <w:noWrap w:val="0"/>
            <w:vAlign w:val="center"/>
          </w:tcPr>
          <w:p>
            <w:pPr>
              <w:pStyle w:val="22"/>
              <w:bidi w:val="0"/>
              <w:rPr>
                <w:rFonts w:hint="default"/>
                <w:color w:val="auto"/>
                <w:highlight w:val="none"/>
              </w:rPr>
            </w:pPr>
            <w:r>
              <w:rPr>
                <w:rFonts w:hint="default"/>
                <w:color w:val="auto"/>
                <w:highlight w:val="none"/>
              </w:rPr>
              <w:t>0</w:t>
            </w:r>
          </w:p>
        </w:tc>
        <w:tc>
          <w:tcPr>
            <w:tcW w:w="1000" w:type="dxa"/>
            <w:noWrap w:val="0"/>
            <w:vAlign w:val="center"/>
          </w:tcPr>
          <w:p>
            <w:pPr>
              <w:pStyle w:val="22"/>
              <w:bidi w:val="0"/>
              <w:rPr>
                <w:rFonts w:hint="default"/>
                <w:color w:val="auto"/>
                <w:highlight w:val="none"/>
              </w:rPr>
            </w:pPr>
            <w:r>
              <w:rPr>
                <w:rFonts w:hint="default"/>
                <w:color w:val="auto"/>
                <w:highlight w:val="none"/>
              </w:rPr>
              <w:t>平硐开拓</w:t>
            </w:r>
          </w:p>
        </w:tc>
        <w:tc>
          <w:tcPr>
            <w:tcW w:w="750" w:type="dxa"/>
            <w:noWrap w:val="0"/>
            <w:vAlign w:val="center"/>
          </w:tcPr>
          <w:p>
            <w:pPr>
              <w:pStyle w:val="22"/>
              <w:bidi w:val="0"/>
              <w:rPr>
                <w:rFonts w:hint="default"/>
                <w:color w:val="auto"/>
                <w:highlight w:val="none"/>
              </w:rPr>
            </w:pPr>
            <w:r>
              <w:rPr>
                <w:rFonts w:hint="default"/>
                <w:color w:val="auto"/>
                <w:highlight w:val="none"/>
              </w:rPr>
              <w:t>低瓦斯</w:t>
            </w:r>
          </w:p>
        </w:tc>
        <w:tc>
          <w:tcPr>
            <w:tcW w:w="825" w:type="dxa"/>
            <w:noWrap w:val="0"/>
            <w:vAlign w:val="center"/>
          </w:tcPr>
          <w:p>
            <w:pPr>
              <w:pStyle w:val="22"/>
              <w:bidi w:val="0"/>
              <w:rPr>
                <w:rFonts w:hint="default"/>
                <w:color w:val="auto"/>
                <w:highlight w:val="none"/>
              </w:rPr>
            </w:pPr>
            <w:r>
              <w:rPr>
                <w:rFonts w:hint="default"/>
                <w:color w:val="auto"/>
                <w:highlight w:val="none"/>
              </w:rPr>
              <w:t>中等Ⅱ级</w:t>
            </w:r>
          </w:p>
        </w:tc>
        <w:tc>
          <w:tcPr>
            <w:tcW w:w="1008" w:type="dxa"/>
            <w:noWrap w:val="0"/>
            <w:vAlign w:val="center"/>
          </w:tcPr>
          <w:p>
            <w:pPr>
              <w:pStyle w:val="22"/>
              <w:bidi w:val="0"/>
              <w:rPr>
                <w:rFonts w:hint="default"/>
                <w:color w:val="auto"/>
                <w:highlight w:val="none"/>
              </w:rPr>
            </w:pPr>
            <w:r>
              <w:rPr>
                <w:rFonts w:hint="default"/>
                <w:color w:val="auto"/>
                <w:highlight w:val="none"/>
              </w:rPr>
              <w:t>0</w:t>
            </w:r>
          </w:p>
        </w:tc>
        <w:tc>
          <w:tcPr>
            <w:tcW w:w="900" w:type="dxa"/>
            <w:noWrap w:val="0"/>
            <w:vAlign w:val="center"/>
          </w:tcPr>
          <w:p>
            <w:pPr>
              <w:pStyle w:val="22"/>
              <w:bidi w:val="0"/>
              <w:rPr>
                <w:rFonts w:hint="default"/>
                <w:color w:val="auto"/>
                <w:highlight w:val="none"/>
              </w:rPr>
            </w:pP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noWrap w:val="0"/>
            <w:vAlign w:val="center"/>
          </w:tcPr>
          <w:p>
            <w:pPr>
              <w:pStyle w:val="22"/>
              <w:bidi w:val="0"/>
              <w:rPr>
                <w:rFonts w:hint="default"/>
                <w:color w:val="auto"/>
                <w:highlight w:val="none"/>
              </w:rPr>
            </w:pPr>
          </w:p>
        </w:tc>
        <w:tc>
          <w:tcPr>
            <w:tcW w:w="2113" w:type="dxa"/>
            <w:noWrap w:val="0"/>
            <w:vAlign w:val="center"/>
          </w:tcPr>
          <w:p>
            <w:pPr>
              <w:pStyle w:val="22"/>
              <w:bidi w:val="0"/>
              <w:rPr>
                <w:rFonts w:hint="default"/>
                <w:color w:val="auto"/>
                <w:highlight w:val="none"/>
              </w:rPr>
            </w:pPr>
            <w:r>
              <w:rPr>
                <w:rFonts w:hint="default"/>
                <w:color w:val="auto"/>
                <w:highlight w:val="none"/>
              </w:rPr>
              <w:t>小计</w:t>
            </w:r>
          </w:p>
        </w:tc>
        <w:tc>
          <w:tcPr>
            <w:tcW w:w="1800" w:type="dxa"/>
            <w:noWrap w:val="0"/>
            <w:vAlign w:val="center"/>
          </w:tcPr>
          <w:p>
            <w:pPr>
              <w:pStyle w:val="22"/>
              <w:bidi w:val="0"/>
              <w:rPr>
                <w:rFonts w:hint="default"/>
                <w:color w:val="auto"/>
                <w:highlight w:val="none"/>
              </w:rPr>
            </w:pPr>
          </w:p>
        </w:tc>
        <w:tc>
          <w:tcPr>
            <w:tcW w:w="1134" w:type="dxa"/>
            <w:noWrap w:val="0"/>
            <w:vAlign w:val="center"/>
          </w:tcPr>
          <w:p>
            <w:pPr>
              <w:pStyle w:val="22"/>
              <w:bidi w:val="0"/>
              <w:rPr>
                <w:rFonts w:hint="default"/>
                <w:color w:val="auto"/>
                <w:highlight w:val="none"/>
              </w:rPr>
            </w:pPr>
            <w:r>
              <w:rPr>
                <w:rFonts w:hint="default"/>
                <w:color w:val="auto"/>
                <w:highlight w:val="none"/>
              </w:rPr>
              <w:t>123</w:t>
            </w:r>
          </w:p>
        </w:tc>
        <w:tc>
          <w:tcPr>
            <w:tcW w:w="866" w:type="dxa"/>
            <w:noWrap w:val="0"/>
            <w:vAlign w:val="center"/>
          </w:tcPr>
          <w:p>
            <w:pPr>
              <w:pStyle w:val="22"/>
              <w:bidi w:val="0"/>
              <w:rPr>
                <w:rFonts w:hint="default"/>
                <w:color w:val="auto"/>
                <w:highlight w:val="none"/>
              </w:rPr>
            </w:pPr>
            <w:r>
              <w:rPr>
                <w:rFonts w:hint="default"/>
                <w:color w:val="auto"/>
                <w:highlight w:val="none"/>
              </w:rPr>
              <w:t>225</w:t>
            </w:r>
          </w:p>
        </w:tc>
        <w:tc>
          <w:tcPr>
            <w:tcW w:w="867" w:type="dxa"/>
            <w:noWrap w:val="0"/>
            <w:vAlign w:val="center"/>
          </w:tcPr>
          <w:p>
            <w:pPr>
              <w:pStyle w:val="22"/>
              <w:bidi w:val="0"/>
              <w:rPr>
                <w:rFonts w:hint="default"/>
                <w:color w:val="auto"/>
                <w:highlight w:val="none"/>
              </w:rPr>
            </w:pPr>
            <w:r>
              <w:rPr>
                <w:rFonts w:hint="default"/>
                <w:color w:val="auto"/>
                <w:highlight w:val="none"/>
              </w:rPr>
              <w:t>102</w:t>
            </w:r>
          </w:p>
        </w:tc>
        <w:tc>
          <w:tcPr>
            <w:tcW w:w="1000" w:type="dxa"/>
            <w:noWrap w:val="0"/>
            <w:vAlign w:val="center"/>
          </w:tcPr>
          <w:p>
            <w:pPr>
              <w:pStyle w:val="22"/>
              <w:bidi w:val="0"/>
              <w:rPr>
                <w:rFonts w:hint="default"/>
                <w:color w:val="auto"/>
                <w:highlight w:val="none"/>
              </w:rPr>
            </w:pPr>
          </w:p>
        </w:tc>
        <w:tc>
          <w:tcPr>
            <w:tcW w:w="750" w:type="dxa"/>
            <w:noWrap w:val="0"/>
            <w:vAlign w:val="center"/>
          </w:tcPr>
          <w:p>
            <w:pPr>
              <w:pStyle w:val="22"/>
              <w:bidi w:val="0"/>
              <w:rPr>
                <w:rFonts w:hint="default"/>
                <w:color w:val="auto"/>
                <w:highlight w:val="none"/>
              </w:rPr>
            </w:pPr>
          </w:p>
        </w:tc>
        <w:tc>
          <w:tcPr>
            <w:tcW w:w="825" w:type="dxa"/>
            <w:noWrap w:val="0"/>
            <w:vAlign w:val="center"/>
          </w:tcPr>
          <w:p>
            <w:pPr>
              <w:pStyle w:val="22"/>
              <w:bidi w:val="0"/>
              <w:rPr>
                <w:rFonts w:hint="default"/>
                <w:color w:val="auto"/>
                <w:highlight w:val="none"/>
              </w:rPr>
            </w:pPr>
          </w:p>
        </w:tc>
        <w:tc>
          <w:tcPr>
            <w:tcW w:w="1008" w:type="dxa"/>
            <w:noWrap w:val="0"/>
            <w:vAlign w:val="center"/>
          </w:tcPr>
          <w:p>
            <w:pPr>
              <w:pStyle w:val="22"/>
              <w:bidi w:val="0"/>
              <w:rPr>
                <w:rFonts w:hint="default"/>
                <w:color w:val="auto"/>
                <w:highlight w:val="none"/>
              </w:rPr>
            </w:pPr>
            <w:r>
              <w:rPr>
                <w:rFonts w:hint="default"/>
                <w:color w:val="auto"/>
                <w:highlight w:val="none"/>
              </w:rPr>
              <w:t>45267.62</w:t>
            </w:r>
          </w:p>
        </w:tc>
        <w:tc>
          <w:tcPr>
            <w:tcW w:w="900" w:type="dxa"/>
            <w:noWrap w:val="0"/>
            <w:vAlign w:val="center"/>
          </w:tcPr>
          <w:p>
            <w:pPr>
              <w:pStyle w:val="22"/>
              <w:bidi w:val="0"/>
              <w:rPr>
                <w:rFonts w:hint="default"/>
                <w:color w:val="auto"/>
                <w:highlight w:val="none"/>
              </w:rPr>
            </w:pPr>
            <w:r>
              <w:rPr>
                <w:rFonts w:hint="default"/>
                <w:color w:val="auto"/>
                <w:highlight w:val="none"/>
              </w:rPr>
              <w:t>443.80</w:t>
            </w:r>
          </w:p>
        </w:tc>
        <w:tc>
          <w:tcPr>
            <w:tcW w:w="767" w:type="dxa"/>
            <w:noWrap w:val="0"/>
            <w:vAlign w:val="center"/>
          </w:tcPr>
          <w:p>
            <w:pPr>
              <w:pStyle w:val="22"/>
              <w:bidi w:val="0"/>
              <w:rPr>
                <w:rFonts w:hint="default"/>
                <w:color w:val="auto"/>
                <w:highlight w:val="none"/>
              </w:rPr>
            </w:pPr>
            <w:r>
              <w:rPr>
                <w:rFonts w:hint="default"/>
                <w:color w:val="auto"/>
                <w:highlight w:val="none"/>
              </w:rPr>
              <w:t>100.0</w:t>
            </w: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76" w:type="dxa"/>
            <w:noWrap w:val="0"/>
            <w:vAlign w:val="center"/>
          </w:tcPr>
          <w:p>
            <w:pPr>
              <w:pStyle w:val="22"/>
              <w:bidi w:val="0"/>
              <w:rPr>
                <w:rFonts w:hint="default"/>
                <w:color w:val="auto"/>
                <w:highlight w:val="none"/>
              </w:rPr>
            </w:pPr>
          </w:p>
        </w:tc>
        <w:tc>
          <w:tcPr>
            <w:tcW w:w="2113" w:type="dxa"/>
            <w:noWrap w:val="0"/>
            <w:vAlign w:val="center"/>
          </w:tcPr>
          <w:p>
            <w:pPr>
              <w:pStyle w:val="22"/>
              <w:bidi w:val="0"/>
              <w:rPr>
                <w:rFonts w:hint="default"/>
                <w:color w:val="auto"/>
                <w:highlight w:val="none"/>
              </w:rPr>
            </w:pPr>
            <w:r>
              <w:rPr>
                <w:rFonts w:hint="default"/>
                <w:color w:val="auto"/>
                <w:highlight w:val="none"/>
              </w:rPr>
              <w:t>合计</w:t>
            </w:r>
          </w:p>
        </w:tc>
        <w:tc>
          <w:tcPr>
            <w:tcW w:w="1800" w:type="dxa"/>
            <w:noWrap w:val="0"/>
            <w:vAlign w:val="center"/>
          </w:tcPr>
          <w:p>
            <w:pPr>
              <w:pStyle w:val="22"/>
              <w:bidi w:val="0"/>
              <w:rPr>
                <w:rFonts w:hint="default"/>
                <w:color w:val="auto"/>
                <w:highlight w:val="none"/>
              </w:rPr>
            </w:pPr>
          </w:p>
        </w:tc>
        <w:tc>
          <w:tcPr>
            <w:tcW w:w="1134" w:type="dxa"/>
            <w:noWrap w:val="0"/>
            <w:vAlign w:val="center"/>
          </w:tcPr>
          <w:p>
            <w:pPr>
              <w:pStyle w:val="22"/>
              <w:bidi w:val="0"/>
              <w:rPr>
                <w:rFonts w:hint="default"/>
                <w:color w:val="auto"/>
                <w:highlight w:val="none"/>
              </w:rPr>
            </w:pPr>
            <w:r>
              <w:rPr>
                <w:rFonts w:hint="default"/>
                <w:color w:val="auto"/>
                <w:highlight w:val="none"/>
              </w:rPr>
              <w:t>231</w:t>
            </w:r>
          </w:p>
        </w:tc>
        <w:tc>
          <w:tcPr>
            <w:tcW w:w="866" w:type="dxa"/>
            <w:noWrap w:val="0"/>
            <w:vAlign w:val="center"/>
          </w:tcPr>
          <w:p>
            <w:pPr>
              <w:pStyle w:val="22"/>
              <w:bidi w:val="0"/>
              <w:rPr>
                <w:rFonts w:hint="default"/>
                <w:color w:val="auto"/>
                <w:highlight w:val="none"/>
              </w:rPr>
            </w:pPr>
            <w:r>
              <w:rPr>
                <w:rFonts w:hint="default"/>
                <w:color w:val="auto"/>
                <w:highlight w:val="none"/>
              </w:rPr>
              <w:t>390</w:t>
            </w:r>
          </w:p>
        </w:tc>
        <w:tc>
          <w:tcPr>
            <w:tcW w:w="867" w:type="dxa"/>
            <w:noWrap w:val="0"/>
            <w:vAlign w:val="center"/>
          </w:tcPr>
          <w:p>
            <w:pPr>
              <w:pStyle w:val="22"/>
              <w:bidi w:val="0"/>
              <w:rPr>
                <w:rFonts w:hint="default"/>
                <w:color w:val="auto"/>
                <w:highlight w:val="none"/>
              </w:rPr>
            </w:pPr>
            <w:r>
              <w:rPr>
                <w:rFonts w:hint="default"/>
                <w:color w:val="auto"/>
                <w:highlight w:val="none"/>
              </w:rPr>
              <w:t>159</w:t>
            </w:r>
          </w:p>
        </w:tc>
        <w:tc>
          <w:tcPr>
            <w:tcW w:w="1000" w:type="dxa"/>
            <w:noWrap w:val="0"/>
            <w:vAlign w:val="center"/>
          </w:tcPr>
          <w:p>
            <w:pPr>
              <w:pStyle w:val="22"/>
              <w:bidi w:val="0"/>
              <w:rPr>
                <w:rFonts w:hint="default"/>
                <w:color w:val="auto"/>
                <w:highlight w:val="none"/>
              </w:rPr>
            </w:pPr>
          </w:p>
        </w:tc>
        <w:tc>
          <w:tcPr>
            <w:tcW w:w="750" w:type="dxa"/>
            <w:noWrap w:val="0"/>
            <w:vAlign w:val="center"/>
          </w:tcPr>
          <w:p>
            <w:pPr>
              <w:pStyle w:val="22"/>
              <w:bidi w:val="0"/>
              <w:rPr>
                <w:rFonts w:hint="default"/>
                <w:color w:val="auto"/>
                <w:highlight w:val="none"/>
              </w:rPr>
            </w:pPr>
          </w:p>
        </w:tc>
        <w:tc>
          <w:tcPr>
            <w:tcW w:w="825" w:type="dxa"/>
            <w:noWrap w:val="0"/>
            <w:vAlign w:val="center"/>
          </w:tcPr>
          <w:p>
            <w:pPr>
              <w:pStyle w:val="22"/>
              <w:bidi w:val="0"/>
              <w:rPr>
                <w:rFonts w:hint="default"/>
                <w:color w:val="auto"/>
                <w:highlight w:val="none"/>
              </w:rPr>
            </w:pPr>
          </w:p>
        </w:tc>
        <w:tc>
          <w:tcPr>
            <w:tcW w:w="1008" w:type="dxa"/>
            <w:noWrap w:val="0"/>
            <w:vAlign w:val="center"/>
          </w:tcPr>
          <w:p>
            <w:pPr>
              <w:pStyle w:val="22"/>
              <w:bidi w:val="0"/>
              <w:rPr>
                <w:rFonts w:hint="default"/>
                <w:color w:val="auto"/>
                <w:highlight w:val="none"/>
              </w:rPr>
            </w:pPr>
            <w:r>
              <w:rPr>
                <w:rFonts w:hint="default"/>
                <w:color w:val="auto"/>
                <w:highlight w:val="none"/>
              </w:rPr>
              <w:t>63028.96</w:t>
            </w:r>
          </w:p>
        </w:tc>
        <w:tc>
          <w:tcPr>
            <w:tcW w:w="900" w:type="dxa"/>
            <w:noWrap w:val="0"/>
            <w:vAlign w:val="center"/>
          </w:tcPr>
          <w:p>
            <w:pPr>
              <w:pStyle w:val="22"/>
              <w:bidi w:val="0"/>
              <w:rPr>
                <w:rFonts w:hint="default"/>
                <w:color w:val="auto"/>
                <w:highlight w:val="none"/>
              </w:rPr>
            </w:pPr>
            <w:r>
              <w:rPr>
                <w:rFonts w:hint="default"/>
                <w:color w:val="auto"/>
                <w:highlight w:val="none"/>
              </w:rPr>
              <w:t>396.41</w:t>
            </w:r>
          </w:p>
        </w:tc>
        <w:tc>
          <w:tcPr>
            <w:tcW w:w="767" w:type="dxa"/>
            <w:noWrap w:val="0"/>
            <w:vAlign w:val="center"/>
          </w:tcPr>
          <w:p>
            <w:pPr>
              <w:pStyle w:val="22"/>
              <w:bidi w:val="0"/>
              <w:rPr>
                <w:rFonts w:hint="default"/>
                <w:color w:val="auto"/>
                <w:highlight w:val="none"/>
              </w:rPr>
            </w:pPr>
          </w:p>
        </w:tc>
        <w:tc>
          <w:tcPr>
            <w:tcW w:w="1468"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shd w:val="clear" w:color="000000" w:fill="FFFFFF"/>
            <w:noWrap w:val="0"/>
            <w:vAlign w:val="center"/>
          </w:tcPr>
          <w:p>
            <w:pPr>
              <w:pStyle w:val="22"/>
              <w:bidi w:val="0"/>
              <w:rPr>
                <w:rFonts w:hint="default"/>
                <w:color w:val="auto"/>
                <w:highlight w:val="none"/>
              </w:rPr>
            </w:pPr>
            <w:r>
              <w:rPr>
                <w:rFonts w:hint="default"/>
                <w:color w:val="auto"/>
                <w:highlight w:val="none"/>
              </w:rPr>
              <w:t>二</w:t>
            </w:r>
          </w:p>
        </w:tc>
        <w:tc>
          <w:tcPr>
            <w:tcW w:w="2113" w:type="dxa"/>
            <w:shd w:val="clear" w:color="000000" w:fill="FFFFFF"/>
            <w:noWrap w:val="0"/>
            <w:vAlign w:val="center"/>
          </w:tcPr>
          <w:p>
            <w:pPr>
              <w:pStyle w:val="22"/>
              <w:bidi w:val="0"/>
              <w:rPr>
                <w:rFonts w:hint="default"/>
                <w:color w:val="auto"/>
                <w:highlight w:val="none"/>
              </w:rPr>
            </w:pPr>
            <w:r>
              <w:rPr>
                <w:rFonts w:hint="default"/>
                <w:color w:val="auto"/>
                <w:highlight w:val="none"/>
              </w:rPr>
              <w:t>选煤厂</w:t>
            </w:r>
          </w:p>
        </w:tc>
        <w:tc>
          <w:tcPr>
            <w:tcW w:w="1800" w:type="dxa"/>
            <w:shd w:val="clear" w:color="000000" w:fill="FFFFFF"/>
            <w:noWrap w:val="0"/>
            <w:vAlign w:val="center"/>
          </w:tcPr>
          <w:p>
            <w:pPr>
              <w:pStyle w:val="22"/>
              <w:bidi w:val="0"/>
              <w:rPr>
                <w:rFonts w:hint="default"/>
                <w:color w:val="auto"/>
                <w:highlight w:val="none"/>
              </w:rPr>
            </w:pPr>
          </w:p>
        </w:tc>
        <w:tc>
          <w:tcPr>
            <w:tcW w:w="1134" w:type="dxa"/>
            <w:shd w:val="clear" w:color="000000" w:fill="FFFFFF"/>
            <w:noWrap w:val="0"/>
            <w:vAlign w:val="center"/>
          </w:tcPr>
          <w:p>
            <w:pPr>
              <w:pStyle w:val="22"/>
              <w:bidi w:val="0"/>
              <w:rPr>
                <w:rFonts w:hint="default"/>
                <w:color w:val="auto"/>
                <w:highlight w:val="none"/>
              </w:rPr>
            </w:pPr>
            <w:r>
              <w:rPr>
                <w:rFonts w:hint="default"/>
                <w:color w:val="auto"/>
                <w:highlight w:val="none"/>
              </w:rPr>
              <w:t>502</w:t>
            </w:r>
          </w:p>
        </w:tc>
        <w:tc>
          <w:tcPr>
            <w:tcW w:w="866" w:type="dxa"/>
            <w:shd w:val="clear" w:color="000000" w:fill="FFFFFF"/>
            <w:noWrap w:val="0"/>
            <w:vAlign w:val="center"/>
          </w:tcPr>
          <w:p>
            <w:pPr>
              <w:pStyle w:val="22"/>
              <w:bidi w:val="0"/>
              <w:rPr>
                <w:rFonts w:hint="default"/>
                <w:color w:val="auto"/>
                <w:highlight w:val="none"/>
              </w:rPr>
            </w:pPr>
            <w:r>
              <w:rPr>
                <w:rFonts w:hint="default"/>
                <w:color w:val="auto"/>
                <w:highlight w:val="none"/>
              </w:rPr>
              <w:t>502</w:t>
            </w:r>
          </w:p>
        </w:tc>
        <w:tc>
          <w:tcPr>
            <w:tcW w:w="867" w:type="dxa"/>
            <w:shd w:val="clear" w:color="000000" w:fill="FFFFFF"/>
            <w:noWrap w:val="0"/>
            <w:vAlign w:val="center"/>
          </w:tcPr>
          <w:p>
            <w:pPr>
              <w:pStyle w:val="22"/>
              <w:bidi w:val="0"/>
              <w:rPr>
                <w:rFonts w:hint="default"/>
                <w:color w:val="auto"/>
                <w:highlight w:val="none"/>
              </w:rPr>
            </w:pPr>
            <w:r>
              <w:rPr>
                <w:rFonts w:hint="default"/>
                <w:color w:val="auto"/>
                <w:highlight w:val="none"/>
              </w:rPr>
              <w:t>0</w:t>
            </w:r>
          </w:p>
        </w:tc>
        <w:tc>
          <w:tcPr>
            <w:tcW w:w="1000" w:type="dxa"/>
            <w:shd w:val="clear" w:color="000000" w:fill="FFFFFF"/>
            <w:noWrap w:val="0"/>
            <w:vAlign w:val="center"/>
          </w:tcPr>
          <w:p>
            <w:pPr>
              <w:pStyle w:val="22"/>
              <w:bidi w:val="0"/>
              <w:rPr>
                <w:rFonts w:hint="default"/>
                <w:color w:val="auto"/>
                <w:highlight w:val="none"/>
              </w:rPr>
            </w:pPr>
          </w:p>
        </w:tc>
        <w:tc>
          <w:tcPr>
            <w:tcW w:w="750" w:type="dxa"/>
            <w:shd w:val="clear" w:color="000000" w:fill="FFFFFF"/>
            <w:noWrap w:val="0"/>
            <w:vAlign w:val="center"/>
          </w:tcPr>
          <w:p>
            <w:pPr>
              <w:pStyle w:val="22"/>
              <w:bidi w:val="0"/>
              <w:rPr>
                <w:rFonts w:hint="default"/>
                <w:color w:val="auto"/>
                <w:highlight w:val="none"/>
              </w:rPr>
            </w:pPr>
          </w:p>
        </w:tc>
        <w:tc>
          <w:tcPr>
            <w:tcW w:w="825" w:type="dxa"/>
            <w:shd w:val="clear" w:color="000000" w:fill="FFFFFF"/>
            <w:noWrap w:val="0"/>
            <w:vAlign w:val="center"/>
          </w:tcPr>
          <w:p>
            <w:pPr>
              <w:pStyle w:val="22"/>
              <w:bidi w:val="0"/>
              <w:rPr>
                <w:rFonts w:hint="default"/>
                <w:color w:val="auto"/>
                <w:highlight w:val="none"/>
              </w:rPr>
            </w:pPr>
          </w:p>
        </w:tc>
        <w:tc>
          <w:tcPr>
            <w:tcW w:w="1008" w:type="dxa"/>
            <w:shd w:val="clear" w:color="000000" w:fill="FFFFFF"/>
            <w:noWrap w:val="0"/>
            <w:vAlign w:val="center"/>
          </w:tcPr>
          <w:p>
            <w:pPr>
              <w:pStyle w:val="22"/>
              <w:bidi w:val="0"/>
              <w:rPr>
                <w:rFonts w:hint="default"/>
                <w:color w:val="auto"/>
                <w:highlight w:val="none"/>
              </w:rPr>
            </w:pPr>
            <w:r>
              <w:rPr>
                <w:rFonts w:hint="default"/>
                <w:color w:val="auto"/>
                <w:highlight w:val="none"/>
              </w:rPr>
              <w:t>0</w:t>
            </w:r>
          </w:p>
        </w:tc>
        <w:tc>
          <w:tcPr>
            <w:tcW w:w="900" w:type="dxa"/>
            <w:shd w:val="clear" w:color="000000" w:fill="FFFFFF"/>
            <w:noWrap w:val="0"/>
            <w:vAlign w:val="center"/>
          </w:tcPr>
          <w:p>
            <w:pPr>
              <w:pStyle w:val="22"/>
              <w:bidi w:val="0"/>
              <w:rPr>
                <w:rFonts w:hint="default"/>
                <w:color w:val="auto"/>
                <w:highlight w:val="none"/>
              </w:rPr>
            </w:pPr>
          </w:p>
        </w:tc>
        <w:tc>
          <w:tcPr>
            <w:tcW w:w="767" w:type="dxa"/>
            <w:shd w:val="clear" w:color="auto" w:fill="auto"/>
            <w:noWrap w:val="0"/>
            <w:vAlign w:val="center"/>
          </w:tcPr>
          <w:p>
            <w:pPr>
              <w:pStyle w:val="22"/>
              <w:bidi w:val="0"/>
              <w:rPr>
                <w:rFonts w:hint="default"/>
                <w:color w:val="auto"/>
                <w:highlight w:val="none"/>
              </w:rPr>
            </w:pPr>
          </w:p>
        </w:tc>
        <w:tc>
          <w:tcPr>
            <w:tcW w:w="1468" w:type="dxa"/>
            <w:shd w:val="clear" w:color="000000" w:fill="FFFFFF"/>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76" w:type="dxa"/>
            <w:shd w:val="clear" w:color="000000" w:fill="FFFFFF"/>
            <w:noWrap w:val="0"/>
            <w:vAlign w:val="center"/>
          </w:tcPr>
          <w:p>
            <w:pPr>
              <w:pStyle w:val="22"/>
              <w:bidi w:val="0"/>
              <w:rPr>
                <w:rFonts w:hint="default"/>
                <w:color w:val="auto"/>
                <w:highlight w:val="none"/>
              </w:rPr>
            </w:pPr>
            <w:r>
              <w:rPr>
                <w:rFonts w:hint="default"/>
                <w:color w:val="auto"/>
                <w:highlight w:val="none"/>
              </w:rPr>
              <w:t>三</w:t>
            </w:r>
          </w:p>
        </w:tc>
        <w:tc>
          <w:tcPr>
            <w:tcW w:w="2113" w:type="dxa"/>
            <w:shd w:val="clear" w:color="000000" w:fill="FFFFFF"/>
            <w:noWrap w:val="0"/>
            <w:vAlign w:val="center"/>
          </w:tcPr>
          <w:p>
            <w:pPr>
              <w:pStyle w:val="22"/>
              <w:bidi w:val="0"/>
              <w:rPr>
                <w:rFonts w:hint="default"/>
                <w:color w:val="auto"/>
                <w:highlight w:val="none"/>
              </w:rPr>
            </w:pPr>
            <w:r>
              <w:rPr>
                <w:rFonts w:hint="default"/>
                <w:color w:val="auto"/>
                <w:highlight w:val="none"/>
              </w:rPr>
              <w:t>矸石砖厂</w:t>
            </w:r>
          </w:p>
        </w:tc>
        <w:tc>
          <w:tcPr>
            <w:tcW w:w="1800" w:type="dxa"/>
            <w:shd w:val="clear" w:color="000000" w:fill="FFFFFF"/>
            <w:noWrap w:val="0"/>
            <w:vAlign w:val="center"/>
          </w:tcPr>
          <w:p>
            <w:pPr>
              <w:pStyle w:val="22"/>
              <w:bidi w:val="0"/>
              <w:rPr>
                <w:rFonts w:hint="default"/>
                <w:color w:val="auto"/>
                <w:highlight w:val="none"/>
              </w:rPr>
            </w:pPr>
          </w:p>
        </w:tc>
        <w:tc>
          <w:tcPr>
            <w:tcW w:w="1134" w:type="dxa"/>
            <w:shd w:val="clear" w:color="auto" w:fill="auto"/>
            <w:noWrap w:val="0"/>
            <w:vAlign w:val="center"/>
          </w:tcPr>
          <w:p>
            <w:pPr>
              <w:pStyle w:val="22"/>
              <w:bidi w:val="0"/>
              <w:rPr>
                <w:rFonts w:hint="default"/>
                <w:color w:val="auto"/>
                <w:highlight w:val="none"/>
              </w:rPr>
            </w:pPr>
            <w:r>
              <w:rPr>
                <w:rFonts w:hint="default"/>
                <w:color w:val="auto"/>
                <w:highlight w:val="none"/>
              </w:rPr>
              <w:t>生产17家</w:t>
            </w:r>
          </w:p>
        </w:tc>
        <w:tc>
          <w:tcPr>
            <w:tcW w:w="866" w:type="dxa"/>
            <w:shd w:val="clear" w:color="000000" w:fill="FFFFFF"/>
            <w:noWrap w:val="0"/>
            <w:vAlign w:val="center"/>
          </w:tcPr>
          <w:p>
            <w:pPr>
              <w:pStyle w:val="22"/>
              <w:bidi w:val="0"/>
              <w:rPr>
                <w:rFonts w:hint="default"/>
                <w:color w:val="auto"/>
                <w:highlight w:val="none"/>
              </w:rPr>
            </w:pPr>
          </w:p>
        </w:tc>
        <w:tc>
          <w:tcPr>
            <w:tcW w:w="867" w:type="dxa"/>
            <w:shd w:val="clear" w:color="000000" w:fill="FFFFFF"/>
            <w:noWrap w:val="0"/>
            <w:vAlign w:val="center"/>
          </w:tcPr>
          <w:p>
            <w:pPr>
              <w:pStyle w:val="22"/>
              <w:bidi w:val="0"/>
              <w:rPr>
                <w:rFonts w:hint="default"/>
                <w:color w:val="auto"/>
                <w:highlight w:val="none"/>
              </w:rPr>
            </w:pPr>
          </w:p>
        </w:tc>
        <w:tc>
          <w:tcPr>
            <w:tcW w:w="1000" w:type="dxa"/>
            <w:shd w:val="clear" w:color="000000" w:fill="FFFFFF"/>
            <w:noWrap w:val="0"/>
            <w:vAlign w:val="center"/>
          </w:tcPr>
          <w:p>
            <w:pPr>
              <w:pStyle w:val="22"/>
              <w:bidi w:val="0"/>
              <w:rPr>
                <w:rFonts w:hint="default"/>
                <w:color w:val="auto"/>
                <w:highlight w:val="none"/>
              </w:rPr>
            </w:pPr>
          </w:p>
        </w:tc>
        <w:tc>
          <w:tcPr>
            <w:tcW w:w="750" w:type="dxa"/>
            <w:shd w:val="clear" w:color="000000" w:fill="FFFFFF"/>
            <w:noWrap w:val="0"/>
            <w:vAlign w:val="center"/>
          </w:tcPr>
          <w:p>
            <w:pPr>
              <w:pStyle w:val="22"/>
              <w:bidi w:val="0"/>
              <w:rPr>
                <w:rFonts w:hint="default"/>
                <w:color w:val="auto"/>
                <w:highlight w:val="none"/>
              </w:rPr>
            </w:pPr>
          </w:p>
        </w:tc>
        <w:tc>
          <w:tcPr>
            <w:tcW w:w="825" w:type="dxa"/>
            <w:shd w:val="clear" w:color="000000" w:fill="FFFFFF"/>
            <w:noWrap w:val="0"/>
            <w:vAlign w:val="center"/>
          </w:tcPr>
          <w:p>
            <w:pPr>
              <w:pStyle w:val="22"/>
              <w:bidi w:val="0"/>
              <w:rPr>
                <w:rFonts w:hint="default"/>
                <w:color w:val="auto"/>
                <w:highlight w:val="none"/>
              </w:rPr>
            </w:pPr>
          </w:p>
        </w:tc>
        <w:tc>
          <w:tcPr>
            <w:tcW w:w="1008" w:type="dxa"/>
            <w:shd w:val="clear" w:color="000000" w:fill="FFFFFF"/>
            <w:noWrap w:val="0"/>
            <w:vAlign w:val="center"/>
          </w:tcPr>
          <w:p>
            <w:pPr>
              <w:pStyle w:val="22"/>
              <w:bidi w:val="0"/>
              <w:rPr>
                <w:rFonts w:hint="default"/>
                <w:color w:val="auto"/>
                <w:highlight w:val="none"/>
              </w:rPr>
            </w:pPr>
            <w:r>
              <w:rPr>
                <w:rFonts w:hint="default"/>
                <w:color w:val="auto"/>
                <w:highlight w:val="none"/>
              </w:rPr>
              <w:t>0</w:t>
            </w:r>
          </w:p>
        </w:tc>
        <w:tc>
          <w:tcPr>
            <w:tcW w:w="900" w:type="dxa"/>
            <w:shd w:val="clear" w:color="000000" w:fill="FFFFFF"/>
            <w:noWrap w:val="0"/>
            <w:vAlign w:val="center"/>
          </w:tcPr>
          <w:p>
            <w:pPr>
              <w:pStyle w:val="22"/>
              <w:bidi w:val="0"/>
              <w:rPr>
                <w:rFonts w:hint="default"/>
                <w:color w:val="auto"/>
                <w:highlight w:val="none"/>
              </w:rPr>
            </w:pPr>
          </w:p>
        </w:tc>
        <w:tc>
          <w:tcPr>
            <w:tcW w:w="767" w:type="dxa"/>
            <w:shd w:val="clear" w:color="auto" w:fill="auto"/>
            <w:noWrap w:val="0"/>
            <w:vAlign w:val="center"/>
          </w:tcPr>
          <w:p>
            <w:pPr>
              <w:pStyle w:val="22"/>
              <w:bidi w:val="0"/>
              <w:rPr>
                <w:rFonts w:hint="default"/>
                <w:color w:val="auto"/>
                <w:highlight w:val="none"/>
              </w:rPr>
            </w:pPr>
          </w:p>
        </w:tc>
        <w:tc>
          <w:tcPr>
            <w:tcW w:w="1468" w:type="dxa"/>
            <w:shd w:val="clear" w:color="000000" w:fill="FFFFFF"/>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6" w:type="dxa"/>
            <w:shd w:val="clear" w:color="000000" w:fill="FFFFFF"/>
            <w:noWrap w:val="0"/>
            <w:vAlign w:val="center"/>
          </w:tcPr>
          <w:p>
            <w:pPr>
              <w:pStyle w:val="22"/>
              <w:bidi w:val="0"/>
              <w:rPr>
                <w:rFonts w:hint="default"/>
                <w:color w:val="auto"/>
                <w:highlight w:val="none"/>
              </w:rPr>
            </w:pPr>
          </w:p>
        </w:tc>
        <w:tc>
          <w:tcPr>
            <w:tcW w:w="2113" w:type="dxa"/>
            <w:shd w:val="clear" w:color="000000" w:fill="FFFFFF"/>
            <w:noWrap w:val="0"/>
            <w:vAlign w:val="center"/>
          </w:tcPr>
          <w:p>
            <w:pPr>
              <w:pStyle w:val="22"/>
              <w:bidi w:val="0"/>
              <w:rPr>
                <w:rFonts w:hint="default"/>
                <w:color w:val="auto"/>
                <w:highlight w:val="none"/>
              </w:rPr>
            </w:pPr>
            <w:r>
              <w:rPr>
                <w:rFonts w:hint="default"/>
                <w:color w:val="auto"/>
                <w:highlight w:val="none"/>
              </w:rPr>
              <w:t>合计</w:t>
            </w:r>
          </w:p>
        </w:tc>
        <w:tc>
          <w:tcPr>
            <w:tcW w:w="1800" w:type="dxa"/>
            <w:shd w:val="clear" w:color="000000" w:fill="FFFFFF"/>
            <w:noWrap w:val="0"/>
            <w:vAlign w:val="center"/>
          </w:tcPr>
          <w:p>
            <w:pPr>
              <w:pStyle w:val="22"/>
              <w:bidi w:val="0"/>
              <w:rPr>
                <w:rFonts w:hint="default"/>
                <w:color w:val="auto"/>
                <w:highlight w:val="none"/>
              </w:rPr>
            </w:pPr>
          </w:p>
        </w:tc>
        <w:tc>
          <w:tcPr>
            <w:tcW w:w="1134" w:type="dxa"/>
            <w:shd w:val="clear" w:color="000000" w:fill="FFFFFF"/>
            <w:noWrap w:val="0"/>
            <w:vAlign w:val="center"/>
          </w:tcPr>
          <w:p>
            <w:pPr>
              <w:pStyle w:val="22"/>
              <w:bidi w:val="0"/>
              <w:rPr>
                <w:rFonts w:hint="default"/>
                <w:color w:val="auto"/>
                <w:highlight w:val="none"/>
              </w:rPr>
            </w:pPr>
          </w:p>
        </w:tc>
        <w:tc>
          <w:tcPr>
            <w:tcW w:w="866" w:type="dxa"/>
            <w:shd w:val="clear" w:color="000000" w:fill="FFFFFF"/>
            <w:noWrap w:val="0"/>
            <w:vAlign w:val="center"/>
          </w:tcPr>
          <w:p>
            <w:pPr>
              <w:pStyle w:val="22"/>
              <w:bidi w:val="0"/>
              <w:rPr>
                <w:rFonts w:hint="default"/>
                <w:color w:val="auto"/>
                <w:highlight w:val="none"/>
              </w:rPr>
            </w:pPr>
          </w:p>
        </w:tc>
        <w:tc>
          <w:tcPr>
            <w:tcW w:w="867" w:type="dxa"/>
            <w:shd w:val="clear" w:color="000000" w:fill="FFFFFF"/>
            <w:noWrap w:val="0"/>
            <w:vAlign w:val="center"/>
          </w:tcPr>
          <w:p>
            <w:pPr>
              <w:pStyle w:val="22"/>
              <w:bidi w:val="0"/>
              <w:rPr>
                <w:rFonts w:hint="default"/>
                <w:color w:val="auto"/>
                <w:highlight w:val="none"/>
              </w:rPr>
            </w:pPr>
          </w:p>
        </w:tc>
        <w:tc>
          <w:tcPr>
            <w:tcW w:w="1000" w:type="dxa"/>
            <w:shd w:val="clear" w:color="000000" w:fill="FFFFFF"/>
            <w:noWrap w:val="0"/>
            <w:vAlign w:val="center"/>
          </w:tcPr>
          <w:p>
            <w:pPr>
              <w:pStyle w:val="22"/>
              <w:bidi w:val="0"/>
              <w:rPr>
                <w:rFonts w:hint="default"/>
                <w:color w:val="auto"/>
                <w:highlight w:val="none"/>
              </w:rPr>
            </w:pPr>
          </w:p>
        </w:tc>
        <w:tc>
          <w:tcPr>
            <w:tcW w:w="750" w:type="dxa"/>
            <w:shd w:val="clear" w:color="000000" w:fill="FFFFFF"/>
            <w:noWrap w:val="0"/>
            <w:vAlign w:val="center"/>
          </w:tcPr>
          <w:p>
            <w:pPr>
              <w:pStyle w:val="22"/>
              <w:bidi w:val="0"/>
              <w:rPr>
                <w:rFonts w:hint="default"/>
                <w:color w:val="auto"/>
                <w:highlight w:val="none"/>
              </w:rPr>
            </w:pPr>
          </w:p>
        </w:tc>
        <w:tc>
          <w:tcPr>
            <w:tcW w:w="825" w:type="dxa"/>
            <w:shd w:val="clear" w:color="000000" w:fill="FFFFFF"/>
            <w:noWrap w:val="0"/>
            <w:vAlign w:val="center"/>
          </w:tcPr>
          <w:p>
            <w:pPr>
              <w:pStyle w:val="22"/>
              <w:bidi w:val="0"/>
              <w:rPr>
                <w:rFonts w:hint="default"/>
                <w:color w:val="auto"/>
                <w:highlight w:val="none"/>
              </w:rPr>
            </w:pPr>
          </w:p>
        </w:tc>
        <w:tc>
          <w:tcPr>
            <w:tcW w:w="1008" w:type="dxa"/>
            <w:shd w:val="clear" w:color="000000" w:fill="FFFFFF"/>
            <w:noWrap w:val="0"/>
            <w:vAlign w:val="center"/>
          </w:tcPr>
          <w:p>
            <w:pPr>
              <w:pStyle w:val="22"/>
              <w:bidi w:val="0"/>
              <w:rPr>
                <w:rFonts w:hint="default"/>
                <w:color w:val="auto"/>
                <w:highlight w:val="none"/>
              </w:rPr>
            </w:pPr>
            <w:r>
              <w:rPr>
                <w:rFonts w:hint="default"/>
                <w:color w:val="auto"/>
                <w:highlight w:val="none"/>
              </w:rPr>
              <w:t>63028.96</w:t>
            </w:r>
          </w:p>
        </w:tc>
        <w:tc>
          <w:tcPr>
            <w:tcW w:w="900" w:type="dxa"/>
            <w:shd w:val="clear" w:color="000000" w:fill="FFFFFF"/>
            <w:noWrap w:val="0"/>
            <w:vAlign w:val="center"/>
          </w:tcPr>
          <w:p>
            <w:pPr>
              <w:pStyle w:val="22"/>
              <w:bidi w:val="0"/>
              <w:rPr>
                <w:rFonts w:hint="default"/>
                <w:color w:val="auto"/>
                <w:highlight w:val="none"/>
              </w:rPr>
            </w:pPr>
          </w:p>
        </w:tc>
        <w:tc>
          <w:tcPr>
            <w:tcW w:w="767" w:type="dxa"/>
            <w:shd w:val="clear" w:color="auto" w:fill="auto"/>
            <w:noWrap w:val="0"/>
            <w:vAlign w:val="center"/>
          </w:tcPr>
          <w:p>
            <w:pPr>
              <w:pStyle w:val="22"/>
              <w:bidi w:val="0"/>
              <w:rPr>
                <w:rFonts w:hint="default"/>
                <w:color w:val="auto"/>
                <w:highlight w:val="none"/>
              </w:rPr>
            </w:pPr>
          </w:p>
        </w:tc>
        <w:tc>
          <w:tcPr>
            <w:tcW w:w="1468" w:type="dxa"/>
            <w:shd w:val="clear" w:color="000000" w:fill="FFFFFF"/>
            <w:noWrap w:val="0"/>
            <w:vAlign w:val="center"/>
          </w:tcPr>
          <w:p>
            <w:pPr>
              <w:pStyle w:val="22"/>
              <w:bidi w:val="0"/>
              <w:rPr>
                <w:rFonts w:hint="default"/>
                <w:color w:val="auto"/>
                <w:highlight w:val="none"/>
              </w:rPr>
            </w:pPr>
          </w:p>
        </w:tc>
      </w:tr>
    </w:tbl>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7"/>
        <w:bidi w:val="0"/>
        <w:rPr>
          <w:rFonts w:hint="eastAsia"/>
          <w:color w:val="auto"/>
          <w:highlight w:val="none"/>
          <w:lang w:val="en-US" w:eastAsia="zh-CN"/>
        </w:rPr>
      </w:pPr>
      <w:r>
        <w:rPr>
          <w:rFonts w:hint="eastAsia"/>
          <w:color w:val="auto"/>
          <w:highlight w:val="none"/>
          <w:lang w:val="en-US" w:eastAsia="zh-CN"/>
        </w:rPr>
        <w:t>2.1.17.2 劳动定员及生产效率</w:t>
      </w:r>
    </w:p>
    <w:p>
      <w:pPr>
        <w:bidi w:val="0"/>
        <w:rPr>
          <w:rFonts w:hint="eastAsia"/>
          <w:color w:val="auto"/>
          <w:highlight w:val="none"/>
          <w:lang w:val="en-US" w:eastAsia="zh-CN"/>
        </w:rPr>
      </w:pPr>
      <w:r>
        <w:rPr>
          <w:rFonts w:hint="eastAsia"/>
          <w:color w:val="auto"/>
          <w:highlight w:val="none"/>
          <w:lang w:val="en-US" w:eastAsia="zh-CN"/>
        </w:rPr>
        <w:t>1、劳动定员</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煤矿采用“三•八”工作制，年制度工作日：330天。</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在籍系数：井下工人1.4、地面工人1.3、管理人员1.0、服务人员1.0、其他人员1.0。</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华蓥山北段矿区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通过估算，华蓥山北段矿区规划劳动定员在籍人数2500人，其中：矿井2135人、选煤厂365人。华蓥山北段矿区劳动定员估算具体详见煤矿劳动定员估算表（表</w:t>
      </w:r>
      <w:r>
        <w:rPr>
          <w:rFonts w:hint="default" w:ascii="Times New Roman" w:hAnsi="Times New Roman" w:cs="Times New Roman"/>
          <w:color w:val="auto"/>
          <w:sz w:val="24"/>
          <w:szCs w:val="24"/>
          <w:highlight w:val="none"/>
          <w:lang w:val="en-US" w:eastAsia="zh-CN"/>
        </w:rPr>
        <w:t>2.1.17-1</w:t>
      </w:r>
      <w:r>
        <w:rPr>
          <w:rFonts w:hint="default" w:ascii="Times New Roman" w:hAnsi="Times New Roman" w:cs="Times New Roman"/>
          <w:color w:val="auto"/>
          <w:sz w:val="24"/>
          <w:szCs w:val="24"/>
          <w:highlight w:val="none"/>
        </w:rPr>
        <w:t>）和选煤厂劳动定员估算表（表</w:t>
      </w:r>
      <w:r>
        <w:rPr>
          <w:rFonts w:hint="default" w:ascii="Times New Roman" w:hAnsi="Times New Roman" w:cs="Times New Roman"/>
          <w:color w:val="auto"/>
          <w:sz w:val="24"/>
          <w:szCs w:val="24"/>
          <w:highlight w:val="none"/>
          <w:lang w:val="en-US" w:eastAsia="zh-CN"/>
        </w:rPr>
        <w:t>2.1.17</w:t>
      </w:r>
      <w:r>
        <w:rPr>
          <w:rFonts w:hint="default" w:ascii="Times New Roman" w:hAnsi="Times New Roman" w:cs="Times New Roman"/>
          <w:color w:val="auto"/>
          <w:sz w:val="24"/>
          <w:szCs w:val="24"/>
          <w:highlight w:val="none"/>
        </w:rPr>
        <w:t>-2）。</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2.1.17</w:t>
      </w:r>
      <w:r>
        <w:rPr>
          <w:rFonts w:hint="default"/>
          <w:color w:val="auto"/>
          <w:highlight w:val="none"/>
        </w:rPr>
        <w:t>-1                   煤矿劳动定员估算表</w:t>
      </w:r>
    </w:p>
    <w:tbl>
      <w:tblPr>
        <w:tblStyle w:val="17"/>
        <w:tblW w:w="0" w:type="auto"/>
        <w:jc w:val="center"/>
        <w:tblLayout w:type="fixed"/>
        <w:tblCellMar>
          <w:top w:w="0" w:type="dxa"/>
          <w:left w:w="108" w:type="dxa"/>
          <w:bottom w:w="0" w:type="dxa"/>
          <w:right w:w="108" w:type="dxa"/>
        </w:tblCellMar>
      </w:tblPr>
      <w:tblGrid>
        <w:gridCol w:w="525"/>
        <w:gridCol w:w="471"/>
        <w:gridCol w:w="2142"/>
        <w:gridCol w:w="849"/>
        <w:gridCol w:w="848"/>
        <w:gridCol w:w="848"/>
        <w:gridCol w:w="1103"/>
        <w:gridCol w:w="796"/>
        <w:gridCol w:w="940"/>
      </w:tblGrid>
      <w:tr>
        <w:tblPrEx>
          <w:tblCellMar>
            <w:top w:w="0" w:type="dxa"/>
            <w:left w:w="108" w:type="dxa"/>
            <w:bottom w:w="0" w:type="dxa"/>
            <w:right w:w="108" w:type="dxa"/>
          </w:tblCellMar>
        </w:tblPrEx>
        <w:trPr>
          <w:trHeight w:val="285" w:hRule="atLeast"/>
          <w:jc w:val="center"/>
        </w:trPr>
        <w:tc>
          <w:tcPr>
            <w:tcW w:w="525" w:type="dxa"/>
            <w:vMerge w:val="restart"/>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序号</w:t>
            </w:r>
          </w:p>
        </w:tc>
        <w:tc>
          <w:tcPr>
            <w:tcW w:w="261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人员类别</w:t>
            </w:r>
          </w:p>
        </w:tc>
        <w:tc>
          <w:tcPr>
            <w:tcW w:w="3648" w:type="dxa"/>
            <w:gridSpan w:val="4"/>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出勤人数（人）</w:t>
            </w:r>
          </w:p>
        </w:tc>
        <w:tc>
          <w:tcPr>
            <w:tcW w:w="796"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在籍系数</w:t>
            </w:r>
          </w:p>
        </w:tc>
        <w:tc>
          <w:tcPr>
            <w:tcW w:w="940" w:type="dxa"/>
            <w:vMerge w:val="restart"/>
            <w:tcBorders>
              <w:top w:val="single" w:color="auto" w:sz="4" w:space="0"/>
              <w:left w:val="nil"/>
              <w:right w:val="single" w:color="auto" w:sz="4" w:space="0"/>
            </w:tcBorders>
            <w:noWrap w:val="0"/>
            <w:vAlign w:val="center"/>
          </w:tcPr>
          <w:p>
            <w:pPr>
              <w:pStyle w:val="22"/>
              <w:bidi w:val="0"/>
              <w:rPr>
                <w:rFonts w:hint="default"/>
                <w:color w:val="auto"/>
                <w:highlight w:val="none"/>
              </w:rPr>
            </w:pPr>
            <w:r>
              <w:rPr>
                <w:rFonts w:hint="default"/>
                <w:color w:val="auto"/>
                <w:highlight w:val="none"/>
              </w:rPr>
              <w:t>在籍人数</w:t>
            </w:r>
          </w:p>
          <w:p>
            <w:pPr>
              <w:pStyle w:val="22"/>
              <w:bidi w:val="0"/>
              <w:rPr>
                <w:rFonts w:hint="default"/>
                <w:color w:val="auto"/>
                <w:highlight w:val="none"/>
              </w:rPr>
            </w:pPr>
            <w:r>
              <w:rPr>
                <w:rFonts w:hint="default"/>
                <w:color w:val="auto"/>
                <w:highlight w:val="none"/>
              </w:rPr>
              <w:t>（人）</w:t>
            </w:r>
          </w:p>
        </w:tc>
      </w:tr>
      <w:tr>
        <w:tblPrEx>
          <w:tblCellMar>
            <w:top w:w="0" w:type="dxa"/>
            <w:left w:w="108" w:type="dxa"/>
            <w:bottom w:w="0" w:type="dxa"/>
            <w:right w:w="108" w:type="dxa"/>
          </w:tblCellMar>
        </w:tblPrEx>
        <w:trPr>
          <w:trHeight w:val="285" w:hRule="atLeast"/>
          <w:jc w:val="center"/>
        </w:trPr>
        <w:tc>
          <w:tcPr>
            <w:tcW w:w="52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c>
          <w:tcPr>
            <w:tcW w:w="261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Ⅰ</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Ⅱ</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Ⅲ</w:t>
            </w:r>
          </w:p>
        </w:tc>
        <w:tc>
          <w:tcPr>
            <w:tcW w:w="1103"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合计</w:t>
            </w:r>
          </w:p>
        </w:tc>
        <w:tc>
          <w:tcPr>
            <w:tcW w:w="796"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940" w:type="dxa"/>
            <w:vMerge w:val="continue"/>
            <w:tcBorders>
              <w:left w:val="nil"/>
              <w:bottom w:val="single" w:color="auto" w:sz="4" w:space="0"/>
              <w:right w:val="single" w:color="auto"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315" w:hRule="atLeast"/>
          <w:jc w:val="center"/>
        </w:trPr>
        <w:tc>
          <w:tcPr>
            <w:tcW w:w="525"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一</w:t>
            </w:r>
          </w:p>
        </w:tc>
        <w:tc>
          <w:tcPr>
            <w:tcW w:w="471"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原煤生产人员</w:t>
            </w:r>
          </w:p>
        </w:tc>
        <w:tc>
          <w:tcPr>
            <w:tcW w:w="214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1、生产工人</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474</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474</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147</w:t>
            </w:r>
          </w:p>
        </w:tc>
        <w:tc>
          <w:tcPr>
            <w:tcW w:w="1103"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1095</w:t>
            </w:r>
          </w:p>
        </w:tc>
        <w:tc>
          <w:tcPr>
            <w:tcW w:w="796"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1505</w:t>
            </w:r>
          </w:p>
        </w:tc>
      </w:tr>
      <w:tr>
        <w:tblPrEx>
          <w:tblCellMar>
            <w:top w:w="0" w:type="dxa"/>
            <w:left w:w="108" w:type="dxa"/>
            <w:bottom w:w="0" w:type="dxa"/>
            <w:right w:w="108" w:type="dxa"/>
          </w:tblCellMar>
        </w:tblPrEx>
        <w:trPr>
          <w:trHeight w:val="285" w:hRule="atLeast"/>
          <w:jc w:val="center"/>
        </w:trPr>
        <w:tc>
          <w:tcPr>
            <w:tcW w:w="52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4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其中：井下</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378</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378</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65</w:t>
            </w:r>
          </w:p>
        </w:tc>
        <w:tc>
          <w:tcPr>
            <w:tcW w:w="1103"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821</w:t>
            </w:r>
          </w:p>
        </w:tc>
        <w:tc>
          <w:tcPr>
            <w:tcW w:w="796"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1149</w:t>
            </w:r>
          </w:p>
        </w:tc>
      </w:tr>
      <w:tr>
        <w:tblPrEx>
          <w:tblCellMar>
            <w:top w:w="0" w:type="dxa"/>
            <w:left w:w="108" w:type="dxa"/>
            <w:bottom w:w="0" w:type="dxa"/>
            <w:right w:w="108" w:type="dxa"/>
          </w:tblCellMar>
        </w:tblPrEx>
        <w:trPr>
          <w:trHeight w:val="285" w:hRule="atLeast"/>
          <w:jc w:val="center"/>
        </w:trPr>
        <w:tc>
          <w:tcPr>
            <w:tcW w:w="52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4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           地面</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96</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96</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82</w:t>
            </w:r>
          </w:p>
        </w:tc>
        <w:tc>
          <w:tcPr>
            <w:tcW w:w="1103"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274</w:t>
            </w:r>
          </w:p>
        </w:tc>
        <w:tc>
          <w:tcPr>
            <w:tcW w:w="796"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1.3</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356</w:t>
            </w:r>
          </w:p>
        </w:tc>
      </w:tr>
      <w:tr>
        <w:tblPrEx>
          <w:tblCellMar>
            <w:top w:w="0" w:type="dxa"/>
            <w:left w:w="108" w:type="dxa"/>
            <w:bottom w:w="0" w:type="dxa"/>
            <w:right w:w="108" w:type="dxa"/>
          </w:tblCellMar>
        </w:tblPrEx>
        <w:trPr>
          <w:trHeight w:val="315" w:hRule="atLeast"/>
          <w:jc w:val="center"/>
        </w:trPr>
        <w:tc>
          <w:tcPr>
            <w:tcW w:w="52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4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2、管理人员</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234</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140</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94</w:t>
            </w:r>
          </w:p>
        </w:tc>
        <w:tc>
          <w:tcPr>
            <w:tcW w:w="1103"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468</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468</w:t>
            </w:r>
          </w:p>
        </w:tc>
      </w:tr>
      <w:tr>
        <w:tblPrEx>
          <w:tblCellMar>
            <w:top w:w="0" w:type="dxa"/>
            <w:left w:w="108" w:type="dxa"/>
            <w:bottom w:w="0" w:type="dxa"/>
            <w:right w:w="108" w:type="dxa"/>
          </w:tblCellMar>
        </w:tblPrEx>
        <w:trPr>
          <w:trHeight w:val="285" w:hRule="atLeast"/>
          <w:jc w:val="center"/>
        </w:trPr>
        <w:tc>
          <w:tcPr>
            <w:tcW w:w="52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4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其中:工程技术人员</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122</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115</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91</w:t>
            </w:r>
          </w:p>
        </w:tc>
        <w:tc>
          <w:tcPr>
            <w:tcW w:w="1103"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328</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328</w:t>
            </w:r>
          </w:p>
        </w:tc>
      </w:tr>
      <w:tr>
        <w:tblPrEx>
          <w:tblCellMar>
            <w:top w:w="0" w:type="dxa"/>
            <w:left w:w="108" w:type="dxa"/>
            <w:bottom w:w="0" w:type="dxa"/>
            <w:right w:w="108" w:type="dxa"/>
          </w:tblCellMar>
        </w:tblPrEx>
        <w:trPr>
          <w:trHeight w:val="285" w:hRule="atLeast"/>
          <w:jc w:val="center"/>
        </w:trPr>
        <w:tc>
          <w:tcPr>
            <w:tcW w:w="52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4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合计</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708</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614</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241</w:t>
            </w:r>
          </w:p>
        </w:tc>
        <w:tc>
          <w:tcPr>
            <w:tcW w:w="1103"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1563</w:t>
            </w:r>
          </w:p>
        </w:tc>
        <w:tc>
          <w:tcPr>
            <w:tcW w:w="796"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1973</w:t>
            </w:r>
          </w:p>
        </w:tc>
      </w:tr>
      <w:tr>
        <w:tblPrEx>
          <w:tblCellMar>
            <w:top w:w="0" w:type="dxa"/>
            <w:left w:w="108" w:type="dxa"/>
            <w:bottom w:w="0" w:type="dxa"/>
            <w:right w:w="108" w:type="dxa"/>
          </w:tblCellMar>
        </w:tblPrEx>
        <w:trPr>
          <w:trHeight w:val="285" w:hRule="atLeast"/>
          <w:jc w:val="center"/>
        </w:trPr>
        <w:tc>
          <w:tcPr>
            <w:tcW w:w="525"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二</w:t>
            </w:r>
          </w:p>
        </w:tc>
        <w:tc>
          <w:tcPr>
            <w:tcW w:w="2613"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服务人员</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52</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52</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w:t>
            </w:r>
          </w:p>
        </w:tc>
        <w:tc>
          <w:tcPr>
            <w:tcW w:w="1103"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115</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115</w:t>
            </w:r>
          </w:p>
        </w:tc>
      </w:tr>
      <w:tr>
        <w:tblPrEx>
          <w:tblCellMar>
            <w:top w:w="0" w:type="dxa"/>
            <w:left w:w="108" w:type="dxa"/>
            <w:bottom w:w="0" w:type="dxa"/>
            <w:right w:w="108" w:type="dxa"/>
          </w:tblCellMar>
        </w:tblPrEx>
        <w:trPr>
          <w:trHeight w:val="285" w:hRule="atLeast"/>
          <w:jc w:val="center"/>
        </w:trPr>
        <w:tc>
          <w:tcPr>
            <w:tcW w:w="525"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三</w:t>
            </w:r>
          </w:p>
        </w:tc>
        <w:tc>
          <w:tcPr>
            <w:tcW w:w="2613"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其他人员</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21</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21</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5</w:t>
            </w:r>
          </w:p>
        </w:tc>
        <w:tc>
          <w:tcPr>
            <w:tcW w:w="1103"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47</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47</w:t>
            </w:r>
          </w:p>
        </w:tc>
      </w:tr>
      <w:tr>
        <w:trPr>
          <w:trHeight w:val="285" w:hRule="atLeast"/>
          <w:jc w:val="center"/>
        </w:trPr>
        <w:tc>
          <w:tcPr>
            <w:tcW w:w="525"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四</w:t>
            </w:r>
          </w:p>
        </w:tc>
        <w:tc>
          <w:tcPr>
            <w:tcW w:w="2613"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矿井全部定员</w:t>
            </w:r>
          </w:p>
        </w:tc>
        <w:tc>
          <w:tcPr>
            <w:tcW w:w="84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781</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687</w:t>
            </w:r>
          </w:p>
        </w:tc>
        <w:tc>
          <w:tcPr>
            <w:tcW w:w="84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257</w:t>
            </w:r>
          </w:p>
        </w:tc>
        <w:tc>
          <w:tcPr>
            <w:tcW w:w="1103"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1725</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94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2135</w:t>
            </w:r>
          </w:p>
        </w:tc>
      </w:tr>
    </w:tbl>
    <w:p>
      <w:pPr>
        <w:adjustRightInd w:val="0"/>
        <w:snapToGrid w:val="0"/>
        <w:spacing w:line="360" w:lineRule="auto"/>
        <w:rPr>
          <w:rFonts w:hint="eastAsia" w:ascii="Times New Roman" w:hAnsi="Times New Roman" w:cs="Times New Roman"/>
          <w:b/>
          <w:color w:val="auto"/>
          <w:sz w:val="21"/>
          <w:szCs w:val="21"/>
          <w:highlight w:val="none"/>
        </w:rPr>
      </w:pPr>
    </w:p>
    <w:p>
      <w:pPr>
        <w:pStyle w:val="22"/>
        <w:bidi w:val="0"/>
        <w:rPr>
          <w:rFonts w:hint="default"/>
          <w:color w:val="auto"/>
          <w:highlight w:val="none"/>
        </w:rPr>
      </w:pPr>
      <w:r>
        <w:rPr>
          <w:rFonts w:hint="eastAsia"/>
          <w:color w:val="auto"/>
          <w:highlight w:val="none"/>
        </w:rPr>
        <w:t>表</w:t>
      </w:r>
      <w:r>
        <w:rPr>
          <w:rFonts w:hint="eastAsia"/>
          <w:color w:val="auto"/>
          <w:highlight w:val="none"/>
          <w:lang w:val="en-US" w:eastAsia="zh-CN"/>
        </w:rPr>
        <w:t>2.1.17</w:t>
      </w:r>
      <w:r>
        <w:rPr>
          <w:rFonts w:hint="eastAsia"/>
          <w:color w:val="auto"/>
          <w:highlight w:val="none"/>
        </w:rPr>
        <w:t>-2               选煤厂劳动定员估算表</w:t>
      </w:r>
    </w:p>
    <w:tbl>
      <w:tblPr>
        <w:tblStyle w:val="17"/>
        <w:tblW w:w="0" w:type="auto"/>
        <w:jc w:val="center"/>
        <w:tblLayout w:type="fixed"/>
        <w:tblCellMar>
          <w:top w:w="0" w:type="dxa"/>
          <w:left w:w="108" w:type="dxa"/>
          <w:bottom w:w="0" w:type="dxa"/>
          <w:right w:w="108" w:type="dxa"/>
        </w:tblCellMar>
      </w:tblPr>
      <w:tblGrid>
        <w:gridCol w:w="524"/>
        <w:gridCol w:w="471"/>
        <w:gridCol w:w="2125"/>
        <w:gridCol w:w="802"/>
        <w:gridCol w:w="912"/>
        <w:gridCol w:w="637"/>
        <w:gridCol w:w="955"/>
        <w:gridCol w:w="769"/>
        <w:gridCol w:w="1327"/>
      </w:tblGrid>
      <w:tr>
        <w:trPr>
          <w:trHeight w:val="23" w:hRule="atLeast"/>
          <w:jc w:val="center"/>
        </w:trPr>
        <w:tc>
          <w:tcPr>
            <w:tcW w:w="524" w:type="dxa"/>
            <w:vMerge w:val="restart"/>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序号</w:t>
            </w:r>
          </w:p>
        </w:tc>
        <w:tc>
          <w:tcPr>
            <w:tcW w:w="259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人员类别</w:t>
            </w:r>
          </w:p>
        </w:tc>
        <w:tc>
          <w:tcPr>
            <w:tcW w:w="3306" w:type="dxa"/>
            <w:gridSpan w:val="4"/>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出勤人数（人）</w:t>
            </w:r>
          </w:p>
        </w:tc>
        <w:tc>
          <w:tcPr>
            <w:tcW w:w="769"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在籍系数</w:t>
            </w:r>
          </w:p>
        </w:tc>
        <w:tc>
          <w:tcPr>
            <w:tcW w:w="1327" w:type="dxa"/>
            <w:vMerge w:val="restart"/>
            <w:tcBorders>
              <w:top w:val="single" w:color="auto" w:sz="4" w:space="0"/>
              <w:left w:val="nil"/>
              <w:right w:val="single" w:color="auto" w:sz="4" w:space="0"/>
            </w:tcBorders>
            <w:noWrap w:val="0"/>
            <w:vAlign w:val="center"/>
          </w:tcPr>
          <w:p>
            <w:pPr>
              <w:pStyle w:val="22"/>
              <w:bidi w:val="0"/>
              <w:rPr>
                <w:rFonts w:hint="default"/>
                <w:color w:val="auto"/>
                <w:highlight w:val="none"/>
              </w:rPr>
            </w:pPr>
            <w:r>
              <w:rPr>
                <w:rFonts w:hint="default"/>
                <w:color w:val="auto"/>
                <w:highlight w:val="none"/>
              </w:rPr>
              <w:t>在籍人数</w:t>
            </w:r>
          </w:p>
          <w:p>
            <w:pPr>
              <w:pStyle w:val="22"/>
              <w:bidi w:val="0"/>
              <w:rPr>
                <w:rFonts w:hint="default"/>
                <w:color w:val="auto"/>
                <w:highlight w:val="none"/>
              </w:rPr>
            </w:pPr>
            <w:r>
              <w:rPr>
                <w:rFonts w:hint="default"/>
                <w:color w:val="auto"/>
                <w:highlight w:val="none"/>
              </w:rPr>
              <w:t>（人）</w:t>
            </w:r>
          </w:p>
        </w:tc>
      </w:tr>
      <w:tr>
        <w:tblPrEx>
          <w:tblCellMar>
            <w:top w:w="0" w:type="dxa"/>
            <w:left w:w="108" w:type="dxa"/>
            <w:bottom w:w="0" w:type="dxa"/>
            <w:right w:w="108" w:type="dxa"/>
          </w:tblCellMar>
        </w:tblPrEx>
        <w:trPr>
          <w:trHeight w:val="23" w:hRule="atLeast"/>
          <w:jc w:val="center"/>
        </w:trPr>
        <w:tc>
          <w:tcPr>
            <w:tcW w:w="52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c>
          <w:tcPr>
            <w:tcW w:w="259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Ⅰ</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Ⅱ</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Ⅲ</w:t>
            </w:r>
          </w:p>
        </w:tc>
        <w:tc>
          <w:tcPr>
            <w:tcW w:w="955"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合计</w:t>
            </w:r>
          </w:p>
        </w:tc>
        <w:tc>
          <w:tcPr>
            <w:tcW w:w="769"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1327" w:type="dxa"/>
            <w:vMerge w:val="continue"/>
            <w:tcBorders>
              <w:left w:val="nil"/>
              <w:bottom w:val="single" w:color="auto" w:sz="4" w:space="0"/>
              <w:right w:val="single" w:color="auto"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23" w:hRule="atLeast"/>
          <w:jc w:val="center"/>
        </w:trPr>
        <w:tc>
          <w:tcPr>
            <w:tcW w:w="524"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一</w:t>
            </w:r>
          </w:p>
        </w:tc>
        <w:tc>
          <w:tcPr>
            <w:tcW w:w="471"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生产人员</w:t>
            </w:r>
          </w:p>
        </w:tc>
        <w:tc>
          <w:tcPr>
            <w:tcW w:w="212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1、生产工人</w:t>
            </w: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91</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91</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45</w:t>
            </w:r>
          </w:p>
        </w:tc>
        <w:tc>
          <w:tcPr>
            <w:tcW w:w="955"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227</w:t>
            </w:r>
          </w:p>
        </w:tc>
        <w:tc>
          <w:tcPr>
            <w:tcW w:w="769"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1.3</w:t>
            </w:r>
          </w:p>
        </w:tc>
        <w:tc>
          <w:tcPr>
            <w:tcW w:w="132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295</w:t>
            </w:r>
          </w:p>
        </w:tc>
      </w:tr>
      <w:tr>
        <w:tblPrEx>
          <w:tblCellMar>
            <w:top w:w="0" w:type="dxa"/>
            <w:left w:w="108" w:type="dxa"/>
            <w:bottom w:w="0" w:type="dxa"/>
            <w:right w:w="108" w:type="dxa"/>
          </w:tblCellMar>
        </w:tblPrEx>
        <w:trPr>
          <w:trHeight w:val="23" w:hRule="atLeast"/>
          <w:jc w:val="center"/>
        </w:trPr>
        <w:tc>
          <w:tcPr>
            <w:tcW w:w="524"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2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2、管理人员</w:t>
            </w: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0</w:t>
            </w:r>
          </w:p>
        </w:tc>
        <w:tc>
          <w:tcPr>
            <w:tcW w:w="95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20</w:t>
            </w:r>
          </w:p>
        </w:tc>
        <w:tc>
          <w:tcPr>
            <w:tcW w:w="76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32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20</w:t>
            </w:r>
          </w:p>
        </w:tc>
      </w:tr>
      <w:tr>
        <w:tblPrEx>
          <w:tblCellMar>
            <w:top w:w="0" w:type="dxa"/>
            <w:left w:w="108" w:type="dxa"/>
            <w:bottom w:w="0" w:type="dxa"/>
            <w:right w:w="108" w:type="dxa"/>
          </w:tblCellMar>
        </w:tblPrEx>
        <w:trPr>
          <w:trHeight w:val="23" w:hRule="atLeast"/>
          <w:jc w:val="center"/>
        </w:trPr>
        <w:tc>
          <w:tcPr>
            <w:tcW w:w="524"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71"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12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合计</w:t>
            </w: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101</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101</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45</w:t>
            </w:r>
          </w:p>
        </w:tc>
        <w:tc>
          <w:tcPr>
            <w:tcW w:w="955"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247</w:t>
            </w:r>
          </w:p>
        </w:tc>
        <w:tc>
          <w:tcPr>
            <w:tcW w:w="769"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32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315</w:t>
            </w:r>
          </w:p>
        </w:tc>
      </w:tr>
      <w:tr>
        <w:tblPrEx>
          <w:tblCellMar>
            <w:top w:w="0" w:type="dxa"/>
            <w:left w:w="108" w:type="dxa"/>
            <w:bottom w:w="0" w:type="dxa"/>
            <w:right w:w="108" w:type="dxa"/>
          </w:tblCellMar>
        </w:tblPrEx>
        <w:trPr>
          <w:trHeight w:val="23" w:hRule="atLeast"/>
          <w:jc w:val="center"/>
        </w:trPr>
        <w:tc>
          <w:tcPr>
            <w:tcW w:w="524"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二</w:t>
            </w:r>
          </w:p>
        </w:tc>
        <w:tc>
          <w:tcPr>
            <w:tcW w:w="2596"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服务人员</w:t>
            </w: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0</w:t>
            </w:r>
          </w:p>
        </w:tc>
        <w:tc>
          <w:tcPr>
            <w:tcW w:w="95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30</w:t>
            </w:r>
          </w:p>
        </w:tc>
        <w:tc>
          <w:tcPr>
            <w:tcW w:w="76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32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30</w:t>
            </w:r>
          </w:p>
        </w:tc>
      </w:tr>
      <w:tr>
        <w:tblPrEx>
          <w:tblCellMar>
            <w:top w:w="0" w:type="dxa"/>
            <w:left w:w="108" w:type="dxa"/>
            <w:bottom w:w="0" w:type="dxa"/>
            <w:right w:w="108" w:type="dxa"/>
          </w:tblCellMar>
        </w:tblPrEx>
        <w:trPr>
          <w:trHeight w:val="23" w:hRule="atLeast"/>
          <w:jc w:val="center"/>
        </w:trPr>
        <w:tc>
          <w:tcPr>
            <w:tcW w:w="524"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三</w:t>
            </w:r>
          </w:p>
        </w:tc>
        <w:tc>
          <w:tcPr>
            <w:tcW w:w="2596"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其他人员</w:t>
            </w: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0</w:t>
            </w:r>
          </w:p>
        </w:tc>
        <w:tc>
          <w:tcPr>
            <w:tcW w:w="95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20</w:t>
            </w:r>
          </w:p>
        </w:tc>
        <w:tc>
          <w:tcPr>
            <w:tcW w:w="76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32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20</w:t>
            </w:r>
          </w:p>
        </w:tc>
      </w:tr>
      <w:tr>
        <w:tblPrEx>
          <w:tblCellMar>
            <w:top w:w="0" w:type="dxa"/>
            <w:left w:w="108" w:type="dxa"/>
            <w:bottom w:w="0" w:type="dxa"/>
            <w:right w:w="108" w:type="dxa"/>
          </w:tblCellMar>
        </w:tblPrEx>
        <w:trPr>
          <w:trHeight w:val="23" w:hRule="atLeast"/>
          <w:jc w:val="center"/>
        </w:trPr>
        <w:tc>
          <w:tcPr>
            <w:tcW w:w="524"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四</w:t>
            </w:r>
          </w:p>
        </w:tc>
        <w:tc>
          <w:tcPr>
            <w:tcW w:w="2596"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选煤厂全部定员</w:t>
            </w:r>
          </w:p>
        </w:tc>
        <w:tc>
          <w:tcPr>
            <w:tcW w:w="80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126</w:t>
            </w:r>
          </w:p>
        </w:tc>
        <w:tc>
          <w:tcPr>
            <w:tcW w:w="912"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126</w:t>
            </w:r>
          </w:p>
        </w:tc>
        <w:tc>
          <w:tcPr>
            <w:tcW w:w="63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45</w:t>
            </w:r>
          </w:p>
        </w:tc>
        <w:tc>
          <w:tcPr>
            <w:tcW w:w="95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297</w:t>
            </w:r>
          </w:p>
        </w:tc>
        <w:tc>
          <w:tcPr>
            <w:tcW w:w="769"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32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365</w:t>
            </w:r>
          </w:p>
        </w:tc>
      </w:tr>
    </w:tbl>
    <w:p>
      <w:pPr>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（2）中山明月峡矿区</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通过估算，中山明月峡矿区规划劳动定员在籍人数3200人，其中：煤矿3037人、选煤厂163人。中山明月峡矿区劳动定员估算具体详见煤矿劳动定员估算表（表</w:t>
      </w:r>
      <w:r>
        <w:rPr>
          <w:rFonts w:hint="default" w:ascii="Times New Roman" w:hAnsi="Times New Roman" w:cs="Times New Roman"/>
          <w:color w:val="auto"/>
          <w:sz w:val="24"/>
          <w:szCs w:val="24"/>
          <w:highlight w:val="none"/>
          <w:lang w:val="en-US" w:eastAsia="zh-CN"/>
        </w:rPr>
        <w:t>2.1.17</w:t>
      </w:r>
      <w:r>
        <w:rPr>
          <w:rFonts w:hint="default" w:ascii="Times New Roman" w:hAnsi="Times New Roman" w:cs="Times New Roman"/>
          <w:color w:val="auto"/>
          <w:sz w:val="24"/>
          <w:szCs w:val="24"/>
          <w:highlight w:val="none"/>
        </w:rPr>
        <w:t>-3）和选煤厂劳动定员估算表（表</w:t>
      </w:r>
      <w:r>
        <w:rPr>
          <w:rFonts w:hint="default" w:ascii="Times New Roman" w:hAnsi="Times New Roman" w:cs="Times New Roman"/>
          <w:color w:val="auto"/>
          <w:sz w:val="24"/>
          <w:szCs w:val="24"/>
          <w:highlight w:val="none"/>
          <w:lang w:val="en-US" w:eastAsia="zh-CN"/>
        </w:rPr>
        <w:t>2.1.17</w:t>
      </w:r>
      <w:r>
        <w:rPr>
          <w:rFonts w:hint="default" w:ascii="Times New Roman" w:hAnsi="Times New Roman" w:cs="Times New Roman"/>
          <w:color w:val="auto"/>
          <w:sz w:val="24"/>
          <w:szCs w:val="24"/>
          <w:highlight w:val="none"/>
        </w:rPr>
        <w:t>-4）。</w:t>
      </w:r>
    </w:p>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2.1.17-3</w:t>
      </w:r>
      <w:r>
        <w:rPr>
          <w:rFonts w:hint="default"/>
          <w:color w:val="auto"/>
          <w:highlight w:val="none"/>
        </w:rPr>
        <w:t xml:space="preserve">                  煤矿劳动定员估算表</w:t>
      </w:r>
    </w:p>
    <w:tbl>
      <w:tblPr>
        <w:tblStyle w:val="17"/>
        <w:tblW w:w="0" w:type="auto"/>
        <w:jc w:val="center"/>
        <w:tblLayout w:type="fixed"/>
        <w:tblCellMar>
          <w:top w:w="0" w:type="dxa"/>
          <w:left w:w="108" w:type="dxa"/>
          <w:bottom w:w="0" w:type="dxa"/>
          <w:right w:w="108" w:type="dxa"/>
        </w:tblCellMar>
      </w:tblPr>
      <w:tblGrid>
        <w:gridCol w:w="509"/>
        <w:gridCol w:w="458"/>
        <w:gridCol w:w="2260"/>
        <w:gridCol w:w="585"/>
        <w:gridCol w:w="816"/>
        <w:gridCol w:w="816"/>
        <w:gridCol w:w="1057"/>
        <w:gridCol w:w="780"/>
        <w:gridCol w:w="1241"/>
      </w:tblGrid>
      <w:tr>
        <w:tblPrEx>
          <w:tblCellMar>
            <w:top w:w="0" w:type="dxa"/>
            <w:left w:w="108" w:type="dxa"/>
            <w:bottom w:w="0" w:type="dxa"/>
            <w:right w:w="108" w:type="dxa"/>
          </w:tblCellMar>
        </w:tblPrEx>
        <w:trPr>
          <w:trHeight w:val="283" w:hRule="atLeast"/>
          <w:jc w:val="center"/>
        </w:trPr>
        <w:tc>
          <w:tcPr>
            <w:tcW w:w="509" w:type="dxa"/>
            <w:vMerge w:val="restart"/>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序号</w:t>
            </w:r>
          </w:p>
        </w:tc>
        <w:tc>
          <w:tcPr>
            <w:tcW w:w="271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人员类别</w:t>
            </w:r>
          </w:p>
        </w:tc>
        <w:tc>
          <w:tcPr>
            <w:tcW w:w="3274" w:type="dxa"/>
            <w:gridSpan w:val="4"/>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出勤人数（人）</w:t>
            </w:r>
          </w:p>
        </w:tc>
        <w:tc>
          <w:tcPr>
            <w:tcW w:w="780"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在籍系数</w:t>
            </w:r>
          </w:p>
        </w:tc>
        <w:tc>
          <w:tcPr>
            <w:tcW w:w="1241" w:type="dxa"/>
            <w:vMerge w:val="restart"/>
            <w:tcBorders>
              <w:top w:val="single" w:color="auto" w:sz="4" w:space="0"/>
              <w:left w:val="nil"/>
              <w:right w:val="single" w:color="auto" w:sz="4" w:space="0"/>
            </w:tcBorders>
            <w:noWrap w:val="0"/>
            <w:vAlign w:val="center"/>
          </w:tcPr>
          <w:p>
            <w:pPr>
              <w:pStyle w:val="22"/>
              <w:bidi w:val="0"/>
              <w:rPr>
                <w:rFonts w:hint="default"/>
                <w:color w:val="auto"/>
                <w:highlight w:val="none"/>
              </w:rPr>
            </w:pPr>
            <w:r>
              <w:rPr>
                <w:rFonts w:hint="default"/>
                <w:color w:val="auto"/>
                <w:highlight w:val="none"/>
              </w:rPr>
              <w:t>在籍人数</w:t>
            </w:r>
          </w:p>
          <w:p>
            <w:pPr>
              <w:pStyle w:val="22"/>
              <w:bidi w:val="0"/>
              <w:rPr>
                <w:rFonts w:hint="default"/>
                <w:color w:val="auto"/>
                <w:highlight w:val="none"/>
              </w:rPr>
            </w:pPr>
            <w:r>
              <w:rPr>
                <w:rFonts w:hint="default"/>
                <w:color w:val="auto"/>
                <w:highlight w:val="none"/>
              </w:rPr>
              <w:t>（人）</w:t>
            </w:r>
          </w:p>
        </w:tc>
      </w:tr>
      <w:tr>
        <w:tblPrEx>
          <w:tblCellMar>
            <w:top w:w="0" w:type="dxa"/>
            <w:left w:w="108" w:type="dxa"/>
            <w:bottom w:w="0" w:type="dxa"/>
            <w:right w:w="108" w:type="dxa"/>
          </w:tblCellMar>
        </w:tblPrEx>
        <w:trPr>
          <w:trHeight w:val="283" w:hRule="atLeast"/>
          <w:jc w:val="center"/>
        </w:trPr>
        <w:tc>
          <w:tcPr>
            <w:tcW w:w="509" w:type="dxa"/>
            <w:vMerge w:val="continue"/>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c>
          <w:tcPr>
            <w:tcW w:w="271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Ⅰ</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Ⅱ</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Ⅲ</w:t>
            </w:r>
          </w:p>
        </w:tc>
        <w:tc>
          <w:tcPr>
            <w:tcW w:w="1057"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合计</w:t>
            </w:r>
          </w:p>
        </w:tc>
        <w:tc>
          <w:tcPr>
            <w:tcW w:w="780"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1241" w:type="dxa"/>
            <w:vMerge w:val="continue"/>
            <w:tcBorders>
              <w:left w:val="nil"/>
              <w:bottom w:val="single" w:color="auto" w:sz="4" w:space="0"/>
              <w:right w:val="single" w:color="auto"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283" w:hRule="atLeast"/>
          <w:jc w:val="center"/>
        </w:trPr>
        <w:tc>
          <w:tcPr>
            <w:tcW w:w="509"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一</w:t>
            </w:r>
          </w:p>
        </w:tc>
        <w:tc>
          <w:tcPr>
            <w:tcW w:w="458"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原煤生产人员</w:t>
            </w:r>
          </w:p>
        </w:tc>
        <w:tc>
          <w:tcPr>
            <w:tcW w:w="226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1、生产工人</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716</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716</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379</w:t>
            </w:r>
          </w:p>
        </w:tc>
        <w:tc>
          <w:tcPr>
            <w:tcW w:w="1057"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1811</w:t>
            </w:r>
          </w:p>
        </w:tc>
        <w:tc>
          <w:tcPr>
            <w:tcW w:w="780"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2490</w:t>
            </w:r>
          </w:p>
        </w:tc>
      </w:tr>
      <w:tr>
        <w:tblPrEx>
          <w:tblCellMar>
            <w:top w:w="0" w:type="dxa"/>
            <w:left w:w="108" w:type="dxa"/>
            <w:bottom w:w="0" w:type="dxa"/>
            <w:right w:w="108" w:type="dxa"/>
          </w:tblCellMar>
        </w:tblPrEx>
        <w:trPr>
          <w:trHeight w:val="283" w:hRule="atLeast"/>
          <w:jc w:val="center"/>
        </w:trPr>
        <w:tc>
          <w:tcPr>
            <w:tcW w:w="509"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58"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26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其中：井下</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557</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557</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244</w:t>
            </w:r>
          </w:p>
        </w:tc>
        <w:tc>
          <w:tcPr>
            <w:tcW w:w="1057"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1358</w:t>
            </w:r>
          </w:p>
        </w:tc>
        <w:tc>
          <w:tcPr>
            <w:tcW w:w="780"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1901</w:t>
            </w:r>
          </w:p>
        </w:tc>
      </w:tr>
      <w:tr>
        <w:tblPrEx>
          <w:tblCellMar>
            <w:top w:w="0" w:type="dxa"/>
            <w:left w:w="108" w:type="dxa"/>
            <w:bottom w:w="0" w:type="dxa"/>
            <w:right w:w="108" w:type="dxa"/>
          </w:tblCellMar>
        </w:tblPrEx>
        <w:trPr>
          <w:trHeight w:val="283" w:hRule="atLeast"/>
          <w:jc w:val="center"/>
        </w:trPr>
        <w:tc>
          <w:tcPr>
            <w:tcW w:w="509"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58"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26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xml:space="preserve">          地面</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159</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159</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135</w:t>
            </w:r>
          </w:p>
        </w:tc>
        <w:tc>
          <w:tcPr>
            <w:tcW w:w="1057"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453</w:t>
            </w:r>
          </w:p>
        </w:tc>
        <w:tc>
          <w:tcPr>
            <w:tcW w:w="780"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1.3</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589</w:t>
            </w:r>
          </w:p>
        </w:tc>
      </w:tr>
      <w:tr>
        <w:tblPrEx>
          <w:tblCellMar>
            <w:top w:w="0" w:type="dxa"/>
            <w:left w:w="108" w:type="dxa"/>
            <w:bottom w:w="0" w:type="dxa"/>
            <w:right w:w="108" w:type="dxa"/>
          </w:tblCellMar>
        </w:tblPrEx>
        <w:trPr>
          <w:trHeight w:val="283" w:hRule="atLeast"/>
          <w:jc w:val="center"/>
        </w:trPr>
        <w:tc>
          <w:tcPr>
            <w:tcW w:w="509"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58"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26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2、管理人员</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160</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96</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64</w:t>
            </w:r>
          </w:p>
        </w:tc>
        <w:tc>
          <w:tcPr>
            <w:tcW w:w="1057"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320</w:t>
            </w:r>
          </w:p>
        </w:tc>
        <w:tc>
          <w:tcPr>
            <w:tcW w:w="780"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320</w:t>
            </w:r>
          </w:p>
        </w:tc>
      </w:tr>
      <w:tr>
        <w:tblPrEx>
          <w:tblCellMar>
            <w:top w:w="0" w:type="dxa"/>
            <w:left w:w="108" w:type="dxa"/>
            <w:bottom w:w="0" w:type="dxa"/>
            <w:right w:w="108" w:type="dxa"/>
          </w:tblCellMar>
        </w:tblPrEx>
        <w:trPr>
          <w:trHeight w:val="283" w:hRule="atLeast"/>
          <w:jc w:val="center"/>
        </w:trPr>
        <w:tc>
          <w:tcPr>
            <w:tcW w:w="509"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58"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26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其中:工程技术人员</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83</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79</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62</w:t>
            </w:r>
          </w:p>
        </w:tc>
        <w:tc>
          <w:tcPr>
            <w:tcW w:w="105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224</w:t>
            </w:r>
          </w:p>
        </w:tc>
        <w:tc>
          <w:tcPr>
            <w:tcW w:w="78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224</w:t>
            </w:r>
          </w:p>
        </w:tc>
      </w:tr>
      <w:tr>
        <w:tblPrEx>
          <w:tblCellMar>
            <w:top w:w="0" w:type="dxa"/>
            <w:left w:w="108" w:type="dxa"/>
            <w:bottom w:w="0" w:type="dxa"/>
            <w:right w:w="108" w:type="dxa"/>
          </w:tblCellMar>
        </w:tblPrEx>
        <w:trPr>
          <w:trHeight w:val="283" w:hRule="atLeast"/>
          <w:jc w:val="center"/>
        </w:trPr>
        <w:tc>
          <w:tcPr>
            <w:tcW w:w="509"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58"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26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合计</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876</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812</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443</w:t>
            </w:r>
          </w:p>
        </w:tc>
        <w:tc>
          <w:tcPr>
            <w:tcW w:w="1057"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2131</w:t>
            </w:r>
          </w:p>
        </w:tc>
        <w:tc>
          <w:tcPr>
            <w:tcW w:w="780"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2810</w:t>
            </w:r>
          </w:p>
        </w:tc>
      </w:tr>
      <w:tr>
        <w:tblPrEx>
          <w:tblCellMar>
            <w:top w:w="0" w:type="dxa"/>
            <w:left w:w="108" w:type="dxa"/>
            <w:bottom w:w="0" w:type="dxa"/>
            <w:right w:w="108" w:type="dxa"/>
          </w:tblCellMar>
        </w:tblPrEx>
        <w:trPr>
          <w:trHeight w:val="283" w:hRule="atLeast"/>
          <w:jc w:val="center"/>
        </w:trPr>
        <w:tc>
          <w:tcPr>
            <w:tcW w:w="509"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二</w:t>
            </w:r>
          </w:p>
        </w:tc>
        <w:tc>
          <w:tcPr>
            <w:tcW w:w="2718"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服务人员</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72</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72</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w:t>
            </w:r>
          </w:p>
        </w:tc>
        <w:tc>
          <w:tcPr>
            <w:tcW w:w="105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159</w:t>
            </w:r>
          </w:p>
        </w:tc>
        <w:tc>
          <w:tcPr>
            <w:tcW w:w="78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159</w:t>
            </w:r>
          </w:p>
        </w:tc>
      </w:tr>
      <w:tr>
        <w:tblPrEx>
          <w:tblCellMar>
            <w:top w:w="0" w:type="dxa"/>
            <w:left w:w="108" w:type="dxa"/>
            <w:bottom w:w="0" w:type="dxa"/>
            <w:right w:w="108" w:type="dxa"/>
          </w:tblCellMar>
        </w:tblPrEx>
        <w:trPr>
          <w:trHeight w:val="283" w:hRule="atLeast"/>
          <w:jc w:val="center"/>
        </w:trPr>
        <w:tc>
          <w:tcPr>
            <w:tcW w:w="509"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三</w:t>
            </w:r>
          </w:p>
        </w:tc>
        <w:tc>
          <w:tcPr>
            <w:tcW w:w="2718"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其他人员</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31</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31</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w:t>
            </w:r>
          </w:p>
        </w:tc>
        <w:tc>
          <w:tcPr>
            <w:tcW w:w="105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68</w:t>
            </w:r>
          </w:p>
        </w:tc>
        <w:tc>
          <w:tcPr>
            <w:tcW w:w="78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68</w:t>
            </w:r>
          </w:p>
        </w:tc>
      </w:tr>
      <w:tr>
        <w:tblPrEx>
          <w:tblCellMar>
            <w:top w:w="0" w:type="dxa"/>
            <w:left w:w="108" w:type="dxa"/>
            <w:bottom w:w="0" w:type="dxa"/>
            <w:right w:w="108" w:type="dxa"/>
          </w:tblCellMar>
        </w:tblPrEx>
        <w:trPr>
          <w:trHeight w:val="283" w:hRule="atLeast"/>
          <w:jc w:val="center"/>
        </w:trPr>
        <w:tc>
          <w:tcPr>
            <w:tcW w:w="509"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四</w:t>
            </w:r>
          </w:p>
        </w:tc>
        <w:tc>
          <w:tcPr>
            <w:tcW w:w="2718"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矿井全部定员</w:t>
            </w:r>
          </w:p>
        </w:tc>
        <w:tc>
          <w:tcPr>
            <w:tcW w:w="585"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979</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915</w:t>
            </w:r>
          </w:p>
        </w:tc>
        <w:tc>
          <w:tcPr>
            <w:tcW w:w="81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464</w:t>
            </w:r>
          </w:p>
        </w:tc>
        <w:tc>
          <w:tcPr>
            <w:tcW w:w="105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2358</w:t>
            </w:r>
          </w:p>
        </w:tc>
        <w:tc>
          <w:tcPr>
            <w:tcW w:w="780"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24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3037</w:t>
            </w:r>
          </w:p>
        </w:tc>
      </w:tr>
    </w:tbl>
    <w:p>
      <w:pPr>
        <w:pStyle w:val="22"/>
        <w:bidi w:val="0"/>
        <w:rPr>
          <w:rFonts w:hint="default"/>
          <w:color w:val="auto"/>
          <w:highlight w:val="none"/>
        </w:rPr>
      </w:pPr>
      <w:r>
        <w:rPr>
          <w:rFonts w:hint="default"/>
          <w:color w:val="auto"/>
          <w:highlight w:val="none"/>
        </w:rPr>
        <w:t>表</w:t>
      </w:r>
      <w:r>
        <w:rPr>
          <w:rFonts w:hint="default"/>
          <w:color w:val="auto"/>
          <w:highlight w:val="none"/>
          <w:lang w:val="en-US" w:eastAsia="zh-CN"/>
        </w:rPr>
        <w:t>2.1.17</w:t>
      </w:r>
      <w:r>
        <w:rPr>
          <w:rFonts w:hint="default"/>
          <w:color w:val="auto"/>
          <w:highlight w:val="none"/>
        </w:rPr>
        <w:t>-4               选煤厂劳动定员估算表</w:t>
      </w:r>
    </w:p>
    <w:tbl>
      <w:tblPr>
        <w:tblStyle w:val="17"/>
        <w:tblW w:w="0" w:type="auto"/>
        <w:jc w:val="center"/>
        <w:tblLayout w:type="fixed"/>
        <w:tblCellMar>
          <w:top w:w="0" w:type="dxa"/>
          <w:left w:w="108" w:type="dxa"/>
          <w:bottom w:w="0" w:type="dxa"/>
          <w:right w:w="108" w:type="dxa"/>
        </w:tblCellMar>
      </w:tblPr>
      <w:tblGrid>
        <w:gridCol w:w="517"/>
        <w:gridCol w:w="465"/>
        <w:gridCol w:w="2077"/>
        <w:gridCol w:w="736"/>
        <w:gridCol w:w="736"/>
        <w:gridCol w:w="736"/>
        <w:gridCol w:w="1368"/>
        <w:gridCol w:w="796"/>
        <w:gridCol w:w="1091"/>
      </w:tblGrid>
      <w:tr>
        <w:tblPrEx>
          <w:tblCellMar>
            <w:top w:w="0" w:type="dxa"/>
            <w:left w:w="108" w:type="dxa"/>
            <w:bottom w:w="0" w:type="dxa"/>
            <w:right w:w="108" w:type="dxa"/>
          </w:tblCellMar>
        </w:tblPrEx>
        <w:trPr>
          <w:trHeight w:val="23" w:hRule="atLeast"/>
          <w:jc w:val="center"/>
        </w:trPr>
        <w:tc>
          <w:tcPr>
            <w:tcW w:w="517"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序号</w:t>
            </w:r>
          </w:p>
        </w:tc>
        <w:tc>
          <w:tcPr>
            <w:tcW w:w="2542"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人员类别</w:t>
            </w:r>
          </w:p>
        </w:tc>
        <w:tc>
          <w:tcPr>
            <w:tcW w:w="3576" w:type="dxa"/>
            <w:gridSpan w:val="4"/>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出勤人数（人）</w:t>
            </w:r>
          </w:p>
        </w:tc>
        <w:tc>
          <w:tcPr>
            <w:tcW w:w="796"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在籍系数</w:t>
            </w:r>
          </w:p>
        </w:tc>
        <w:tc>
          <w:tcPr>
            <w:tcW w:w="1091" w:type="dxa"/>
            <w:vMerge w:val="restart"/>
            <w:tcBorders>
              <w:top w:val="single" w:color="auto" w:sz="4" w:space="0"/>
              <w:left w:val="nil"/>
              <w:right w:val="single" w:color="auto" w:sz="4" w:space="0"/>
            </w:tcBorders>
            <w:noWrap w:val="0"/>
            <w:vAlign w:val="center"/>
          </w:tcPr>
          <w:p>
            <w:pPr>
              <w:pStyle w:val="22"/>
              <w:bidi w:val="0"/>
              <w:rPr>
                <w:rFonts w:hint="default"/>
                <w:color w:val="auto"/>
                <w:highlight w:val="none"/>
              </w:rPr>
            </w:pPr>
            <w:r>
              <w:rPr>
                <w:rFonts w:hint="default"/>
                <w:color w:val="auto"/>
                <w:highlight w:val="none"/>
              </w:rPr>
              <w:t>在籍人数</w:t>
            </w:r>
          </w:p>
          <w:p>
            <w:pPr>
              <w:pStyle w:val="22"/>
              <w:bidi w:val="0"/>
              <w:rPr>
                <w:rFonts w:hint="default"/>
                <w:color w:val="auto"/>
                <w:highlight w:val="none"/>
              </w:rPr>
            </w:pPr>
            <w:r>
              <w:rPr>
                <w:rFonts w:hint="default"/>
                <w:color w:val="auto"/>
                <w:highlight w:val="none"/>
              </w:rPr>
              <w:t>（人）</w:t>
            </w:r>
          </w:p>
        </w:tc>
      </w:tr>
      <w:tr>
        <w:tblPrEx>
          <w:tblCellMar>
            <w:top w:w="0" w:type="dxa"/>
            <w:left w:w="108" w:type="dxa"/>
            <w:bottom w:w="0" w:type="dxa"/>
            <w:right w:w="108" w:type="dxa"/>
          </w:tblCellMar>
        </w:tblPrEx>
        <w:trPr>
          <w:trHeight w:val="23" w:hRule="atLeast"/>
          <w:jc w:val="center"/>
        </w:trPr>
        <w:tc>
          <w:tcPr>
            <w:tcW w:w="517"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542"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bidi w:val="0"/>
              <w:rPr>
                <w:rFonts w:hint="default"/>
                <w:color w:val="auto"/>
                <w:highlight w:val="none"/>
              </w:rPr>
            </w:pP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Ⅰ</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Ⅱ</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Ⅲ</w:t>
            </w:r>
          </w:p>
        </w:tc>
        <w:tc>
          <w:tcPr>
            <w:tcW w:w="1368"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合计</w:t>
            </w:r>
          </w:p>
        </w:tc>
        <w:tc>
          <w:tcPr>
            <w:tcW w:w="796"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1091" w:type="dxa"/>
            <w:vMerge w:val="continue"/>
            <w:tcBorders>
              <w:left w:val="nil"/>
              <w:bottom w:val="single" w:color="auto" w:sz="4" w:space="0"/>
              <w:right w:val="single" w:color="auto" w:sz="4" w:space="0"/>
            </w:tcBorders>
            <w:noWrap w:val="0"/>
            <w:vAlign w:val="center"/>
          </w:tcPr>
          <w:p>
            <w:pPr>
              <w:pStyle w:val="22"/>
              <w:bidi w:val="0"/>
              <w:rPr>
                <w:rFonts w:hint="default"/>
                <w:color w:val="auto"/>
                <w:highlight w:val="none"/>
              </w:rPr>
            </w:pPr>
          </w:p>
        </w:tc>
      </w:tr>
      <w:tr>
        <w:tblPrEx>
          <w:tblCellMar>
            <w:top w:w="0" w:type="dxa"/>
            <w:left w:w="108" w:type="dxa"/>
            <w:bottom w:w="0" w:type="dxa"/>
            <w:right w:w="108" w:type="dxa"/>
          </w:tblCellMar>
        </w:tblPrEx>
        <w:trPr>
          <w:trHeight w:val="23" w:hRule="atLeast"/>
          <w:jc w:val="center"/>
        </w:trPr>
        <w:tc>
          <w:tcPr>
            <w:tcW w:w="517"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一</w:t>
            </w:r>
          </w:p>
        </w:tc>
        <w:tc>
          <w:tcPr>
            <w:tcW w:w="465" w:type="dxa"/>
            <w:vMerge w:val="restart"/>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生产人员</w:t>
            </w:r>
          </w:p>
        </w:tc>
        <w:tc>
          <w:tcPr>
            <w:tcW w:w="207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1、生产工人</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35</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35</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18</w:t>
            </w:r>
          </w:p>
        </w:tc>
        <w:tc>
          <w:tcPr>
            <w:tcW w:w="1368"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88</w:t>
            </w:r>
          </w:p>
        </w:tc>
        <w:tc>
          <w:tcPr>
            <w:tcW w:w="796"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1.3</w:t>
            </w:r>
          </w:p>
        </w:tc>
        <w:tc>
          <w:tcPr>
            <w:tcW w:w="109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114</w:t>
            </w:r>
          </w:p>
        </w:tc>
      </w:tr>
      <w:tr>
        <w:tblPrEx>
          <w:tblCellMar>
            <w:top w:w="0" w:type="dxa"/>
            <w:left w:w="108" w:type="dxa"/>
            <w:bottom w:w="0" w:type="dxa"/>
            <w:right w:w="108" w:type="dxa"/>
          </w:tblCellMar>
        </w:tblPrEx>
        <w:trPr>
          <w:trHeight w:val="23" w:hRule="atLeast"/>
          <w:jc w:val="center"/>
        </w:trPr>
        <w:tc>
          <w:tcPr>
            <w:tcW w:w="517"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6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07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2、管理人员</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0</w:t>
            </w:r>
          </w:p>
        </w:tc>
        <w:tc>
          <w:tcPr>
            <w:tcW w:w="136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09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r>
      <w:tr>
        <w:tblPrEx>
          <w:tblCellMar>
            <w:top w:w="0" w:type="dxa"/>
            <w:left w:w="108" w:type="dxa"/>
            <w:bottom w:w="0" w:type="dxa"/>
            <w:right w:w="108" w:type="dxa"/>
          </w:tblCellMar>
        </w:tblPrEx>
        <w:trPr>
          <w:trHeight w:val="23" w:hRule="atLeast"/>
          <w:jc w:val="center"/>
        </w:trPr>
        <w:tc>
          <w:tcPr>
            <w:tcW w:w="517"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465" w:type="dxa"/>
            <w:vMerge w:val="continue"/>
            <w:tcBorders>
              <w:top w:val="nil"/>
              <w:left w:val="single" w:color="auto" w:sz="4" w:space="0"/>
              <w:bottom w:val="single" w:color="000000" w:sz="4" w:space="0"/>
              <w:right w:val="single" w:color="auto" w:sz="4" w:space="0"/>
            </w:tcBorders>
            <w:noWrap w:val="0"/>
            <w:vAlign w:val="center"/>
          </w:tcPr>
          <w:p>
            <w:pPr>
              <w:pStyle w:val="22"/>
              <w:bidi w:val="0"/>
              <w:rPr>
                <w:rFonts w:hint="default"/>
                <w:color w:val="auto"/>
                <w:highlight w:val="none"/>
              </w:rPr>
            </w:pPr>
          </w:p>
        </w:tc>
        <w:tc>
          <w:tcPr>
            <w:tcW w:w="2077"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合计</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42</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42</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18</w:t>
            </w:r>
          </w:p>
        </w:tc>
        <w:tc>
          <w:tcPr>
            <w:tcW w:w="1368" w:type="dxa"/>
            <w:tcBorders>
              <w:top w:val="nil"/>
              <w:left w:val="nil"/>
              <w:bottom w:val="single" w:color="auto" w:sz="4" w:space="0"/>
              <w:right w:val="nil"/>
            </w:tcBorders>
            <w:noWrap w:val="0"/>
            <w:vAlign w:val="center"/>
          </w:tcPr>
          <w:p>
            <w:pPr>
              <w:pStyle w:val="22"/>
              <w:bidi w:val="0"/>
              <w:rPr>
                <w:rFonts w:hint="default"/>
                <w:color w:val="auto"/>
                <w:highlight w:val="none"/>
              </w:rPr>
            </w:pPr>
            <w:r>
              <w:rPr>
                <w:rFonts w:hint="default"/>
                <w:color w:val="auto"/>
                <w:highlight w:val="none"/>
              </w:rPr>
              <w:t>102</w:t>
            </w:r>
          </w:p>
        </w:tc>
        <w:tc>
          <w:tcPr>
            <w:tcW w:w="796"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09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128</w:t>
            </w:r>
          </w:p>
        </w:tc>
      </w:tr>
      <w:tr>
        <w:tblPrEx>
          <w:tblCellMar>
            <w:top w:w="0" w:type="dxa"/>
            <w:left w:w="108" w:type="dxa"/>
            <w:bottom w:w="0" w:type="dxa"/>
            <w:right w:w="108" w:type="dxa"/>
          </w:tblCellMar>
        </w:tblPrEx>
        <w:trPr>
          <w:trHeight w:val="23" w:hRule="atLeast"/>
          <w:jc w:val="center"/>
        </w:trPr>
        <w:tc>
          <w:tcPr>
            <w:tcW w:w="517"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二</w:t>
            </w:r>
          </w:p>
        </w:tc>
        <w:tc>
          <w:tcPr>
            <w:tcW w:w="2542"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服务人员</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11</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0</w:t>
            </w:r>
          </w:p>
        </w:tc>
        <w:tc>
          <w:tcPr>
            <w:tcW w:w="136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21</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09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21</w:t>
            </w:r>
          </w:p>
        </w:tc>
      </w:tr>
      <w:tr>
        <w:tblPrEx>
          <w:tblCellMar>
            <w:top w:w="0" w:type="dxa"/>
            <w:left w:w="108" w:type="dxa"/>
            <w:bottom w:w="0" w:type="dxa"/>
            <w:right w:w="108" w:type="dxa"/>
          </w:tblCellMar>
        </w:tblPrEx>
        <w:trPr>
          <w:trHeight w:val="23" w:hRule="atLeast"/>
          <w:jc w:val="center"/>
        </w:trPr>
        <w:tc>
          <w:tcPr>
            <w:tcW w:w="517"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三</w:t>
            </w:r>
          </w:p>
        </w:tc>
        <w:tc>
          <w:tcPr>
            <w:tcW w:w="2542"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其他人员</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7</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0</w:t>
            </w:r>
          </w:p>
        </w:tc>
        <w:tc>
          <w:tcPr>
            <w:tcW w:w="136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1.0</w:t>
            </w:r>
          </w:p>
        </w:tc>
        <w:tc>
          <w:tcPr>
            <w:tcW w:w="109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14</w:t>
            </w:r>
          </w:p>
        </w:tc>
      </w:tr>
      <w:tr>
        <w:tblPrEx>
          <w:tblCellMar>
            <w:top w:w="0" w:type="dxa"/>
            <w:left w:w="108" w:type="dxa"/>
            <w:bottom w:w="0" w:type="dxa"/>
            <w:right w:w="108" w:type="dxa"/>
          </w:tblCellMar>
        </w:tblPrEx>
        <w:trPr>
          <w:trHeight w:val="23" w:hRule="atLeast"/>
          <w:jc w:val="center"/>
        </w:trPr>
        <w:tc>
          <w:tcPr>
            <w:tcW w:w="517" w:type="dxa"/>
            <w:tcBorders>
              <w:top w:val="nil"/>
              <w:left w:val="single" w:color="auto" w:sz="4" w:space="0"/>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四</w:t>
            </w:r>
          </w:p>
        </w:tc>
        <w:tc>
          <w:tcPr>
            <w:tcW w:w="2542" w:type="dxa"/>
            <w:gridSpan w:val="2"/>
            <w:tcBorders>
              <w:top w:val="single" w:color="auto" w:sz="4" w:space="0"/>
              <w:left w:val="nil"/>
              <w:bottom w:val="single" w:color="auto" w:sz="4" w:space="0"/>
              <w:right w:val="single" w:color="000000" w:sz="4" w:space="0"/>
            </w:tcBorders>
            <w:noWrap w:val="0"/>
            <w:vAlign w:val="center"/>
          </w:tcPr>
          <w:p>
            <w:pPr>
              <w:pStyle w:val="22"/>
              <w:bidi w:val="0"/>
              <w:rPr>
                <w:rFonts w:hint="default"/>
                <w:color w:val="auto"/>
                <w:highlight w:val="none"/>
              </w:rPr>
            </w:pPr>
            <w:r>
              <w:rPr>
                <w:rFonts w:hint="default"/>
                <w:color w:val="auto"/>
                <w:highlight w:val="none"/>
              </w:rPr>
              <w:t>选煤厂全部定员</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60</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60</w:t>
            </w:r>
          </w:p>
        </w:tc>
        <w:tc>
          <w:tcPr>
            <w:tcW w:w="73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18</w:t>
            </w:r>
          </w:p>
        </w:tc>
        <w:tc>
          <w:tcPr>
            <w:tcW w:w="1368"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137</w:t>
            </w:r>
          </w:p>
        </w:tc>
        <w:tc>
          <w:tcPr>
            <w:tcW w:w="796"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　</w:t>
            </w:r>
          </w:p>
        </w:tc>
        <w:tc>
          <w:tcPr>
            <w:tcW w:w="1091" w:type="dxa"/>
            <w:tcBorders>
              <w:top w:val="nil"/>
              <w:left w:val="nil"/>
              <w:bottom w:val="single" w:color="auto" w:sz="4" w:space="0"/>
              <w:right w:val="single" w:color="auto" w:sz="4" w:space="0"/>
            </w:tcBorders>
            <w:noWrap w:val="0"/>
            <w:vAlign w:val="center"/>
          </w:tcPr>
          <w:p>
            <w:pPr>
              <w:pStyle w:val="22"/>
              <w:bidi w:val="0"/>
              <w:rPr>
                <w:rFonts w:hint="default"/>
                <w:color w:val="auto"/>
                <w:highlight w:val="none"/>
              </w:rPr>
            </w:pPr>
            <w:r>
              <w:rPr>
                <w:rFonts w:hint="default"/>
                <w:color w:val="auto"/>
                <w:highlight w:val="none"/>
              </w:rPr>
              <w:t>163</w:t>
            </w:r>
          </w:p>
        </w:tc>
      </w:tr>
    </w:tbl>
    <w:p>
      <w:pPr>
        <w:bidi w:val="0"/>
        <w:rPr>
          <w:rFonts w:hint="eastAsia"/>
          <w:color w:val="auto"/>
          <w:highlight w:val="none"/>
          <w:lang w:val="en-US" w:eastAsia="zh-CN"/>
        </w:rPr>
      </w:pPr>
      <w:r>
        <w:rPr>
          <w:rFonts w:hint="eastAsia"/>
          <w:color w:val="auto"/>
          <w:highlight w:val="none"/>
          <w:lang w:val="en-US" w:eastAsia="zh-CN"/>
        </w:rPr>
        <w:t>2、劳动生产率</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华蓥山北段矿区</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rPr>
        <w:t>煤矿综合工效</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华蓥山北段矿区煤矿总规划生产能力165万吨/年，年工作日330d，原煤生产人员出勤人数1563人，矿区煤矿总体原煤生产人员综合效率为3.2t/工日。</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rPr>
        <w:t>选煤厂综合工效</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华蓥山北段矿区选煤厂设计生产能力355万吨/年，年工作日330d，全部生产人员出勤人数247人，矿区选煤厂总体综合效率为43.5 t/工日。</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中山明月峡矿区</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rPr>
        <w:t>煤矿综合工效</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中山明月峡矿区煤矿总规划生产能力225万吨/年，年工作日330d，原煤生产人员出勤人数2131人，矿区煤矿总体原煤生产人员综合效率为3.2t/工日。</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rPr>
        <w:t>选煤厂综合工效</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中山明月峡矿区选煤厂设计生产能力147万吨/年，年工作日330d，全部生产人员出勤人数163人，矿区选煤厂总体综合效率为43.5t/工日。</w:t>
      </w:r>
    </w:p>
    <w:p>
      <w:pPr>
        <w:pStyle w:val="7"/>
        <w:bidi w:val="0"/>
        <w:rPr>
          <w:rFonts w:hint="eastAsia"/>
          <w:color w:val="auto"/>
          <w:highlight w:val="none"/>
          <w:lang w:val="en-US" w:eastAsia="zh-CN"/>
        </w:rPr>
      </w:pPr>
      <w:r>
        <w:rPr>
          <w:rFonts w:hint="eastAsia"/>
          <w:color w:val="auto"/>
          <w:highlight w:val="none"/>
          <w:lang w:val="en-US" w:eastAsia="zh-CN"/>
        </w:rPr>
        <w:t>2.1.17.3 技术经济指标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矿区主要经济技术指标如下：</w:t>
      </w:r>
    </w:p>
    <w:p>
      <w:pPr>
        <w:pStyle w:val="22"/>
        <w:bidi w:val="0"/>
        <w:rPr>
          <w:color w:val="auto"/>
          <w:highlight w:val="none"/>
        </w:rPr>
      </w:pPr>
      <w:r>
        <w:rPr>
          <w:rFonts w:hint="eastAsia"/>
          <w:color w:val="auto"/>
          <w:highlight w:val="none"/>
        </w:rPr>
        <w:t>表</w:t>
      </w:r>
      <w:r>
        <w:rPr>
          <w:rFonts w:hint="eastAsia"/>
          <w:color w:val="auto"/>
          <w:highlight w:val="none"/>
          <w:lang w:val="en-US" w:eastAsia="zh-CN"/>
        </w:rPr>
        <w:t>2.1.17-5</w:t>
      </w:r>
      <w:r>
        <w:rPr>
          <w:rFonts w:hint="eastAsia"/>
          <w:color w:val="auto"/>
          <w:highlight w:val="none"/>
        </w:rPr>
        <w:t xml:space="preserve">              主要技术经济指标表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6"/>
        <w:gridCol w:w="1860"/>
        <w:gridCol w:w="844"/>
        <w:gridCol w:w="2051"/>
        <w:gridCol w:w="1900"/>
        <w:gridCol w:w="1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tblHeader/>
          <w:jc w:val="center"/>
        </w:trPr>
        <w:tc>
          <w:tcPr>
            <w:tcW w:w="606" w:type="dxa"/>
            <w:noWrap w:val="0"/>
            <w:vAlign w:val="center"/>
          </w:tcPr>
          <w:p>
            <w:pPr>
              <w:pStyle w:val="22"/>
              <w:bidi w:val="0"/>
              <w:rPr>
                <w:rFonts w:hint="default"/>
                <w:color w:val="auto"/>
                <w:highlight w:val="none"/>
              </w:rPr>
            </w:pPr>
            <w:r>
              <w:rPr>
                <w:rFonts w:hint="default"/>
                <w:color w:val="auto"/>
                <w:highlight w:val="none"/>
              </w:rPr>
              <w:t>序号</w:t>
            </w:r>
          </w:p>
        </w:tc>
        <w:tc>
          <w:tcPr>
            <w:tcW w:w="1860" w:type="dxa"/>
            <w:noWrap w:val="0"/>
            <w:vAlign w:val="center"/>
          </w:tcPr>
          <w:p>
            <w:pPr>
              <w:pStyle w:val="22"/>
              <w:bidi w:val="0"/>
              <w:rPr>
                <w:rFonts w:hint="default"/>
                <w:color w:val="auto"/>
                <w:highlight w:val="none"/>
              </w:rPr>
            </w:pPr>
            <w:r>
              <w:rPr>
                <w:rFonts w:hint="default"/>
                <w:color w:val="auto"/>
                <w:highlight w:val="none"/>
              </w:rPr>
              <w:t>名称</w:t>
            </w:r>
          </w:p>
        </w:tc>
        <w:tc>
          <w:tcPr>
            <w:tcW w:w="844" w:type="dxa"/>
            <w:noWrap w:val="0"/>
            <w:vAlign w:val="center"/>
          </w:tcPr>
          <w:p>
            <w:pPr>
              <w:pStyle w:val="22"/>
              <w:bidi w:val="0"/>
              <w:rPr>
                <w:rFonts w:hint="default"/>
                <w:color w:val="auto"/>
                <w:highlight w:val="none"/>
              </w:rPr>
            </w:pPr>
            <w:r>
              <w:rPr>
                <w:rFonts w:hint="default"/>
                <w:color w:val="auto"/>
                <w:highlight w:val="none"/>
              </w:rPr>
              <w:t>单位</w:t>
            </w:r>
          </w:p>
        </w:tc>
        <w:tc>
          <w:tcPr>
            <w:tcW w:w="2051" w:type="dxa"/>
            <w:noWrap w:val="0"/>
            <w:vAlign w:val="center"/>
          </w:tcPr>
          <w:p>
            <w:pPr>
              <w:pStyle w:val="22"/>
              <w:bidi w:val="0"/>
              <w:rPr>
                <w:rFonts w:hint="default"/>
                <w:color w:val="auto"/>
                <w:highlight w:val="none"/>
              </w:rPr>
            </w:pPr>
            <w:r>
              <w:rPr>
                <w:rFonts w:hint="default"/>
                <w:color w:val="auto"/>
                <w:highlight w:val="none"/>
              </w:rPr>
              <w:t>华蓥山北段矿区数量</w:t>
            </w:r>
          </w:p>
        </w:tc>
        <w:tc>
          <w:tcPr>
            <w:tcW w:w="1900" w:type="dxa"/>
            <w:noWrap w:val="0"/>
            <w:vAlign w:val="center"/>
          </w:tcPr>
          <w:p>
            <w:pPr>
              <w:pStyle w:val="22"/>
              <w:bidi w:val="0"/>
              <w:rPr>
                <w:rFonts w:hint="default"/>
                <w:color w:val="auto"/>
                <w:highlight w:val="none"/>
              </w:rPr>
            </w:pPr>
            <w:r>
              <w:rPr>
                <w:rFonts w:hint="default"/>
                <w:color w:val="auto"/>
                <w:highlight w:val="none"/>
              </w:rPr>
              <w:t>中山明月峡矿区数量</w:t>
            </w:r>
          </w:p>
        </w:tc>
        <w:tc>
          <w:tcPr>
            <w:tcW w:w="1176" w:type="dxa"/>
            <w:noWrap w:val="0"/>
            <w:vAlign w:val="center"/>
          </w:tcPr>
          <w:p>
            <w:pPr>
              <w:pStyle w:val="22"/>
              <w:bidi w:val="0"/>
              <w:rPr>
                <w:rFonts w:hint="default"/>
                <w:color w:val="auto"/>
                <w:highlight w:val="none"/>
              </w:rPr>
            </w:pPr>
            <w:r>
              <w:rPr>
                <w:rFonts w:hint="default"/>
                <w:color w:val="auto"/>
                <w:highlight w:val="none"/>
              </w:rPr>
              <w:t>合计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煤类</w:t>
            </w:r>
          </w:p>
        </w:tc>
        <w:tc>
          <w:tcPr>
            <w:tcW w:w="844" w:type="dxa"/>
            <w:noWrap w:val="0"/>
            <w:vAlign w:val="center"/>
          </w:tcPr>
          <w:p>
            <w:pPr>
              <w:pStyle w:val="22"/>
              <w:bidi w:val="0"/>
              <w:rPr>
                <w:rFonts w:hint="default"/>
                <w:color w:val="auto"/>
                <w:highlight w:val="none"/>
              </w:rPr>
            </w:pPr>
          </w:p>
        </w:tc>
        <w:tc>
          <w:tcPr>
            <w:tcW w:w="2051" w:type="dxa"/>
            <w:noWrap w:val="0"/>
            <w:vAlign w:val="center"/>
          </w:tcPr>
          <w:p>
            <w:pPr>
              <w:pStyle w:val="22"/>
              <w:bidi w:val="0"/>
              <w:rPr>
                <w:rFonts w:hint="default"/>
                <w:color w:val="auto"/>
                <w:highlight w:val="none"/>
              </w:rPr>
            </w:pPr>
            <w:r>
              <w:rPr>
                <w:rFonts w:hint="default"/>
                <w:color w:val="auto"/>
                <w:highlight w:val="none"/>
              </w:rPr>
              <w:t>1/3焦煤和气煤</w:t>
            </w:r>
          </w:p>
        </w:tc>
        <w:tc>
          <w:tcPr>
            <w:tcW w:w="1900" w:type="dxa"/>
            <w:noWrap w:val="0"/>
            <w:vAlign w:val="center"/>
          </w:tcPr>
          <w:p>
            <w:pPr>
              <w:pStyle w:val="22"/>
              <w:bidi w:val="0"/>
              <w:rPr>
                <w:rFonts w:hint="default"/>
                <w:color w:val="auto"/>
                <w:highlight w:val="none"/>
              </w:rPr>
            </w:pPr>
            <w:r>
              <w:rPr>
                <w:rFonts w:hint="default"/>
                <w:color w:val="auto"/>
                <w:highlight w:val="none"/>
              </w:rPr>
              <w:t>1/3焦煤、1/2中粘煤，弱粘煤和气煤</w:t>
            </w:r>
          </w:p>
        </w:tc>
        <w:tc>
          <w:tcPr>
            <w:tcW w:w="1176"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可采煤层厚度</w:t>
            </w:r>
          </w:p>
        </w:tc>
        <w:tc>
          <w:tcPr>
            <w:tcW w:w="844" w:type="dxa"/>
            <w:noWrap w:val="0"/>
            <w:vAlign w:val="center"/>
          </w:tcPr>
          <w:p>
            <w:pPr>
              <w:pStyle w:val="22"/>
              <w:bidi w:val="0"/>
              <w:rPr>
                <w:rFonts w:hint="default"/>
                <w:color w:val="auto"/>
                <w:highlight w:val="none"/>
              </w:rPr>
            </w:pPr>
          </w:p>
        </w:tc>
        <w:tc>
          <w:tcPr>
            <w:tcW w:w="2051" w:type="dxa"/>
            <w:noWrap w:val="0"/>
            <w:vAlign w:val="center"/>
          </w:tcPr>
          <w:p>
            <w:pPr>
              <w:pStyle w:val="22"/>
              <w:bidi w:val="0"/>
              <w:rPr>
                <w:rFonts w:hint="default"/>
                <w:color w:val="auto"/>
                <w:highlight w:val="none"/>
              </w:rPr>
            </w:pPr>
            <w:r>
              <w:rPr>
                <w:rFonts w:hint="default"/>
                <w:color w:val="auto"/>
                <w:highlight w:val="none"/>
              </w:rPr>
              <w:t>14、9.71</w:t>
            </w:r>
          </w:p>
        </w:tc>
        <w:tc>
          <w:tcPr>
            <w:tcW w:w="1900" w:type="dxa"/>
            <w:noWrap w:val="0"/>
            <w:vAlign w:val="center"/>
          </w:tcPr>
          <w:p>
            <w:pPr>
              <w:pStyle w:val="22"/>
              <w:bidi w:val="0"/>
              <w:rPr>
                <w:rFonts w:hint="default"/>
                <w:color w:val="auto"/>
                <w:highlight w:val="none"/>
              </w:rPr>
            </w:pPr>
            <w:r>
              <w:rPr>
                <w:rFonts w:hint="default"/>
                <w:color w:val="auto"/>
                <w:highlight w:val="none"/>
              </w:rPr>
              <w:t>20、17.81</w:t>
            </w:r>
          </w:p>
        </w:tc>
        <w:tc>
          <w:tcPr>
            <w:tcW w:w="1176" w:type="dxa"/>
            <w:noWrap w:val="0"/>
            <w:vAlign w:val="center"/>
          </w:tcPr>
          <w:p>
            <w:pPr>
              <w:pStyle w:val="22"/>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煤层倾角</w:t>
            </w:r>
          </w:p>
        </w:tc>
        <w:tc>
          <w:tcPr>
            <w:tcW w:w="844" w:type="dxa"/>
            <w:noWrap w:val="0"/>
            <w:vAlign w:val="center"/>
          </w:tcPr>
          <w:p>
            <w:pPr>
              <w:pStyle w:val="22"/>
              <w:bidi w:val="0"/>
              <w:rPr>
                <w:rFonts w:hint="default"/>
                <w:color w:val="auto"/>
                <w:highlight w:val="none"/>
              </w:rPr>
            </w:pPr>
            <w:r>
              <w:rPr>
                <w:rFonts w:hint="default"/>
                <w:color w:val="auto"/>
                <w:highlight w:val="none"/>
              </w:rPr>
              <w:t>°</w:t>
            </w:r>
          </w:p>
        </w:tc>
        <w:tc>
          <w:tcPr>
            <w:tcW w:w="2051" w:type="dxa"/>
            <w:noWrap w:val="0"/>
            <w:vAlign w:val="center"/>
          </w:tcPr>
          <w:p>
            <w:pPr>
              <w:pStyle w:val="22"/>
              <w:bidi w:val="0"/>
              <w:rPr>
                <w:rFonts w:hint="default"/>
                <w:color w:val="auto"/>
                <w:highlight w:val="none"/>
              </w:rPr>
            </w:pPr>
            <w:r>
              <w:rPr>
                <w:rFonts w:hint="default"/>
                <w:color w:val="auto"/>
                <w:highlight w:val="none"/>
              </w:rPr>
              <w:t>18～34</w:t>
            </w:r>
          </w:p>
        </w:tc>
        <w:tc>
          <w:tcPr>
            <w:tcW w:w="1900" w:type="dxa"/>
            <w:noWrap w:val="0"/>
            <w:vAlign w:val="center"/>
          </w:tcPr>
          <w:p>
            <w:pPr>
              <w:pStyle w:val="22"/>
              <w:bidi w:val="0"/>
              <w:rPr>
                <w:rFonts w:hint="default"/>
                <w:color w:val="auto"/>
                <w:highlight w:val="none"/>
              </w:rPr>
            </w:pPr>
            <w:r>
              <w:rPr>
                <w:rFonts w:hint="default"/>
                <w:color w:val="auto"/>
                <w:highlight w:val="none"/>
              </w:rPr>
              <w:t>27～76</w:t>
            </w:r>
          </w:p>
        </w:tc>
        <w:tc>
          <w:tcPr>
            <w:tcW w:w="1176" w:type="dxa"/>
            <w:noWrap w:val="0"/>
            <w:vAlign w:val="center"/>
          </w:tcPr>
          <w:p>
            <w:pPr>
              <w:pStyle w:val="22"/>
              <w:bidi w:val="0"/>
              <w:rPr>
                <w:rFonts w:hint="default"/>
                <w:color w:val="auto"/>
                <w:highlight w:val="none"/>
              </w:rPr>
            </w:pPr>
            <w:r>
              <w:rPr>
                <w:rFonts w:hint="default"/>
                <w:color w:val="auto"/>
                <w:highlight w:val="none"/>
              </w:rPr>
              <w:t>18～76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地面高程</w:t>
            </w:r>
          </w:p>
        </w:tc>
        <w:tc>
          <w:tcPr>
            <w:tcW w:w="844" w:type="dxa"/>
            <w:noWrap w:val="0"/>
            <w:vAlign w:val="center"/>
          </w:tcPr>
          <w:p>
            <w:pPr>
              <w:pStyle w:val="22"/>
              <w:bidi w:val="0"/>
              <w:rPr>
                <w:rFonts w:hint="default"/>
                <w:color w:val="auto"/>
                <w:highlight w:val="none"/>
              </w:rPr>
            </w:pPr>
            <w:r>
              <w:rPr>
                <w:rFonts w:hint="default"/>
                <w:color w:val="auto"/>
                <w:highlight w:val="none"/>
              </w:rPr>
              <w:t>m</w:t>
            </w:r>
          </w:p>
        </w:tc>
        <w:tc>
          <w:tcPr>
            <w:tcW w:w="2051" w:type="dxa"/>
            <w:noWrap w:val="0"/>
            <w:vAlign w:val="center"/>
          </w:tcPr>
          <w:p>
            <w:pPr>
              <w:pStyle w:val="22"/>
              <w:bidi w:val="0"/>
              <w:rPr>
                <w:rFonts w:hint="default"/>
                <w:color w:val="auto"/>
                <w:highlight w:val="none"/>
              </w:rPr>
            </w:pPr>
            <w:r>
              <w:rPr>
                <w:rFonts w:hint="default"/>
                <w:color w:val="auto"/>
                <w:highlight w:val="none"/>
              </w:rPr>
              <w:t>+290～+1196.2</w:t>
            </w:r>
          </w:p>
        </w:tc>
        <w:tc>
          <w:tcPr>
            <w:tcW w:w="1900" w:type="dxa"/>
            <w:noWrap w:val="0"/>
            <w:vAlign w:val="center"/>
          </w:tcPr>
          <w:p>
            <w:pPr>
              <w:pStyle w:val="22"/>
              <w:bidi w:val="0"/>
              <w:rPr>
                <w:rFonts w:hint="default"/>
                <w:color w:val="auto"/>
                <w:highlight w:val="none"/>
              </w:rPr>
            </w:pPr>
            <w:r>
              <w:rPr>
                <w:rFonts w:hint="default"/>
                <w:color w:val="auto"/>
                <w:highlight w:val="none"/>
              </w:rPr>
              <w:t>+332～+955.2</w:t>
            </w:r>
          </w:p>
        </w:tc>
        <w:tc>
          <w:tcPr>
            <w:tcW w:w="1176" w:type="dxa"/>
            <w:noWrap w:val="0"/>
            <w:vAlign w:val="center"/>
          </w:tcPr>
          <w:p>
            <w:pPr>
              <w:pStyle w:val="22"/>
              <w:bidi w:val="0"/>
              <w:rPr>
                <w:rFonts w:hint="default"/>
                <w:color w:val="auto"/>
                <w:highlight w:val="none"/>
              </w:rPr>
            </w:pPr>
            <w:r>
              <w:rPr>
                <w:rFonts w:hint="default"/>
                <w:color w:val="auto"/>
                <w:highlight w:val="none"/>
              </w:rPr>
              <w:t>+290～+1196.2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矿区面积</w:t>
            </w:r>
          </w:p>
        </w:tc>
        <w:tc>
          <w:tcPr>
            <w:tcW w:w="844" w:type="dxa"/>
            <w:noWrap w:val="0"/>
            <w:vAlign w:val="center"/>
          </w:tcPr>
          <w:p>
            <w:pPr>
              <w:pStyle w:val="22"/>
              <w:bidi w:val="0"/>
              <w:rPr>
                <w:rFonts w:hint="default"/>
                <w:color w:val="auto"/>
                <w:highlight w:val="none"/>
              </w:rPr>
            </w:pPr>
            <w:r>
              <w:rPr>
                <w:rFonts w:hint="default"/>
                <w:color w:val="auto"/>
                <w:highlight w:val="none"/>
              </w:rPr>
              <w:t>km</w:t>
            </w:r>
            <w:r>
              <w:rPr>
                <w:rFonts w:hint="default"/>
                <w:color w:val="auto"/>
                <w:highlight w:val="none"/>
                <w:vertAlign w:val="superscript"/>
              </w:rPr>
              <w:t>2</w:t>
            </w:r>
          </w:p>
        </w:tc>
        <w:tc>
          <w:tcPr>
            <w:tcW w:w="2051" w:type="dxa"/>
            <w:noWrap w:val="0"/>
            <w:vAlign w:val="center"/>
          </w:tcPr>
          <w:p>
            <w:pPr>
              <w:pStyle w:val="22"/>
              <w:bidi w:val="0"/>
              <w:rPr>
                <w:rFonts w:hint="default"/>
                <w:color w:val="auto"/>
                <w:highlight w:val="none"/>
              </w:rPr>
            </w:pPr>
            <w:r>
              <w:rPr>
                <w:rFonts w:hint="default"/>
                <w:color w:val="auto"/>
                <w:highlight w:val="none"/>
              </w:rPr>
              <w:t>57.8866</w:t>
            </w:r>
          </w:p>
        </w:tc>
        <w:tc>
          <w:tcPr>
            <w:tcW w:w="1900" w:type="dxa"/>
            <w:noWrap w:val="0"/>
            <w:vAlign w:val="center"/>
          </w:tcPr>
          <w:p>
            <w:pPr>
              <w:pStyle w:val="22"/>
              <w:bidi w:val="0"/>
              <w:rPr>
                <w:rFonts w:hint="default"/>
                <w:color w:val="auto"/>
                <w:highlight w:val="none"/>
              </w:rPr>
            </w:pPr>
            <w:r>
              <w:rPr>
                <w:rFonts w:hint="default"/>
                <w:color w:val="auto"/>
                <w:highlight w:val="none"/>
              </w:rPr>
              <w:t>90.2762</w:t>
            </w:r>
          </w:p>
        </w:tc>
        <w:tc>
          <w:tcPr>
            <w:tcW w:w="1176" w:type="dxa"/>
            <w:noWrap w:val="0"/>
            <w:vAlign w:val="center"/>
          </w:tcPr>
          <w:p>
            <w:pPr>
              <w:pStyle w:val="22"/>
              <w:bidi w:val="0"/>
              <w:rPr>
                <w:rFonts w:hint="default"/>
                <w:color w:val="auto"/>
                <w:highlight w:val="none"/>
              </w:rPr>
            </w:pPr>
            <w:r>
              <w:rPr>
                <w:rFonts w:hint="default"/>
                <w:color w:val="auto"/>
                <w:highlight w:val="none"/>
              </w:rPr>
              <w:t>148.1628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资源量</w:t>
            </w:r>
          </w:p>
        </w:tc>
        <w:tc>
          <w:tcPr>
            <w:tcW w:w="844" w:type="dxa"/>
            <w:noWrap w:val="0"/>
            <w:vAlign w:val="center"/>
          </w:tcPr>
          <w:p>
            <w:pPr>
              <w:pStyle w:val="22"/>
              <w:bidi w:val="0"/>
              <w:rPr>
                <w:rFonts w:hint="default"/>
                <w:color w:val="auto"/>
                <w:highlight w:val="none"/>
              </w:rPr>
            </w:pPr>
            <w:r>
              <w:rPr>
                <w:rFonts w:hint="default"/>
                <w:color w:val="auto"/>
                <w:highlight w:val="none"/>
              </w:rPr>
              <w:t>万吨</w:t>
            </w:r>
          </w:p>
        </w:tc>
        <w:tc>
          <w:tcPr>
            <w:tcW w:w="2051" w:type="dxa"/>
            <w:noWrap w:val="0"/>
            <w:vAlign w:val="center"/>
          </w:tcPr>
          <w:p>
            <w:pPr>
              <w:pStyle w:val="22"/>
              <w:bidi w:val="0"/>
              <w:rPr>
                <w:rFonts w:hint="default"/>
                <w:color w:val="auto"/>
                <w:highlight w:val="none"/>
              </w:rPr>
            </w:pPr>
            <w:r>
              <w:rPr>
                <w:rFonts w:hint="default"/>
                <w:color w:val="auto"/>
                <w:highlight w:val="none"/>
              </w:rPr>
              <w:t>2410.62</w:t>
            </w:r>
          </w:p>
        </w:tc>
        <w:tc>
          <w:tcPr>
            <w:tcW w:w="1900" w:type="dxa"/>
            <w:noWrap w:val="0"/>
            <w:vAlign w:val="center"/>
          </w:tcPr>
          <w:p>
            <w:pPr>
              <w:pStyle w:val="22"/>
              <w:bidi w:val="0"/>
              <w:rPr>
                <w:rFonts w:hint="default"/>
                <w:color w:val="auto"/>
                <w:highlight w:val="none"/>
              </w:rPr>
            </w:pPr>
            <w:r>
              <w:rPr>
                <w:rFonts w:hint="default"/>
                <w:color w:val="auto"/>
                <w:highlight w:val="none"/>
              </w:rPr>
              <w:t>2695.78</w:t>
            </w:r>
          </w:p>
        </w:tc>
        <w:tc>
          <w:tcPr>
            <w:tcW w:w="1176" w:type="dxa"/>
            <w:noWrap w:val="0"/>
            <w:vAlign w:val="center"/>
          </w:tcPr>
          <w:p>
            <w:pPr>
              <w:pStyle w:val="22"/>
              <w:bidi w:val="0"/>
              <w:rPr>
                <w:rFonts w:hint="default"/>
                <w:color w:val="auto"/>
                <w:highlight w:val="none"/>
              </w:rPr>
            </w:pPr>
            <w:r>
              <w:rPr>
                <w:rFonts w:hint="default"/>
                <w:color w:val="auto"/>
                <w:highlight w:val="none"/>
              </w:rPr>
              <w:t>5106.4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勘查区个数和面积</w:t>
            </w:r>
          </w:p>
        </w:tc>
        <w:tc>
          <w:tcPr>
            <w:tcW w:w="844" w:type="dxa"/>
            <w:noWrap w:val="0"/>
            <w:vAlign w:val="center"/>
          </w:tcPr>
          <w:p>
            <w:pPr>
              <w:pStyle w:val="22"/>
              <w:bidi w:val="0"/>
              <w:rPr>
                <w:rFonts w:hint="default"/>
                <w:color w:val="auto"/>
                <w:highlight w:val="none"/>
              </w:rPr>
            </w:pPr>
            <w:r>
              <w:rPr>
                <w:rFonts w:hint="default"/>
                <w:color w:val="auto"/>
                <w:highlight w:val="none"/>
              </w:rPr>
              <w:t>个、km</w:t>
            </w:r>
            <w:r>
              <w:rPr>
                <w:rFonts w:hint="default"/>
                <w:color w:val="auto"/>
                <w:highlight w:val="none"/>
                <w:vertAlign w:val="superscript"/>
              </w:rPr>
              <w:t>2</w:t>
            </w:r>
          </w:p>
        </w:tc>
        <w:tc>
          <w:tcPr>
            <w:tcW w:w="2051" w:type="dxa"/>
            <w:noWrap w:val="0"/>
            <w:vAlign w:val="center"/>
          </w:tcPr>
          <w:p>
            <w:pPr>
              <w:pStyle w:val="22"/>
              <w:bidi w:val="0"/>
              <w:rPr>
                <w:rFonts w:hint="default"/>
                <w:color w:val="auto"/>
                <w:highlight w:val="none"/>
              </w:rPr>
            </w:pPr>
            <w:r>
              <w:rPr>
                <w:rFonts w:hint="default"/>
                <w:color w:val="auto"/>
                <w:highlight w:val="none"/>
              </w:rPr>
              <w:t>1、12.52</w:t>
            </w:r>
          </w:p>
        </w:tc>
        <w:tc>
          <w:tcPr>
            <w:tcW w:w="1900" w:type="dxa"/>
            <w:noWrap w:val="0"/>
            <w:vAlign w:val="center"/>
          </w:tcPr>
          <w:p>
            <w:pPr>
              <w:pStyle w:val="22"/>
              <w:bidi w:val="0"/>
              <w:rPr>
                <w:rFonts w:hint="default"/>
                <w:color w:val="auto"/>
                <w:highlight w:val="none"/>
              </w:rPr>
            </w:pPr>
            <w:r>
              <w:rPr>
                <w:rFonts w:hint="default"/>
                <w:color w:val="auto"/>
                <w:highlight w:val="none"/>
              </w:rPr>
              <w:t>2、28.5905</w:t>
            </w:r>
          </w:p>
        </w:tc>
        <w:tc>
          <w:tcPr>
            <w:tcW w:w="1176" w:type="dxa"/>
            <w:noWrap w:val="0"/>
            <w:vAlign w:val="center"/>
          </w:tcPr>
          <w:p>
            <w:pPr>
              <w:pStyle w:val="22"/>
              <w:bidi w:val="0"/>
              <w:rPr>
                <w:rFonts w:hint="default"/>
                <w:color w:val="auto"/>
                <w:highlight w:val="none"/>
              </w:rPr>
            </w:pPr>
            <w:r>
              <w:rPr>
                <w:rFonts w:hint="default"/>
                <w:color w:val="auto"/>
                <w:highlight w:val="none"/>
              </w:rPr>
              <w:t>3、41.1105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矿井总生产能力</w:t>
            </w:r>
          </w:p>
        </w:tc>
        <w:tc>
          <w:tcPr>
            <w:tcW w:w="844" w:type="dxa"/>
            <w:noWrap w:val="0"/>
            <w:vAlign w:val="center"/>
          </w:tcPr>
          <w:p>
            <w:pPr>
              <w:pStyle w:val="22"/>
              <w:bidi w:val="0"/>
              <w:rPr>
                <w:rFonts w:hint="default"/>
                <w:color w:val="auto"/>
                <w:highlight w:val="none"/>
              </w:rPr>
            </w:pPr>
            <w:r>
              <w:rPr>
                <w:rFonts w:hint="default"/>
                <w:color w:val="auto"/>
                <w:highlight w:val="none"/>
              </w:rPr>
              <w:t>万吨/年</w:t>
            </w:r>
          </w:p>
        </w:tc>
        <w:tc>
          <w:tcPr>
            <w:tcW w:w="2051" w:type="dxa"/>
            <w:noWrap w:val="0"/>
            <w:vAlign w:val="center"/>
          </w:tcPr>
          <w:p>
            <w:pPr>
              <w:pStyle w:val="22"/>
              <w:bidi w:val="0"/>
              <w:rPr>
                <w:rFonts w:hint="default"/>
                <w:color w:val="auto"/>
                <w:highlight w:val="none"/>
              </w:rPr>
            </w:pPr>
            <w:r>
              <w:rPr>
                <w:rFonts w:hint="default"/>
                <w:color w:val="auto"/>
                <w:highlight w:val="none"/>
              </w:rPr>
              <w:t>165</w:t>
            </w:r>
          </w:p>
        </w:tc>
        <w:tc>
          <w:tcPr>
            <w:tcW w:w="1900" w:type="dxa"/>
            <w:noWrap w:val="0"/>
            <w:vAlign w:val="center"/>
          </w:tcPr>
          <w:p>
            <w:pPr>
              <w:pStyle w:val="22"/>
              <w:bidi w:val="0"/>
              <w:rPr>
                <w:rFonts w:hint="default"/>
                <w:color w:val="auto"/>
                <w:highlight w:val="none"/>
              </w:rPr>
            </w:pPr>
            <w:r>
              <w:rPr>
                <w:rFonts w:hint="default"/>
                <w:color w:val="auto"/>
                <w:highlight w:val="none"/>
              </w:rPr>
              <w:t>225</w:t>
            </w:r>
          </w:p>
        </w:tc>
        <w:tc>
          <w:tcPr>
            <w:tcW w:w="1176" w:type="dxa"/>
            <w:noWrap w:val="0"/>
            <w:vAlign w:val="center"/>
          </w:tcPr>
          <w:p>
            <w:pPr>
              <w:pStyle w:val="22"/>
              <w:bidi w:val="0"/>
              <w:rPr>
                <w:rFonts w:hint="default"/>
                <w:color w:val="auto"/>
                <w:highlight w:val="none"/>
              </w:rPr>
            </w:pPr>
            <w:r>
              <w:rPr>
                <w:rFonts w:hint="default"/>
                <w:color w:val="auto"/>
                <w:highlight w:val="none"/>
              </w:rPr>
              <w:t>390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服务年限</w:t>
            </w:r>
          </w:p>
        </w:tc>
        <w:tc>
          <w:tcPr>
            <w:tcW w:w="844" w:type="dxa"/>
            <w:noWrap w:val="0"/>
            <w:vAlign w:val="center"/>
          </w:tcPr>
          <w:p>
            <w:pPr>
              <w:pStyle w:val="22"/>
              <w:bidi w:val="0"/>
              <w:rPr>
                <w:rFonts w:hint="default"/>
                <w:color w:val="auto"/>
                <w:highlight w:val="none"/>
              </w:rPr>
            </w:pPr>
            <w:r>
              <w:rPr>
                <w:rFonts w:hint="default"/>
                <w:color w:val="auto"/>
                <w:highlight w:val="none"/>
              </w:rPr>
              <w:t>年</w:t>
            </w:r>
          </w:p>
        </w:tc>
        <w:tc>
          <w:tcPr>
            <w:tcW w:w="2051" w:type="dxa"/>
            <w:noWrap w:val="0"/>
            <w:vAlign w:val="center"/>
          </w:tcPr>
          <w:p>
            <w:pPr>
              <w:pStyle w:val="22"/>
              <w:bidi w:val="0"/>
              <w:rPr>
                <w:rFonts w:hint="default"/>
                <w:color w:val="auto"/>
                <w:highlight w:val="none"/>
              </w:rPr>
            </w:pPr>
            <w:r>
              <w:rPr>
                <w:rFonts w:hint="default"/>
                <w:color w:val="auto"/>
                <w:highlight w:val="none"/>
              </w:rPr>
              <w:t>13.3</w:t>
            </w:r>
          </w:p>
        </w:tc>
        <w:tc>
          <w:tcPr>
            <w:tcW w:w="1900" w:type="dxa"/>
            <w:noWrap w:val="0"/>
            <w:vAlign w:val="center"/>
          </w:tcPr>
          <w:p>
            <w:pPr>
              <w:pStyle w:val="22"/>
              <w:bidi w:val="0"/>
              <w:rPr>
                <w:rFonts w:hint="default"/>
                <w:color w:val="auto"/>
                <w:highlight w:val="none"/>
              </w:rPr>
            </w:pPr>
            <w:r>
              <w:rPr>
                <w:rFonts w:hint="default"/>
                <w:color w:val="auto"/>
                <w:highlight w:val="none"/>
              </w:rPr>
              <w:t>9.5</w:t>
            </w:r>
          </w:p>
        </w:tc>
        <w:tc>
          <w:tcPr>
            <w:tcW w:w="1176" w:type="dxa"/>
            <w:noWrap w:val="0"/>
            <w:vAlign w:val="center"/>
          </w:tcPr>
          <w:p>
            <w:pPr>
              <w:pStyle w:val="22"/>
              <w:bidi w:val="0"/>
              <w:rPr>
                <w:rFonts w:hint="default"/>
                <w:color w:val="auto"/>
                <w:highlight w:val="none"/>
              </w:rPr>
            </w:pPr>
            <w:r>
              <w:rPr>
                <w:rFonts w:hint="default"/>
                <w:color w:val="auto"/>
                <w:highlight w:val="none"/>
              </w:rPr>
              <w:t>12.8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矿井数目</w:t>
            </w:r>
          </w:p>
        </w:tc>
        <w:tc>
          <w:tcPr>
            <w:tcW w:w="844" w:type="dxa"/>
            <w:noWrap w:val="0"/>
            <w:vAlign w:val="center"/>
          </w:tcPr>
          <w:p>
            <w:pPr>
              <w:pStyle w:val="22"/>
              <w:bidi w:val="0"/>
              <w:rPr>
                <w:rFonts w:hint="default"/>
                <w:color w:val="auto"/>
                <w:highlight w:val="none"/>
              </w:rPr>
            </w:pPr>
            <w:r>
              <w:rPr>
                <w:rFonts w:hint="default"/>
                <w:color w:val="auto"/>
                <w:highlight w:val="none"/>
              </w:rPr>
              <w:t>个</w:t>
            </w:r>
          </w:p>
        </w:tc>
        <w:tc>
          <w:tcPr>
            <w:tcW w:w="2051" w:type="dxa"/>
            <w:noWrap w:val="0"/>
            <w:vAlign w:val="center"/>
          </w:tcPr>
          <w:p>
            <w:pPr>
              <w:pStyle w:val="22"/>
              <w:bidi w:val="0"/>
              <w:rPr>
                <w:rFonts w:hint="default"/>
                <w:color w:val="auto"/>
                <w:highlight w:val="none"/>
              </w:rPr>
            </w:pPr>
            <w:r>
              <w:rPr>
                <w:rFonts w:hint="default"/>
                <w:color w:val="auto"/>
                <w:highlight w:val="none"/>
              </w:rPr>
              <w:t>6</w:t>
            </w:r>
          </w:p>
        </w:tc>
        <w:tc>
          <w:tcPr>
            <w:tcW w:w="1900" w:type="dxa"/>
            <w:noWrap w:val="0"/>
            <w:vAlign w:val="center"/>
          </w:tcPr>
          <w:p>
            <w:pPr>
              <w:pStyle w:val="22"/>
              <w:bidi w:val="0"/>
              <w:rPr>
                <w:rFonts w:hint="default"/>
                <w:color w:val="auto"/>
                <w:highlight w:val="none"/>
              </w:rPr>
            </w:pPr>
            <w:r>
              <w:rPr>
                <w:rFonts w:hint="default"/>
                <w:color w:val="auto"/>
                <w:highlight w:val="none"/>
              </w:rPr>
              <w:t>8</w:t>
            </w:r>
          </w:p>
        </w:tc>
        <w:tc>
          <w:tcPr>
            <w:tcW w:w="1176" w:type="dxa"/>
            <w:noWrap w:val="0"/>
            <w:vAlign w:val="center"/>
          </w:tcPr>
          <w:p>
            <w:pPr>
              <w:pStyle w:val="22"/>
              <w:bidi w:val="0"/>
              <w:rPr>
                <w:rFonts w:hint="default"/>
                <w:color w:val="auto"/>
                <w:highlight w:val="none"/>
              </w:rPr>
            </w:pPr>
            <w:r>
              <w:rPr>
                <w:rFonts w:hint="default"/>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其中：平硐开拓</w:t>
            </w:r>
          </w:p>
        </w:tc>
        <w:tc>
          <w:tcPr>
            <w:tcW w:w="844" w:type="dxa"/>
            <w:noWrap w:val="0"/>
            <w:vAlign w:val="center"/>
          </w:tcPr>
          <w:p>
            <w:pPr>
              <w:pStyle w:val="22"/>
              <w:bidi w:val="0"/>
              <w:rPr>
                <w:rFonts w:hint="default"/>
                <w:color w:val="auto"/>
                <w:highlight w:val="none"/>
              </w:rPr>
            </w:pPr>
            <w:r>
              <w:rPr>
                <w:rFonts w:hint="default"/>
                <w:color w:val="auto"/>
                <w:highlight w:val="none"/>
              </w:rPr>
              <w:t>个</w:t>
            </w:r>
          </w:p>
        </w:tc>
        <w:tc>
          <w:tcPr>
            <w:tcW w:w="2051" w:type="dxa"/>
            <w:noWrap w:val="0"/>
            <w:vAlign w:val="center"/>
          </w:tcPr>
          <w:p>
            <w:pPr>
              <w:pStyle w:val="22"/>
              <w:bidi w:val="0"/>
              <w:rPr>
                <w:rFonts w:hint="default"/>
                <w:color w:val="auto"/>
                <w:highlight w:val="none"/>
              </w:rPr>
            </w:pPr>
            <w:r>
              <w:rPr>
                <w:rFonts w:hint="default"/>
                <w:color w:val="auto"/>
                <w:highlight w:val="none"/>
              </w:rPr>
              <w:t>1</w:t>
            </w:r>
          </w:p>
        </w:tc>
        <w:tc>
          <w:tcPr>
            <w:tcW w:w="1900" w:type="dxa"/>
            <w:noWrap w:val="0"/>
            <w:vAlign w:val="center"/>
          </w:tcPr>
          <w:p>
            <w:pPr>
              <w:pStyle w:val="22"/>
              <w:bidi w:val="0"/>
              <w:rPr>
                <w:rFonts w:hint="default"/>
                <w:color w:val="auto"/>
                <w:highlight w:val="none"/>
              </w:rPr>
            </w:pPr>
            <w:r>
              <w:rPr>
                <w:rFonts w:hint="default"/>
                <w:color w:val="auto"/>
                <w:highlight w:val="none"/>
              </w:rPr>
              <w:t>2</w:t>
            </w:r>
          </w:p>
        </w:tc>
        <w:tc>
          <w:tcPr>
            <w:tcW w:w="1176" w:type="dxa"/>
            <w:noWrap w:val="0"/>
            <w:vAlign w:val="center"/>
          </w:tcPr>
          <w:p>
            <w:pPr>
              <w:pStyle w:val="22"/>
              <w:bidi w:val="0"/>
              <w:rPr>
                <w:rFonts w:hint="default"/>
                <w:color w:val="auto"/>
                <w:highlight w:val="none"/>
              </w:rPr>
            </w:pPr>
            <w:r>
              <w:rPr>
                <w:rFonts w:hint="default"/>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斜井开拓</w:t>
            </w:r>
          </w:p>
        </w:tc>
        <w:tc>
          <w:tcPr>
            <w:tcW w:w="844" w:type="dxa"/>
            <w:noWrap w:val="0"/>
            <w:vAlign w:val="center"/>
          </w:tcPr>
          <w:p>
            <w:pPr>
              <w:pStyle w:val="22"/>
              <w:bidi w:val="0"/>
              <w:rPr>
                <w:rFonts w:hint="default"/>
                <w:color w:val="auto"/>
                <w:highlight w:val="none"/>
              </w:rPr>
            </w:pPr>
            <w:r>
              <w:rPr>
                <w:rFonts w:hint="default"/>
                <w:color w:val="auto"/>
                <w:highlight w:val="none"/>
              </w:rPr>
              <w:t>个</w:t>
            </w:r>
          </w:p>
        </w:tc>
        <w:tc>
          <w:tcPr>
            <w:tcW w:w="2051" w:type="dxa"/>
            <w:noWrap w:val="0"/>
            <w:vAlign w:val="center"/>
          </w:tcPr>
          <w:p>
            <w:pPr>
              <w:pStyle w:val="22"/>
              <w:bidi w:val="0"/>
              <w:rPr>
                <w:rFonts w:hint="default"/>
                <w:color w:val="auto"/>
                <w:highlight w:val="none"/>
              </w:rPr>
            </w:pPr>
            <w:r>
              <w:rPr>
                <w:rFonts w:hint="default"/>
                <w:color w:val="auto"/>
                <w:highlight w:val="none"/>
              </w:rPr>
              <w:t>3</w:t>
            </w:r>
          </w:p>
        </w:tc>
        <w:tc>
          <w:tcPr>
            <w:tcW w:w="1900" w:type="dxa"/>
            <w:noWrap w:val="0"/>
            <w:vAlign w:val="center"/>
          </w:tcPr>
          <w:p>
            <w:pPr>
              <w:pStyle w:val="22"/>
              <w:bidi w:val="0"/>
              <w:rPr>
                <w:rFonts w:hint="default"/>
                <w:color w:val="auto"/>
                <w:highlight w:val="none"/>
              </w:rPr>
            </w:pPr>
            <w:r>
              <w:rPr>
                <w:rFonts w:hint="default"/>
                <w:color w:val="auto"/>
                <w:highlight w:val="none"/>
              </w:rPr>
              <w:t>1</w:t>
            </w:r>
          </w:p>
        </w:tc>
        <w:tc>
          <w:tcPr>
            <w:tcW w:w="1176" w:type="dxa"/>
            <w:noWrap w:val="0"/>
            <w:vAlign w:val="center"/>
          </w:tcPr>
          <w:p>
            <w:pPr>
              <w:pStyle w:val="22"/>
              <w:bidi w:val="0"/>
              <w:rPr>
                <w:rFonts w:hint="default"/>
                <w:color w:val="auto"/>
                <w:highlight w:val="none"/>
              </w:rPr>
            </w:pPr>
            <w:r>
              <w:rPr>
                <w:rFonts w:hint="default"/>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综合开拓</w:t>
            </w:r>
          </w:p>
        </w:tc>
        <w:tc>
          <w:tcPr>
            <w:tcW w:w="844" w:type="dxa"/>
            <w:noWrap w:val="0"/>
            <w:vAlign w:val="center"/>
          </w:tcPr>
          <w:p>
            <w:pPr>
              <w:pStyle w:val="22"/>
              <w:bidi w:val="0"/>
              <w:rPr>
                <w:rFonts w:hint="default"/>
                <w:color w:val="auto"/>
                <w:highlight w:val="none"/>
              </w:rPr>
            </w:pPr>
            <w:r>
              <w:rPr>
                <w:rFonts w:hint="default"/>
                <w:color w:val="auto"/>
                <w:highlight w:val="none"/>
              </w:rPr>
              <w:t>个</w:t>
            </w:r>
          </w:p>
        </w:tc>
        <w:tc>
          <w:tcPr>
            <w:tcW w:w="2051" w:type="dxa"/>
            <w:noWrap w:val="0"/>
            <w:vAlign w:val="center"/>
          </w:tcPr>
          <w:p>
            <w:pPr>
              <w:pStyle w:val="22"/>
              <w:bidi w:val="0"/>
              <w:rPr>
                <w:rFonts w:hint="default"/>
                <w:color w:val="auto"/>
                <w:highlight w:val="none"/>
              </w:rPr>
            </w:pPr>
            <w:r>
              <w:rPr>
                <w:rFonts w:hint="default"/>
                <w:color w:val="auto"/>
                <w:highlight w:val="none"/>
              </w:rPr>
              <w:t>2</w:t>
            </w:r>
          </w:p>
        </w:tc>
        <w:tc>
          <w:tcPr>
            <w:tcW w:w="1900" w:type="dxa"/>
            <w:noWrap w:val="0"/>
            <w:vAlign w:val="center"/>
          </w:tcPr>
          <w:p>
            <w:pPr>
              <w:pStyle w:val="22"/>
              <w:bidi w:val="0"/>
              <w:rPr>
                <w:rFonts w:hint="default"/>
                <w:color w:val="auto"/>
                <w:highlight w:val="none"/>
              </w:rPr>
            </w:pPr>
            <w:r>
              <w:rPr>
                <w:rFonts w:hint="default"/>
                <w:color w:val="auto"/>
                <w:highlight w:val="none"/>
              </w:rPr>
              <w:t>5</w:t>
            </w:r>
          </w:p>
        </w:tc>
        <w:tc>
          <w:tcPr>
            <w:tcW w:w="1176" w:type="dxa"/>
            <w:noWrap w:val="0"/>
            <w:vAlign w:val="center"/>
          </w:tcPr>
          <w:p>
            <w:pPr>
              <w:pStyle w:val="22"/>
              <w:bidi w:val="0"/>
              <w:rPr>
                <w:rFonts w:hint="default"/>
                <w:color w:val="auto"/>
                <w:highlight w:val="none"/>
              </w:rPr>
            </w:pPr>
            <w:r>
              <w:rPr>
                <w:rFonts w:hint="default"/>
                <w:color w:val="auto"/>
                <w:highlight w:val="none"/>
              </w:rPr>
              <w:t>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选煤厂数目和总生产能力</w:t>
            </w:r>
          </w:p>
        </w:tc>
        <w:tc>
          <w:tcPr>
            <w:tcW w:w="844" w:type="dxa"/>
            <w:noWrap w:val="0"/>
            <w:vAlign w:val="center"/>
          </w:tcPr>
          <w:p>
            <w:pPr>
              <w:pStyle w:val="22"/>
              <w:bidi w:val="0"/>
              <w:rPr>
                <w:rFonts w:hint="default"/>
                <w:color w:val="auto"/>
                <w:highlight w:val="none"/>
              </w:rPr>
            </w:pPr>
            <w:r>
              <w:rPr>
                <w:rFonts w:hint="default"/>
                <w:color w:val="auto"/>
                <w:highlight w:val="none"/>
              </w:rPr>
              <w:t>个、万吨/年</w:t>
            </w:r>
          </w:p>
        </w:tc>
        <w:tc>
          <w:tcPr>
            <w:tcW w:w="2051" w:type="dxa"/>
            <w:noWrap w:val="0"/>
            <w:vAlign w:val="center"/>
          </w:tcPr>
          <w:p>
            <w:pPr>
              <w:pStyle w:val="22"/>
              <w:bidi w:val="0"/>
              <w:rPr>
                <w:rFonts w:hint="default"/>
                <w:color w:val="auto"/>
                <w:highlight w:val="none"/>
              </w:rPr>
            </w:pPr>
            <w:r>
              <w:rPr>
                <w:rFonts w:hint="default"/>
                <w:color w:val="auto"/>
                <w:highlight w:val="none"/>
              </w:rPr>
              <w:t>10、355</w:t>
            </w:r>
          </w:p>
        </w:tc>
        <w:tc>
          <w:tcPr>
            <w:tcW w:w="1900" w:type="dxa"/>
            <w:noWrap w:val="0"/>
            <w:vAlign w:val="center"/>
          </w:tcPr>
          <w:p>
            <w:pPr>
              <w:pStyle w:val="22"/>
              <w:bidi w:val="0"/>
              <w:rPr>
                <w:rFonts w:hint="default"/>
                <w:color w:val="auto"/>
                <w:highlight w:val="none"/>
              </w:rPr>
            </w:pPr>
            <w:r>
              <w:rPr>
                <w:rFonts w:hint="default"/>
                <w:color w:val="auto"/>
                <w:highlight w:val="none"/>
              </w:rPr>
              <w:t>7、147</w:t>
            </w:r>
          </w:p>
        </w:tc>
        <w:tc>
          <w:tcPr>
            <w:tcW w:w="1176" w:type="dxa"/>
            <w:noWrap w:val="0"/>
            <w:vAlign w:val="center"/>
          </w:tcPr>
          <w:p>
            <w:pPr>
              <w:pStyle w:val="22"/>
              <w:bidi w:val="0"/>
              <w:rPr>
                <w:rFonts w:hint="default"/>
                <w:color w:val="auto"/>
                <w:highlight w:val="none"/>
              </w:rPr>
            </w:pPr>
            <w:r>
              <w:rPr>
                <w:rFonts w:hint="default"/>
                <w:color w:val="auto"/>
                <w:highlight w:val="none"/>
              </w:rPr>
              <w:t>17、502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综合最大电力负荷</w:t>
            </w:r>
          </w:p>
        </w:tc>
        <w:tc>
          <w:tcPr>
            <w:tcW w:w="844" w:type="dxa"/>
            <w:noWrap w:val="0"/>
            <w:vAlign w:val="center"/>
          </w:tcPr>
          <w:p>
            <w:pPr>
              <w:pStyle w:val="22"/>
              <w:bidi w:val="0"/>
              <w:rPr>
                <w:rFonts w:hint="default"/>
                <w:color w:val="auto"/>
                <w:highlight w:val="none"/>
              </w:rPr>
            </w:pPr>
            <w:r>
              <w:rPr>
                <w:rFonts w:hint="default"/>
                <w:color w:val="auto"/>
                <w:highlight w:val="none"/>
              </w:rPr>
              <w:t>kW</w:t>
            </w:r>
          </w:p>
        </w:tc>
        <w:tc>
          <w:tcPr>
            <w:tcW w:w="2051" w:type="dxa"/>
            <w:noWrap w:val="0"/>
            <w:vAlign w:val="center"/>
          </w:tcPr>
          <w:p>
            <w:pPr>
              <w:pStyle w:val="22"/>
              <w:bidi w:val="0"/>
              <w:rPr>
                <w:rFonts w:hint="default"/>
                <w:color w:val="auto"/>
                <w:highlight w:val="none"/>
              </w:rPr>
            </w:pPr>
            <w:r>
              <w:rPr>
                <w:rFonts w:hint="default"/>
                <w:color w:val="auto"/>
                <w:highlight w:val="none"/>
              </w:rPr>
              <w:t>10640</w:t>
            </w:r>
          </w:p>
        </w:tc>
        <w:tc>
          <w:tcPr>
            <w:tcW w:w="1900" w:type="dxa"/>
            <w:noWrap w:val="0"/>
            <w:vAlign w:val="center"/>
          </w:tcPr>
          <w:p>
            <w:pPr>
              <w:pStyle w:val="22"/>
              <w:bidi w:val="0"/>
              <w:rPr>
                <w:rFonts w:hint="default"/>
                <w:color w:val="auto"/>
                <w:highlight w:val="none"/>
              </w:rPr>
            </w:pPr>
            <w:r>
              <w:rPr>
                <w:rFonts w:hint="default"/>
                <w:color w:val="auto"/>
                <w:highlight w:val="none"/>
              </w:rPr>
              <w:t>11304</w:t>
            </w:r>
          </w:p>
        </w:tc>
        <w:tc>
          <w:tcPr>
            <w:tcW w:w="1176" w:type="dxa"/>
            <w:noWrap w:val="0"/>
            <w:vAlign w:val="center"/>
          </w:tcPr>
          <w:p>
            <w:pPr>
              <w:pStyle w:val="22"/>
              <w:bidi w:val="0"/>
              <w:rPr>
                <w:rFonts w:hint="default"/>
                <w:color w:val="auto"/>
                <w:highlight w:val="none"/>
              </w:rPr>
            </w:pPr>
            <w:r>
              <w:rPr>
                <w:rFonts w:hint="default"/>
                <w:color w:val="auto"/>
                <w:highlight w:val="none"/>
              </w:rPr>
              <w:t>21944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总用水量</w:t>
            </w:r>
          </w:p>
        </w:tc>
        <w:tc>
          <w:tcPr>
            <w:tcW w:w="844" w:type="dxa"/>
            <w:noWrap w:val="0"/>
            <w:vAlign w:val="center"/>
          </w:tcPr>
          <w:p>
            <w:pPr>
              <w:pStyle w:val="22"/>
              <w:bidi w:val="0"/>
              <w:rPr>
                <w:rFonts w:hint="default"/>
                <w:color w:val="auto"/>
                <w:highlight w:val="none"/>
              </w:rPr>
            </w:pPr>
            <w:r>
              <w:rPr>
                <w:rFonts w:hint="default"/>
                <w:color w:val="auto"/>
                <w:highlight w:val="none"/>
              </w:rPr>
              <w:t>m</w:t>
            </w:r>
            <w:r>
              <w:rPr>
                <w:rFonts w:hint="default"/>
                <w:color w:val="auto"/>
                <w:highlight w:val="none"/>
                <w:vertAlign w:val="superscript"/>
              </w:rPr>
              <w:t>3</w:t>
            </w:r>
            <w:r>
              <w:rPr>
                <w:rFonts w:hint="default"/>
                <w:color w:val="auto"/>
                <w:highlight w:val="none"/>
              </w:rPr>
              <w:t>/d</w:t>
            </w:r>
          </w:p>
        </w:tc>
        <w:tc>
          <w:tcPr>
            <w:tcW w:w="2051" w:type="dxa"/>
            <w:noWrap w:val="0"/>
            <w:vAlign w:val="center"/>
          </w:tcPr>
          <w:p>
            <w:pPr>
              <w:pStyle w:val="22"/>
              <w:bidi w:val="0"/>
              <w:rPr>
                <w:rFonts w:hint="default"/>
                <w:color w:val="auto"/>
                <w:highlight w:val="none"/>
              </w:rPr>
            </w:pPr>
            <w:r>
              <w:rPr>
                <w:rFonts w:hint="default"/>
                <w:color w:val="auto"/>
                <w:highlight w:val="none"/>
              </w:rPr>
              <w:t>4049.9</w:t>
            </w:r>
          </w:p>
        </w:tc>
        <w:tc>
          <w:tcPr>
            <w:tcW w:w="1900" w:type="dxa"/>
            <w:noWrap w:val="0"/>
            <w:vAlign w:val="center"/>
          </w:tcPr>
          <w:p>
            <w:pPr>
              <w:pStyle w:val="22"/>
              <w:bidi w:val="0"/>
              <w:rPr>
                <w:rFonts w:hint="default"/>
                <w:color w:val="auto"/>
                <w:highlight w:val="none"/>
              </w:rPr>
            </w:pPr>
            <w:r>
              <w:rPr>
                <w:rFonts w:hint="default"/>
                <w:color w:val="auto"/>
                <w:highlight w:val="none"/>
              </w:rPr>
              <w:t>5522.9</w:t>
            </w:r>
          </w:p>
        </w:tc>
        <w:tc>
          <w:tcPr>
            <w:tcW w:w="1176" w:type="dxa"/>
            <w:noWrap w:val="0"/>
            <w:vAlign w:val="center"/>
          </w:tcPr>
          <w:p>
            <w:pPr>
              <w:pStyle w:val="22"/>
              <w:bidi w:val="0"/>
              <w:rPr>
                <w:rFonts w:hint="default"/>
                <w:color w:val="auto"/>
                <w:highlight w:val="none"/>
              </w:rPr>
            </w:pPr>
            <w:r>
              <w:rPr>
                <w:rFonts w:hint="default"/>
                <w:color w:val="auto"/>
                <w:highlight w:val="none"/>
              </w:rPr>
              <w:t>9572.8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矿区在籍职工总数</w:t>
            </w:r>
          </w:p>
        </w:tc>
        <w:tc>
          <w:tcPr>
            <w:tcW w:w="844" w:type="dxa"/>
            <w:noWrap w:val="0"/>
            <w:vAlign w:val="center"/>
          </w:tcPr>
          <w:p>
            <w:pPr>
              <w:pStyle w:val="22"/>
              <w:bidi w:val="0"/>
              <w:rPr>
                <w:rFonts w:hint="default"/>
                <w:color w:val="auto"/>
                <w:highlight w:val="none"/>
              </w:rPr>
            </w:pPr>
            <w:r>
              <w:rPr>
                <w:rFonts w:hint="default"/>
                <w:color w:val="auto"/>
                <w:highlight w:val="none"/>
              </w:rPr>
              <w:t>人</w:t>
            </w:r>
          </w:p>
        </w:tc>
        <w:tc>
          <w:tcPr>
            <w:tcW w:w="2051" w:type="dxa"/>
            <w:noWrap w:val="0"/>
            <w:vAlign w:val="center"/>
          </w:tcPr>
          <w:p>
            <w:pPr>
              <w:pStyle w:val="22"/>
              <w:bidi w:val="0"/>
              <w:rPr>
                <w:rFonts w:hint="default"/>
                <w:color w:val="auto"/>
                <w:highlight w:val="none"/>
              </w:rPr>
            </w:pPr>
            <w:r>
              <w:rPr>
                <w:rFonts w:hint="default"/>
                <w:color w:val="auto"/>
                <w:highlight w:val="none"/>
              </w:rPr>
              <w:t>2500</w:t>
            </w:r>
          </w:p>
        </w:tc>
        <w:tc>
          <w:tcPr>
            <w:tcW w:w="1900" w:type="dxa"/>
            <w:noWrap w:val="0"/>
            <w:vAlign w:val="center"/>
          </w:tcPr>
          <w:p>
            <w:pPr>
              <w:pStyle w:val="22"/>
              <w:bidi w:val="0"/>
              <w:rPr>
                <w:rFonts w:hint="default"/>
                <w:color w:val="auto"/>
                <w:highlight w:val="none"/>
              </w:rPr>
            </w:pPr>
            <w:r>
              <w:rPr>
                <w:rFonts w:hint="default"/>
                <w:color w:val="auto"/>
                <w:highlight w:val="none"/>
              </w:rPr>
              <w:t>3200</w:t>
            </w:r>
          </w:p>
        </w:tc>
        <w:tc>
          <w:tcPr>
            <w:tcW w:w="1176" w:type="dxa"/>
            <w:noWrap w:val="0"/>
            <w:vAlign w:val="center"/>
          </w:tcPr>
          <w:p>
            <w:pPr>
              <w:pStyle w:val="22"/>
              <w:bidi w:val="0"/>
              <w:rPr>
                <w:rFonts w:hint="default"/>
                <w:color w:val="auto"/>
                <w:highlight w:val="none"/>
              </w:rPr>
            </w:pPr>
            <w:r>
              <w:rPr>
                <w:rFonts w:hint="default"/>
                <w:color w:val="auto"/>
                <w:highlight w:val="none"/>
              </w:rPr>
              <w:t>5700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煤矿在籍职工总数</w:t>
            </w:r>
          </w:p>
        </w:tc>
        <w:tc>
          <w:tcPr>
            <w:tcW w:w="844" w:type="dxa"/>
            <w:noWrap w:val="0"/>
            <w:vAlign w:val="center"/>
          </w:tcPr>
          <w:p>
            <w:pPr>
              <w:pStyle w:val="22"/>
              <w:bidi w:val="0"/>
              <w:rPr>
                <w:rFonts w:hint="default"/>
                <w:color w:val="auto"/>
                <w:highlight w:val="none"/>
              </w:rPr>
            </w:pPr>
            <w:r>
              <w:rPr>
                <w:rFonts w:hint="default"/>
                <w:color w:val="auto"/>
                <w:highlight w:val="none"/>
              </w:rPr>
              <w:t>人</w:t>
            </w:r>
          </w:p>
        </w:tc>
        <w:tc>
          <w:tcPr>
            <w:tcW w:w="2051" w:type="dxa"/>
            <w:noWrap w:val="0"/>
            <w:vAlign w:val="center"/>
          </w:tcPr>
          <w:p>
            <w:pPr>
              <w:pStyle w:val="22"/>
              <w:bidi w:val="0"/>
              <w:rPr>
                <w:rFonts w:hint="default"/>
                <w:color w:val="auto"/>
                <w:highlight w:val="none"/>
              </w:rPr>
            </w:pPr>
            <w:r>
              <w:rPr>
                <w:rFonts w:hint="default"/>
                <w:color w:val="auto"/>
                <w:highlight w:val="none"/>
              </w:rPr>
              <w:t>2135</w:t>
            </w:r>
          </w:p>
        </w:tc>
        <w:tc>
          <w:tcPr>
            <w:tcW w:w="1900" w:type="dxa"/>
            <w:noWrap w:val="0"/>
            <w:vAlign w:val="center"/>
          </w:tcPr>
          <w:p>
            <w:pPr>
              <w:pStyle w:val="22"/>
              <w:bidi w:val="0"/>
              <w:rPr>
                <w:rFonts w:hint="default"/>
                <w:color w:val="auto"/>
                <w:highlight w:val="none"/>
              </w:rPr>
            </w:pPr>
            <w:r>
              <w:rPr>
                <w:rFonts w:hint="default"/>
                <w:color w:val="auto"/>
                <w:highlight w:val="none"/>
              </w:rPr>
              <w:t>3037</w:t>
            </w:r>
          </w:p>
        </w:tc>
        <w:tc>
          <w:tcPr>
            <w:tcW w:w="1176" w:type="dxa"/>
            <w:noWrap w:val="0"/>
            <w:vAlign w:val="center"/>
          </w:tcPr>
          <w:p>
            <w:pPr>
              <w:pStyle w:val="22"/>
              <w:bidi w:val="0"/>
              <w:rPr>
                <w:rFonts w:hint="default"/>
                <w:color w:val="auto"/>
                <w:highlight w:val="none"/>
              </w:rPr>
            </w:pPr>
            <w:r>
              <w:rPr>
                <w:rFonts w:hint="default"/>
                <w:color w:val="auto"/>
                <w:highlight w:val="none"/>
              </w:rPr>
              <w:t>5172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选煤厂在籍职工总数</w:t>
            </w:r>
          </w:p>
        </w:tc>
        <w:tc>
          <w:tcPr>
            <w:tcW w:w="844" w:type="dxa"/>
            <w:noWrap w:val="0"/>
            <w:vAlign w:val="center"/>
          </w:tcPr>
          <w:p>
            <w:pPr>
              <w:pStyle w:val="22"/>
              <w:bidi w:val="0"/>
              <w:rPr>
                <w:rFonts w:hint="default"/>
                <w:color w:val="auto"/>
                <w:highlight w:val="none"/>
              </w:rPr>
            </w:pPr>
            <w:r>
              <w:rPr>
                <w:rFonts w:hint="default"/>
                <w:color w:val="auto"/>
                <w:highlight w:val="none"/>
              </w:rPr>
              <w:t>人</w:t>
            </w:r>
          </w:p>
        </w:tc>
        <w:tc>
          <w:tcPr>
            <w:tcW w:w="2051" w:type="dxa"/>
            <w:noWrap w:val="0"/>
            <w:vAlign w:val="center"/>
          </w:tcPr>
          <w:p>
            <w:pPr>
              <w:pStyle w:val="22"/>
              <w:bidi w:val="0"/>
              <w:rPr>
                <w:rFonts w:hint="default"/>
                <w:color w:val="auto"/>
                <w:highlight w:val="none"/>
              </w:rPr>
            </w:pPr>
            <w:r>
              <w:rPr>
                <w:rFonts w:hint="default"/>
                <w:color w:val="auto"/>
                <w:highlight w:val="none"/>
              </w:rPr>
              <w:t>365</w:t>
            </w:r>
          </w:p>
        </w:tc>
        <w:tc>
          <w:tcPr>
            <w:tcW w:w="1900" w:type="dxa"/>
            <w:noWrap w:val="0"/>
            <w:vAlign w:val="center"/>
          </w:tcPr>
          <w:p>
            <w:pPr>
              <w:pStyle w:val="22"/>
              <w:bidi w:val="0"/>
              <w:rPr>
                <w:rFonts w:hint="default"/>
                <w:color w:val="auto"/>
                <w:highlight w:val="none"/>
              </w:rPr>
            </w:pPr>
            <w:r>
              <w:rPr>
                <w:rFonts w:hint="default"/>
                <w:color w:val="auto"/>
                <w:highlight w:val="none"/>
              </w:rPr>
              <w:t>163</w:t>
            </w:r>
          </w:p>
        </w:tc>
        <w:tc>
          <w:tcPr>
            <w:tcW w:w="1176" w:type="dxa"/>
            <w:noWrap w:val="0"/>
            <w:vAlign w:val="center"/>
          </w:tcPr>
          <w:p>
            <w:pPr>
              <w:pStyle w:val="22"/>
              <w:bidi w:val="0"/>
              <w:rPr>
                <w:rFonts w:hint="default"/>
                <w:color w:val="auto"/>
                <w:highlight w:val="none"/>
              </w:rPr>
            </w:pPr>
            <w:r>
              <w:rPr>
                <w:rFonts w:hint="default"/>
                <w:color w:val="auto"/>
                <w:highlight w:val="none"/>
              </w:rPr>
              <w:t>528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煤矿全员效率</w:t>
            </w:r>
          </w:p>
        </w:tc>
        <w:tc>
          <w:tcPr>
            <w:tcW w:w="844" w:type="dxa"/>
            <w:noWrap w:val="0"/>
            <w:vAlign w:val="center"/>
          </w:tcPr>
          <w:p>
            <w:pPr>
              <w:pStyle w:val="22"/>
              <w:bidi w:val="0"/>
              <w:rPr>
                <w:rFonts w:hint="default"/>
                <w:color w:val="auto"/>
                <w:highlight w:val="none"/>
              </w:rPr>
            </w:pPr>
            <w:r>
              <w:rPr>
                <w:rFonts w:hint="default"/>
                <w:color w:val="auto"/>
                <w:highlight w:val="none"/>
              </w:rPr>
              <w:t>t/工日</w:t>
            </w:r>
          </w:p>
        </w:tc>
        <w:tc>
          <w:tcPr>
            <w:tcW w:w="2051" w:type="dxa"/>
            <w:noWrap w:val="0"/>
            <w:vAlign w:val="center"/>
          </w:tcPr>
          <w:p>
            <w:pPr>
              <w:pStyle w:val="22"/>
              <w:bidi w:val="0"/>
              <w:rPr>
                <w:rFonts w:hint="default"/>
                <w:color w:val="auto"/>
                <w:highlight w:val="none"/>
              </w:rPr>
            </w:pPr>
            <w:r>
              <w:rPr>
                <w:rFonts w:hint="default"/>
                <w:color w:val="auto"/>
                <w:highlight w:val="none"/>
              </w:rPr>
              <w:t>3.2</w:t>
            </w:r>
          </w:p>
        </w:tc>
        <w:tc>
          <w:tcPr>
            <w:tcW w:w="1900" w:type="dxa"/>
            <w:noWrap w:val="0"/>
            <w:vAlign w:val="center"/>
          </w:tcPr>
          <w:p>
            <w:pPr>
              <w:pStyle w:val="22"/>
              <w:bidi w:val="0"/>
              <w:rPr>
                <w:rFonts w:hint="default"/>
                <w:color w:val="auto"/>
                <w:highlight w:val="none"/>
              </w:rPr>
            </w:pPr>
            <w:r>
              <w:rPr>
                <w:rFonts w:hint="default"/>
                <w:color w:val="auto"/>
                <w:highlight w:val="none"/>
              </w:rPr>
              <w:t>3.2</w:t>
            </w:r>
          </w:p>
        </w:tc>
        <w:tc>
          <w:tcPr>
            <w:tcW w:w="1176" w:type="dxa"/>
            <w:noWrap w:val="0"/>
            <w:vAlign w:val="center"/>
          </w:tcPr>
          <w:p>
            <w:pPr>
              <w:pStyle w:val="22"/>
              <w:bidi w:val="0"/>
              <w:rPr>
                <w:rFonts w:hint="default"/>
                <w:color w:val="auto"/>
                <w:highlight w:val="none"/>
              </w:rPr>
            </w:pPr>
            <w:r>
              <w:rPr>
                <w:rFonts w:hint="default"/>
                <w:color w:val="auto"/>
                <w:highlight w:val="none"/>
              </w:rPr>
              <w:t>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06" w:type="dxa"/>
            <w:noWrap w:val="0"/>
            <w:vAlign w:val="center"/>
          </w:tcPr>
          <w:p>
            <w:pPr>
              <w:pStyle w:val="22"/>
              <w:bidi w:val="0"/>
              <w:rPr>
                <w:rFonts w:hint="default"/>
                <w:color w:val="auto"/>
                <w:highlight w:val="none"/>
              </w:rPr>
            </w:pPr>
          </w:p>
        </w:tc>
        <w:tc>
          <w:tcPr>
            <w:tcW w:w="1860" w:type="dxa"/>
            <w:noWrap w:val="0"/>
            <w:vAlign w:val="center"/>
          </w:tcPr>
          <w:p>
            <w:pPr>
              <w:pStyle w:val="22"/>
              <w:bidi w:val="0"/>
              <w:rPr>
                <w:rFonts w:hint="default"/>
                <w:color w:val="auto"/>
                <w:highlight w:val="none"/>
              </w:rPr>
            </w:pPr>
            <w:r>
              <w:rPr>
                <w:rFonts w:hint="default"/>
                <w:color w:val="auto"/>
                <w:highlight w:val="none"/>
              </w:rPr>
              <w:t>建设总投资</w:t>
            </w:r>
          </w:p>
        </w:tc>
        <w:tc>
          <w:tcPr>
            <w:tcW w:w="844" w:type="dxa"/>
            <w:noWrap w:val="0"/>
            <w:vAlign w:val="center"/>
          </w:tcPr>
          <w:p>
            <w:pPr>
              <w:pStyle w:val="22"/>
              <w:bidi w:val="0"/>
              <w:rPr>
                <w:rFonts w:hint="default"/>
                <w:color w:val="auto"/>
                <w:highlight w:val="none"/>
              </w:rPr>
            </w:pPr>
            <w:r>
              <w:rPr>
                <w:rFonts w:hint="default"/>
                <w:color w:val="auto"/>
                <w:highlight w:val="none"/>
              </w:rPr>
              <w:t>万元</w:t>
            </w:r>
          </w:p>
        </w:tc>
        <w:tc>
          <w:tcPr>
            <w:tcW w:w="2051" w:type="dxa"/>
            <w:noWrap w:val="0"/>
            <w:vAlign w:val="center"/>
          </w:tcPr>
          <w:p>
            <w:pPr>
              <w:pStyle w:val="22"/>
              <w:bidi w:val="0"/>
              <w:rPr>
                <w:rFonts w:hint="default"/>
                <w:color w:val="auto"/>
                <w:highlight w:val="none"/>
              </w:rPr>
            </w:pPr>
            <w:r>
              <w:rPr>
                <w:rFonts w:hint="default"/>
                <w:color w:val="auto"/>
                <w:highlight w:val="none"/>
              </w:rPr>
              <w:t>17761.34</w:t>
            </w:r>
          </w:p>
        </w:tc>
        <w:tc>
          <w:tcPr>
            <w:tcW w:w="1900" w:type="dxa"/>
            <w:noWrap w:val="0"/>
            <w:vAlign w:val="center"/>
          </w:tcPr>
          <w:p>
            <w:pPr>
              <w:pStyle w:val="22"/>
              <w:bidi w:val="0"/>
              <w:rPr>
                <w:rFonts w:hint="default"/>
                <w:color w:val="auto"/>
                <w:highlight w:val="none"/>
              </w:rPr>
            </w:pPr>
            <w:r>
              <w:rPr>
                <w:rFonts w:hint="default"/>
                <w:color w:val="auto"/>
                <w:highlight w:val="none"/>
              </w:rPr>
              <w:t>45267.62</w:t>
            </w:r>
          </w:p>
        </w:tc>
        <w:tc>
          <w:tcPr>
            <w:tcW w:w="1176" w:type="dxa"/>
            <w:noWrap w:val="0"/>
            <w:vAlign w:val="center"/>
          </w:tcPr>
          <w:p>
            <w:pPr>
              <w:pStyle w:val="22"/>
              <w:bidi w:val="0"/>
              <w:rPr>
                <w:rFonts w:hint="default"/>
                <w:color w:val="auto"/>
                <w:highlight w:val="none"/>
              </w:rPr>
            </w:pPr>
            <w:r>
              <w:rPr>
                <w:rFonts w:hint="default"/>
                <w:color w:val="auto"/>
                <w:highlight w:val="none"/>
              </w:rPr>
              <w:t>63028.96</w:t>
            </w:r>
          </w:p>
        </w:tc>
      </w:tr>
    </w:tbl>
    <w:p>
      <w:pPr>
        <w:pStyle w:val="5"/>
        <w:bidi w:val="0"/>
        <w:rPr>
          <w:rFonts w:hint="eastAsia"/>
          <w:color w:val="auto"/>
          <w:highlight w:val="none"/>
          <w:lang w:val="en-US" w:eastAsia="zh-CN"/>
        </w:rPr>
      </w:pPr>
      <w:bookmarkStart w:id="136" w:name="_Toc8794"/>
      <w:bookmarkStart w:id="137" w:name="_Toc27800"/>
      <w:r>
        <w:rPr>
          <w:rFonts w:hint="eastAsia"/>
          <w:color w:val="auto"/>
          <w:highlight w:val="none"/>
          <w:lang w:val="en-US" w:eastAsia="zh-CN"/>
        </w:rPr>
        <w:t>2.2 规划方案的内部协调性及存在的问题</w:t>
      </w:r>
      <w:bookmarkEnd w:id="136"/>
      <w:bookmarkEnd w:id="137"/>
    </w:p>
    <w:p>
      <w:pPr>
        <w:pStyle w:val="6"/>
        <w:bidi w:val="0"/>
        <w:rPr>
          <w:rFonts w:hint="eastAsia"/>
          <w:color w:val="auto"/>
          <w:highlight w:val="none"/>
          <w:lang w:val="en-US" w:eastAsia="zh-CN"/>
        </w:rPr>
      </w:pPr>
      <w:bookmarkStart w:id="138" w:name="_Toc25550"/>
      <w:bookmarkStart w:id="139" w:name="_Toc3271"/>
      <w:r>
        <w:rPr>
          <w:rFonts w:hint="eastAsia"/>
          <w:color w:val="auto"/>
          <w:highlight w:val="none"/>
          <w:lang w:val="en-US" w:eastAsia="zh-CN"/>
        </w:rPr>
        <w:t>2.2.1 规划方案的内部协调性</w:t>
      </w:r>
      <w:bookmarkEnd w:id="138"/>
      <w:bookmarkEnd w:id="139"/>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矿区总共划分为华蓥山北段矿区和中山明月峡矿区，其中华蓥山北段矿区设置新桥红星煤矿、大河沟煤矿、大硐坪煤矿、田坝煤矿、黑滩煤矿和柏林煤矿共6个采矿权，以及1个探矿权（柏林煤矿、田坝煤矿、黑滩煤矿和柏林煤矿延深勘探）。中山明月峡矿区设置荣华煤矿、堡子煤矿、华家沟煤矿、孔家沟煤矿、刘家沟联合煤矿、牛郎沟煤矿、平桥煤矿、观音煤矿共计8个采矿权，以及2个探矿权（即荣华煤矿、堡子煤矿和堡子煤矿延伸勘探，城门洞矿段勘探）。对于矿区而言，规划方案的内部协调性主要分析矿区内部采煤与选煤、采煤与运煤、生产区、辅助与生活区、供电与用电、供暖与用暖、供水与用水以及副产品与综合利用等在规模、能力和建设时序上是否协调一致，是否出现配套环节的空缺或需要中转场地等。分析结果见表2.2.1-1。</w:t>
      </w:r>
    </w:p>
    <w:p>
      <w:pPr>
        <w:pStyle w:val="22"/>
        <w:bidi w:val="0"/>
        <w:rPr>
          <w:rFonts w:hint="default"/>
          <w:color w:val="auto"/>
          <w:highlight w:val="none"/>
          <w:lang w:val="en-US" w:eastAsia="zh-CN"/>
        </w:rPr>
      </w:pPr>
      <w:r>
        <w:rPr>
          <w:rFonts w:hint="default"/>
          <w:color w:val="auto"/>
          <w:highlight w:val="none"/>
          <w:lang w:val="en-US" w:eastAsia="zh-CN"/>
        </w:rPr>
        <w:t>表2.2.1-1 规划方案内部协调性分析结果表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项目</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规模</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能力</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煤炭采选</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矿区地面总布置</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供电与用电</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水资源综合利用</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矸石综合利用</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污染防治</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生态环境保护</w:t>
            </w:r>
          </w:p>
        </w:tc>
        <w:tc>
          <w:tcPr>
            <w:tcW w:w="2130"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c>
          <w:tcPr>
            <w:tcW w:w="2131" w:type="dxa"/>
            <w:noWrap w:val="0"/>
            <w:vAlign w:val="center"/>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pStyle w:val="22"/>
              <w:bidi w:val="0"/>
              <w:rPr>
                <w:rFonts w:hint="eastAsia"/>
                <w:color w:val="auto"/>
                <w:highlight w:val="none"/>
                <w:lang w:val="en-US" w:eastAsia="zh-CN"/>
              </w:rPr>
            </w:pPr>
            <w:r>
              <w:rPr>
                <w:rFonts w:hint="eastAsia"/>
                <w:color w:val="auto"/>
                <w:highlight w:val="none"/>
                <w:lang w:val="en-US" w:eastAsia="zh-CN"/>
              </w:rPr>
              <w:t>备注：“+”表示协调，“-”表示不协调</w:t>
            </w:r>
          </w:p>
        </w:tc>
      </w:tr>
    </w:tbl>
    <w:p>
      <w:pPr>
        <w:bidi w:val="0"/>
        <w:rPr>
          <w:rFonts w:hint="eastAsia"/>
          <w:color w:val="auto"/>
          <w:highlight w:val="none"/>
          <w:lang w:val="en-US" w:eastAsia="zh-CN"/>
        </w:rPr>
      </w:pPr>
      <w:r>
        <w:rPr>
          <w:rFonts w:hint="eastAsia"/>
          <w:color w:val="auto"/>
          <w:highlight w:val="none"/>
          <w:lang w:val="en-US" w:eastAsia="zh-CN"/>
        </w:rPr>
        <w:t>1、煤炭采选</w:t>
      </w:r>
    </w:p>
    <w:p>
      <w:pPr>
        <w:pStyle w:val="16"/>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矿区共规划14个采矿权，</w:t>
      </w:r>
      <w:r>
        <w:rPr>
          <w:rFonts w:hint="default" w:ascii="Times New Roman" w:hAnsi="Times New Roman" w:cs="Times New Roman"/>
          <w:color w:val="auto"/>
          <w:sz w:val="24"/>
          <w:szCs w:val="24"/>
          <w:highlight w:val="none"/>
        </w:rPr>
        <w:t>其中华蓥山北段矿区规划设置有6个采矿权，分别为柏林煤矿、大硐坪煤矿、大河沟煤矿、田坝煤矿、黑滩煤矿</w:t>
      </w:r>
      <w:r>
        <w:rPr>
          <w:rFonts w:hint="default" w:ascii="Times New Roman" w:hAnsi="Times New Roman" w:cs="Times New Roman"/>
          <w:color w:val="auto"/>
          <w:spacing w:val="-4"/>
          <w:sz w:val="24"/>
          <w:szCs w:val="24"/>
          <w:highlight w:val="none"/>
        </w:rPr>
        <w:t>和</w:t>
      </w:r>
      <w:r>
        <w:rPr>
          <w:rFonts w:hint="default" w:ascii="Times New Roman" w:hAnsi="Times New Roman" w:cs="Times New Roman"/>
          <w:color w:val="auto"/>
          <w:sz w:val="24"/>
          <w:szCs w:val="24"/>
          <w:highlight w:val="none"/>
        </w:rPr>
        <w:t>新桥红星煤矿，矿区规划生产能力为165万吨/年；中山明月峡矿区规划设置有8个采矿权，分别为堡子煤矿、荣华煤矿、华家沟煤矿、孔家沟煤矿、刘家沟联合煤矿、牛郎沟煤矿、平桥煤矿和观音煤矿，矿区规划生产能力为225万吨/年。大竹县规划生产能力总计为390万吨/年。</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前大竹县共设置有选煤厂17座，总洗选能力达到502万吨/年。其中：四川省鸿光矿业能源发展有限公司选煤厂规模最大，洗选能力达到150万吨/年。另外30万吨/年～100万吨/年洗选能力的4座分别为：周家镇瑞隆选煤厂、柏林镇四川众能煤业有限公司选煤厂、观音镇四川神州矿业开发有限公司选煤厂和大竹县兴隆商贸有限责任公司选煤厂。其余洗选能力小于30万吨/年的选煤厂共12座。另外柏林煤矿生产原煤通过9.5km运煤索道直达达川区渡市选煤厂进行煤炭洗选。</w:t>
      </w:r>
    </w:p>
    <w:p>
      <w:pPr>
        <w:pStyle w:val="1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其地理位置，其华蓥山北段矿区布置10个选煤厂，洗选能力为355万吨/年、中山明月峡矿区布置7个选煤厂，洗选能力为147万吨/年。大竹县境内选煤厂没有严格划分矿区服务，各选煤厂主要负责境内所有煤矿的洗选任务，能满足规划煤矿的洗选任务。</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因此，本次规划煤矿开采与洗选规模相协调。</w:t>
      </w:r>
    </w:p>
    <w:p>
      <w:pPr>
        <w:bidi w:val="0"/>
        <w:rPr>
          <w:rFonts w:hint="default"/>
          <w:color w:val="auto"/>
          <w:highlight w:val="none"/>
          <w:lang w:val="en-US" w:eastAsia="zh-CN"/>
        </w:rPr>
      </w:pPr>
      <w:r>
        <w:rPr>
          <w:rFonts w:hint="eastAsia"/>
          <w:color w:val="auto"/>
          <w:highlight w:val="none"/>
          <w:lang w:val="en-US" w:eastAsia="zh-CN"/>
        </w:rPr>
        <w:t>2、矿区地面布置</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根据地面总布置的指导思想及原则，矿区地面总布置按生产、辅助生产以及行政</w:t>
      </w:r>
      <w:r>
        <w:rPr>
          <w:rFonts w:hint="eastAsia" w:ascii="Times New Roman" w:hAnsi="Times New Roman" w:cs="Times New Roman"/>
          <w:color w:val="auto"/>
          <w:sz w:val="24"/>
          <w:szCs w:val="24"/>
          <w:highlight w:val="none"/>
          <w:lang w:val="en-US" w:eastAsia="zh-CN"/>
        </w:rPr>
        <w:t>生活</w:t>
      </w:r>
      <w:r>
        <w:rPr>
          <w:rFonts w:hint="default" w:ascii="Times New Roman" w:hAnsi="Times New Roman" w:cs="Times New Roman"/>
          <w:color w:val="auto"/>
          <w:sz w:val="24"/>
          <w:szCs w:val="24"/>
          <w:highlight w:val="none"/>
          <w:lang w:val="en-US" w:eastAsia="zh-CN"/>
        </w:rPr>
        <w:t>区三条线进行布置。规划布局做到了从矿区整体出发，全面考虑内部与外部、集中与分散、生产与行政福利区分开，做到内部协调。</w:t>
      </w:r>
    </w:p>
    <w:p>
      <w:pPr>
        <w:bidi w:val="0"/>
        <w:rPr>
          <w:rFonts w:hint="default"/>
          <w:color w:val="auto"/>
          <w:highlight w:val="none"/>
          <w:lang w:val="en-US" w:eastAsia="zh-CN"/>
        </w:rPr>
      </w:pPr>
      <w:r>
        <w:rPr>
          <w:rFonts w:hint="eastAsia"/>
          <w:color w:val="auto"/>
          <w:highlight w:val="none"/>
          <w:lang w:val="en-US" w:eastAsia="zh-CN"/>
        </w:rPr>
        <w:t>3、矿区供电规划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Cs/>
          <w:color w:val="auto"/>
          <w:sz w:val="24"/>
          <w:szCs w:val="24"/>
          <w:highlight w:val="none"/>
          <w:lang w:val="de-DE"/>
        </w:rPr>
        <w:t>根据《大竹县“十四·五”县（区）级电网发展规划》，大竹县“十四·五”期间规划扩建茶园110kV变电站（2×50MVA）、石桥110kV变电站（2×31.5MVA）、童家110kV变电站（2×40MVA）、庙坝110kV变电站（2×31.5MVA）等4座110kV变电站。同时规划建设庙坝—双碑110kV线路就近开断π接入川主220kV变电站，线路长约8km，庙坝侧导线型号为JL/G1A—240，双碑侧导线型号为JL/G1A—400，投运年限：2024年；茶园—双碑110kV线路就近开断π接入川主220kV变电站，线路长约8km，导线型号为JL/G1A—400，投运年限：2024年；乌木—云东110kV线路就近开断π接入川主220kV变电站，线路长约16km，导线型号为JL/G1A—400，投运年限：2024年；川主—庙坝110kV线路1回，线路长约12km，导线型号为JL/G1A—240，投运年限：2025年。这样，大竹县将形成可靠的110kV供电网络，能够满足境内煤炭资源开发所需的电能供应。</w:t>
      </w:r>
    </w:p>
    <w:p>
      <w:pPr>
        <w:bidi w:val="0"/>
        <w:rPr>
          <w:rFonts w:hint="default"/>
          <w:color w:val="auto"/>
          <w:highlight w:val="none"/>
          <w:lang w:val="en-US" w:eastAsia="zh-CN"/>
        </w:rPr>
      </w:pPr>
      <w:r>
        <w:rPr>
          <w:rFonts w:hint="eastAsia"/>
          <w:color w:val="auto"/>
          <w:highlight w:val="none"/>
          <w:lang w:val="en-US" w:eastAsia="zh-CN"/>
        </w:rPr>
        <w:t>4、矿区资源综合利用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从矿区给水水源、排水方案来看，本次规划综合利用井下排水、生活污水。 矿区给排水规划方案明确了规划需水量和水源，给出了中水去向。水资源综合利用是内部协调的。</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从矸石综合利用，矿区规划方案提出矸石用于填充采煤沉陷区等，综合利用率达100%</w:t>
      </w:r>
    </w:p>
    <w:p>
      <w:pPr>
        <w:bidi w:val="0"/>
        <w:rPr>
          <w:rFonts w:hint="default"/>
          <w:color w:val="auto"/>
          <w:highlight w:val="none"/>
          <w:lang w:val="en-US" w:eastAsia="zh-CN"/>
        </w:rPr>
      </w:pPr>
      <w:r>
        <w:rPr>
          <w:rFonts w:hint="eastAsia"/>
          <w:color w:val="auto"/>
          <w:highlight w:val="none"/>
          <w:lang w:val="en-US" w:eastAsia="zh-CN"/>
        </w:rPr>
        <w:t>5、污染防治</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本次规划从大气污染防治、水污染防治、噪声污染防治等方面均进行了较为详尽的设计，储煤场为封闭式，并设置有洒水设施；矸石场为露天式 表面设置有防风抑尘网，并设置有洒水设施，确保大气污染物环境质量达标；水污染防治方面，井下排水、 生活污水分别经处理后资源化综合利用，减少区域的新鲜水消耗量。噪声防治方面，首先从布局上闹静分离，再采取相应的隔声、消声治理措施，确保矿区声环境质量达标。从污染防治上做到了内部协调。</w:t>
      </w:r>
    </w:p>
    <w:p>
      <w:pPr>
        <w:bidi w:val="0"/>
        <w:rPr>
          <w:rFonts w:hint="default"/>
          <w:color w:val="auto"/>
          <w:highlight w:val="none"/>
          <w:lang w:val="en-US" w:eastAsia="zh-CN"/>
        </w:rPr>
      </w:pPr>
      <w:r>
        <w:rPr>
          <w:rFonts w:hint="eastAsia"/>
          <w:color w:val="auto"/>
          <w:highlight w:val="none"/>
          <w:lang w:val="en-US" w:eastAsia="zh-CN"/>
        </w:rPr>
        <w:t>6、生态环境保护</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本次规划提出了生态综合整治的目标，并对塌陷区治理、矿区绿化进行了规划，做到了合理开采煤炭资源的同时，对生态环境进行综合整治，内部协调</w:t>
      </w:r>
      <w:r>
        <w:rPr>
          <w:rFonts w:hint="eastAsia" w:ascii="Times New Roman" w:hAnsi="Times New Roman" w:cs="Times New Roman"/>
          <w:color w:val="auto"/>
          <w:sz w:val="24"/>
          <w:szCs w:val="24"/>
          <w:highlight w:val="none"/>
          <w:lang w:val="en-US" w:eastAsia="zh-CN"/>
        </w:rPr>
        <w:t>。</w:t>
      </w:r>
    </w:p>
    <w:p>
      <w:pPr>
        <w:pStyle w:val="6"/>
        <w:bidi w:val="0"/>
        <w:rPr>
          <w:rFonts w:hint="eastAsia"/>
          <w:color w:val="auto"/>
          <w:highlight w:val="none"/>
          <w:lang w:val="en-US" w:eastAsia="zh-CN"/>
        </w:rPr>
      </w:pPr>
      <w:bookmarkStart w:id="140" w:name="_Toc4711"/>
      <w:bookmarkStart w:id="141" w:name="_Toc11160"/>
      <w:r>
        <w:rPr>
          <w:rFonts w:hint="eastAsia"/>
          <w:color w:val="auto"/>
          <w:highlight w:val="none"/>
          <w:lang w:val="en-US" w:eastAsia="zh-CN"/>
        </w:rPr>
        <w:t>2.2.2 存在的主要问题</w:t>
      </w:r>
      <w:bookmarkEnd w:id="140"/>
      <w:bookmarkEnd w:id="141"/>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本次</w:t>
      </w:r>
      <w:r>
        <w:rPr>
          <w:rFonts w:hint="default" w:ascii="Times New Roman" w:hAnsi="Times New Roman" w:cs="Times New Roman"/>
          <w:color w:val="auto"/>
          <w:sz w:val="24"/>
          <w:szCs w:val="24"/>
          <w:highlight w:val="none"/>
        </w:rPr>
        <w:t>规划从煤炭开采与洗选、外运、地面总体布置、资源综合利用等方面坚持了持续发展的原则，在合理开发煤炭资源的同时，注重对污染的防治、 资源的综合利用。但也存在一些问题。</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矿区范围及其周边分布有大量的</w:t>
      </w:r>
      <w:r>
        <w:rPr>
          <w:rFonts w:hint="eastAsia" w:ascii="Times New Roman" w:hAnsi="Times New Roman" w:cs="Times New Roman"/>
          <w:color w:val="auto"/>
          <w:sz w:val="24"/>
          <w:szCs w:val="24"/>
          <w:highlight w:val="none"/>
          <w:lang w:val="en-US" w:eastAsia="zh-CN"/>
        </w:rPr>
        <w:t>国家二级公益林</w:t>
      </w:r>
      <w:r>
        <w:rPr>
          <w:rFonts w:hint="default" w:ascii="Times New Roman" w:hAnsi="Times New Roman" w:cs="Times New Roman"/>
          <w:color w:val="auto"/>
          <w:sz w:val="24"/>
          <w:szCs w:val="24"/>
          <w:highlight w:val="none"/>
        </w:rPr>
        <w:t>， 生态保护措施缺乏针对性；</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矿区内仅有</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rPr>
        <w:t>对矿井，本次评价按照“生态优先、在保护中开发”的原则， 结合矿区环境保护目标的分布情况，重点评价规划矿区开发带来的环境影响， 并提出矿区开发的环境保护措施及生态恢复措施。</w:t>
      </w:r>
    </w:p>
    <w:p>
      <w:pPr>
        <w:pStyle w:val="5"/>
        <w:bidi w:val="0"/>
        <w:rPr>
          <w:rFonts w:hint="eastAsia"/>
          <w:color w:val="auto"/>
          <w:highlight w:val="none"/>
          <w:lang w:val="en-US" w:eastAsia="zh-CN"/>
        </w:rPr>
      </w:pPr>
      <w:bookmarkStart w:id="142" w:name="_Toc6769"/>
      <w:bookmarkStart w:id="143" w:name="_Toc20728"/>
      <w:r>
        <w:rPr>
          <w:rFonts w:hint="eastAsia"/>
          <w:color w:val="auto"/>
          <w:highlight w:val="none"/>
          <w:lang w:val="en-US" w:eastAsia="zh-CN"/>
        </w:rPr>
        <w:t>2.3 规划方案外部协调性分析</w:t>
      </w:r>
      <w:bookmarkEnd w:id="142"/>
      <w:bookmarkEnd w:id="143"/>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划方案协调性分析包括矿区规划方案与主体功能区划、相关法规、政策以及规划的相符性。具体分析如下：</w:t>
      </w:r>
    </w:p>
    <w:p>
      <w:pPr>
        <w:pStyle w:val="6"/>
        <w:bidi w:val="0"/>
        <w:rPr>
          <w:rFonts w:hint="eastAsia"/>
          <w:color w:val="auto"/>
          <w:highlight w:val="none"/>
          <w:lang w:val="en-US" w:eastAsia="zh-CN"/>
        </w:rPr>
      </w:pPr>
      <w:bookmarkStart w:id="144" w:name="_Toc16577"/>
      <w:bookmarkStart w:id="145" w:name="_Toc7058"/>
      <w:r>
        <w:rPr>
          <w:rFonts w:hint="eastAsia"/>
          <w:color w:val="auto"/>
          <w:highlight w:val="none"/>
          <w:lang w:val="en-US" w:eastAsia="zh-CN"/>
        </w:rPr>
        <w:t>2.3.1 与主体功能区划的符合性</w:t>
      </w:r>
      <w:bookmarkEnd w:id="144"/>
      <w:bookmarkEnd w:id="145"/>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与主体功能区划的符合性分析见表2.3.1-1。</w:t>
      </w:r>
    </w:p>
    <w:p>
      <w:pPr>
        <w:pStyle w:val="6"/>
        <w:bidi w:val="0"/>
        <w:rPr>
          <w:rFonts w:hint="eastAsia"/>
          <w:color w:val="auto"/>
          <w:highlight w:val="none"/>
          <w:lang w:val="en-US" w:eastAsia="zh-CN"/>
        </w:rPr>
      </w:pPr>
      <w:bookmarkStart w:id="146" w:name="_Toc2825"/>
      <w:bookmarkStart w:id="147" w:name="_Toc25781"/>
      <w:r>
        <w:rPr>
          <w:rFonts w:hint="eastAsia"/>
          <w:color w:val="auto"/>
          <w:highlight w:val="none"/>
          <w:lang w:val="en-US" w:eastAsia="zh-CN"/>
        </w:rPr>
        <w:t>2.3.2 与相关规划的符合性</w:t>
      </w:r>
      <w:bookmarkEnd w:id="146"/>
      <w:bookmarkEnd w:id="147"/>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与相关规划的符合性分析见表2.3.2-1。</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sectPr>
          <w:pgSz w:w="11906" w:h="16838"/>
          <w:pgMar w:top="1440" w:right="1800" w:bottom="1440" w:left="1800" w:header="851" w:footer="992" w:gutter="0"/>
          <w:pgNumType w:fmt="decimal"/>
          <w:cols w:space="720" w:num="1"/>
          <w:docGrid w:type="lines" w:linePitch="312" w:charSpace="0"/>
        </w:sect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表2.3.1-1 与主体功能区划的符合性分析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4737"/>
        <w:gridCol w:w="6052"/>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规划名称</w:t>
            </w:r>
          </w:p>
        </w:tc>
        <w:tc>
          <w:tcPr>
            <w:tcW w:w="4737"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相关内容</w:t>
            </w:r>
          </w:p>
        </w:tc>
        <w:tc>
          <w:tcPr>
            <w:tcW w:w="6052"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矿区相关内容</w:t>
            </w:r>
          </w:p>
        </w:tc>
        <w:tc>
          <w:tcPr>
            <w:tcW w:w="135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《全国主体功能区规划》</w:t>
            </w:r>
          </w:p>
        </w:tc>
        <w:tc>
          <w:tcPr>
            <w:tcW w:w="4737"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 能源基地和矿产资源基地的建设布局，要坚持“点上开发、面上保护”的原则。通过点上开发，促进经济发展，提高人民生活水平，为生态环境保护奠定基础，同时达到面上保护目的。</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（2）实行严格的水资源管理制度。根据水资源和水环境承载能力，强化用水需求和用水过程管理， 实现水资源的有序开发、有限开发、有偿开发和高效可持续利用。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 限制开发区域-农产品主产区，产品主产区应着力保护耕地，稳定粮食生产……加强土地整治……控制农产品主产区开发强度，优化开发方式，发展循环农业，促进农业资源的永续利用。</w:t>
            </w:r>
          </w:p>
        </w:tc>
        <w:tc>
          <w:tcPr>
            <w:tcW w:w="6052"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达州市位于我国西部，矿区开发不仅可以加快当地经济发展，也可以带动相关产业的发展， 增加就业，对当地经济发展具有重要意义；规划矿区各煤矿开采与生态综合整治同步进行， 规划提出了具体的矿区生态破坏减缓措施及生态综合整治及水土流失防治目标。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本次规划环评主要区域内地表水源和地下水源做了详细的资源勘探、勘察，对水质、水量进行详细的分析和监测，同时在矿区内各矿井工业场地附近作进一步的地下水水文地质勘探， 能够满足煤矿开采的需求。</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本次规划以土地利用的合理调整为核心，对开采区进行综合治理的基础上，形成的以煤矿为依托、农工商贸综合经营、农业内部结构比例协调、矿区资源（包括“三废”资源） 利用合理、 种植业—养殖业—加工业—商业—服务业全面发展、 具有稳定高效的生产力、 良性循环的农业生态体系。</w:t>
            </w:r>
          </w:p>
        </w:tc>
        <w:tc>
          <w:tcPr>
            <w:tcW w:w="135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全国生态功能区划</w:t>
            </w:r>
          </w:p>
        </w:tc>
        <w:tc>
          <w:tcPr>
            <w:tcW w:w="4737"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 xml:space="preserve">根据全国生态功能区划，达州市属于“生物多样性保护重要区—（29）秦岭—大巴山生物多样性保护与水源涵养重要区”，该区地处我国亚热带与暖温带的过渡带，发育了以北亚热带为基带（南部）和暖温带为基带（北部）的垂直自然带谱，是我国乃至东南亚地区暖温带与北亚热带地区生物多样性最丰富的地区之一，是我国生物多样性重点保护区域。该区位于渭河南岸诸多支流的发源地和嘉陵江、汉江上游丹江水系的主要水源涵养区，是南水北调中线的水源地。 </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 xml:space="preserve">主要生态问题：该区森林质量与水源涵养功能较低，水电、矿产等资源开发的生态破坏较严重，地质灾害威胁严重，野生动植物栖息地质量下降、破碎化加剧，生物多样性受到威胁。 </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 xml:space="preserve">生态保护主要措施：加强已有自然保护区保护和天然林管护力度；对已破坏的生态系统，要结合有关生态建设工程，做好生态恢复与重建工作，增强生态系统水源涵养和土壤保持功能；停止导致生态功能继续退化的开发活动和其他人为破坏活动；严格矿产资源、水电资源开发的监管；控制人口增长，改变粗放生产经营方式，发展生态旅游和特色产业。 </w:t>
            </w:r>
          </w:p>
        </w:tc>
        <w:tc>
          <w:tcPr>
            <w:tcW w:w="6052"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本次规划位于达州市大竹县，规划实施过程中，各煤矿均应严格按照《矿山生态环境保护与污染防治技术政策》，确保土地复垦率大于95%，土地复垦程度大于82%，复垦检验合格率大于90。</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同时加强矿区水土流失防治，确保扰动土地整治率大于95%，水土流失总治理度大于95%，土壤流失控制比大于0.8，林草植被回复率大于97%，林草覆盖率大于25%，土壤荒漠化率小于5%，土壤盐渍化率小于1%。</w:t>
            </w:r>
          </w:p>
        </w:tc>
        <w:tc>
          <w:tcPr>
            <w:tcW w:w="135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四川省主体功能区规划</w:t>
            </w:r>
          </w:p>
        </w:tc>
        <w:tc>
          <w:tcPr>
            <w:tcW w:w="4737"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川东北地区是省级层面的重点开发区域，位于川渝陕结合部，天然气、煤等储量丰富，人口众多，特色农产品资源丰富，以红色旅游、绿色生态旅游、历史文化旅游为代表的旅游资源独具特色。</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该区域的主体功能定位是：我国西部重要的能源化工基地，农产品深加工基地，红色旅游基地，川渝陕结合部的区域经济中心和交通物流中心，构建连接我国西北、西南地区的新兴经济带。</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——形成以南充、达州、遂宁、广安、广元、巴中等中心城市为依托的城镇群空间开发格局。</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——加快推进区域性中心城市发展，优化城市空间布局，拓展城市发展空间，增强城市综合服务功能，提高人口集聚能力，强化辐射和带动作用。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加快嘉陵江产业带和渠江产业带发展。利用嘉陵江流域和渠江流域丰富的自然资源，加快川东北地区特色优势资源深度开发和加工转化，积极承接产业转移，重点发展清洁能源和石油、天然气化工、农产品加工业，大力发展特色农业和红色旅游。</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加强区域合作，大力发展配套产业。加强广安、达州与重庆的协作，建设川渝合作示范区，主动承接重庆的产业转移，加快发展汽车和摩托车配套零部件、轻纺等工业。加强南充、遂宁与成都的产业化协作，承接成都平原地区的产业转移，形成机械加工、轻纺等优势产业。</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坚持兴利除害结合，全力推进渠江、嘉陵江流域防洪控制性工程和供水保障工程建设，增强对江河洪水的调控能力，提高防洪抗旱能力。大力加强生态环境保护和流域综合整治，构建以嘉陵江、渠江为主体，森林、丘陵、水面、湿地相连，带状环绕、块状相间的流域生态屏障。</w:t>
            </w:r>
          </w:p>
        </w:tc>
        <w:tc>
          <w:tcPr>
            <w:tcW w:w="6052"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本次规划范围为达州市大竹县，属于省级层面重点开发区域，本次煤炭矿区开发利用规划符合区域主体功能定位：我国西部重要的能源化工基地。</w:t>
            </w:r>
          </w:p>
        </w:tc>
        <w:tc>
          <w:tcPr>
            <w:tcW w:w="135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四川省生态功能区划</w:t>
            </w:r>
          </w:p>
        </w:tc>
        <w:tc>
          <w:tcPr>
            <w:tcW w:w="4737"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根据《四川省生态功能区划》，包括一级生态区4个，二级生态亚区13个，三级生态功能区36个。规划矿区位于I四川盆地亚热带农林生态区-I4盆东平行岭谷农林符合生态亚区-I4-1三峡库区华蓥山农林与土壤保持生态功能。该区位于四川东部边缘，跨达州、广安市的9个县级行政区，面积0.91万k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典型生态系统为农田和森林生态系统，主要生态问题为水土流失严重，局部地方出现石漠化，农村面源污染。生态敏感性为土壤侵蚀度高度敏感，野生动物生境高度敏感，水环境污染中度敏感，酸雨轻度敏感，石漠化中度敏感。生态服务功能重要为农林业发展、土壤保持，生物多样性保持。</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生态建设与发展方向为保护珍稀动植物栖息地，恢复植被，提高森林覆盖率，减轻水土流失，防止喀斯特地貌石漠化，合理开发矿产资源和人文景观资源。</w:t>
            </w:r>
          </w:p>
        </w:tc>
        <w:tc>
          <w:tcPr>
            <w:tcW w:w="6052"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次规划范围为达州市大竹县，矿区包括华蓥山矿区和中山明月峡矿区，煤炭规划总体开发规模为390万吨/年，规划实施过程，各煤矿均应严格按照《矿山生态环境保护与污染防治技术政策》，确保土地复垦率大于95%，土地复垦程度大于82%，复垦检验合格率大于90。同时加强矿区水土流失防治，确保扰动土地整治率大于95%，水土流失总治理度大于95%，土壤流失控制比大于0.8，林草植被回复率大于97%，林草覆盖率大于25%，土壤荒漠化率小于5%，土壤盐渍化率小于1%。</w:t>
            </w:r>
          </w:p>
        </w:tc>
        <w:tc>
          <w:tcPr>
            <w:tcW w:w="135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4"/>
          <w:szCs w:val="24"/>
          <w:highlight w:val="none"/>
        </w:rPr>
        <w:br w:type="page"/>
      </w:r>
      <w:r>
        <w:rPr>
          <w:rFonts w:hint="eastAsia" w:ascii="Times New Roman" w:hAnsi="Times New Roman" w:cs="Times New Roman"/>
          <w:b/>
          <w:bCs/>
          <w:color w:val="auto"/>
          <w:sz w:val="21"/>
          <w:szCs w:val="21"/>
          <w:highlight w:val="none"/>
          <w:lang w:val="en-US" w:eastAsia="zh-CN"/>
        </w:rPr>
        <w:t>表2.3.2-1 与相关规划的符合性分析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5481"/>
        <w:gridCol w:w="6559"/>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9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规划名称</w:t>
            </w:r>
          </w:p>
        </w:tc>
        <w:tc>
          <w:tcPr>
            <w:tcW w:w="548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相关内容</w:t>
            </w:r>
          </w:p>
        </w:tc>
        <w:tc>
          <w:tcPr>
            <w:tcW w:w="6559"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矿区相关内容</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9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《煤炭工业发展“十三五”规划》</w:t>
            </w:r>
          </w:p>
        </w:tc>
        <w:tc>
          <w:tcPr>
            <w:tcW w:w="548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（1）全国煤炭开发总体布局是压缩东部、 限制中部和东北、优化西部。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（2）到2020年，黄陇基地煤炭总产量1.6亿吨，西部地区采取煤矸石发电、井下充填、 地表土地复垦和立体开发、植被绿化、保水充填开采等措施。</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（3）采煤机械化程度85%，掘进机械化程度 65%，煤矸石利用率70%，矿井水利用率 80%，沉陷土地复垦率55%，煤层气（煤矿瓦斯）利用率 72％。</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（4）严控新增产能，有序退出过剩产能。关闭退出落后小煤矿，以及与保护区等生态环境敏感区域重叠、安全事故多发、国家明令禁止使用的采煤工艺的煤矿。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（5）推行煤炭绿色开采，发展煤炭洗选加工， 发展矿区循环经济，加强矿区生态环境治理，推动煤炭供给革命。</w:t>
            </w:r>
          </w:p>
        </w:tc>
        <w:tc>
          <w:tcPr>
            <w:tcW w:w="6559"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（1）矿区位于中国西部，属于优化开发区域；</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（2）根据设计， 矿区内各矿井掘进机械化≥70%， 机械化采煤≥95%， 煤矸石综合利用率≥75%，矿井水利用率≥80%，塌陷土地治理率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≥95%；</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（3）矿区规划范围不涉及自然保护区、水源保护区等区域；</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（4）规划矿区各矿井均采用机械化采煤方法。</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9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《全国矿产资源总体规划（2016-2020年）》</w:t>
            </w:r>
          </w:p>
        </w:tc>
        <w:tc>
          <w:tcPr>
            <w:tcW w:w="548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（1）加快煤炭结构调整与转型升级。 限制东部、 控制中部和东北、 优化西部地区煤炭资源开发， 推进大型煤炭基地绿色化开采和改造。 规划期内不再新建年产30 万吨以下煤矿、90 万吨以下煤与瓦斯突出矿井， 限期淘汰年产 15 万吨及以下且发生较大及以上安全生产责任事故的煤矿、 年产 30 万吨以下且发生重大及以上安全生产责任事故的煤矿， 引导年产 30 万吨以下煤矿加快退出。 提高煤炭洗选比重， 加大煤矸石、 矿井水等资源综合利用力度。</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（2）加快综合利用与环境治理：①大力发展洗煤、 配煤和型煤技术， 提高煤炭洗选加工程度。②加强矿区生态环境和水资源保护、 废弃物和采煤沉陷区治理。</w:t>
            </w:r>
          </w:p>
        </w:tc>
        <w:tc>
          <w:tcPr>
            <w:tcW w:w="6559"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规划范围内涉及14个矿井，包括2座生产矿井（柏林煤矿、堡子煤矿），5个独立升级改造矿井（田坝煤矿、黑滩煤矿、荣华煤矿、华家沟煤矿、刘家沟联合煤矿），4个兼并重组矿井（新桥红星煤矿、华家沟煤矿、牛郎沟煤矿、平桥煤矿），规划生产规模均在30万t/a及以上，剩余规划有3个保留矿井（大河沟煤矿、大硐坪煤矿、观音煤矿）规模为15万t/a。各矿井设计采用综采采煤方法， 采掘装备水平机械化程度较高， 不存在采用国家明令禁止使用的采煤方法、 工艺。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 本次规划环评要求原煤入洗率 100%， 煤矸石综合利用率≥75%， 矿井水利用率≥80%。矿区选煤厂生产废水实行闭路循环，不外排。矿区废污水处理率达到100%，中水回用率达到 75%以上； 矿区煤矸石综合利用率≥75%， 塌陷土地治理率≥80%， 破坏土地复垦率≥95%， 符合国家标准。</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9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《四川省矿产资源总体规划（2016-2020）》</w:t>
            </w:r>
          </w:p>
        </w:tc>
        <w:tc>
          <w:tcPr>
            <w:tcW w:w="548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1、开发利用总量调控</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能源矿产。按照“严控增量、优化存量”的原则，严控，煤炭新增产能，引导资源枯竭企业、落后产能、劣质煤产能有序退出。合理确定重点地区煤炭开采规模和强度，加大川南煤田等无烟煤产地的规模开发力度，强化煤炭资源的综合高效和绿色环保利用。稳步推进煤炭资源开发整合与整顿关闭工作，调整改造中小煤矿，推进大型煤炭基地建设，到2020年，煤炭矿山数减至约600个，原煤产量达到6000万吨。扶持煤层气资源的开发利用，探索煤层气地面抽采利用技术，加强煤炭生产矿山煤层气的抽取利用。积极推进油砂、油页岩、页岩气等非常规能源矿产的勘查开发利用。结合旅游产业发展,因地制宜开发地热资源，推动地方就业以及相关产业发展。</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2、开采规划分区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限制开采区。</w:t>
            </w:r>
            <w:r>
              <w:rPr>
                <w:rFonts w:hint="eastAsia" w:ascii="Times New Roman" w:hAnsi="Times New Roman" w:cs="Times New Roman"/>
                <w:color w:val="auto"/>
                <w:sz w:val="21"/>
                <w:szCs w:val="21"/>
                <w:highlight w:val="none"/>
                <w:vertAlign w:val="baseline"/>
                <w:lang w:val="en-US" w:eastAsia="zh-CN"/>
              </w:rPr>
              <w:t>⑴华蓥山限制开采区，主要矿产为中高硫煤炭。⑵芙蓉限制开采区， 主要矿产为中高硫煤炭。 ⑶虎牙限制开采区， 主要矿产为沉积型铁锰矿。⑷巴塘夏塞限制开采区， 主要矿产为银锡铅锌多金属矿。⑸岔河限制开采区，主要矿产为锡矿。⑹松潘限制开采区， 主要矿产为难选冶金矿。 ⑺大陆槽限制开采区， 主要矿产为稀土矿。 ⑻成都平原限制开采区， 主要矿产为芒硝矿。 ⑼威西限制开采区， 主要矿产为岩盐。 ⑽石棉县限制开采区， 主要矿产为石棉。⑾康定赫德限制开采区， 主要矿产为钨锡矿。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禁止开采区。</w:t>
            </w:r>
            <w:r>
              <w:rPr>
                <w:rFonts w:hint="eastAsia" w:ascii="Times New Roman" w:hAnsi="Times New Roman" w:cs="Times New Roman"/>
                <w:color w:val="auto"/>
                <w:sz w:val="21"/>
                <w:szCs w:val="21"/>
                <w:highlight w:val="none"/>
                <w:vertAlign w:val="baseline"/>
                <w:lang w:val="en-US" w:eastAsia="zh-CN"/>
              </w:rPr>
              <w:t xml:space="preserve"> ⑴红原若尔盖禁止开采区， 主要矿产为泥炭。 ⑵甘孜来马禁止开采区， 主要矿产为砂金矿。 ⑶白玉纳塔禁止开采区， 主要矿产为砂金矿。 ⑷康定煤炭沟禁止开采区， 主要矿产为泥炭。</w:t>
            </w:r>
          </w:p>
        </w:tc>
        <w:tc>
          <w:tcPr>
            <w:tcW w:w="6559"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本次规划的14个矿井均为原有矿井，无新增生产矿井。</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矿区包含华蓥山矿段及中山明月峡矿段，，区内各矿井开采煤层煤质均为</w:t>
            </w:r>
            <w:r>
              <w:rPr>
                <w:rFonts w:hint="default" w:ascii="Times New Roman" w:hAnsi="Times New Roman" w:cs="Times New Roman"/>
                <w:color w:val="auto"/>
                <w:sz w:val="21"/>
                <w:szCs w:val="21"/>
                <w:highlight w:val="none"/>
                <w:vertAlign w:val="baseline"/>
                <w:lang w:val="en-US" w:eastAsia="zh-CN"/>
              </w:rPr>
              <w:t>低中-中高灰、特低-中硫、低-高热值1/3焦煤（1/3JM）、1/2中粘煤（1/2ZM），弱粘煤（RM）和气煤（QM）</w:t>
            </w:r>
            <w:r>
              <w:rPr>
                <w:rFonts w:hint="eastAsia" w:ascii="Times New Roman" w:hAnsi="Times New Roman" w:cs="Times New Roman"/>
                <w:color w:val="auto"/>
                <w:sz w:val="21"/>
                <w:szCs w:val="21"/>
                <w:highlight w:val="none"/>
                <w:vertAlign w:val="baseline"/>
                <w:lang w:val="en-US" w:eastAsia="zh-CN"/>
              </w:rPr>
              <w:t>，不属于中高硫煤。</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9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《能源发展“十三五”规划》</w:t>
            </w:r>
          </w:p>
        </w:tc>
        <w:tc>
          <w:tcPr>
            <w:tcW w:w="548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（1）加快淘汰落后产能： 尽快关闭 13 类落后小煤矿， 以及开采范围与自然保护区、 风景名胜区、 饮用水水源保护区等区域重叠的煤矿。 2018年前淘汰产能小于30 万 t/a 且发生过重大及以上安全生产责任事故的煤矿， 产能 15 万 t/a 且发生过较大及以上安全生产责任事故的煤矿， 以及采用国家明令禁止使用的采煤方法、 工艺且无法实施技术改造的煤矿；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（2）有序退出过剩产能：开采范围与依法划定、需特别保护的相关环境敏感区重叠的煤矿，晋、蒙、陕、宁等地区产能小于60 万t/a的非机械化开采煤矿，冀、辽、吉、黑、苏、皖、鲁、豫、甘、青、新等地区产能小于30万t/a的非机械化开采煤矿，其他地区产能小于9万t/a的非机械化开采煤矿有序退出市场。</w:t>
            </w:r>
          </w:p>
        </w:tc>
        <w:tc>
          <w:tcPr>
            <w:tcW w:w="6559"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（1）本次矿区规划范围内涉及的矿井均不属于13类落后小煤矿，矿区范围不涉及自然保护区、风景名胜区、饮用水水源保护区等区域； 规划范围内矿井均采用机械化开采，不涉及禁止使用的采煤方法和工艺；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规划范围涉及14个矿井，包括2座生产矿井（柏林煤矿、堡子煤矿），5个独立升级改造矿井（田坝煤矿、黑滩煤矿、荣华煤矿、华家沟煤矿、刘家沟联合煤矿），4个兼并重组矿井（新桥红星煤矿、华家沟煤矿、牛郎沟煤矿、平桥煤矿），规划生产规模均在30万t/a及以上，剩余规划有3个保留矿井（大河沟煤矿、大硐坪煤矿、观音煤矿）规模为15万t/a，均未发生过较大及以上的阿全生产责任事故。</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9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《国民经济和社会发展十三个五年规划纲要》</w:t>
            </w:r>
          </w:p>
        </w:tc>
        <w:tc>
          <w:tcPr>
            <w:tcW w:w="5481"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推动能源结构优化升级，优化建设国家综合能源基地，大力推进煤炭清洁高效利用。限制东部、控制中部和东北、优化西部地区煤炭资源开发，推进大型煤炭基地绿色化开采和改造，鼓励采用新技术发展煤电。</w:t>
            </w:r>
          </w:p>
        </w:tc>
        <w:tc>
          <w:tcPr>
            <w:tcW w:w="6559"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矿区位于西部地区，规划范围各矿井均采用井工开采，各矿井功能分区布局合理，环保设施配套齐全，按照绿色矿山建设。</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6"/>
        <w:bidi w:val="0"/>
        <w:rPr>
          <w:rFonts w:hint="eastAsia"/>
          <w:color w:val="auto"/>
          <w:highlight w:val="none"/>
          <w:lang w:val="en-US" w:eastAsia="zh-CN"/>
        </w:rPr>
      </w:pPr>
      <w:bookmarkStart w:id="148" w:name="_Toc32158"/>
      <w:bookmarkStart w:id="149" w:name="_Toc4229"/>
      <w:r>
        <w:rPr>
          <w:rFonts w:hint="eastAsia"/>
          <w:color w:val="auto"/>
          <w:highlight w:val="none"/>
          <w:lang w:val="en-US" w:eastAsia="zh-CN"/>
        </w:rPr>
        <w:t>2.3.3 与相关政策的符合性分析</w:t>
      </w:r>
      <w:bookmarkEnd w:id="148"/>
      <w:bookmarkEnd w:id="149"/>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本次评价涉及的相关政策见表2.3.3-1。</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表2.3.3-1 涉及的相关政策统计表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7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序号</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《产业结构调整指导目录（2019年本）》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《国务院办公厅关于促进煤炭行业平稳运行的意见》（国办发[2013]04号）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《国务院关于煤炭行业化解产能过剩实现脱困发展的意见》（国发[2016]7号）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《关于做好2017年钢铁煤炭行业化解过剩产能的实现脱困发展工作的意见》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《2017年煤炭去产能实施方案》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《十四五节能降碳综合工作方案》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《煤炭产业政策》（国家发展和改革委员会公告2007年第80号）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752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《矿山生态环境保护与污染防治技术政策》（环发[2005]109号）</w:t>
            </w:r>
          </w:p>
        </w:tc>
      </w:tr>
    </w:tbl>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规划与相关政策的符合性分析见表2.3.3-2。</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sectPr>
          <w:pgSz w:w="11906" w:h="16838"/>
          <w:pgMar w:top="1440" w:right="1800" w:bottom="1440" w:left="1800" w:header="851" w:footer="992" w:gutter="0"/>
          <w:pgNumType w:fmt="decimal"/>
          <w:cols w:space="720" w:num="1"/>
          <w:docGrid w:type="lines" w:linePitch="312" w:charSpace="0"/>
        </w:sect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表2.3.3-2 与相关政策的符合性分析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5726"/>
        <w:gridCol w:w="5974"/>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政策名称</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相关内容</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矿区相关内容</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《产业结构调整指导目录（2019年本）》</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b/>
                <w:bCs/>
                <w:color w:val="auto"/>
                <w:sz w:val="18"/>
                <w:szCs w:val="18"/>
                <w:highlight w:val="none"/>
                <w:vertAlign w:val="baseline"/>
                <w:lang w:val="en-US" w:eastAsia="zh-CN"/>
              </w:rPr>
            </w:pPr>
            <w:r>
              <w:rPr>
                <w:rFonts w:hint="eastAsia" w:ascii="Times New Roman" w:hAnsi="Times New Roman" w:cs="Times New Roman"/>
                <w:b/>
                <w:bCs/>
                <w:color w:val="auto"/>
                <w:sz w:val="18"/>
                <w:szCs w:val="18"/>
                <w:highlight w:val="none"/>
                <w:vertAlign w:val="baseline"/>
                <w:lang w:val="en-US" w:eastAsia="zh-CN"/>
              </w:rPr>
              <w:t>鼓励类：</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（1）煤田地质及地球物理勘探；</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（2）矿井灾害（瓦斯、 煤尘、 矿井水、 火、 围岩、 地温、冲击地压等）防治；</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（3）型煤及水煤浆技术开发与应用；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（4）煤炭共伴生资源加工与综合利用；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（5）煤层气勘探、开发、利用和煤矿瓦斯抽采、利用；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（6）煤矸石、 煤泥、 洗中煤等低热值燃料综合利用；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（7）管道输煤；</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（8）煤炭清洁高效洗选技术开发与应用；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（9）地面沉陷区治理、 矿井水资源保护与利用；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（10）煤电一体化建设；</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（11）提高资源回收率的采煤方法、 工艺开发与应用；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（12）矿井采空区、建筑物下、铁路等基础设施下、 水体下采用煤矸石等物质填充采煤技术开发与应用；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（13）井下救援技术及特种装备开发与应用；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（14）煤矿生产过程综合监控技术、 装备开发与应用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（15）大型煤炭储运中心、 煤炭交易市场建设及储煤场地环保改造</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（16）新型矿工避险自救器材开发与应用；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（17）煤矿智能化开采技术及煤矿机器人研发应用；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（18）煤炭清洁高效利用技术</w:t>
            </w:r>
            <w:r>
              <w:rPr>
                <w:rFonts w:hint="eastAsia" w:ascii="Times New Roman" w:hAnsi="Times New Roman" w:cs="Times New Roman"/>
                <w:color w:val="auto"/>
                <w:sz w:val="21"/>
                <w:szCs w:val="21"/>
                <w:highlight w:val="none"/>
                <w:vertAlign w:val="baseline"/>
                <w:lang w:val="en-US" w:eastAsia="zh-CN"/>
              </w:rPr>
              <w:t>。</w:t>
            </w:r>
          </w:p>
        </w:tc>
        <w:tc>
          <w:tcPr>
            <w:tcW w:w="5974" w:type="dxa"/>
            <w:vMerge w:val="restart"/>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矿区位于达州市大竹县境内， 矿区无自然保护区、 风景名胜区、 饮用水水源保护区等分布，本轮共规划14个矿井，包括2座生产矿井（柏林煤矿、堡子煤矿），5个独立升级改造矿井（田坝煤矿、黑滩煤矿、荣华煤矿、华家沟煤矿、刘家沟联合煤矿），4个兼并重组矿井（新桥红星煤矿、华家沟煤矿、牛郎沟煤矿、平桥煤矿），规划生产规模均在30万t/a及以上，剩余规划有3个保留矿井（大河沟煤矿、大硐坪煤矿、观音煤矿）规模为15万t/a。总规模为390万t/a，均不属于煤与瓦斯突出矿井；矿区内现有矿井不属于《产业结构调整指导目录（2019年本） 中的鼓励类和限制类， 故属于允许类。</w:t>
            </w:r>
          </w:p>
        </w:tc>
        <w:tc>
          <w:tcPr>
            <w:tcW w:w="940" w:type="dxa"/>
            <w:vMerge w:val="restart"/>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b/>
                <w:bCs/>
                <w:color w:val="auto"/>
                <w:sz w:val="18"/>
                <w:szCs w:val="18"/>
                <w:highlight w:val="none"/>
                <w:vertAlign w:val="baseline"/>
                <w:lang w:val="en-US" w:eastAsia="zh-CN"/>
              </w:rPr>
            </w:pPr>
            <w:r>
              <w:rPr>
                <w:rFonts w:hint="eastAsia" w:ascii="Times New Roman" w:hAnsi="Times New Roman" w:cs="Times New Roman"/>
                <w:b/>
                <w:bCs/>
                <w:color w:val="auto"/>
                <w:sz w:val="18"/>
                <w:szCs w:val="18"/>
                <w:highlight w:val="none"/>
                <w:vertAlign w:val="baseline"/>
                <w:lang w:val="en-US" w:eastAsia="zh-CN"/>
              </w:rPr>
              <w:t>限制类：</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（1）低于 3 万吨/年的煤矿（其中山西、内蒙古、陕西低于120万吨/年，宁夏低于60万吨/年），低于90万吨/年的煤与瓦斯突出矿井；</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（2）采用非机械化开采工艺的煤矿项目；</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（3）煤炭资源回收率达不到国家规定要求的煤矿项目；</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（4）未按国家规定程序报批矿区总体规划的煤矿项目；</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（5）井下回采工作面超过 2 个的煤矿项目；</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（6）开采深度超过《煤矿安全规程》 规定的煤矿、 产品质量达不到《商品煤质量管理暂行办法》 要求的煤矿、 开采技术和装备列入《煤炭生产技术与装备政策导向（2014 年版） 》 限制目录且无法实施技术改造的煤矿。</w:t>
            </w:r>
          </w:p>
        </w:tc>
        <w:tc>
          <w:tcPr>
            <w:tcW w:w="5974" w:type="dxa"/>
            <w:vMerge w:val="continue"/>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p>
        </w:tc>
        <w:tc>
          <w:tcPr>
            <w:tcW w:w="940" w:type="dxa"/>
            <w:vMerge w:val="continue"/>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b/>
                <w:bCs/>
                <w:color w:val="auto"/>
                <w:sz w:val="18"/>
                <w:szCs w:val="18"/>
                <w:highlight w:val="none"/>
                <w:vertAlign w:val="baseline"/>
                <w:lang w:val="en-US" w:eastAsia="zh-CN"/>
              </w:rPr>
            </w:pPr>
            <w:r>
              <w:rPr>
                <w:rFonts w:hint="eastAsia" w:ascii="Times New Roman" w:hAnsi="Times New Roman" w:cs="Times New Roman"/>
                <w:b/>
                <w:bCs/>
                <w:color w:val="auto"/>
                <w:sz w:val="18"/>
                <w:szCs w:val="18"/>
                <w:highlight w:val="none"/>
                <w:vertAlign w:val="baseline"/>
                <w:lang w:val="en-US" w:eastAsia="zh-CN"/>
              </w:rPr>
              <w:t>淘汰类：</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（1）与大型煤矿井田平面投影重叠的小煤矿；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（2）山西、内蒙古、陕西、宁夏30万吨/年以下（不含 30 万吨/年），河北、辽宁、吉林、黑龙江、江苏、安徽、山东、河南、甘肃、青海、新疆15 万吨/年以下（不含15万吨/年），其他地区 9 万吨/年及以下（含9万吨/年）的煤矿；长期停产停建的 30 万吨/年以下（不含 30 万吨/年） “僵尸企业”煤矿； 30万吨/年以下（不含30 万吨/年） 冲击地压、 煤与瓦斯突出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等灾害严重煤矿。 属于满足林区、 边远山区居民生活用煤需要或承担特殊供应任务且符合资源、 环保、 安全、 技术、 能耗等标准的煤矿，经省级人民政府批准， 可以暂时保留或推迟退出；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（3）既无降硫措施又无达标排放用户的高硫煤炭（含硫高于 3%） 生产矿井，不能就地使用的高灰煤炭（灰分高于 40%） 生产矿井以及高砷煤炭（动力用煤中砷含量超过 80μg/g， 炼焦用煤中砷含量超过 35μg/g）生产煤矿；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（4）6AM、φM-2.5、PA-3型煤用浮选机、PB2、PB3、PB4型矿用隔爆高压开关、 PG-27 型真空过滤机、 X-1 型箱式压滤机、 ZYZ、 ZY3 型液压支架；</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（5）不能实现洗煤废水闭路循环的选煤工艺、 不能实现粉尘达标排放的干法选煤设备；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（6）开采范围与自然保护区、 风景名胜区、 饮用水水源保护区重叠的煤矿。</w:t>
            </w:r>
          </w:p>
        </w:tc>
        <w:tc>
          <w:tcPr>
            <w:tcW w:w="5974" w:type="dxa"/>
            <w:vMerge w:val="continue"/>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p>
        </w:tc>
        <w:tc>
          <w:tcPr>
            <w:tcW w:w="940" w:type="dxa"/>
            <w:vMerge w:val="continue"/>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《国务院办公厅关于促进煤炭行业平稳运行的意见》</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“严格新建煤矿准入标准， 停止核准新建低于30万t/a的煤矿、 低于90万t/a的煤与瓦斯突出矿井。 新建煤矿必须严格履行基本建设程序， 严厉查处未批先建、 批小建大等违规行为。 要从完善安全生产管理入手， 逐步淘汰9万t/a及以下煤矿， 重点关闭不具备安全生产条件的煤矿， 加快关闭煤与瓦斯突出等灾害隐患严重的煤矿。 煤炭企业必须严格按照核准的煤矿建设规模和生产能力组织生产， 严禁违规建设和超能力生产。</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轮共规划14个矿井，包括2座生产矿井（柏林煤矿、堡子煤矿），5个独立升级改造矿井（田坝煤矿、黑滩煤矿、荣华煤矿、华家沟煤矿、刘家沟联合煤矿），4个兼并重组矿井（新桥红星煤矿、华家沟煤矿、牛郎沟煤矿、平桥煤矿），规划生产规模均在30万t/a及以上，剩余规划有3个保留矿井（大河沟煤矿、大硐坪煤矿、观音煤矿）规模为15万t/a，无规划新建矿井。</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《国务院关于煤炭行业化解产能过剩实现脱困发展的意见》</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（一） 严格控制新增产能。 从2016年起， 3年内原则上停止审批新建煤矿项目、 新增产能的技术改造项目和产能核增项目； 确需新建煤矿的， 一律实行减量置换。 在建煤矿项目应按一定比例与淘汰落后产能和化解过剩产能挂钩， 已完成淘汰落后产能和化解过剩产能任务的在建煤矿项目应由省级人民政府有关部门予以公告。</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（二） 加快淘汰落后产能和其他不符合产业政策的产能。 安全监管总局等部门确定的13类落后小煤矿， 以及开采范围与自然保护区、 风景名胜区、饮用水水源保护区等区域重叠的煤矿， 要尽快依法关闭退出。 产能小于30万吨/年且发生重大及以上安全生产责任事故的煤矿， 产能15万吨/年及以下且发生较大及以上安全生产责任事故的煤矿， 以及采用国家明令禁止使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用的采煤方法、 工艺且无法实施技术改造的煤矿， 要在1至3年内淘汰。</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（三） 严格限制劣质煤使用。 完善煤炭产业发展规划， 停止核准高硫高灰煤项目， 依法依规引导已核准的项目暂缓建设、 正在建设的项目压缩规模、 已投产的项目限制产量。 落实商品煤质量管理有关规定， 加大对京津冀、 长三角、 珠三角等地区销售使用劣质散煤情况的检查力度。 按照有关规定继续限制劣质煤进口。</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轮共规划14个矿井，包括2座生产矿井（柏林煤矿、堡子煤矿），5个独立升级改造矿井（田坝煤矿、黑滩煤矿、荣华煤矿、华家沟煤矿、刘家沟联合煤矿），4个兼并重组矿井（新桥红星煤矿、华家沟煤矿、牛郎沟煤矿、平桥煤矿），规划生产规模均在30万t/a及以上，剩余规划有3个保留矿井（大河沟煤矿、大硐坪煤矿、观音煤矿）规模为15万t/a，无规划新建矿井， 与《四川省人民政府&lt;关于30万吨/年以下煤矿分类处置方案的批复&gt;》（川府函[2020]45号） 相符， 且各矿井均已取得了采矿证等合法手续。 本次规划中矿区范围避让后不与自然保护区、 风景名胜区、 饮用水水源保护区等区域重叠， 矿区各开采煤层含硫量低， 不属于高硫高灰煤层。</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《关于做好2017年钢铁煤炭行业化解过剩产能的实现脱困发展工作的意见》</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将处置“僵尸企业”作为化解过剩产能的牛鼻子， 抓好推动钢铁行业重组处置“僵尸企业”工作方案的落实， 实施煤炭行业“僵尸企业”处置工作方案， 做好“僵尸企业”分类处置。 对于长期停工停产、 连年亏损、 资不抵债， 没有生存能力和发展潜力的“僵尸企业”， 加快实施整体退出、 关停出清、 重组整合。</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本轮矿区规划范围内各煤矿已完成四川省达州市产能置换， 除2个生产矿井外， 其余矿井属于《四川省人民政府&lt;关于30万吨/年以下煤矿分类处置方案的批复&gt;》（川府函[2020]45号）中独立升级改造、兼并重组及保留矿井，不属于“僵尸企业”</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《2017年煤炭去产能实施方案》</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“加快退出长期停工停产的“僵尸企业”。 对于长期停工停产、 连年亏损、 资不抵债、 没有生产能力和发展潜力的“僵尸企业”， 目前仍停工且不具备复</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工复产条件的， 以及经复工复产验收不合格且限期整改仍达不到安全生产等要求的， 纳入2017 年去产能范围； 对于未经验收擅自复工复产的， 纳入2017年去产能范围。</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本轮矿区规划范围内各煤矿已完成四川省达州市产能置换， 除2个生产矿井外， 其余矿井属于《四川省人民政府&lt;关于30万吨/年以下煤矿分类处置方案的批复&gt;》（川府函[2020]45号）中独立升级改造、兼并重组及保留矿井，不属于“僵尸企业”和去产能企业。</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《十四五节能降碳综合工作方案》</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 促进传统产业转型升级： 运用高新技术和先进适用技术改造提升传统产业， 着力推动产业向高端化、 智能化、 绿化化、 服务化方向发展。 ……强化节能环保标准约束， 严格行业规范、 准入管理和节能审查， 严控产能严重过剩行业增加产能项目， 全面完成化解过剩产能和淘汰落后产能目标任务。</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 推动能源结构优化： 加强煤炭安全绿色开发和清洁高效利用， 实现煤炭转化率达到45%左右。 推广使用优质煤、 洁净型煤， 大幅削减散煤利用。 推进居民采暖煤替代， 工业窑炉、 供热锅炉煤改气、 煤改电。</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 加快实施排污许可制， 建立企事业单位污染物排放总量控制制度，继续推进排污权交易试点， 试点地区到 2017 年底基本建立排污权交易制度， 研究扩大试点范围， 发展跨区域排污权交易市场</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矿区规划范围内各矿井生产能力在15~60万t/a之间， 符合行业准入条件及相关产业政策， 矿区各矿均已淘汰燃煤锅炉， 采用空气能锅炉制备热水。 本次规划可强化煤炭安全绿色开发和清洁高效利用原则， 各煤矿已进行排污许可登记。</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《煤炭产业政策》（国家发展和改革委员会公告2007年第80号）</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产业布局： “新建大中型煤矿应当配套建设相应规模的选煤厂,鼓励在中小型煤矿集中矿区建设群矿选煤厂。 ”</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产业准入： “其他地区新建、 改扩建矿井规模不低于30万t/a。 鉴于当前小煤矿数量多、 布局不合理、 破坏资源和环境的状况尚未根本改善， 煤矿安全生产形势依然严峻， “十一五”期间一律停止核准(审批)30万t/a以下的新建煤矿项目。 ”</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产业组织： “第十八条 鼓励以现有大型煤炭企业为核心,打破地域、 行业和所有制界限,以资源、 资产为纽带,通过强强联合和兼并、 重组中小型煤矿， 发展大型煤炭企业集团。 ……鼓励中小型煤矿整合资源、 联合改造，实行集约化经营。 ”</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节约利用与环境保护： “第三十六条 按照减量化、 再利用、 资源化的原则,综合开发利用与煤共伴生资源和煤矿废弃物。 鼓励企业利用煤矸石、 低热值煤发电、 供热,利用煤矸石生产建材产品、 井下充填、 复垦造田和筑路等,综合利用矿井水,发展循环经济。 支持煤层气(煤矿瓦斯)长输管线建设,鼓励煤层气(煤矿瓦斯)民用、 发电、 生产化工产品等。 ”“洗煤水应当实现闭路循环。 优化巷道布置,减少井下矸石产出量。 ”</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53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《矿山生态环境保护与污染防治技术政策》</w:t>
            </w:r>
          </w:p>
        </w:tc>
        <w:tc>
          <w:tcPr>
            <w:tcW w:w="5726"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 禁止的矿产资源开发活动： ①禁止在依法划定的自然保护区（核心区、 缓冲区） 、 风景名胜区、 森林公园、 饮用水水源保护区、 重要湖泊周边、 文物古迹所在地、 地质遗迹保护区、 基本农田保护区等区域内采矿。②禁止在铁路、 国道、 省道两侧的直观可视范围内进行露天开采。 ③禁止在地质灾害危险区开采矿产资源。 ④禁止土法采、 选冶金矿和土法冶炼汞、 砷、 铅、 锌、 焦、 硫、 钒等矿产资源开发活动。 ⑤禁止新建对生态环境产生不可恢复利用的、 产生破坏性影响的矿产资源开发项目。 ⑥禁止新建煤层含硫量大于 3%的煤矿。</w:t>
            </w:r>
          </w:p>
        </w:tc>
        <w:tc>
          <w:tcPr>
            <w:tcW w:w="5974"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 矿区规划范围内各矿井均采用井工开采；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 本轮规划避让后矿区范围不涉及自然保护区(核心区、 缓冲区)、 风景名胜区、 森林公园、 饮用水水源保护区、 重要湖泊周边、 文物古迹所在地、 地质遗迹保护区、 基本农田保护区等敏感区域， 各矿井工业广场不在国道、 省道两侧直观可视范围内， 不涉及地质灾害危险区；</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 矿区各开采煤层含硫量均远低于3%。</w:t>
            </w:r>
          </w:p>
        </w:tc>
        <w:tc>
          <w:tcPr>
            <w:tcW w:w="940" w:type="dxa"/>
            <w:noWrap w:val="0"/>
            <w:vAlign w:val="center"/>
          </w:tcPr>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6"/>
        <w:bidi w:val="0"/>
        <w:rPr>
          <w:rFonts w:hint="eastAsia"/>
          <w:color w:val="auto"/>
          <w:highlight w:val="none"/>
          <w:lang w:val="en-US" w:eastAsia="zh-CN"/>
        </w:rPr>
      </w:pPr>
      <w:bookmarkStart w:id="150" w:name="_Toc2117"/>
      <w:bookmarkStart w:id="151" w:name="_Toc32602"/>
      <w:r>
        <w:rPr>
          <w:rFonts w:hint="eastAsia"/>
          <w:color w:val="auto"/>
          <w:highlight w:val="none"/>
          <w:lang w:val="en-US" w:eastAsia="zh-CN"/>
        </w:rPr>
        <w:t>2.3.4 与大气污染防治行动计划的符合性分析</w:t>
      </w:r>
      <w:bookmarkEnd w:id="150"/>
      <w:bookmarkEnd w:id="151"/>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大气污染防治行动计划</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中提出，“推进煤炭清洁利用。 提高煤炭洗选比例，新建煤矿应同步建设煤炭洗选设施， 现有煤矿要加快建设与改造”。本次矿区规划范围内均为已有煤矿企业，无新建煤矿，区域内配套的煤炭洗选厂满足矿区开采规模。规划符合《大气污染防治行动计划》相关要求。</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2、《四川省大气污染防治西东计划实施细则2017年度实施计划》，城市建成区完成每小时10蒸吨及以下的燃煤小锅炉淘汰任务。 各市（州） 城市建成区、 工业园区禁止新建每小时20蒸吨以下的燃煤及高污染燃料锅炉， 其他地区禁止新建每小时10蒸吨以下的燃煤及高污染燃料锅炉。矿区内各矿井均采用空气能供热， 燃煤锅炉已全部淘汰。规划符合《四川省大气污染防治西东计划实施细则2017年度实施计划》。</w:t>
      </w:r>
    </w:p>
    <w:p>
      <w:pPr>
        <w:pStyle w:val="6"/>
        <w:bidi w:val="0"/>
        <w:rPr>
          <w:rFonts w:hint="eastAsia"/>
          <w:color w:val="auto"/>
          <w:highlight w:val="none"/>
          <w:lang w:val="en-US" w:eastAsia="zh-CN"/>
        </w:rPr>
      </w:pPr>
      <w:bookmarkStart w:id="152" w:name="_Toc1069"/>
      <w:bookmarkStart w:id="153" w:name="_Toc32031"/>
      <w:r>
        <w:rPr>
          <w:rFonts w:hint="eastAsia"/>
          <w:color w:val="auto"/>
          <w:highlight w:val="none"/>
          <w:lang w:val="en-US" w:eastAsia="zh-CN"/>
        </w:rPr>
        <w:t>2.3.5 与水污染防治行动计划的符合性分析</w:t>
      </w:r>
      <w:bookmarkEnd w:id="152"/>
      <w:bookmarkEnd w:id="153"/>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1、《水污染防治行动计划》提出，到2030年， 全国七大重点流域（长江、 黄河、 珠江、 松花江、 淮河、 海河、 辽河）水质优良比例总体达到75%以上， 城市建成区黑臭水体总体得到消除， 城市集中式饮用水水源水质达到或优于III类比例总体为95%左右。 第一条全面控制污染物排放中第(九)项提高用水效率。 建立万元国内生产总值水耗指标等用水效率评估体系，把节水目标任务完成情况纳入地方政府政绩考核。 将再生水、 雨水和微咸水等非常规水源纳入水资源统一配置。 加强城镇节水。 积极推行低影响开发建设模式， 建设滞、 渗、 蓄、 用、 排相结合的雨水收集利用设施。 新建城区硬化地面， 可渗透面积要达到 40%以上。</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根据《2020年达州市生态环境状况公报》 ， 全市区域地表水水质状况为优。</w:t>
      </w:r>
      <w:r>
        <w:rPr>
          <w:rFonts w:hint="eastAsia" w:ascii="Times New Roman" w:hAnsi="Times New Roman" w:cs="Times New Roman"/>
          <w:color w:val="auto"/>
          <w:sz w:val="24"/>
          <w:szCs w:val="24"/>
          <w:highlight w:val="none"/>
          <w:lang w:val="en-US" w:eastAsia="zh-CN"/>
        </w:rPr>
        <w:t>矿区涉及</w:t>
      </w:r>
      <w:r>
        <w:rPr>
          <w:rFonts w:hint="default" w:ascii="Times New Roman" w:hAnsi="Times New Roman" w:cs="Times New Roman"/>
          <w:color w:val="auto"/>
          <w:sz w:val="24"/>
          <w:szCs w:val="24"/>
          <w:highlight w:val="none"/>
        </w:rPr>
        <w:t>乡镇均实现了乡镇污水处理设施全覆盖， 且矿区范围内各矿井建设有矿井水处理站、 生活污水处理站， 处理后达标排放或资源化利用。各矿井工业场地均采取地面硬化措施</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故规划符合《水污染防治行动计划》要求。</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2、《水污染防治行动计划四川省工作方案2017年度实施方案》提出，“（一） 加强工业污染防治（1） 集中治理工业集聚区水污染； （2） 开展“10+1”重点行业专项整治； （3） 深化“10+1”小企业取缔； （4） 依法淘汰落后产能； （5） 严格环境准入， 合理确定发展布局； （6） 加强工业水循环利用， 促进再生水利用”。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矿区不在工业集中区， 各矿井不属于“10+1”取缔起企业。 各矿井生产废水、 生活废水经处理后尽可能回用， 多余部分</w:t>
      </w:r>
      <w:r>
        <w:rPr>
          <w:rFonts w:hint="eastAsia" w:ascii="Times New Roman" w:hAnsi="Times New Roman" w:cs="Times New Roman"/>
          <w:color w:val="auto"/>
          <w:sz w:val="24"/>
          <w:szCs w:val="24"/>
          <w:highlight w:val="none"/>
          <w:lang w:val="en-US" w:eastAsia="zh-CN"/>
        </w:rPr>
        <w:t>实现达标排放</w:t>
      </w:r>
      <w:r>
        <w:rPr>
          <w:rFonts w:hint="default" w:ascii="Times New Roman" w:hAnsi="Times New Roman" w:cs="Times New Roman"/>
          <w:color w:val="auto"/>
          <w:sz w:val="24"/>
          <w:szCs w:val="24"/>
          <w:highlight w:val="none"/>
        </w:rPr>
        <w:t>。</w:t>
      </w:r>
    </w:p>
    <w:p>
      <w:pPr>
        <w:pStyle w:val="6"/>
        <w:bidi w:val="0"/>
        <w:rPr>
          <w:rFonts w:hint="eastAsia"/>
          <w:color w:val="auto"/>
          <w:highlight w:val="none"/>
          <w:lang w:val="en-US" w:eastAsia="zh-CN"/>
        </w:rPr>
      </w:pPr>
      <w:bookmarkStart w:id="154" w:name="_Toc21551"/>
      <w:bookmarkStart w:id="155" w:name="_Toc24917"/>
      <w:r>
        <w:rPr>
          <w:rFonts w:hint="eastAsia"/>
          <w:color w:val="auto"/>
          <w:highlight w:val="none"/>
          <w:lang w:val="en-US" w:eastAsia="zh-CN"/>
        </w:rPr>
        <w:t>2.3.6 与土壤污染防治行动计划的符合性分析</w:t>
      </w:r>
      <w:bookmarkEnd w:id="154"/>
      <w:bookmarkEnd w:id="155"/>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《土壤污染防治行动计划》 指出： 到 2030年， 受污染耕地安全利用率达到 95%左右， 污染地块安全利用率达到95%以上。 计划提出实施农用地分类管理， 保障农业生产环境安全； 实施建设用地准入管理， 防范人居环境风险； 强化未污染土壤保护，严控新增土壤污染； 加强污染源监管， 做好土壤污染预防工作。 严控工矿污染。 有色金属冶炼、 石油加工、 化工、 焦化等行业企业拆除生产设施设备、 构筑物和污染治理设施， 要事先制定残留污染物清理和安全处置方案， 并报所在地县级环境保护、 工业和信息化部门备案； 全面整治固体废物的堆存场所。 完善防扬散、 防流失、防渗漏等设施， 加强工业固体废物综合利用。各矿井工业广场、 废污水处理站等均采取了防渗措施， 矸石制定了资源化利用措施， 排矸场要求满足《煤矸石综合利用管理办法》 的规定要求。</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2、土壤污染防治行动计划四川省工作方案提出，继续淘汰涉重金属重点行业落后产能， 执行重金属相关行业准入条件，禁止新建落后产能或产能严重过剩行业的建设项目。本次为煤炭矿区规划，不涉及重金属等污染物，符合《土壤污染防治行动计划四川省工作方案》要求。</w:t>
      </w:r>
    </w:p>
    <w:p>
      <w:pPr>
        <w:pStyle w:val="6"/>
        <w:bidi w:val="0"/>
        <w:rPr>
          <w:rFonts w:hint="eastAsia"/>
          <w:color w:val="auto"/>
          <w:highlight w:val="none"/>
          <w:lang w:val="en-US" w:eastAsia="zh-CN"/>
        </w:rPr>
      </w:pPr>
      <w:bookmarkStart w:id="156" w:name="_Toc4457"/>
      <w:bookmarkStart w:id="157" w:name="_Toc10452"/>
      <w:r>
        <w:rPr>
          <w:rFonts w:hint="eastAsia"/>
          <w:color w:val="auto"/>
          <w:highlight w:val="none"/>
          <w:lang w:val="en-US" w:eastAsia="zh-CN"/>
        </w:rPr>
        <w:t>2.3.7 与大竹县矿产资源总体规划(2016—2020年)的符合性</w:t>
      </w:r>
      <w:bookmarkEnd w:id="156"/>
      <w:bookmarkEnd w:id="157"/>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大竹县矿产资源总体规划（2016-2020）</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规划要求如下：</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1、严格限制、禁止勘查开采矿种管理</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重点勘查矿种：重点鼓励钾盐、天然气等国家和四川省急缺和重要矿产；煤层气等非常规能源矿产；以及地热、矿泉水等矿产勘查。</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限制勘查矿种：明确由国家投资勘查的矿种；低品位硫铁矿等开发利用对环境影响大的矿种；适度勘查煤矿。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重点开采矿种：重点加强地热、矿泉水等开发利用工作；适当增加建筑石料用灰岩、砖瓦用页岩、建筑用砂岩等开发利用。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限制开采矿种：加强优质煤、环保煤和特殊煤种的保护性开采，合理控制开采规模；限制开采硫铁矿；适当控制水泥用灰岩开采规模，严禁随意扩大生产规模，严禁将优质水泥用灰岩作建筑碎石开采。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禁止勘查开采矿种：可耕地的砖瓦粘土、泥炭、汞等易造成生态环境恶化的矿种；国家和省政府规定禁止勘查开采的其他矿种。</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严格矿种管理：对重点勘查、限制勘查矿种要依法落实上级部门下达的勘查计划，并加强监管。对限制开发矿种实行统一规划、总量控制、严格准入、合理开发、综合利用；引导煤炭工业结构调整与转型升级，鼓励煤炭企业开展兼并重组和资源整合，培育中型以上煤炭企业。对重点开发矿种加强保护，明确开发利用效率准入条件，确保优质优用。对禁止勘查开采矿种一律禁止勘查开采活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2、严格限制、禁止开采区管理</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严格限制开采区管理。落实1个省级限制开采区。坚持资源环境保护优先、适度开发的原则，提高矿山企业采选技术准入条件，坚持科学规划论证，严格控制采矿权设置总量、开采总量和开采规模，加大对小、散、乱矿山的整改力度。积极稳妥化解煤炭过剩产能，制定专项整合关闭方案，积极引导落后产能和不符合产业政策的产能有序退出，原则上规划前三年停止新设煤矿采矿权，后两年结合产能过剩化解效果和市场情况，按减量置换原则精准安排新建项目。原则上不再新设除地热、矿泉水以外矿种的采矿权。</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严格禁止开采区管理。划定5个县级禁止开采区。包括铁路桥梁工程上下游各500米范围；公路桥梁工程上下游各200米范围；防洪堤工程安全区；城镇规划区；水利设施（水库、水电站、水塔）安全区；道路、河堤、航运线安全区；跨河输气管道、光缆及输电电缆附近等。</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禁止开采区内严禁开展与资源和环境保护功能不相符的勘查开发活动，不再新设探矿权采矿权，对于与建设保护区相关的地热、矿泉水等矿业权，在征得保护区主管部门同意后方可设置并严格监管，对于国家为资源储备投资开展的矿产勘查，经保护区主管部门同意后方可开展工作。禁止开采区已有矿业权须有序退出，由县级人民政府研究退出补偿方案，并妥善处置，依法有序退出，切实保护好矿业权人合法权益，并及时复垦破坏土地。</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统筹协调城乡建设、环境保护与矿产资源开发关系。建设大型基础设施、大型建筑物（群），未经规划论证和国土资源主管部门批准，不得压覆重要矿产地或矿床。划分主体功能区，设置自然保护区、文化自然遗产、森林公园、风景名胜区等范围时，有关主管部门应与国土资源主管部门进行充分衔接，明确对已有矿业权的处置意见，协调好矿业权人的权益关系。</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3、优化矿产资源勘查开采区划</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点调查评价区。落实1个省级重点调查评价区。积极争取国家、省地勘资金项目，加大地方财政支持力度，进一步落实中央和省统一部署，统筹安排和实施基础地质调查、矿产资源调查评价等工作，提高全县地质矿产调查程度，进一步摸清资源潜力，圈定找矿靶区和新发现矿产地，为杂卤石型钾盐等重要矿产资源勘查奠定基础，引导和服务商业性勘查工作。</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点勘查区。落实1个国家级重点勘查区。加强钾盐、地下热水等重要和优势矿产勘查；开展矿山地质勘查和矿山密集区深部资源勘查，积极推进新区找矿，强化综合勘查与综合评价，实现地质找矿重大突破。加强重点勘查区的统筹规划，引导财政资金和社会资金有序投入矿产勘查。推进整体勘查，严禁将矿产地化大为小、分割出让，严禁新设探矿权勘查程度低于原有工作程度。</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本轮规划符合</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大竹县矿产资源总体规划（2016-2020）</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规划相关要求。</w:t>
      </w:r>
    </w:p>
    <w:p>
      <w:pPr>
        <w:pStyle w:val="6"/>
        <w:bidi w:val="0"/>
        <w:rPr>
          <w:rFonts w:hint="eastAsia"/>
          <w:color w:val="auto"/>
          <w:highlight w:val="none"/>
          <w:lang w:val="en-US" w:eastAsia="zh-CN"/>
        </w:rPr>
      </w:pPr>
      <w:bookmarkStart w:id="158" w:name="_Toc161"/>
      <w:bookmarkStart w:id="159" w:name="_Toc14315"/>
      <w:r>
        <w:rPr>
          <w:rFonts w:hint="eastAsia"/>
          <w:color w:val="auto"/>
          <w:highlight w:val="none"/>
          <w:lang w:val="en-US" w:eastAsia="zh-CN"/>
        </w:rPr>
        <w:t>2.3.8 与大竹县十三五环境保护规划的符合性分析</w:t>
      </w:r>
      <w:bookmarkEnd w:id="158"/>
      <w:bookmarkEnd w:id="159"/>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大竹县十三五环境保护规划</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中提出，“</w:t>
      </w:r>
      <w:r>
        <w:rPr>
          <w:rFonts w:hint="default" w:ascii="Times New Roman" w:hAnsi="Times New Roman" w:cs="Times New Roman"/>
          <w:color w:val="auto"/>
          <w:sz w:val="24"/>
          <w:szCs w:val="24"/>
          <w:highlight w:val="none"/>
        </w:rPr>
        <w:t>对矿产资源的开发利用要在规划的基础上，有计划、有步骤、有限量的开发，防止破坏性的盲目开发所造成的资源浪费和严重的环境污染。积极推进矿山复绿和生态环境治理，尤其对已停止采矿或关闭的矿山及坑口，必须及时做好闭矿复绿。对开发矿产造成流域、区域环境污染且无法有效治理的要予以停采，防止生态环境进一步恶化。开展历史遗留矿山的环境治理和恢复，建立矿山开采的生态环境治理与恢复保证金制度，推动矿山开采的生态修复。</w:t>
      </w:r>
      <w:r>
        <w:rPr>
          <w:rFonts w:hint="eastAsia" w:ascii="Times New Roman" w:hAnsi="Times New Roman" w:cs="Times New Roman"/>
          <w:color w:val="auto"/>
          <w:sz w:val="24"/>
          <w:szCs w:val="24"/>
          <w:highlight w:val="none"/>
          <w:lang w:val="en-US" w:eastAsia="zh-CN"/>
        </w:rPr>
        <w:t>”</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规划位于达州市大竹县，规划实施过程中，各煤矿均应严格按照《矿山生态环境保护与污染防治技术政策》，确保土地复垦率大于95%，土地复垦程度大于82%，复垦检验合格率大于90。同时加强矿区水土流失防治，确保扰动土地整治率大于95%，水土流失总治理度大于95%，土壤流失控制比大于0.8，林草植被回复率大于97%，林草覆盖率大于25%，土壤荒漠化率小于5%，土壤盐渍化率小于1%。</w:t>
      </w:r>
      <w:r>
        <w:rPr>
          <w:rFonts w:hint="eastAsia" w:ascii="Times New Roman" w:hAnsi="Times New Roman" w:cs="Times New Roman"/>
          <w:color w:val="auto"/>
          <w:sz w:val="24"/>
          <w:szCs w:val="24"/>
          <w:highlight w:val="none"/>
          <w:lang w:val="en-US" w:eastAsia="zh-CN"/>
        </w:rPr>
        <w:t>本次规划与</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大竹县十三五环境保护规划</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相符。</w:t>
      </w:r>
    </w:p>
    <w:p>
      <w:pPr>
        <w:pStyle w:val="6"/>
        <w:bidi w:val="0"/>
        <w:rPr>
          <w:rFonts w:hint="eastAsia"/>
          <w:color w:val="auto"/>
          <w:highlight w:val="none"/>
          <w:lang w:val="en-US" w:eastAsia="zh-CN"/>
        </w:rPr>
      </w:pPr>
      <w:bookmarkStart w:id="160" w:name="_Toc3668"/>
      <w:bookmarkStart w:id="161" w:name="_Toc14347"/>
      <w:r>
        <w:rPr>
          <w:rFonts w:hint="eastAsia"/>
          <w:color w:val="auto"/>
          <w:highlight w:val="none"/>
          <w:lang w:val="en-US" w:eastAsia="zh-CN"/>
        </w:rPr>
        <w:t>2.3.9 与区域“三线一单”管控要求的符合性分析</w:t>
      </w:r>
      <w:bookmarkEnd w:id="160"/>
      <w:bookmarkEnd w:id="161"/>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家环保部办公厅2016年2月发布《关于规划环境影响评价加强空间管制、总量管控和环境准入的指导意见（试行）》（环办环评〔2016〕14号），其中明确提出：规划环评工作要尽早介入规划编制，并将空间管制、总量管控和环境准入成果充分融入规划编制、 决策和实施的全过程，切实发挥优化规划目标定位、功能分区、产业布局、开发规模和结构的作用， 推进区域（流域）环境质量改善，维护生态安全…。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2016年7月环境保护部发布的《“十三五”环境影响评价改革实施方案》，其中提出： 以改善环境质量为核心，以全面提高环评有效性为主线，以创新体制机制为动力，以“生态保护红线、环境质量底线、资源利用上线和环境准入负面清单”（以下简称“三线一单”）为手段，强化空间、总量、准入环境管理……。</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四川省人民政府2020年6月28日发布《关于落实生态保护红线、环境质量底线、资源利用上线制定生态环境准入清单实施生态环境分区管控的通知》（川府发〔2020〕9号），按照省委“一干多支、五区协同” 的区域发展战略部署立足五大经济区的区域特征、发展定位及突出生态环境问题，将全省行政区域从生态环境保护角度划分为优先保护、重点管控和一般管控三类环境管控单元。优先保护单元指以生态环境保护为主的区域，主要包括生态保护红线、自然保护地、饮用水水源保护区等，应以生态环境保护优先为原则，严格执行相关法律、法规要求，严守生态环境质量底线，确保生态环境功能不降低。重点管控单元指涉及水、大气、土壤、自然资源等资源环境要素重点管控的区域，应不断提升资源利用效率，有针对性地加强污染物排放控制和环境风险防控， 解决生态环境质量不达标、 生态环境风险高等问题，一般管控单元指除优先保护单元和重点管控单元之外的其他区域， 主要落实生态环境保护基本要求。本次评价将针对上述文件相关要求及</w:t>
      </w:r>
      <w:r>
        <w:rPr>
          <w:rFonts w:hint="eastAsia" w:ascii="Times New Roman" w:hAnsi="Times New Roman" w:cs="Times New Roman"/>
          <w:color w:val="auto"/>
          <w:sz w:val="24"/>
          <w:szCs w:val="24"/>
          <w:highlight w:val="none"/>
          <w:u w:val="single"/>
          <w:lang w:eastAsia="zh-CN"/>
        </w:rPr>
        <w:t>《长江经济带战略环境评价四川省达州市“三线一单”生态环境分区管控优化完善成果》</w:t>
      </w:r>
      <w:r>
        <w:rPr>
          <w:rFonts w:hint="eastAsia" w:ascii="Times New Roman" w:hAnsi="Times New Roman" w:cs="Times New Roman"/>
          <w:color w:val="auto"/>
          <w:sz w:val="24"/>
          <w:szCs w:val="24"/>
          <w:highlight w:val="none"/>
          <w:lang w:eastAsia="zh-CN"/>
        </w:rPr>
        <w:t>中</w:t>
      </w:r>
      <w:r>
        <w:rPr>
          <w:rFonts w:hint="default" w:ascii="Times New Roman" w:hAnsi="Times New Roman" w:cs="Times New Roman"/>
          <w:color w:val="auto"/>
          <w:sz w:val="24"/>
          <w:szCs w:val="24"/>
          <w:highlight w:val="none"/>
        </w:rPr>
        <w:t>矿区</w:t>
      </w:r>
      <w:r>
        <w:rPr>
          <w:rFonts w:hint="eastAsia" w:ascii="Times New Roman" w:hAnsi="Times New Roman" w:cs="Times New Roman"/>
          <w:color w:val="auto"/>
          <w:sz w:val="24"/>
          <w:szCs w:val="24"/>
          <w:highlight w:val="none"/>
          <w:lang w:eastAsia="zh-CN"/>
        </w:rPr>
        <w:t>评价区域</w:t>
      </w:r>
      <w:r>
        <w:rPr>
          <w:rFonts w:hint="default" w:ascii="Times New Roman" w:hAnsi="Times New Roman" w:cs="Times New Roman"/>
          <w:color w:val="auto"/>
          <w:sz w:val="24"/>
          <w:szCs w:val="24"/>
          <w:highlight w:val="none"/>
        </w:rPr>
        <w:t>与“三线一单”控制要求的符合性分析</w:t>
      </w:r>
      <w:r>
        <w:rPr>
          <w:rFonts w:hint="eastAsia" w:ascii="Times New Roman" w:hAnsi="Times New Roman" w:cs="Times New Roman"/>
          <w:color w:val="auto"/>
          <w:sz w:val="24"/>
          <w:szCs w:val="24"/>
          <w:highlight w:val="none"/>
          <w:lang w:eastAsia="zh-CN"/>
        </w:rPr>
        <w:t>。</w:t>
      </w:r>
    </w:p>
    <w:p>
      <w:pPr>
        <w:pStyle w:val="7"/>
        <w:bidi w:val="0"/>
        <w:rPr>
          <w:rFonts w:hint="eastAsia"/>
          <w:color w:val="auto"/>
          <w:highlight w:val="none"/>
          <w:lang w:val="en-US" w:eastAsia="zh-CN"/>
        </w:rPr>
      </w:pPr>
      <w:r>
        <w:rPr>
          <w:rFonts w:hint="eastAsia"/>
          <w:color w:val="auto"/>
          <w:highlight w:val="none"/>
          <w:lang w:val="en-US" w:eastAsia="zh-CN"/>
        </w:rPr>
        <w:t>2.3.9.1 与生态保护红线符合性分析</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红线是保障和维护国家生态安全的底线和生命线，党中央、国务院高度重视划定并严守生态保护红线工作。生态保护红线以生态功能重要区、生态环境敏感区脆弱区科学评估结果为基础，结合各类受保护地区边界校核，并与经济社会发展规划、 主体功能区规划及相关空间规划充分协调。</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四川省生态保护红线总面积14.80 万平方公里，占全省幅员面积的30.45%，主要分布于川西高山高原、川西南山地和盆周山地，分布格局为“四轴九核”。“四轴”指大巴山、 金沙江下游干热河谷、川东南山地以及盆中丘陵区，呈带状分布；“九核”指若尔盖湿地（黄河源）、雅砻江源、大渡河源以及大雪山、沙鲁里山、岷山、邛崃山、凉山—相岭、锦屏山，以水系、山系为骨架集中成片分布。</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关于印发四川省生态保护红线方案的通知》（川府发〔2018〕24号），达州市涉及“盆中城市饮用水源—水土保持生态保护红线”；达州市大竹县涉及“川东南石漠化敏感生态保护红线”；达州市宣汉县、万源市涉及“大巴山生物多样性维护-水源涵养生态保护红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本次规划范围包括华蓥山矿区和中山明月峡矿区，通过矿区规划范围与大竹县生态保护红线矢量图层叠图，规划范围经避让后与生态保护红线无重叠区域。</w:t>
      </w:r>
      <w:r>
        <w:rPr>
          <w:rFonts w:hint="default" w:ascii="Times New Roman" w:hAnsi="Times New Roman" w:cs="Times New Roman"/>
          <w:color w:val="auto"/>
          <w:sz w:val="24"/>
          <w:szCs w:val="24"/>
          <w:highlight w:val="none"/>
        </w:rPr>
        <w:t xml:space="preserve"> 与四川省生态保护红线是相协调的</w:t>
      </w:r>
      <w:r>
        <w:rPr>
          <w:rFonts w:hint="eastAsia" w:ascii="Times New Roman" w:hAnsi="Times New Roman" w:cs="Times New Roman"/>
          <w:color w:val="auto"/>
          <w:sz w:val="24"/>
          <w:szCs w:val="24"/>
          <w:highlight w:val="none"/>
          <w:lang w:eastAsia="zh-CN"/>
        </w:rPr>
        <w:t>。</w:t>
      </w:r>
    </w:p>
    <w:p>
      <w:pPr>
        <w:pStyle w:val="7"/>
        <w:bidi w:val="0"/>
        <w:rPr>
          <w:rFonts w:hint="eastAsia"/>
          <w:color w:val="auto"/>
          <w:highlight w:val="none"/>
          <w:lang w:val="en-US" w:eastAsia="zh-CN"/>
        </w:rPr>
      </w:pPr>
      <w:r>
        <w:rPr>
          <w:rFonts w:hint="eastAsia"/>
          <w:color w:val="auto"/>
          <w:highlight w:val="none"/>
          <w:lang w:val="en-US" w:eastAsia="zh-CN"/>
        </w:rPr>
        <w:t>2.3.9.2 与资源利用上线符合性分析</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各矿井在营运过程中资源利用主要包括电、 水能。 各矿井电源直接由当地电网接入， 电量充沛， 能满足生产用电需要； 生产用水主要来自矿井水， 完全满足生产用水需求， 生活用水主要来自地表溪沟水</w:t>
      </w:r>
      <w:r>
        <w:rPr>
          <w:rFonts w:hint="eastAsia" w:ascii="Times New Roman" w:hAnsi="Times New Roman" w:cs="Times New Roman"/>
          <w:color w:val="auto"/>
          <w:sz w:val="24"/>
          <w:szCs w:val="24"/>
          <w:highlight w:val="none"/>
          <w:lang w:val="en-US" w:eastAsia="zh-CN"/>
        </w:rPr>
        <w:t>及地下水</w:t>
      </w:r>
      <w:r>
        <w:rPr>
          <w:rFonts w:hint="default" w:ascii="Times New Roman" w:hAnsi="Times New Roman" w:cs="Times New Roman"/>
          <w:color w:val="auto"/>
          <w:sz w:val="24"/>
          <w:szCs w:val="24"/>
          <w:highlight w:val="none"/>
        </w:rPr>
        <w:t>， 对当地水资源利用影响不明显， 没有触及当地水资源利用上线。</w:t>
      </w:r>
    </w:p>
    <w:p>
      <w:pPr>
        <w:pStyle w:val="7"/>
        <w:bidi w:val="0"/>
        <w:rPr>
          <w:rFonts w:hint="eastAsia"/>
          <w:color w:val="auto"/>
          <w:highlight w:val="none"/>
          <w:lang w:val="en-US" w:eastAsia="zh-CN"/>
        </w:rPr>
      </w:pPr>
      <w:r>
        <w:rPr>
          <w:rFonts w:hint="eastAsia"/>
          <w:color w:val="auto"/>
          <w:highlight w:val="none"/>
          <w:lang w:val="en-US" w:eastAsia="zh-CN"/>
        </w:rPr>
        <w:t>2.3.9.3 与环境质量底线符合性分析</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根据达州市环境空气、 地表水例行监测资料及本次规划环评补充监测结果表明， 除PM2.5保证率日均值超标外， 区域地表水、 地下水、 土壤及声环境质量现状均较好。 按照达州市空气质量达标规划， 区域环境空气质量在2030年主要指标达标。</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规划环评要求， 区域环境空气PM2.5保证率日均值不达标期间引入排放颗粒物的项目， 大气环境影响预测应按照《环境影响评价技术导则 大气环境》 （HJ2.2-2018） 实施区域削减措施， 满足区域环境空气质量改善要求。</w:t>
      </w:r>
    </w:p>
    <w:p>
      <w:pPr>
        <w:pStyle w:val="7"/>
        <w:bidi w:val="0"/>
        <w:rPr>
          <w:rFonts w:hint="eastAsia"/>
          <w:color w:val="auto"/>
          <w:highlight w:val="none"/>
          <w:lang w:val="en-US" w:eastAsia="zh-CN"/>
        </w:rPr>
      </w:pPr>
      <w:r>
        <w:rPr>
          <w:rFonts w:hint="eastAsia"/>
          <w:color w:val="auto"/>
          <w:highlight w:val="none"/>
          <w:lang w:val="en-US" w:eastAsia="zh-CN"/>
        </w:rPr>
        <w:t>2.3.9.4 与生态环境准入清单的符合性分析</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四川省长江经济带发展负面清单实施细则（试行）》，按照管控要求，禁止在自然保护区内进行砍伐、放牧、狩猎、捕捞、采药、开垦、烧荒、开矿、采石、挖沙等活动；禁止新建和改扩建后产能低于30万t／a的煤矿。</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规划范围不涉及自然保护区。根据《产业结构调整指导目录（2019年本）》，矿区内现有矿井不属于鼓励类和限制类，属于允许类。根据四川省发展改革委印发的《四川省国家重点生态功能区产业准入负面清单(第一批)(试行)》（川发改规划[2017]407号）、《四川省国家重点生态功能区产业准入负面清单(第二批)(试行)》（川发改规划[2018]263号），</w:t>
      </w:r>
      <w:r>
        <w:rPr>
          <w:rFonts w:hint="eastAsia" w:ascii="Times New Roman" w:hAnsi="Times New Roman" w:cs="Times New Roman"/>
          <w:color w:val="auto"/>
          <w:sz w:val="24"/>
          <w:szCs w:val="24"/>
          <w:highlight w:val="none"/>
          <w:lang w:val="en-US" w:eastAsia="zh-CN"/>
        </w:rPr>
        <w:t>大竹县</w:t>
      </w:r>
      <w:r>
        <w:rPr>
          <w:rFonts w:hint="default" w:ascii="Times New Roman" w:hAnsi="Times New Roman" w:cs="Times New Roman"/>
          <w:color w:val="auto"/>
          <w:sz w:val="24"/>
          <w:szCs w:val="24"/>
          <w:highlight w:val="none"/>
        </w:rPr>
        <w:t>不在其所列区县之列。因此，该行业不属于区域禁止准入产业，未列入当地环境准入负面清单</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符合管控要求</w:t>
      </w:r>
      <w:r>
        <w:rPr>
          <w:rFonts w:hint="eastAsia" w:ascii="Times New Roman" w:hAnsi="Times New Roman" w:cs="Times New Roman"/>
          <w:color w:val="auto"/>
          <w:sz w:val="24"/>
          <w:szCs w:val="24"/>
          <w:highlight w:val="none"/>
          <w:lang w:eastAsia="zh-CN"/>
        </w:rPr>
        <w:t>。</w:t>
      </w:r>
    </w:p>
    <w:p>
      <w:pPr>
        <w:pStyle w:val="5"/>
        <w:bidi w:val="0"/>
        <w:rPr>
          <w:rFonts w:hint="eastAsia"/>
          <w:color w:val="auto"/>
          <w:highlight w:val="none"/>
          <w:lang w:val="en-US" w:eastAsia="zh-CN"/>
        </w:rPr>
      </w:pPr>
      <w:bookmarkStart w:id="162" w:name="_Toc1563"/>
      <w:bookmarkStart w:id="163" w:name="_Toc29222"/>
      <w:r>
        <w:rPr>
          <w:rFonts w:hint="eastAsia"/>
          <w:color w:val="auto"/>
          <w:highlight w:val="none"/>
          <w:lang w:val="en-US" w:eastAsia="zh-CN"/>
        </w:rPr>
        <w:t>2.4 规划方案的初步筛选</w:t>
      </w:r>
      <w:bookmarkEnd w:id="162"/>
      <w:bookmarkEnd w:id="163"/>
    </w:p>
    <w:p>
      <w:pPr>
        <w:bidi w:val="0"/>
        <w:rPr>
          <w:rFonts w:hint="default" w:ascii="Times New Roman" w:hAnsi="Times New Roman" w:cs="Times New Roman"/>
          <w:color w:val="auto"/>
          <w:sz w:val="24"/>
          <w:szCs w:val="24"/>
          <w:highlight w:val="none"/>
        </w:rPr>
        <w:sectPr>
          <w:headerReference r:id="rId11" w:type="default"/>
          <w:footerReference r:id="rId12" w:type="default"/>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auto"/>
          <w:sz w:val="24"/>
          <w:szCs w:val="24"/>
          <w:highlight w:val="none"/>
        </w:rPr>
        <w:t>矿区包括</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rPr>
        <w:t>宗矿井，均为已设矿权，除</w:t>
      </w:r>
      <w:r>
        <w:rPr>
          <w:rFonts w:hint="eastAsia" w:ascii="Times New Roman" w:hAnsi="Times New Roman" w:cs="Times New Roman"/>
          <w:color w:val="auto"/>
          <w:sz w:val="24"/>
          <w:szCs w:val="24"/>
          <w:highlight w:val="none"/>
          <w:lang w:val="en-US" w:eastAsia="zh-CN"/>
        </w:rPr>
        <w:t>柏林煤矿和堡子煤矿为生产矿井外，</w:t>
      </w:r>
      <w:r>
        <w:rPr>
          <w:rFonts w:hint="default" w:ascii="Times New Roman" w:hAnsi="Times New Roman" w:cs="Times New Roman"/>
          <w:color w:val="auto"/>
          <w:sz w:val="24"/>
          <w:szCs w:val="24"/>
          <w:highlight w:val="none"/>
        </w:rPr>
        <w:t>其余</w:t>
      </w:r>
      <w:r>
        <w:rPr>
          <w:rFonts w:hint="eastAsia" w:ascii="Times New Roman" w:hAnsi="Times New Roman" w:cs="Times New Roman"/>
          <w:color w:val="auto"/>
          <w:sz w:val="24"/>
          <w:szCs w:val="24"/>
          <w:highlight w:val="none"/>
          <w:lang w:val="en-US" w:eastAsia="zh-CN"/>
        </w:rPr>
        <w:t>煤矿均</w:t>
      </w:r>
      <w:r>
        <w:rPr>
          <w:rFonts w:hint="default" w:ascii="Times New Roman" w:hAnsi="Times New Roman" w:cs="Times New Roman"/>
          <w:color w:val="auto"/>
          <w:sz w:val="24"/>
          <w:szCs w:val="24"/>
          <w:highlight w:val="none"/>
        </w:rPr>
        <w:t>属于《四川省人民政府&lt;关于30万吨/年以下煤矿分类处置方案的批复&gt;》（川府函[2020]45号）中的独立升级改造矿井</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兼并重组及保留矿井</w:t>
      </w:r>
      <w:r>
        <w:rPr>
          <w:rFonts w:hint="default" w:ascii="Times New Roman" w:hAnsi="Times New Roman" w:cs="Times New Roman"/>
          <w:color w:val="auto"/>
          <w:sz w:val="24"/>
          <w:szCs w:val="24"/>
          <w:highlight w:val="none"/>
        </w:rPr>
        <w:t>。因此，本次矿区规划在规划范围、规模、建设时序、开采方式以及煤炭加工等方面的方案无比选方案，本次评价不再对规划方案进行筛选。</w:t>
      </w:r>
    </w:p>
    <w:p>
      <w:pPr>
        <w:pStyle w:val="4"/>
        <w:numPr>
          <w:ilvl w:val="0"/>
          <w:numId w:val="5"/>
        </w:numPr>
        <w:bidi w:val="0"/>
        <w:rPr>
          <w:color w:val="auto"/>
          <w:highlight w:val="none"/>
        </w:rPr>
      </w:pPr>
      <w:bookmarkStart w:id="164" w:name="2.2 规划方案的内部协调性及存在的问题"/>
      <w:bookmarkEnd w:id="164"/>
      <w:bookmarkStart w:id="165" w:name="_bookmark12"/>
      <w:bookmarkEnd w:id="165"/>
      <w:bookmarkStart w:id="166" w:name="_bookmark11"/>
      <w:bookmarkEnd w:id="166"/>
      <w:bookmarkStart w:id="167" w:name="_bookmark14"/>
      <w:bookmarkEnd w:id="167"/>
      <w:bookmarkStart w:id="168" w:name="3 环境现状调查、分析与评价"/>
      <w:bookmarkEnd w:id="168"/>
      <w:bookmarkStart w:id="169" w:name="2.4 规划方案的初步筛选"/>
      <w:bookmarkEnd w:id="169"/>
      <w:bookmarkStart w:id="170" w:name="_bookmark10"/>
      <w:bookmarkEnd w:id="170"/>
      <w:bookmarkStart w:id="171" w:name="2.1 规划方案概述"/>
      <w:bookmarkEnd w:id="171"/>
      <w:bookmarkStart w:id="172" w:name="2.3 规划方案协调性分析"/>
      <w:bookmarkEnd w:id="172"/>
      <w:bookmarkStart w:id="173" w:name="_bookmark13"/>
      <w:bookmarkEnd w:id="173"/>
      <w:bookmarkStart w:id="174" w:name="_Toc23441"/>
      <w:bookmarkStart w:id="175" w:name="_Toc5135"/>
      <w:r>
        <w:rPr>
          <w:color w:val="auto"/>
          <w:highlight w:val="none"/>
        </w:rPr>
        <w:t>环境现状调查、分析与评价</w:t>
      </w:r>
      <w:bookmarkEnd w:id="174"/>
      <w:bookmarkEnd w:id="175"/>
    </w:p>
    <w:p>
      <w:pPr>
        <w:pStyle w:val="5"/>
        <w:numPr>
          <w:ilvl w:val="1"/>
          <w:numId w:val="5"/>
        </w:numPr>
        <w:bidi w:val="0"/>
        <w:rPr>
          <w:color w:val="auto"/>
          <w:highlight w:val="none"/>
        </w:rPr>
      </w:pPr>
      <w:bookmarkStart w:id="176" w:name="3.1 环境现状调查"/>
      <w:bookmarkEnd w:id="176"/>
      <w:bookmarkStart w:id="177" w:name="_bookmark15"/>
      <w:bookmarkEnd w:id="177"/>
      <w:bookmarkStart w:id="178" w:name="_Toc32402"/>
      <w:bookmarkStart w:id="179" w:name="_Toc1657"/>
      <w:r>
        <w:rPr>
          <w:color w:val="auto"/>
          <w:highlight w:val="none"/>
        </w:rPr>
        <w:t>环境现状调查</w:t>
      </w:r>
      <w:bookmarkEnd w:id="178"/>
      <w:bookmarkEnd w:id="179"/>
    </w:p>
    <w:p>
      <w:pPr>
        <w:pStyle w:val="6"/>
        <w:numPr>
          <w:ilvl w:val="2"/>
          <w:numId w:val="5"/>
        </w:numPr>
        <w:bidi w:val="0"/>
        <w:rPr>
          <w:color w:val="auto"/>
          <w:highlight w:val="none"/>
        </w:rPr>
      </w:pPr>
      <w:bookmarkStart w:id="180" w:name="3.1.1 自然环境概况"/>
      <w:bookmarkEnd w:id="180"/>
      <w:bookmarkStart w:id="181" w:name="3.1.1 自然环境概况"/>
      <w:bookmarkEnd w:id="181"/>
      <w:bookmarkStart w:id="182" w:name="_Toc19329"/>
      <w:bookmarkStart w:id="183" w:name="_Toc7891"/>
      <w:r>
        <w:rPr>
          <w:color w:val="auto"/>
          <w:highlight w:val="none"/>
        </w:rPr>
        <w:t>自然环境概况</w:t>
      </w:r>
      <w:bookmarkEnd w:id="182"/>
      <w:bookmarkEnd w:id="183"/>
    </w:p>
    <w:p>
      <w:pPr>
        <w:pStyle w:val="7"/>
        <w:numPr>
          <w:ilvl w:val="3"/>
          <w:numId w:val="6"/>
        </w:numPr>
        <w:bidi w:val="0"/>
        <w:rPr>
          <w:color w:val="auto"/>
          <w:highlight w:val="none"/>
        </w:rPr>
      </w:pPr>
      <w:r>
        <w:rPr>
          <w:color w:val="auto"/>
          <w:highlight w:val="none"/>
        </w:rPr>
        <w:t>交通地理位置</w:t>
      </w:r>
    </w:p>
    <w:p>
      <w:pPr>
        <w:bidi w:val="0"/>
        <w:rPr>
          <w:rFonts w:hint="eastAsia"/>
          <w:color w:val="auto"/>
          <w:highlight w:val="none"/>
        </w:rPr>
      </w:pPr>
      <w:r>
        <w:rPr>
          <w:color w:val="auto"/>
          <w:highlight w:val="none"/>
        </w:rPr>
        <w:t>大竹县位于四川盆地东部，地跨东经106°59′—107°32′，北纬30°20′—31°00′，东邻重庆市梁平县、垫江县，南接邻水县，西连广安市，北靠达川区。东西宽45km，南北长75km，幅员面积2079k</w:t>
      </w:r>
      <w:r>
        <w:rPr>
          <w:rFonts w:hint="eastAsia"/>
          <w:color w:val="auto"/>
          <w:highlight w:val="none"/>
          <w:lang w:val="en-US" w:eastAsia="zh-CN"/>
        </w:rPr>
        <w:t>m</w:t>
      </w:r>
      <w:r>
        <w:rPr>
          <w:rFonts w:hint="eastAsia"/>
          <w:color w:val="auto"/>
          <w:highlight w:val="none"/>
          <w:vertAlign w:val="superscript"/>
          <w:lang w:val="en-US" w:eastAsia="zh-CN"/>
        </w:rPr>
        <w:t>2</w:t>
      </w:r>
      <w:r>
        <w:rPr>
          <w:color w:val="auto"/>
          <w:highlight w:val="none"/>
        </w:rPr>
        <w:t>。</w:t>
      </w:r>
    </w:p>
    <w:p>
      <w:pPr>
        <w:bidi w:val="0"/>
        <w:rPr>
          <w:color w:val="auto"/>
          <w:highlight w:val="none"/>
        </w:rPr>
      </w:pPr>
      <w:r>
        <w:rPr>
          <w:rFonts w:hint="eastAsia"/>
          <w:color w:val="auto"/>
          <w:highlight w:val="none"/>
        </w:rPr>
        <w:t>大竹县地处成都、重庆、西安、武汉交汇辐射的腹心地带，境内G65达渝高速公路、G5515南大梁高速公路、国道318线、国道210线纵横贯穿，县城北距达州60km，南距重庆机场135km，东距万州港176km，西距成都350km，区内乡镇、行政村均通水泥（油）路，形成了“半小时达州、1小时重庆、3小时成都、5小时西安、5小时武汉”的通达格局。县内交通主要为公路运输，交通较为方便。</w:t>
      </w:r>
      <w:r>
        <w:rPr>
          <w:color w:val="auto"/>
          <w:highlight w:val="none"/>
        </w:rPr>
        <w:t>（交通地理位置见图</w:t>
      </w:r>
      <w:r>
        <w:rPr>
          <w:rFonts w:hint="eastAsia"/>
          <w:color w:val="auto"/>
          <w:highlight w:val="none"/>
          <w:lang w:val="en-US" w:eastAsia="zh-CN"/>
        </w:rPr>
        <w:t>3</w:t>
      </w:r>
      <w:r>
        <w:rPr>
          <w:color w:val="auto"/>
          <w:highlight w:val="none"/>
        </w:rPr>
        <w:t>.1-1）。</w:t>
      </w:r>
    </w:p>
    <w:p>
      <w:pPr>
        <w:pStyle w:val="22"/>
        <w:bidi w:val="0"/>
        <w:rPr>
          <w:rFonts w:ascii="仿宋_GB2312" w:hAnsi="仿宋_GB2312" w:eastAsia="仿宋_GB2312"/>
          <w:color w:val="auto"/>
          <w:kern w:val="0"/>
          <w:sz w:val="28"/>
          <w:szCs w:val="28"/>
          <w:highlight w:val="none"/>
        </w:rPr>
      </w:pPr>
      <w:r>
        <w:rPr>
          <w:rFonts w:ascii="仿宋_GB2312" w:hAnsi="仿宋_GB2312" w:eastAsia="仿宋_GB2312"/>
          <w:color w:val="auto"/>
          <w:kern w:val="0"/>
          <w:sz w:val="28"/>
          <w:szCs w:val="28"/>
          <w:highlight w:val="none"/>
        </w:rPr>
        <w:drawing>
          <wp:inline distT="0" distB="0" distL="114300" distR="114300">
            <wp:extent cx="5534025" cy="2724150"/>
            <wp:effectExtent l="0" t="0" r="9525" b="0"/>
            <wp:docPr id="2" name="图片 1" descr="说明: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说明: 111"/>
                    <pic:cNvPicPr>
                      <a:picLocks noChangeAspect="1"/>
                    </pic:cNvPicPr>
                  </pic:nvPicPr>
                  <pic:blipFill>
                    <a:blip r:embed="rId45"/>
                    <a:stretch>
                      <a:fillRect/>
                    </a:stretch>
                  </pic:blipFill>
                  <pic:spPr>
                    <a:xfrm>
                      <a:off x="0" y="0"/>
                      <a:ext cx="5534025" cy="2724150"/>
                    </a:xfrm>
                    <a:prstGeom prst="rect">
                      <a:avLst/>
                    </a:prstGeom>
                    <a:noFill/>
                    <a:ln>
                      <a:noFill/>
                    </a:ln>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图3.1-1   大竹县交通地理位置图</w:t>
      </w:r>
    </w:p>
    <w:p>
      <w:pPr>
        <w:pStyle w:val="7"/>
        <w:numPr>
          <w:ilvl w:val="3"/>
          <w:numId w:val="6"/>
        </w:numPr>
        <w:bidi w:val="0"/>
        <w:ind w:left="0" w:leftChars="0" w:firstLine="0" w:firstLineChars="0"/>
        <w:rPr>
          <w:color w:val="auto"/>
          <w:highlight w:val="none"/>
        </w:rPr>
      </w:pPr>
      <w:r>
        <w:rPr>
          <w:color w:val="auto"/>
          <w:highlight w:val="none"/>
        </w:rPr>
        <w:t>地形、地貌</w:t>
      </w:r>
    </w:p>
    <w:p>
      <w:pPr>
        <w:bidi w:val="0"/>
        <w:rPr>
          <w:color w:val="auto"/>
          <w:highlight w:val="none"/>
        </w:rPr>
      </w:pPr>
      <w:r>
        <w:rPr>
          <w:rFonts w:hint="eastAsia"/>
          <w:color w:val="auto"/>
          <w:highlight w:val="none"/>
          <w:lang w:eastAsia="zh-CN"/>
        </w:rPr>
        <w:t>大竹县</w:t>
      </w:r>
      <w:r>
        <w:rPr>
          <w:rFonts w:hint="eastAsia"/>
          <w:color w:val="auto"/>
          <w:highlight w:val="none"/>
        </w:rPr>
        <w:t>属地处川东丘陵地区，由西山(华蓥山背斜山脉)、中山(铜锣峡背斜山脉)、东山(明月峡背斜山脉)构成“三山两槽”的平行岭谷地形，由北东、南西向平行排列。三山之间为宽阔的槽谷，西槽(俗称山前)宽约18km；东槽(俗称山后)宽12km左右。海拔高程：西山较高，一般在+1000m左右，主峰万里坪高+1196.2m。东山、中山较低，一般为+900m左右。槽内丘陵起伏，一般为+400m左右，少数山丘达+500m～+600m。</w:t>
      </w:r>
    </w:p>
    <w:p>
      <w:pPr>
        <w:bidi w:val="0"/>
        <w:rPr>
          <w:color w:val="auto"/>
          <w:highlight w:val="none"/>
        </w:rPr>
      </w:pPr>
      <w:r>
        <w:rPr>
          <w:rFonts w:hint="eastAsia"/>
          <w:color w:val="auto"/>
          <w:highlight w:val="none"/>
        </w:rPr>
        <w:t>地质岩层从中生代的三迭系到新生代的第四系出露有8个地质岩层。从山顶至谷底分别出露岩层为三迭系飞仙关组、嘉陵江组、雷口坡组、须家河组、侏罗纪自流井组、沙溪庙组、遂宁组和第四代河流冲积物。</w:t>
      </w:r>
    </w:p>
    <w:p>
      <w:pPr>
        <w:bidi w:val="0"/>
        <w:rPr>
          <w:color w:val="auto"/>
          <w:sz w:val="5"/>
          <w:highlight w:val="none"/>
        </w:rPr>
      </w:pPr>
      <w:r>
        <w:rPr>
          <w:color w:val="auto"/>
          <w:highlight w:val="none"/>
        </w:rPr>
        <w:t>区域地形地貌见图</w:t>
      </w:r>
      <w:r>
        <w:rPr>
          <w:rFonts w:ascii="Times New Roman" w:eastAsia="Times New Roman"/>
          <w:color w:val="auto"/>
          <w:highlight w:val="none"/>
        </w:rPr>
        <w:t>3.1-</w:t>
      </w:r>
      <w:r>
        <w:rPr>
          <w:rFonts w:hint="eastAsia"/>
          <w:color w:val="auto"/>
          <w:highlight w:val="none"/>
          <w:lang w:val="en-US" w:eastAsia="zh-CN"/>
        </w:rPr>
        <w:t>2</w:t>
      </w:r>
      <w:r>
        <w:rPr>
          <w:color w:val="auto"/>
          <w:highlight w:val="none"/>
        </w:rPr>
        <w:t>。</w:t>
      </w:r>
    </w:p>
    <w:p>
      <w:pPr>
        <w:pStyle w:val="22"/>
        <w:bidi w:val="0"/>
        <w:rPr>
          <w:color w:val="auto"/>
          <w:highlight w:val="none"/>
        </w:rPr>
      </w:pPr>
      <w:r>
        <w:rPr>
          <w:color w:val="auto"/>
          <w:highlight w:val="none"/>
        </w:rPr>
        <w:drawing>
          <wp:inline distT="0" distB="0" distL="114300" distR="114300">
            <wp:extent cx="5967095" cy="3601720"/>
            <wp:effectExtent l="0" t="0" r="1460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6"/>
                    <a:stretch>
                      <a:fillRect/>
                    </a:stretch>
                  </pic:blipFill>
                  <pic:spPr>
                    <a:xfrm>
                      <a:off x="0" y="0"/>
                      <a:ext cx="5967095" cy="3601720"/>
                    </a:xfrm>
                    <a:prstGeom prst="rect">
                      <a:avLst/>
                    </a:prstGeom>
                    <a:noFill/>
                    <a:ln>
                      <a:noFill/>
                    </a:ln>
                  </pic:spPr>
                </pic:pic>
              </a:graphicData>
            </a:graphic>
          </wp:inline>
        </w:drawing>
      </w:r>
    </w:p>
    <w:p>
      <w:pPr>
        <w:pStyle w:val="22"/>
        <w:bidi w:val="0"/>
        <w:rPr>
          <w:color w:val="auto"/>
          <w:highlight w:val="none"/>
        </w:rPr>
      </w:pPr>
      <w:r>
        <w:rPr>
          <w:color w:val="auto"/>
          <w:highlight w:val="none"/>
        </w:rPr>
        <w:t>图</w:t>
      </w:r>
      <w:r>
        <w:rPr>
          <w:rFonts w:ascii="Times New Roman" w:eastAsia="Times New Roman"/>
          <w:color w:val="auto"/>
          <w:highlight w:val="none"/>
        </w:rPr>
        <w:t>3.1-</w:t>
      </w:r>
      <w:r>
        <w:rPr>
          <w:rFonts w:hint="eastAsia"/>
          <w:color w:val="auto"/>
          <w:highlight w:val="none"/>
          <w:lang w:val="en-US" w:eastAsia="zh-CN"/>
        </w:rPr>
        <w:t>2</w:t>
      </w:r>
      <w:r>
        <w:rPr>
          <w:rFonts w:ascii="Times New Roman" w:eastAsia="Times New Roman"/>
          <w:color w:val="auto"/>
          <w:spacing w:val="59"/>
          <w:highlight w:val="none"/>
        </w:rPr>
        <w:t xml:space="preserve"> </w:t>
      </w:r>
      <w:r>
        <w:rPr>
          <w:rFonts w:hint="eastAsia"/>
          <w:color w:val="auto"/>
          <w:spacing w:val="59"/>
          <w:highlight w:val="none"/>
          <w:lang w:eastAsia="zh-CN"/>
        </w:rPr>
        <w:t>大竹县</w:t>
      </w:r>
      <w:r>
        <w:rPr>
          <w:color w:val="auto"/>
          <w:highlight w:val="none"/>
        </w:rPr>
        <w:t>地形地貌</w:t>
      </w:r>
    </w:p>
    <w:p>
      <w:pPr>
        <w:pStyle w:val="7"/>
        <w:numPr>
          <w:ilvl w:val="3"/>
          <w:numId w:val="6"/>
        </w:numPr>
        <w:bidi w:val="0"/>
        <w:ind w:left="0" w:leftChars="0" w:firstLine="0" w:firstLineChars="0"/>
        <w:rPr>
          <w:color w:val="auto"/>
          <w:highlight w:val="none"/>
        </w:rPr>
      </w:pPr>
      <w:r>
        <w:rPr>
          <w:color w:val="auto"/>
          <w:highlight w:val="none"/>
        </w:rPr>
        <w:t>气候、气象</w:t>
      </w:r>
    </w:p>
    <w:p>
      <w:pPr>
        <w:bidi w:val="0"/>
        <w:rPr>
          <w:color w:val="auto"/>
          <w:highlight w:val="none"/>
        </w:rPr>
      </w:pPr>
      <w:r>
        <w:rPr>
          <w:rFonts w:hint="eastAsia"/>
          <w:color w:val="auto"/>
          <w:highlight w:val="none"/>
        </w:rPr>
        <w:t>大竹县属四川盆地亚热带湿润气候区，特点是：日照适宜，热量丰富，雨量充沛，温暖湿润，无霜期长，大陆性季风气候显著。因此，农业气候四季分明，春季气温不稳定，回升缓慢，多寒潮；夏季气温高，降雨集中，光照充足，暑热多伏旱；秋季温暖，多连绵雨；冬季凉，多云雾，霜雪少，无霜期长。总的来说，农业气候比较优越，但降雨时常分布不均，干旱较频繁，尤以伏旱严重，冰雹、大风、暴雨，亦有发生。</w:t>
      </w:r>
    </w:p>
    <w:p>
      <w:pPr>
        <w:bidi w:val="0"/>
        <w:rPr>
          <w:color w:val="auto"/>
          <w:highlight w:val="none"/>
        </w:rPr>
      </w:pPr>
      <w:r>
        <w:rPr>
          <w:rFonts w:hint="eastAsia"/>
          <w:color w:val="auto"/>
          <w:highlight w:val="none"/>
        </w:rPr>
        <w:t>大竹县气温随海拔高程和地理位置的不同而有所差异，在地理位置上，总的趋势是从南到北气温有所下降，随海拔高程的增高而有所降低。多年平均气温</w:t>
      </w:r>
      <w:r>
        <w:rPr>
          <w:color w:val="auto"/>
          <w:highlight w:val="none"/>
        </w:rPr>
        <w:t>16.6</w:t>
      </w:r>
      <w:r>
        <w:rPr>
          <w:rFonts w:hint="eastAsia"/>
          <w:color w:val="auto"/>
          <w:highlight w:val="none"/>
        </w:rPr>
        <w:t>℃，最高气温一般出现在</w:t>
      </w:r>
      <w:r>
        <w:rPr>
          <w:color w:val="auto"/>
          <w:highlight w:val="none"/>
        </w:rPr>
        <w:t>8</w:t>
      </w:r>
      <w:r>
        <w:rPr>
          <w:rFonts w:hint="eastAsia"/>
          <w:color w:val="auto"/>
          <w:highlight w:val="none"/>
        </w:rPr>
        <w:t>月（月平均气温</w:t>
      </w:r>
      <w:r>
        <w:rPr>
          <w:color w:val="auto"/>
          <w:highlight w:val="none"/>
        </w:rPr>
        <w:t>26.6</w:t>
      </w:r>
      <w:r>
        <w:rPr>
          <w:rFonts w:hint="eastAsia"/>
          <w:color w:val="auto"/>
          <w:highlight w:val="none"/>
        </w:rPr>
        <w:t>℃），极端最高温度</w:t>
      </w:r>
      <w:r>
        <w:rPr>
          <w:color w:val="auto"/>
          <w:highlight w:val="none"/>
        </w:rPr>
        <w:t>39.4</w:t>
      </w:r>
      <w:r>
        <w:rPr>
          <w:rFonts w:hint="eastAsia"/>
          <w:color w:val="auto"/>
          <w:highlight w:val="none"/>
        </w:rPr>
        <w:t>℃（</w:t>
      </w:r>
      <w:r>
        <w:rPr>
          <w:color w:val="auto"/>
          <w:highlight w:val="none"/>
        </w:rPr>
        <w:t>1995</w:t>
      </w:r>
      <w:r>
        <w:rPr>
          <w:rFonts w:hint="eastAsia"/>
          <w:color w:val="auto"/>
          <w:highlight w:val="none"/>
        </w:rPr>
        <w:t>年</w:t>
      </w:r>
      <w:r>
        <w:rPr>
          <w:color w:val="auto"/>
          <w:highlight w:val="none"/>
        </w:rPr>
        <w:t>9</w:t>
      </w:r>
      <w:r>
        <w:rPr>
          <w:rFonts w:hint="eastAsia"/>
          <w:color w:val="auto"/>
          <w:highlight w:val="none"/>
        </w:rPr>
        <w:t>月</w:t>
      </w:r>
      <w:r>
        <w:rPr>
          <w:color w:val="auto"/>
          <w:highlight w:val="none"/>
        </w:rPr>
        <w:t>7</w:t>
      </w:r>
      <w:r>
        <w:rPr>
          <w:rFonts w:hint="eastAsia"/>
          <w:color w:val="auto"/>
          <w:highlight w:val="none"/>
        </w:rPr>
        <w:t>日）。最低气温一般出现在</w:t>
      </w:r>
      <w:r>
        <w:rPr>
          <w:color w:val="auto"/>
          <w:highlight w:val="none"/>
        </w:rPr>
        <w:t>1</w:t>
      </w:r>
      <w:r>
        <w:rPr>
          <w:rFonts w:hint="eastAsia"/>
          <w:color w:val="auto"/>
          <w:highlight w:val="none"/>
        </w:rPr>
        <w:t>月（月平均气温</w:t>
      </w:r>
      <w:r>
        <w:rPr>
          <w:color w:val="auto"/>
          <w:highlight w:val="none"/>
        </w:rPr>
        <w:t>6.0</w:t>
      </w:r>
      <w:r>
        <w:rPr>
          <w:rFonts w:hint="eastAsia"/>
          <w:color w:val="auto"/>
          <w:highlight w:val="none"/>
        </w:rPr>
        <w:t>℃），极端最低气温</w:t>
      </w:r>
      <w:r>
        <w:rPr>
          <w:color w:val="auto"/>
          <w:highlight w:val="none"/>
        </w:rPr>
        <w:t>-4.7</w:t>
      </w:r>
      <w:r>
        <w:rPr>
          <w:rFonts w:hint="eastAsia"/>
          <w:color w:val="auto"/>
          <w:highlight w:val="none"/>
        </w:rPr>
        <w:t>℃（</w:t>
      </w:r>
      <w:r>
        <w:rPr>
          <w:color w:val="auto"/>
          <w:highlight w:val="none"/>
        </w:rPr>
        <w:t>1991</w:t>
      </w:r>
      <w:r>
        <w:rPr>
          <w:rFonts w:hint="eastAsia"/>
          <w:color w:val="auto"/>
          <w:highlight w:val="none"/>
        </w:rPr>
        <w:t>年</w:t>
      </w:r>
      <w:r>
        <w:rPr>
          <w:color w:val="auto"/>
          <w:highlight w:val="none"/>
        </w:rPr>
        <w:t>12</w:t>
      </w:r>
      <w:r>
        <w:rPr>
          <w:rFonts w:hint="eastAsia"/>
          <w:color w:val="auto"/>
          <w:highlight w:val="none"/>
        </w:rPr>
        <w:t>月</w:t>
      </w:r>
      <w:r>
        <w:rPr>
          <w:color w:val="auto"/>
          <w:highlight w:val="none"/>
        </w:rPr>
        <w:t>28</w:t>
      </w:r>
      <w:r>
        <w:rPr>
          <w:rFonts w:hint="eastAsia"/>
          <w:color w:val="auto"/>
          <w:highlight w:val="none"/>
        </w:rPr>
        <w:t>日）。≥</w:t>
      </w:r>
      <w:r>
        <w:rPr>
          <w:color w:val="auto"/>
          <w:highlight w:val="none"/>
        </w:rPr>
        <w:t>10</w:t>
      </w:r>
      <w:r>
        <w:rPr>
          <w:rFonts w:hint="eastAsia"/>
          <w:color w:val="auto"/>
          <w:highlight w:val="none"/>
        </w:rPr>
        <w:t>℃的积温</w:t>
      </w:r>
      <w:r>
        <w:rPr>
          <w:color w:val="auto"/>
          <w:highlight w:val="none"/>
        </w:rPr>
        <w:t>5237.4</w:t>
      </w:r>
      <w:r>
        <w:rPr>
          <w:rFonts w:hint="eastAsia"/>
          <w:color w:val="auto"/>
          <w:highlight w:val="none"/>
        </w:rPr>
        <w:t>℃。受地形、天气状况等因素影响，年均日照</w:t>
      </w:r>
      <w:r>
        <w:rPr>
          <w:color w:val="auto"/>
          <w:highlight w:val="none"/>
        </w:rPr>
        <w:t>1088.6</w:t>
      </w:r>
      <w:r>
        <w:rPr>
          <w:rFonts w:hint="eastAsia"/>
          <w:color w:val="auto"/>
          <w:highlight w:val="none"/>
        </w:rPr>
        <w:t>h，最多</w:t>
      </w:r>
      <w:r>
        <w:rPr>
          <w:color w:val="auto"/>
          <w:highlight w:val="none"/>
        </w:rPr>
        <w:t>1383.2</w:t>
      </w:r>
      <w:r>
        <w:rPr>
          <w:rFonts w:hint="eastAsia"/>
          <w:color w:val="auto"/>
          <w:highlight w:val="none"/>
        </w:rPr>
        <w:t>h（</w:t>
      </w:r>
      <w:r>
        <w:rPr>
          <w:color w:val="auto"/>
          <w:highlight w:val="none"/>
        </w:rPr>
        <w:t>2001</w:t>
      </w:r>
      <w:r>
        <w:rPr>
          <w:rFonts w:hint="eastAsia"/>
          <w:color w:val="auto"/>
          <w:highlight w:val="none"/>
        </w:rPr>
        <w:t>年），最少</w:t>
      </w:r>
      <w:r>
        <w:rPr>
          <w:color w:val="auto"/>
          <w:highlight w:val="none"/>
        </w:rPr>
        <w:t>1023.4</w:t>
      </w:r>
      <w:r>
        <w:rPr>
          <w:rFonts w:hint="eastAsia"/>
          <w:color w:val="auto"/>
          <w:highlight w:val="none"/>
        </w:rPr>
        <w:t>h（</w:t>
      </w:r>
      <w:r>
        <w:rPr>
          <w:color w:val="auto"/>
          <w:highlight w:val="none"/>
        </w:rPr>
        <w:t>1989</w:t>
      </w:r>
      <w:r>
        <w:rPr>
          <w:rFonts w:hint="eastAsia"/>
          <w:color w:val="auto"/>
          <w:highlight w:val="none"/>
        </w:rPr>
        <w:t>年），年均日照百分率为</w:t>
      </w:r>
      <w:r>
        <w:rPr>
          <w:color w:val="auto"/>
          <w:highlight w:val="none"/>
        </w:rPr>
        <w:t>28.4%</w:t>
      </w:r>
      <w:r>
        <w:rPr>
          <w:rFonts w:hint="eastAsia"/>
          <w:color w:val="auto"/>
          <w:highlight w:val="none"/>
        </w:rPr>
        <w:t>，区内照时数的地域分布是北多南少，季节分布是夏季最多（平均占年日照时数的</w:t>
      </w:r>
      <w:r>
        <w:rPr>
          <w:color w:val="auto"/>
          <w:highlight w:val="none"/>
        </w:rPr>
        <w:t>39%</w:t>
      </w:r>
      <w:r>
        <w:rPr>
          <w:rFonts w:hint="eastAsia"/>
          <w:color w:val="auto"/>
          <w:highlight w:val="none"/>
        </w:rPr>
        <w:t>），冬季最少（平均占年日照时数的</w:t>
      </w:r>
      <w:r>
        <w:rPr>
          <w:color w:val="auto"/>
          <w:highlight w:val="none"/>
        </w:rPr>
        <w:t>20%</w:t>
      </w:r>
      <w:r>
        <w:rPr>
          <w:rFonts w:hint="eastAsia"/>
          <w:color w:val="auto"/>
          <w:highlight w:val="none"/>
        </w:rPr>
        <w:t>），年内</w:t>
      </w:r>
      <w:r>
        <w:rPr>
          <w:color w:val="auto"/>
          <w:highlight w:val="none"/>
        </w:rPr>
        <w:t>8</w:t>
      </w:r>
      <w:r>
        <w:rPr>
          <w:rFonts w:hint="eastAsia"/>
          <w:color w:val="auto"/>
          <w:highlight w:val="none"/>
        </w:rPr>
        <w:t>月最多，达</w:t>
      </w:r>
      <w:r>
        <w:rPr>
          <w:color w:val="auto"/>
          <w:highlight w:val="none"/>
        </w:rPr>
        <w:t>215.5</w:t>
      </w:r>
      <w:r>
        <w:rPr>
          <w:rFonts w:hint="eastAsia"/>
          <w:color w:val="auto"/>
          <w:highlight w:val="none"/>
        </w:rPr>
        <w:t>h，最少的</w:t>
      </w:r>
      <w:r>
        <w:rPr>
          <w:color w:val="auto"/>
          <w:highlight w:val="none"/>
        </w:rPr>
        <w:t>1</w:t>
      </w:r>
      <w:r>
        <w:rPr>
          <w:rFonts w:hint="eastAsia"/>
          <w:color w:val="auto"/>
          <w:highlight w:val="none"/>
        </w:rPr>
        <w:t>月，只有</w:t>
      </w:r>
      <w:r>
        <w:rPr>
          <w:color w:val="auto"/>
          <w:highlight w:val="none"/>
        </w:rPr>
        <w:t>34.4</w:t>
      </w:r>
      <w:r>
        <w:rPr>
          <w:rFonts w:hint="eastAsia"/>
          <w:color w:val="auto"/>
          <w:highlight w:val="none"/>
        </w:rPr>
        <w:t>h。</w:t>
      </w:r>
    </w:p>
    <w:p>
      <w:pPr>
        <w:bidi w:val="0"/>
        <w:rPr>
          <w:color w:val="auto"/>
          <w:highlight w:val="none"/>
        </w:rPr>
      </w:pPr>
      <w:r>
        <w:rPr>
          <w:rFonts w:hint="eastAsia"/>
          <w:color w:val="auto"/>
          <w:highlight w:val="none"/>
        </w:rPr>
        <w:t>受大气环流、地理位置、地貌等因素的制约和影响，区内降水、季节分布明显不均，集中在夏秋季节。多年平均降雨量</w:t>
      </w:r>
      <w:r>
        <w:rPr>
          <w:color w:val="auto"/>
          <w:highlight w:val="none"/>
        </w:rPr>
        <w:t>1184mm</w:t>
      </w:r>
      <w:r>
        <w:rPr>
          <w:rFonts w:hint="eastAsia"/>
          <w:color w:val="auto"/>
          <w:highlight w:val="none"/>
        </w:rPr>
        <w:t>，季节分配不均，年最多降水量</w:t>
      </w:r>
      <w:r>
        <w:rPr>
          <w:color w:val="auto"/>
          <w:highlight w:val="none"/>
        </w:rPr>
        <w:t>1419.5mm</w:t>
      </w:r>
      <w:r>
        <w:rPr>
          <w:rFonts w:hint="eastAsia"/>
          <w:color w:val="auto"/>
          <w:highlight w:val="none"/>
        </w:rPr>
        <w:t>（</w:t>
      </w:r>
      <w:r>
        <w:rPr>
          <w:color w:val="auto"/>
          <w:highlight w:val="none"/>
        </w:rPr>
        <w:t>2000</w:t>
      </w:r>
      <w:r>
        <w:rPr>
          <w:rFonts w:hint="eastAsia"/>
          <w:color w:val="auto"/>
          <w:highlight w:val="none"/>
        </w:rPr>
        <w:t>年），年最少降水量</w:t>
      </w:r>
      <w:r>
        <w:rPr>
          <w:color w:val="auto"/>
          <w:highlight w:val="none"/>
        </w:rPr>
        <w:t>841.9mm</w:t>
      </w:r>
      <w:r>
        <w:rPr>
          <w:rFonts w:hint="eastAsia"/>
          <w:color w:val="auto"/>
          <w:highlight w:val="none"/>
        </w:rPr>
        <w:t>（</w:t>
      </w:r>
      <w:r>
        <w:rPr>
          <w:color w:val="auto"/>
          <w:highlight w:val="none"/>
        </w:rPr>
        <w:t>1987</w:t>
      </w:r>
      <w:r>
        <w:rPr>
          <w:rFonts w:hint="eastAsia"/>
          <w:color w:val="auto"/>
          <w:highlight w:val="none"/>
        </w:rPr>
        <w:t>年），夏秋两季降水量最多，其中夏季约占全年降水量的</w:t>
      </w:r>
      <w:r>
        <w:rPr>
          <w:color w:val="auto"/>
          <w:highlight w:val="none"/>
        </w:rPr>
        <w:t>45%</w:t>
      </w:r>
      <w:r>
        <w:rPr>
          <w:rFonts w:hint="eastAsia"/>
          <w:color w:val="auto"/>
          <w:highlight w:val="none"/>
        </w:rPr>
        <w:t>，秋季占全年降水量的</w:t>
      </w:r>
      <w:r>
        <w:rPr>
          <w:color w:val="auto"/>
          <w:highlight w:val="none"/>
        </w:rPr>
        <w:t>28%</w:t>
      </w:r>
      <w:r>
        <w:rPr>
          <w:rFonts w:hint="eastAsia"/>
          <w:color w:val="auto"/>
          <w:highlight w:val="none"/>
        </w:rPr>
        <w:t>。实测最大一日降水量</w:t>
      </w:r>
      <w:r>
        <w:rPr>
          <w:color w:val="auto"/>
          <w:highlight w:val="none"/>
        </w:rPr>
        <w:t>183.9 mm</w:t>
      </w:r>
      <w:r>
        <w:rPr>
          <w:rFonts w:hint="eastAsia"/>
          <w:color w:val="auto"/>
          <w:highlight w:val="none"/>
        </w:rPr>
        <w:t>（</w:t>
      </w:r>
      <w:r>
        <w:rPr>
          <w:color w:val="auto"/>
          <w:highlight w:val="none"/>
        </w:rPr>
        <w:t>1989</w:t>
      </w:r>
      <w:r>
        <w:rPr>
          <w:rFonts w:hint="eastAsia"/>
          <w:color w:val="auto"/>
          <w:highlight w:val="none"/>
        </w:rPr>
        <w:t>年</w:t>
      </w:r>
      <w:r>
        <w:rPr>
          <w:color w:val="auto"/>
          <w:highlight w:val="none"/>
        </w:rPr>
        <w:t>7</w:t>
      </w:r>
      <w:r>
        <w:rPr>
          <w:rFonts w:hint="eastAsia"/>
          <w:color w:val="auto"/>
          <w:highlight w:val="none"/>
        </w:rPr>
        <w:t>月</w:t>
      </w:r>
      <w:r>
        <w:rPr>
          <w:color w:val="auto"/>
          <w:highlight w:val="none"/>
        </w:rPr>
        <w:t>10</w:t>
      </w:r>
      <w:r>
        <w:rPr>
          <w:rFonts w:hint="eastAsia"/>
          <w:color w:val="auto"/>
          <w:highlight w:val="none"/>
        </w:rPr>
        <w:t>日）。多年平均陆面蒸发量</w:t>
      </w:r>
      <w:r>
        <w:rPr>
          <w:color w:val="auto"/>
          <w:highlight w:val="none"/>
        </w:rPr>
        <w:t>947.2mm</w:t>
      </w:r>
      <w:r>
        <w:rPr>
          <w:rFonts w:hint="eastAsia"/>
          <w:color w:val="auto"/>
          <w:highlight w:val="none"/>
        </w:rPr>
        <w:t>，最小蒸发量</w:t>
      </w:r>
      <w:r>
        <w:rPr>
          <w:color w:val="auto"/>
          <w:highlight w:val="none"/>
        </w:rPr>
        <w:t>783.9mm</w:t>
      </w:r>
      <w:r>
        <w:rPr>
          <w:rFonts w:hint="eastAsia"/>
          <w:color w:val="auto"/>
          <w:highlight w:val="none"/>
        </w:rPr>
        <w:t>（</w:t>
      </w:r>
      <w:r>
        <w:rPr>
          <w:color w:val="auto"/>
          <w:highlight w:val="none"/>
        </w:rPr>
        <w:t>1986</w:t>
      </w:r>
      <w:r>
        <w:rPr>
          <w:rFonts w:hint="eastAsia"/>
          <w:color w:val="auto"/>
          <w:highlight w:val="none"/>
        </w:rPr>
        <w:t>年），最大蒸发量</w:t>
      </w:r>
      <w:r>
        <w:rPr>
          <w:color w:val="auto"/>
          <w:highlight w:val="none"/>
        </w:rPr>
        <w:t>1134.9mm</w:t>
      </w:r>
      <w:r>
        <w:rPr>
          <w:rFonts w:hint="eastAsia"/>
          <w:color w:val="auto"/>
          <w:highlight w:val="none"/>
        </w:rPr>
        <w:t>（</w:t>
      </w:r>
      <w:r>
        <w:rPr>
          <w:color w:val="auto"/>
          <w:highlight w:val="none"/>
        </w:rPr>
        <w:t>2001</w:t>
      </w:r>
      <w:r>
        <w:rPr>
          <w:rFonts w:hint="eastAsia"/>
          <w:color w:val="auto"/>
          <w:highlight w:val="none"/>
        </w:rPr>
        <w:t>年）。年内月降雨量呈双峰型。其中，</w:t>
      </w:r>
      <w:r>
        <w:rPr>
          <w:color w:val="auto"/>
          <w:highlight w:val="none"/>
        </w:rPr>
        <w:t>1</w:t>
      </w:r>
      <w:r>
        <w:rPr>
          <w:rFonts w:hint="eastAsia"/>
          <w:color w:val="auto"/>
          <w:highlight w:val="none"/>
        </w:rPr>
        <w:t>～</w:t>
      </w:r>
      <w:r>
        <w:rPr>
          <w:color w:val="auto"/>
          <w:highlight w:val="none"/>
        </w:rPr>
        <w:t>4</w:t>
      </w:r>
      <w:r>
        <w:rPr>
          <w:rFonts w:hint="eastAsia"/>
          <w:color w:val="auto"/>
          <w:highlight w:val="none"/>
        </w:rPr>
        <w:t>月为上升阶段，山前</w:t>
      </w:r>
      <w:r>
        <w:rPr>
          <w:color w:val="auto"/>
          <w:highlight w:val="none"/>
        </w:rPr>
        <w:t>5</w:t>
      </w:r>
      <w:r>
        <w:rPr>
          <w:rFonts w:hint="eastAsia"/>
          <w:color w:val="auto"/>
          <w:highlight w:val="none"/>
        </w:rPr>
        <w:t>月、山后</w:t>
      </w:r>
      <w:r>
        <w:rPr>
          <w:color w:val="auto"/>
          <w:highlight w:val="none"/>
        </w:rPr>
        <w:t>6</w:t>
      </w:r>
      <w:r>
        <w:rPr>
          <w:rFonts w:hint="eastAsia"/>
          <w:color w:val="auto"/>
          <w:highlight w:val="none"/>
        </w:rPr>
        <w:t>月为第一峰，降雨量</w:t>
      </w:r>
      <w:r>
        <w:rPr>
          <w:color w:val="auto"/>
          <w:highlight w:val="none"/>
        </w:rPr>
        <w:t>167.8mm</w:t>
      </w:r>
      <w:r>
        <w:rPr>
          <w:rFonts w:hint="eastAsia"/>
          <w:color w:val="auto"/>
          <w:highlight w:val="none"/>
        </w:rPr>
        <w:t>～</w:t>
      </w:r>
      <w:r>
        <w:rPr>
          <w:color w:val="auto"/>
          <w:highlight w:val="none"/>
        </w:rPr>
        <w:t>188.9mm，7</w:t>
      </w:r>
      <w:r>
        <w:rPr>
          <w:rFonts w:hint="eastAsia"/>
          <w:color w:val="auto"/>
          <w:highlight w:val="none"/>
        </w:rPr>
        <w:t>～</w:t>
      </w:r>
      <w:r>
        <w:rPr>
          <w:color w:val="auto"/>
          <w:highlight w:val="none"/>
        </w:rPr>
        <w:t>8</w:t>
      </w:r>
      <w:r>
        <w:rPr>
          <w:rFonts w:hint="eastAsia"/>
          <w:color w:val="auto"/>
          <w:highlight w:val="none"/>
        </w:rPr>
        <w:t>月略降或升；</w:t>
      </w:r>
      <w:r>
        <w:rPr>
          <w:color w:val="auto"/>
          <w:highlight w:val="none"/>
        </w:rPr>
        <w:t>9</w:t>
      </w:r>
      <w:r>
        <w:rPr>
          <w:rFonts w:hint="eastAsia"/>
          <w:color w:val="auto"/>
          <w:highlight w:val="none"/>
        </w:rPr>
        <w:t>月是第二峰，</w:t>
      </w:r>
      <w:r>
        <w:rPr>
          <w:color w:val="auto"/>
          <w:highlight w:val="none"/>
        </w:rPr>
        <w:t>10</w:t>
      </w:r>
      <w:r>
        <w:rPr>
          <w:rFonts w:hint="eastAsia"/>
          <w:color w:val="auto"/>
          <w:highlight w:val="none"/>
        </w:rPr>
        <w:t>～</w:t>
      </w:r>
      <w:r>
        <w:rPr>
          <w:color w:val="auto"/>
          <w:highlight w:val="none"/>
        </w:rPr>
        <w:t>12</w:t>
      </w:r>
      <w:r>
        <w:rPr>
          <w:rFonts w:hint="eastAsia"/>
          <w:color w:val="auto"/>
          <w:highlight w:val="none"/>
        </w:rPr>
        <w:t>月为下降期；</w:t>
      </w:r>
      <w:r>
        <w:rPr>
          <w:color w:val="auto"/>
          <w:highlight w:val="none"/>
        </w:rPr>
        <w:t>4</w:t>
      </w:r>
      <w:r>
        <w:rPr>
          <w:rFonts w:hint="eastAsia"/>
          <w:color w:val="auto"/>
          <w:highlight w:val="none"/>
        </w:rPr>
        <w:t>～</w:t>
      </w:r>
      <w:r>
        <w:rPr>
          <w:color w:val="auto"/>
          <w:highlight w:val="none"/>
        </w:rPr>
        <w:t>9</w:t>
      </w:r>
      <w:r>
        <w:rPr>
          <w:rFonts w:hint="eastAsia"/>
          <w:color w:val="auto"/>
          <w:highlight w:val="none"/>
        </w:rPr>
        <w:t>月或</w:t>
      </w:r>
      <w:r>
        <w:rPr>
          <w:color w:val="auto"/>
          <w:highlight w:val="none"/>
        </w:rPr>
        <w:t>4</w:t>
      </w:r>
      <w:r>
        <w:rPr>
          <w:rFonts w:hint="eastAsia"/>
          <w:color w:val="auto"/>
          <w:highlight w:val="none"/>
        </w:rPr>
        <w:t>～</w:t>
      </w:r>
      <w:r>
        <w:rPr>
          <w:color w:val="auto"/>
          <w:highlight w:val="none"/>
        </w:rPr>
        <w:t>10</w:t>
      </w:r>
      <w:r>
        <w:rPr>
          <w:rFonts w:hint="eastAsia"/>
          <w:color w:val="auto"/>
          <w:highlight w:val="none"/>
        </w:rPr>
        <w:t>月，月降雨量均在</w:t>
      </w:r>
      <w:r>
        <w:rPr>
          <w:color w:val="auto"/>
          <w:highlight w:val="none"/>
        </w:rPr>
        <w:t>100mm</w:t>
      </w:r>
      <w:r>
        <w:rPr>
          <w:rFonts w:hint="eastAsia"/>
          <w:color w:val="auto"/>
          <w:highlight w:val="none"/>
        </w:rPr>
        <w:t>以上，各占全年的</w:t>
      </w:r>
      <w:r>
        <w:rPr>
          <w:color w:val="auto"/>
          <w:highlight w:val="none"/>
        </w:rPr>
        <w:t>10</w:t>
      </w:r>
      <w:r>
        <w:rPr>
          <w:rFonts w:hint="eastAsia"/>
          <w:color w:val="auto"/>
          <w:highlight w:val="none"/>
        </w:rPr>
        <w:t>%有余；其他各月都不超过</w:t>
      </w:r>
      <w:r>
        <w:rPr>
          <w:color w:val="auto"/>
          <w:highlight w:val="none"/>
        </w:rPr>
        <w:t>64.1mm</w:t>
      </w:r>
      <w:r>
        <w:rPr>
          <w:rFonts w:hint="eastAsia"/>
          <w:color w:val="auto"/>
          <w:highlight w:val="none"/>
        </w:rPr>
        <w:t>。年大雨日数为</w:t>
      </w:r>
      <w:r>
        <w:rPr>
          <w:color w:val="auto"/>
          <w:highlight w:val="none"/>
        </w:rPr>
        <w:t>4</w:t>
      </w:r>
      <w:r>
        <w:rPr>
          <w:rFonts w:hint="eastAsia"/>
          <w:color w:val="auto"/>
          <w:highlight w:val="none"/>
        </w:rPr>
        <w:t>～</w:t>
      </w:r>
      <w:r>
        <w:rPr>
          <w:color w:val="auto"/>
          <w:highlight w:val="none"/>
        </w:rPr>
        <w:t>19</w:t>
      </w:r>
      <w:r>
        <w:rPr>
          <w:rFonts w:hint="eastAsia"/>
          <w:color w:val="auto"/>
          <w:highlight w:val="none"/>
        </w:rPr>
        <w:t>天，</w:t>
      </w:r>
      <w:r>
        <w:rPr>
          <w:color w:val="auto"/>
          <w:highlight w:val="none"/>
        </w:rPr>
        <w:t>80</w:t>
      </w:r>
      <w:r>
        <w:rPr>
          <w:rFonts w:hint="eastAsia"/>
          <w:color w:val="auto"/>
          <w:highlight w:val="none"/>
        </w:rPr>
        <w:t>%以上年为</w:t>
      </w:r>
      <w:r>
        <w:rPr>
          <w:color w:val="auto"/>
          <w:highlight w:val="none"/>
        </w:rPr>
        <w:t>9</w:t>
      </w:r>
      <w:r>
        <w:rPr>
          <w:rFonts w:hint="eastAsia"/>
          <w:color w:val="auto"/>
          <w:highlight w:val="none"/>
        </w:rPr>
        <w:t>天以上。</w:t>
      </w:r>
    </w:p>
    <w:p>
      <w:pPr>
        <w:bidi w:val="0"/>
        <w:rPr>
          <w:color w:val="auto"/>
          <w:highlight w:val="none"/>
        </w:rPr>
      </w:pPr>
      <w:r>
        <w:rPr>
          <w:rFonts w:hint="eastAsia"/>
          <w:color w:val="auto"/>
          <w:highlight w:val="none"/>
        </w:rPr>
        <w:t>湿度：年均最大相对湿度为</w:t>
      </w:r>
      <w:r>
        <w:rPr>
          <w:color w:val="auto"/>
          <w:highlight w:val="none"/>
        </w:rPr>
        <w:t>85%</w:t>
      </w:r>
      <w:r>
        <w:rPr>
          <w:rFonts w:hint="eastAsia"/>
          <w:color w:val="auto"/>
          <w:highlight w:val="none"/>
        </w:rPr>
        <w:t>，年均最小相对湿度为</w:t>
      </w:r>
      <w:r>
        <w:rPr>
          <w:color w:val="auto"/>
          <w:highlight w:val="none"/>
        </w:rPr>
        <w:t>82%</w:t>
      </w:r>
      <w:r>
        <w:rPr>
          <w:rFonts w:hint="eastAsia"/>
          <w:color w:val="auto"/>
          <w:highlight w:val="none"/>
        </w:rPr>
        <w:t>，年际间变幅</w:t>
      </w:r>
      <w:r>
        <w:rPr>
          <w:color w:val="auto"/>
          <w:highlight w:val="none"/>
        </w:rPr>
        <w:t>5%</w:t>
      </w:r>
      <w:r>
        <w:rPr>
          <w:rFonts w:hint="eastAsia"/>
          <w:color w:val="auto"/>
          <w:highlight w:val="none"/>
        </w:rPr>
        <w:t>。无霜期：</w:t>
      </w:r>
      <w:r>
        <w:rPr>
          <w:color w:val="auto"/>
          <w:highlight w:val="none"/>
        </w:rPr>
        <w:t>284</w:t>
      </w:r>
      <w:r>
        <w:rPr>
          <w:rFonts w:hint="eastAsia"/>
          <w:color w:val="auto"/>
          <w:highlight w:val="none"/>
        </w:rPr>
        <w:t>天。风向及风速：主导风向为北东北，年频率达</w:t>
      </w:r>
      <w:r>
        <w:rPr>
          <w:color w:val="auto"/>
          <w:highlight w:val="none"/>
        </w:rPr>
        <w:t>14%</w:t>
      </w:r>
      <w:r>
        <w:rPr>
          <w:rFonts w:hint="eastAsia"/>
          <w:color w:val="auto"/>
          <w:highlight w:val="none"/>
        </w:rPr>
        <w:t>；多年平均风速</w:t>
      </w:r>
      <w:r>
        <w:rPr>
          <w:color w:val="auto"/>
          <w:highlight w:val="none"/>
        </w:rPr>
        <w:t>1.2m/s</w:t>
      </w:r>
      <w:r>
        <w:rPr>
          <w:rFonts w:hint="eastAsia"/>
          <w:color w:val="auto"/>
          <w:highlight w:val="none"/>
        </w:rPr>
        <w:t>，最大风速达</w:t>
      </w:r>
      <w:r>
        <w:rPr>
          <w:color w:val="auto"/>
          <w:highlight w:val="none"/>
        </w:rPr>
        <w:t>27.0m/s</w:t>
      </w:r>
      <w:r>
        <w:rPr>
          <w:rFonts w:hint="eastAsia"/>
          <w:color w:val="auto"/>
          <w:highlight w:val="none"/>
        </w:rPr>
        <w:t>（</w:t>
      </w:r>
      <w:r>
        <w:rPr>
          <w:color w:val="auto"/>
          <w:highlight w:val="none"/>
        </w:rPr>
        <w:t>2001</w:t>
      </w:r>
      <w:r>
        <w:rPr>
          <w:rFonts w:hint="eastAsia"/>
          <w:color w:val="auto"/>
          <w:highlight w:val="none"/>
        </w:rPr>
        <w:t>年</w:t>
      </w:r>
      <w:r>
        <w:rPr>
          <w:color w:val="auto"/>
          <w:highlight w:val="none"/>
        </w:rPr>
        <w:t>7</w:t>
      </w:r>
      <w:r>
        <w:rPr>
          <w:rFonts w:hint="eastAsia"/>
          <w:color w:val="auto"/>
          <w:highlight w:val="none"/>
        </w:rPr>
        <w:t>月</w:t>
      </w:r>
      <w:r>
        <w:rPr>
          <w:color w:val="auto"/>
          <w:highlight w:val="none"/>
        </w:rPr>
        <w:t>21</w:t>
      </w:r>
      <w:r>
        <w:rPr>
          <w:rFonts w:hint="eastAsia"/>
          <w:color w:val="auto"/>
          <w:highlight w:val="none"/>
        </w:rPr>
        <w:t>）。</w:t>
      </w:r>
    </w:p>
    <w:p>
      <w:pPr>
        <w:pStyle w:val="7"/>
        <w:numPr>
          <w:ilvl w:val="3"/>
          <w:numId w:val="6"/>
        </w:numPr>
        <w:bidi w:val="0"/>
        <w:rPr>
          <w:color w:val="auto"/>
          <w:highlight w:val="none"/>
        </w:rPr>
      </w:pPr>
      <w:r>
        <w:rPr>
          <w:color w:val="auto"/>
          <w:highlight w:val="none"/>
        </w:rPr>
        <w:t>区域地质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区域地层</w:t>
      </w:r>
    </w:p>
    <w:p>
      <w:pPr>
        <w:bidi w:val="0"/>
        <w:rPr>
          <w:color w:val="auto"/>
          <w:highlight w:val="none"/>
        </w:rPr>
      </w:pPr>
      <w:r>
        <w:rPr>
          <w:color w:val="auto"/>
          <w:highlight w:val="none"/>
        </w:rPr>
        <w:t>按《四川省区域地层表》划分，处于四川盆地分区中的万县小区西部，全为沉积岩分布，地层出露较全。除泥盆系、白垩系、第三系缺失外，从寒武系至第四系皆有不同程度的发育，尤以中生界侏罗系、三叠系地层出露最广，侏罗系厚度3027.69</w:t>
      </w:r>
      <w:r>
        <w:rPr>
          <w:rFonts w:hint="eastAsia"/>
          <w:color w:val="auto"/>
          <w:highlight w:val="none"/>
        </w:rPr>
        <w:t>m</w:t>
      </w:r>
      <w:r>
        <w:rPr>
          <w:color w:val="auto"/>
          <w:highlight w:val="none"/>
        </w:rPr>
        <w:t>～4518.92m，三叠系厚度1124.61m～2227.90m</w:t>
      </w:r>
      <w:r>
        <w:rPr>
          <w:rFonts w:hint="eastAsia"/>
          <w:color w:val="auto"/>
          <w:highlight w:val="none"/>
        </w:rPr>
        <w:t>。</w:t>
      </w:r>
      <w:r>
        <w:rPr>
          <w:color w:val="auto"/>
          <w:highlight w:val="none"/>
        </w:rPr>
        <w:t>区域地层见表3.1-1。</w:t>
      </w:r>
    </w:p>
    <w:p>
      <w:pPr>
        <w:tabs>
          <w:tab w:val="left" w:pos="4519"/>
        </w:tabs>
        <w:spacing w:before="0"/>
        <w:ind w:left="3609" w:right="0" w:firstLine="0"/>
        <w:jc w:val="left"/>
        <w:rPr>
          <w:rFonts w:hint="eastAsia"/>
          <w:b/>
          <w:color w:val="auto"/>
          <w:sz w:val="21"/>
          <w:highlight w:val="none"/>
          <w:lang w:eastAsia="zh-CN"/>
        </w:rPr>
      </w:pPr>
      <w:r>
        <w:rPr>
          <w:b/>
          <w:color w:val="auto"/>
          <w:sz w:val="21"/>
          <w:highlight w:val="none"/>
        </w:rPr>
        <w:t>表</w:t>
      </w:r>
      <w:r>
        <w:rPr>
          <w:b/>
          <w:color w:val="auto"/>
          <w:spacing w:val="-56"/>
          <w:sz w:val="21"/>
          <w:highlight w:val="none"/>
        </w:rPr>
        <w:t xml:space="preserve"> </w:t>
      </w:r>
      <w:r>
        <w:rPr>
          <w:rFonts w:ascii="Times New Roman" w:eastAsia="Times New Roman"/>
          <w:b/>
          <w:color w:val="auto"/>
          <w:sz w:val="21"/>
          <w:highlight w:val="none"/>
        </w:rPr>
        <w:t>3.1-1</w:t>
      </w:r>
      <w:r>
        <w:rPr>
          <w:rFonts w:hint="eastAsia"/>
          <w:b/>
          <w:color w:val="auto"/>
          <w:sz w:val="21"/>
          <w:highlight w:val="none"/>
          <w:lang w:val="en-US" w:eastAsia="zh-CN"/>
        </w:rPr>
        <w:t xml:space="preserve"> </w:t>
      </w:r>
      <w:r>
        <w:rPr>
          <w:b/>
          <w:color w:val="auto"/>
          <w:sz w:val="21"/>
          <w:highlight w:val="none"/>
        </w:rPr>
        <w:t>区域地层</w:t>
      </w:r>
      <w:r>
        <w:rPr>
          <w:rFonts w:hint="eastAsia"/>
          <w:b/>
          <w:color w:val="auto"/>
          <w:sz w:val="21"/>
          <w:highlight w:val="none"/>
          <w:lang w:eastAsia="zh-CN"/>
        </w:rPr>
        <w:t>划分表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35"/>
        <w:gridCol w:w="782"/>
        <w:gridCol w:w="582"/>
        <w:gridCol w:w="1375"/>
        <w:gridCol w:w="831"/>
        <w:gridCol w:w="983"/>
        <w:gridCol w:w="40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7" w:hRule="atLeast"/>
          <w:tblHeader/>
          <w:jc w:val="center"/>
        </w:trPr>
        <w:tc>
          <w:tcPr>
            <w:tcW w:w="3155" w:type="dxa"/>
            <w:gridSpan w:val="4"/>
            <w:noWrap w:val="0"/>
            <w:vAlign w:val="center"/>
          </w:tcPr>
          <w:p>
            <w:pPr>
              <w:pStyle w:val="22"/>
              <w:bidi w:val="0"/>
              <w:spacing w:line="240" w:lineRule="auto"/>
              <w:rPr>
                <w:color w:val="auto"/>
                <w:highlight w:val="none"/>
              </w:rPr>
            </w:pPr>
            <w:r>
              <w:rPr>
                <w:color w:val="auto"/>
                <w:highlight w:val="none"/>
              </w:rPr>
              <w:t>地层单位</w:t>
            </w:r>
          </w:p>
        </w:tc>
        <w:tc>
          <w:tcPr>
            <w:tcW w:w="734" w:type="dxa"/>
            <w:vMerge w:val="restart"/>
            <w:noWrap w:val="0"/>
            <w:vAlign w:val="center"/>
          </w:tcPr>
          <w:p>
            <w:pPr>
              <w:pStyle w:val="22"/>
              <w:bidi w:val="0"/>
              <w:spacing w:line="240" w:lineRule="auto"/>
              <w:rPr>
                <w:color w:val="auto"/>
                <w:highlight w:val="none"/>
              </w:rPr>
            </w:pPr>
            <w:r>
              <w:rPr>
                <w:color w:val="auto"/>
                <w:highlight w:val="none"/>
              </w:rPr>
              <w:t>号代</w:t>
            </w:r>
          </w:p>
        </w:tc>
        <w:tc>
          <w:tcPr>
            <w:tcW w:w="868" w:type="dxa"/>
            <w:vMerge w:val="restart"/>
            <w:noWrap w:val="0"/>
            <w:vAlign w:val="center"/>
          </w:tcPr>
          <w:p>
            <w:pPr>
              <w:pStyle w:val="22"/>
              <w:bidi w:val="0"/>
              <w:spacing w:line="240" w:lineRule="auto"/>
              <w:rPr>
                <w:color w:val="auto"/>
                <w:highlight w:val="none"/>
              </w:rPr>
            </w:pPr>
            <w:r>
              <w:rPr>
                <w:color w:val="auto"/>
                <w:highlight w:val="none"/>
              </w:rPr>
              <w:t>厚度</w:t>
            </w:r>
            <w:r>
              <w:rPr>
                <w:rFonts w:hint="eastAsia"/>
                <w:color w:val="auto"/>
                <w:highlight w:val="none"/>
              </w:rPr>
              <w:t>/m</w:t>
            </w:r>
          </w:p>
        </w:tc>
        <w:tc>
          <w:tcPr>
            <w:tcW w:w="3559" w:type="dxa"/>
            <w:vMerge w:val="restart"/>
            <w:noWrap w:val="0"/>
            <w:vAlign w:val="center"/>
          </w:tcPr>
          <w:p>
            <w:pPr>
              <w:pStyle w:val="22"/>
              <w:bidi w:val="0"/>
              <w:spacing w:line="240" w:lineRule="auto"/>
              <w:rPr>
                <w:color w:val="auto"/>
                <w:highlight w:val="none"/>
              </w:rPr>
            </w:pPr>
            <w:r>
              <w:rPr>
                <w:color w:val="auto"/>
                <w:highlight w:val="none"/>
              </w:rPr>
              <w:t>主要岩性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tblHeader/>
          <w:jc w:val="center"/>
        </w:trPr>
        <w:tc>
          <w:tcPr>
            <w:tcW w:w="737" w:type="dxa"/>
            <w:noWrap w:val="0"/>
            <w:vAlign w:val="center"/>
          </w:tcPr>
          <w:p>
            <w:pPr>
              <w:pStyle w:val="22"/>
              <w:bidi w:val="0"/>
              <w:spacing w:line="240" w:lineRule="auto"/>
              <w:rPr>
                <w:color w:val="auto"/>
                <w:highlight w:val="none"/>
              </w:rPr>
            </w:pPr>
            <w:r>
              <w:rPr>
                <w:color w:val="auto"/>
                <w:highlight w:val="none"/>
              </w:rPr>
              <w:t>系</w:t>
            </w:r>
          </w:p>
        </w:tc>
        <w:tc>
          <w:tcPr>
            <w:tcW w:w="690" w:type="dxa"/>
            <w:noWrap w:val="0"/>
            <w:vAlign w:val="center"/>
          </w:tcPr>
          <w:p>
            <w:pPr>
              <w:pStyle w:val="22"/>
              <w:bidi w:val="0"/>
              <w:spacing w:line="240" w:lineRule="auto"/>
              <w:rPr>
                <w:color w:val="auto"/>
                <w:highlight w:val="none"/>
              </w:rPr>
            </w:pPr>
            <w:r>
              <w:rPr>
                <w:color w:val="auto"/>
                <w:highlight w:val="none"/>
              </w:rPr>
              <w:t>统</w:t>
            </w:r>
          </w:p>
        </w:tc>
        <w:tc>
          <w:tcPr>
            <w:tcW w:w="1728" w:type="dxa"/>
            <w:gridSpan w:val="2"/>
            <w:noWrap w:val="0"/>
            <w:vAlign w:val="center"/>
          </w:tcPr>
          <w:p>
            <w:pPr>
              <w:pStyle w:val="22"/>
              <w:bidi w:val="0"/>
              <w:spacing w:line="240" w:lineRule="auto"/>
              <w:rPr>
                <w:color w:val="auto"/>
                <w:highlight w:val="none"/>
              </w:rPr>
            </w:pPr>
            <w:r>
              <w:rPr>
                <w:color w:val="auto"/>
                <w:highlight w:val="none"/>
              </w:rPr>
              <w:t>组(段)</w:t>
            </w:r>
          </w:p>
        </w:tc>
        <w:tc>
          <w:tcPr>
            <w:tcW w:w="734" w:type="dxa"/>
            <w:vMerge w:val="continue"/>
            <w:noWrap w:val="0"/>
            <w:vAlign w:val="center"/>
          </w:tcPr>
          <w:p>
            <w:pPr>
              <w:pStyle w:val="22"/>
              <w:bidi w:val="0"/>
              <w:spacing w:line="240" w:lineRule="auto"/>
              <w:rPr>
                <w:color w:val="auto"/>
                <w:highlight w:val="none"/>
              </w:rPr>
            </w:pPr>
          </w:p>
        </w:tc>
        <w:tc>
          <w:tcPr>
            <w:tcW w:w="868" w:type="dxa"/>
            <w:vMerge w:val="continue"/>
            <w:noWrap w:val="0"/>
            <w:vAlign w:val="center"/>
          </w:tcPr>
          <w:p>
            <w:pPr>
              <w:pStyle w:val="22"/>
              <w:bidi w:val="0"/>
              <w:spacing w:line="240" w:lineRule="auto"/>
              <w:rPr>
                <w:color w:val="auto"/>
                <w:highlight w:val="none"/>
              </w:rPr>
            </w:pPr>
          </w:p>
        </w:tc>
        <w:tc>
          <w:tcPr>
            <w:tcW w:w="3559" w:type="dxa"/>
            <w:vMerge w:val="continue"/>
            <w:noWrap w:val="0"/>
            <w:vAlign w:val="center"/>
          </w:tcPr>
          <w:p>
            <w:pPr>
              <w:pStyle w:val="22"/>
              <w:bidi w:val="0"/>
              <w:spacing w:line="24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3" w:hRule="atLeast"/>
          <w:jc w:val="center"/>
        </w:trPr>
        <w:tc>
          <w:tcPr>
            <w:tcW w:w="737" w:type="dxa"/>
            <w:noWrap w:val="0"/>
            <w:vAlign w:val="center"/>
          </w:tcPr>
          <w:p>
            <w:pPr>
              <w:pStyle w:val="22"/>
              <w:bidi w:val="0"/>
              <w:spacing w:line="240" w:lineRule="auto"/>
              <w:rPr>
                <w:color w:val="auto"/>
                <w:highlight w:val="none"/>
              </w:rPr>
            </w:pPr>
            <w:r>
              <w:rPr>
                <w:color w:val="auto"/>
                <w:highlight w:val="none"/>
              </w:rPr>
              <w:t>第四系</w:t>
            </w:r>
          </w:p>
        </w:tc>
        <w:tc>
          <w:tcPr>
            <w:tcW w:w="690" w:type="dxa"/>
            <w:noWrap w:val="0"/>
            <w:vAlign w:val="center"/>
          </w:tcPr>
          <w:p>
            <w:pPr>
              <w:pStyle w:val="22"/>
              <w:bidi w:val="0"/>
              <w:spacing w:line="240" w:lineRule="auto"/>
              <w:rPr>
                <w:color w:val="auto"/>
                <w:highlight w:val="none"/>
              </w:rPr>
            </w:pPr>
            <w:r>
              <w:rPr>
                <w:color w:val="auto"/>
                <w:highlight w:val="none"/>
              </w:rPr>
              <w:t>全新统</w:t>
            </w:r>
          </w:p>
        </w:tc>
        <w:tc>
          <w:tcPr>
            <w:tcW w:w="1728" w:type="dxa"/>
            <w:gridSpan w:val="2"/>
            <w:noWrap w:val="0"/>
            <w:vAlign w:val="center"/>
          </w:tcPr>
          <w:p>
            <w:pPr>
              <w:pStyle w:val="22"/>
              <w:bidi w:val="0"/>
              <w:spacing w:line="240" w:lineRule="auto"/>
              <w:rPr>
                <w:color w:val="auto"/>
                <w:highlight w:val="none"/>
              </w:rPr>
            </w:pPr>
          </w:p>
        </w:tc>
        <w:tc>
          <w:tcPr>
            <w:tcW w:w="734" w:type="dxa"/>
            <w:noWrap w:val="0"/>
            <w:vAlign w:val="center"/>
          </w:tcPr>
          <w:p>
            <w:pPr>
              <w:pStyle w:val="22"/>
              <w:bidi w:val="0"/>
              <w:spacing w:line="240" w:lineRule="auto"/>
              <w:rPr>
                <w:color w:val="auto"/>
                <w:highlight w:val="none"/>
              </w:rPr>
            </w:pPr>
            <w:r>
              <w:rPr>
                <w:color w:val="auto"/>
                <w:highlight w:val="none"/>
              </w:rPr>
              <w:t>Qh</w:t>
            </w:r>
          </w:p>
        </w:tc>
        <w:tc>
          <w:tcPr>
            <w:tcW w:w="868" w:type="dxa"/>
            <w:noWrap w:val="0"/>
            <w:vAlign w:val="center"/>
          </w:tcPr>
          <w:p>
            <w:pPr>
              <w:pStyle w:val="22"/>
              <w:bidi w:val="0"/>
              <w:spacing w:line="240" w:lineRule="auto"/>
              <w:rPr>
                <w:color w:val="auto"/>
                <w:highlight w:val="none"/>
              </w:rPr>
            </w:pPr>
            <w:r>
              <w:rPr>
                <w:color w:val="auto"/>
                <w:highlight w:val="none"/>
              </w:rPr>
              <w:t>0~15</w:t>
            </w:r>
          </w:p>
        </w:tc>
        <w:tc>
          <w:tcPr>
            <w:tcW w:w="3559" w:type="dxa"/>
            <w:noWrap w:val="0"/>
            <w:vAlign w:val="center"/>
          </w:tcPr>
          <w:p>
            <w:pPr>
              <w:pStyle w:val="22"/>
              <w:bidi w:val="0"/>
              <w:spacing w:line="240" w:lineRule="auto"/>
              <w:rPr>
                <w:color w:val="auto"/>
                <w:highlight w:val="none"/>
              </w:rPr>
            </w:pPr>
            <w:r>
              <w:rPr>
                <w:color w:val="auto"/>
                <w:highlight w:val="none"/>
              </w:rPr>
              <w:t>粘土、砂土、砂砾石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737" w:type="dxa"/>
            <w:noWrap w:val="0"/>
            <w:vAlign w:val="center"/>
          </w:tcPr>
          <w:p>
            <w:pPr>
              <w:pStyle w:val="22"/>
              <w:bidi w:val="0"/>
              <w:spacing w:line="240" w:lineRule="auto"/>
              <w:rPr>
                <w:color w:val="auto"/>
                <w:highlight w:val="none"/>
              </w:rPr>
            </w:pPr>
          </w:p>
        </w:tc>
        <w:tc>
          <w:tcPr>
            <w:tcW w:w="690" w:type="dxa"/>
            <w:noWrap w:val="0"/>
            <w:vAlign w:val="center"/>
          </w:tcPr>
          <w:p>
            <w:pPr>
              <w:pStyle w:val="22"/>
              <w:bidi w:val="0"/>
              <w:spacing w:line="240" w:lineRule="auto"/>
              <w:rPr>
                <w:color w:val="auto"/>
                <w:highlight w:val="none"/>
              </w:rPr>
            </w:pPr>
            <w:r>
              <w:rPr>
                <w:color w:val="auto"/>
                <w:highlight w:val="none"/>
              </w:rPr>
              <w:t>更新统</w:t>
            </w:r>
          </w:p>
        </w:tc>
        <w:tc>
          <w:tcPr>
            <w:tcW w:w="1728" w:type="dxa"/>
            <w:gridSpan w:val="2"/>
            <w:noWrap w:val="0"/>
            <w:vAlign w:val="center"/>
          </w:tcPr>
          <w:p>
            <w:pPr>
              <w:pStyle w:val="22"/>
              <w:bidi w:val="0"/>
              <w:spacing w:line="240" w:lineRule="auto"/>
              <w:rPr>
                <w:color w:val="auto"/>
                <w:highlight w:val="none"/>
              </w:rPr>
            </w:pPr>
          </w:p>
        </w:tc>
        <w:tc>
          <w:tcPr>
            <w:tcW w:w="734" w:type="dxa"/>
            <w:noWrap w:val="0"/>
            <w:vAlign w:val="center"/>
          </w:tcPr>
          <w:p>
            <w:pPr>
              <w:pStyle w:val="22"/>
              <w:bidi w:val="0"/>
              <w:spacing w:line="240" w:lineRule="auto"/>
              <w:rPr>
                <w:color w:val="auto"/>
                <w:highlight w:val="none"/>
              </w:rPr>
            </w:pPr>
            <w:r>
              <w:rPr>
                <w:color w:val="auto"/>
                <w:highlight w:val="none"/>
              </w:rPr>
              <w:t>Qp</w:t>
            </w:r>
          </w:p>
        </w:tc>
        <w:tc>
          <w:tcPr>
            <w:tcW w:w="868" w:type="dxa"/>
            <w:noWrap w:val="0"/>
            <w:vAlign w:val="center"/>
          </w:tcPr>
          <w:p>
            <w:pPr>
              <w:pStyle w:val="22"/>
              <w:bidi w:val="0"/>
              <w:spacing w:line="240" w:lineRule="auto"/>
              <w:rPr>
                <w:color w:val="auto"/>
                <w:highlight w:val="none"/>
              </w:rPr>
            </w:pPr>
            <w:r>
              <w:rPr>
                <w:color w:val="auto"/>
                <w:highlight w:val="none"/>
              </w:rPr>
              <w:t>0~29</w:t>
            </w:r>
          </w:p>
        </w:tc>
        <w:tc>
          <w:tcPr>
            <w:tcW w:w="3559" w:type="dxa"/>
            <w:noWrap w:val="0"/>
            <w:vAlign w:val="center"/>
          </w:tcPr>
          <w:p>
            <w:pPr>
              <w:pStyle w:val="22"/>
              <w:bidi w:val="0"/>
              <w:spacing w:line="240" w:lineRule="auto"/>
              <w:rPr>
                <w:color w:val="auto"/>
                <w:highlight w:val="none"/>
              </w:rPr>
            </w:pPr>
            <w:r>
              <w:rPr>
                <w:color w:val="auto"/>
                <w:highlight w:val="none"/>
              </w:rPr>
              <w:t>粘土、冲积砾石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737" w:type="dxa"/>
            <w:vMerge w:val="restart"/>
            <w:noWrap w:val="0"/>
            <w:vAlign w:val="center"/>
          </w:tcPr>
          <w:p>
            <w:pPr>
              <w:pStyle w:val="22"/>
              <w:bidi w:val="0"/>
              <w:spacing w:line="240" w:lineRule="auto"/>
              <w:rPr>
                <w:color w:val="auto"/>
                <w:highlight w:val="none"/>
              </w:rPr>
            </w:pPr>
            <w:r>
              <w:rPr>
                <w:color w:val="auto"/>
                <w:highlight w:val="none"/>
              </w:rPr>
              <w:t>侏罗纪</w:t>
            </w:r>
          </w:p>
        </w:tc>
        <w:tc>
          <w:tcPr>
            <w:tcW w:w="690" w:type="dxa"/>
            <w:noWrap w:val="0"/>
            <w:vAlign w:val="center"/>
          </w:tcPr>
          <w:p>
            <w:pPr>
              <w:pStyle w:val="22"/>
              <w:bidi w:val="0"/>
              <w:spacing w:line="240" w:lineRule="auto"/>
              <w:rPr>
                <w:color w:val="auto"/>
                <w:highlight w:val="none"/>
              </w:rPr>
            </w:pPr>
            <w:r>
              <w:rPr>
                <w:color w:val="auto"/>
                <w:highlight w:val="none"/>
              </w:rPr>
              <w:t>上统</w:t>
            </w:r>
          </w:p>
        </w:tc>
        <w:tc>
          <w:tcPr>
            <w:tcW w:w="1728" w:type="dxa"/>
            <w:gridSpan w:val="2"/>
            <w:noWrap w:val="0"/>
            <w:vAlign w:val="center"/>
          </w:tcPr>
          <w:p>
            <w:pPr>
              <w:pStyle w:val="22"/>
              <w:bidi w:val="0"/>
              <w:spacing w:line="240" w:lineRule="auto"/>
              <w:rPr>
                <w:color w:val="auto"/>
                <w:highlight w:val="none"/>
              </w:rPr>
            </w:pPr>
            <w:r>
              <w:rPr>
                <w:color w:val="auto"/>
                <w:highlight w:val="none"/>
              </w:rPr>
              <w:t>遂宁组</w:t>
            </w:r>
          </w:p>
        </w:tc>
        <w:tc>
          <w:tcPr>
            <w:tcW w:w="734" w:type="dxa"/>
            <w:noWrap w:val="0"/>
            <w:vAlign w:val="center"/>
          </w:tcPr>
          <w:p>
            <w:pPr>
              <w:pStyle w:val="22"/>
              <w:bidi w:val="0"/>
              <w:spacing w:line="240" w:lineRule="auto"/>
              <w:rPr>
                <w:color w:val="auto"/>
                <w:highlight w:val="none"/>
              </w:rPr>
            </w:pPr>
            <w:r>
              <w:rPr>
                <w:color w:val="auto"/>
                <w:highlight w:val="none"/>
              </w:rPr>
              <w:t>J3s</w:t>
            </w:r>
          </w:p>
        </w:tc>
        <w:tc>
          <w:tcPr>
            <w:tcW w:w="868" w:type="dxa"/>
            <w:noWrap w:val="0"/>
            <w:vAlign w:val="center"/>
          </w:tcPr>
          <w:p>
            <w:pPr>
              <w:pStyle w:val="22"/>
              <w:bidi w:val="0"/>
              <w:spacing w:line="240" w:lineRule="auto"/>
              <w:rPr>
                <w:color w:val="auto"/>
                <w:highlight w:val="none"/>
              </w:rPr>
            </w:pPr>
            <w:r>
              <w:rPr>
                <w:color w:val="auto"/>
                <w:highlight w:val="none"/>
              </w:rPr>
              <w:t>398~410</w:t>
            </w:r>
          </w:p>
        </w:tc>
        <w:tc>
          <w:tcPr>
            <w:tcW w:w="3559" w:type="dxa"/>
            <w:noWrap w:val="0"/>
            <w:vAlign w:val="center"/>
          </w:tcPr>
          <w:p>
            <w:pPr>
              <w:pStyle w:val="22"/>
              <w:bidi w:val="0"/>
              <w:spacing w:line="240" w:lineRule="auto"/>
              <w:rPr>
                <w:color w:val="auto"/>
                <w:highlight w:val="none"/>
              </w:rPr>
            </w:pPr>
            <w:r>
              <w:rPr>
                <w:color w:val="auto"/>
                <w:highlight w:val="none"/>
              </w:rPr>
              <w:t>泥岩，夹石英粉砂岩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restart"/>
            <w:noWrap w:val="0"/>
            <w:vAlign w:val="center"/>
          </w:tcPr>
          <w:p>
            <w:pPr>
              <w:pStyle w:val="22"/>
              <w:bidi w:val="0"/>
              <w:spacing w:line="240" w:lineRule="auto"/>
              <w:rPr>
                <w:color w:val="auto"/>
                <w:highlight w:val="none"/>
              </w:rPr>
            </w:pPr>
            <w:r>
              <w:rPr>
                <w:color w:val="auto"/>
                <w:highlight w:val="none"/>
              </w:rPr>
              <w:t>中统</w:t>
            </w:r>
          </w:p>
        </w:tc>
        <w:tc>
          <w:tcPr>
            <w:tcW w:w="1728" w:type="dxa"/>
            <w:gridSpan w:val="2"/>
            <w:noWrap w:val="0"/>
            <w:vAlign w:val="center"/>
          </w:tcPr>
          <w:p>
            <w:pPr>
              <w:pStyle w:val="22"/>
              <w:bidi w:val="0"/>
              <w:spacing w:line="240" w:lineRule="auto"/>
              <w:rPr>
                <w:color w:val="auto"/>
                <w:highlight w:val="none"/>
              </w:rPr>
            </w:pPr>
            <w:r>
              <w:rPr>
                <w:color w:val="auto"/>
                <w:highlight w:val="none"/>
              </w:rPr>
              <w:t>上沙溪庙组</w:t>
            </w:r>
          </w:p>
        </w:tc>
        <w:tc>
          <w:tcPr>
            <w:tcW w:w="734" w:type="dxa"/>
            <w:noWrap w:val="0"/>
            <w:vAlign w:val="center"/>
          </w:tcPr>
          <w:p>
            <w:pPr>
              <w:pStyle w:val="22"/>
              <w:bidi w:val="0"/>
              <w:spacing w:line="240" w:lineRule="auto"/>
              <w:rPr>
                <w:color w:val="auto"/>
                <w:highlight w:val="none"/>
              </w:rPr>
            </w:pPr>
            <w:r>
              <w:rPr>
                <w:color w:val="auto"/>
                <w:highlight w:val="none"/>
              </w:rPr>
              <w:t>J2s2</w:t>
            </w:r>
          </w:p>
        </w:tc>
        <w:tc>
          <w:tcPr>
            <w:tcW w:w="868" w:type="dxa"/>
            <w:noWrap w:val="0"/>
            <w:vAlign w:val="center"/>
          </w:tcPr>
          <w:p>
            <w:pPr>
              <w:pStyle w:val="22"/>
              <w:bidi w:val="0"/>
              <w:spacing w:line="240" w:lineRule="auto"/>
              <w:rPr>
                <w:color w:val="auto"/>
                <w:highlight w:val="none"/>
              </w:rPr>
            </w:pPr>
            <w:r>
              <w:rPr>
                <w:color w:val="auto"/>
                <w:highlight w:val="none"/>
              </w:rPr>
              <w:t>＞1340</w:t>
            </w:r>
          </w:p>
        </w:tc>
        <w:tc>
          <w:tcPr>
            <w:tcW w:w="3559" w:type="dxa"/>
            <w:noWrap w:val="0"/>
            <w:vAlign w:val="center"/>
          </w:tcPr>
          <w:p>
            <w:pPr>
              <w:pStyle w:val="22"/>
              <w:bidi w:val="0"/>
              <w:spacing w:line="240" w:lineRule="auto"/>
              <w:rPr>
                <w:color w:val="auto"/>
                <w:highlight w:val="none"/>
              </w:rPr>
            </w:pPr>
            <w:r>
              <w:rPr>
                <w:color w:val="auto"/>
                <w:highlight w:val="none"/>
              </w:rPr>
              <w:t>泥岩、砂质泥岩与岩屑长石砂岩、粉砂岩互层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6"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1728" w:type="dxa"/>
            <w:gridSpan w:val="2"/>
            <w:noWrap w:val="0"/>
            <w:vAlign w:val="center"/>
          </w:tcPr>
          <w:p>
            <w:pPr>
              <w:pStyle w:val="22"/>
              <w:bidi w:val="0"/>
              <w:spacing w:line="240" w:lineRule="auto"/>
              <w:rPr>
                <w:color w:val="auto"/>
                <w:highlight w:val="none"/>
              </w:rPr>
            </w:pPr>
            <w:r>
              <w:rPr>
                <w:color w:val="auto"/>
                <w:highlight w:val="none"/>
              </w:rPr>
              <w:t>下沙溪庙组</w:t>
            </w:r>
          </w:p>
        </w:tc>
        <w:tc>
          <w:tcPr>
            <w:tcW w:w="734" w:type="dxa"/>
            <w:noWrap w:val="0"/>
            <w:vAlign w:val="center"/>
          </w:tcPr>
          <w:p>
            <w:pPr>
              <w:pStyle w:val="22"/>
              <w:bidi w:val="0"/>
              <w:spacing w:line="240" w:lineRule="auto"/>
              <w:rPr>
                <w:color w:val="auto"/>
                <w:highlight w:val="none"/>
              </w:rPr>
            </w:pPr>
            <w:r>
              <w:rPr>
                <w:color w:val="auto"/>
                <w:highlight w:val="none"/>
              </w:rPr>
              <w:t>J2s1</w:t>
            </w:r>
          </w:p>
        </w:tc>
        <w:tc>
          <w:tcPr>
            <w:tcW w:w="868" w:type="dxa"/>
            <w:noWrap w:val="0"/>
            <w:vAlign w:val="center"/>
          </w:tcPr>
          <w:p>
            <w:pPr>
              <w:pStyle w:val="22"/>
              <w:bidi w:val="0"/>
              <w:spacing w:line="240" w:lineRule="auto"/>
              <w:rPr>
                <w:color w:val="auto"/>
                <w:highlight w:val="none"/>
              </w:rPr>
            </w:pPr>
            <w:r>
              <w:rPr>
                <w:color w:val="auto"/>
                <w:highlight w:val="none"/>
              </w:rPr>
              <w:t>251~467</w:t>
            </w:r>
          </w:p>
        </w:tc>
        <w:tc>
          <w:tcPr>
            <w:tcW w:w="3559" w:type="dxa"/>
            <w:noWrap w:val="0"/>
            <w:vAlign w:val="center"/>
          </w:tcPr>
          <w:p>
            <w:pPr>
              <w:pStyle w:val="22"/>
              <w:bidi w:val="0"/>
              <w:spacing w:line="240" w:lineRule="auto"/>
              <w:rPr>
                <w:color w:val="auto"/>
                <w:highlight w:val="none"/>
              </w:rPr>
            </w:pPr>
            <w:r>
              <w:rPr>
                <w:color w:val="auto"/>
                <w:highlight w:val="none"/>
              </w:rPr>
              <w:t>泥岩夹岩屑长石砂岩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7"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1728" w:type="dxa"/>
            <w:gridSpan w:val="2"/>
            <w:noWrap w:val="0"/>
            <w:vAlign w:val="center"/>
          </w:tcPr>
          <w:p>
            <w:pPr>
              <w:pStyle w:val="22"/>
              <w:bidi w:val="0"/>
              <w:spacing w:line="240" w:lineRule="auto"/>
              <w:rPr>
                <w:color w:val="auto"/>
                <w:highlight w:val="none"/>
              </w:rPr>
            </w:pPr>
            <w:r>
              <w:rPr>
                <w:color w:val="auto"/>
                <w:highlight w:val="none"/>
              </w:rPr>
              <w:t>新田沟组</w:t>
            </w:r>
          </w:p>
        </w:tc>
        <w:tc>
          <w:tcPr>
            <w:tcW w:w="734" w:type="dxa"/>
            <w:noWrap w:val="0"/>
            <w:vAlign w:val="center"/>
          </w:tcPr>
          <w:p>
            <w:pPr>
              <w:pStyle w:val="22"/>
              <w:bidi w:val="0"/>
              <w:spacing w:line="240" w:lineRule="auto"/>
              <w:rPr>
                <w:color w:val="auto"/>
                <w:highlight w:val="none"/>
              </w:rPr>
            </w:pPr>
            <w:r>
              <w:rPr>
                <w:color w:val="auto"/>
                <w:highlight w:val="none"/>
              </w:rPr>
              <w:t>J2x</w:t>
            </w:r>
          </w:p>
        </w:tc>
        <w:tc>
          <w:tcPr>
            <w:tcW w:w="868" w:type="dxa"/>
            <w:noWrap w:val="0"/>
            <w:vAlign w:val="center"/>
          </w:tcPr>
          <w:p>
            <w:pPr>
              <w:pStyle w:val="22"/>
              <w:bidi w:val="0"/>
              <w:spacing w:line="240" w:lineRule="auto"/>
              <w:rPr>
                <w:color w:val="auto"/>
                <w:highlight w:val="none"/>
              </w:rPr>
            </w:pPr>
            <w:r>
              <w:rPr>
                <w:color w:val="auto"/>
                <w:highlight w:val="none"/>
              </w:rPr>
              <w:t>103~276</w:t>
            </w:r>
          </w:p>
        </w:tc>
        <w:tc>
          <w:tcPr>
            <w:tcW w:w="3559" w:type="dxa"/>
            <w:noWrap w:val="0"/>
            <w:vAlign w:val="center"/>
          </w:tcPr>
          <w:p>
            <w:pPr>
              <w:pStyle w:val="22"/>
              <w:bidi w:val="0"/>
              <w:spacing w:line="240" w:lineRule="auto"/>
              <w:rPr>
                <w:color w:val="auto"/>
                <w:highlight w:val="none"/>
              </w:rPr>
            </w:pPr>
            <w:r>
              <w:rPr>
                <w:color w:val="auto"/>
                <w:highlight w:val="none"/>
              </w:rPr>
              <w:t>泥岩、岩屑长石砂岩、砂岩中夹生物碎屑灰岩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8"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restart"/>
            <w:noWrap w:val="0"/>
            <w:vAlign w:val="center"/>
          </w:tcPr>
          <w:p>
            <w:pPr>
              <w:pStyle w:val="22"/>
              <w:bidi w:val="0"/>
              <w:spacing w:line="240" w:lineRule="auto"/>
              <w:rPr>
                <w:color w:val="auto"/>
                <w:highlight w:val="none"/>
              </w:rPr>
            </w:pPr>
            <w:r>
              <w:rPr>
                <w:color w:val="auto"/>
                <w:highlight w:val="none"/>
              </w:rPr>
              <w:t>中下统</w:t>
            </w:r>
          </w:p>
        </w:tc>
        <w:tc>
          <w:tcPr>
            <w:tcW w:w="514" w:type="dxa"/>
            <w:vMerge w:val="restart"/>
            <w:noWrap w:val="0"/>
            <w:vAlign w:val="center"/>
          </w:tcPr>
          <w:p>
            <w:pPr>
              <w:pStyle w:val="22"/>
              <w:bidi w:val="0"/>
              <w:spacing w:line="240" w:lineRule="auto"/>
              <w:rPr>
                <w:color w:val="auto"/>
                <w:highlight w:val="none"/>
              </w:rPr>
            </w:pPr>
            <w:r>
              <w:rPr>
                <w:color w:val="auto"/>
                <w:highlight w:val="none"/>
              </w:rPr>
              <w:t>自流井组</w:t>
            </w:r>
          </w:p>
        </w:tc>
        <w:tc>
          <w:tcPr>
            <w:tcW w:w="1214" w:type="dxa"/>
            <w:noWrap w:val="0"/>
            <w:vAlign w:val="center"/>
          </w:tcPr>
          <w:p>
            <w:pPr>
              <w:pStyle w:val="22"/>
              <w:bidi w:val="0"/>
              <w:spacing w:line="240" w:lineRule="auto"/>
              <w:rPr>
                <w:color w:val="auto"/>
                <w:highlight w:val="none"/>
              </w:rPr>
            </w:pPr>
            <w:r>
              <w:rPr>
                <w:color w:val="auto"/>
                <w:highlight w:val="none"/>
              </w:rPr>
              <w:t>大安寨段</w:t>
            </w:r>
          </w:p>
        </w:tc>
        <w:tc>
          <w:tcPr>
            <w:tcW w:w="734" w:type="dxa"/>
            <w:noWrap w:val="0"/>
            <w:vAlign w:val="center"/>
          </w:tcPr>
          <w:p>
            <w:pPr>
              <w:pStyle w:val="22"/>
              <w:bidi w:val="0"/>
              <w:spacing w:line="240" w:lineRule="auto"/>
              <w:rPr>
                <w:color w:val="auto"/>
                <w:highlight w:val="none"/>
              </w:rPr>
            </w:pPr>
            <w:r>
              <w:rPr>
                <w:color w:val="auto"/>
                <w:highlight w:val="none"/>
              </w:rPr>
              <w:t>J1-2z3</w:t>
            </w:r>
          </w:p>
        </w:tc>
        <w:tc>
          <w:tcPr>
            <w:tcW w:w="868" w:type="dxa"/>
            <w:noWrap w:val="0"/>
            <w:vAlign w:val="center"/>
          </w:tcPr>
          <w:p>
            <w:pPr>
              <w:pStyle w:val="22"/>
              <w:bidi w:val="0"/>
              <w:spacing w:line="240" w:lineRule="auto"/>
              <w:rPr>
                <w:color w:val="auto"/>
                <w:highlight w:val="none"/>
              </w:rPr>
            </w:pPr>
            <w:r>
              <w:rPr>
                <w:color w:val="auto"/>
                <w:highlight w:val="none"/>
              </w:rPr>
              <w:t>35~105</w:t>
            </w:r>
          </w:p>
        </w:tc>
        <w:tc>
          <w:tcPr>
            <w:tcW w:w="3559" w:type="dxa"/>
            <w:noWrap w:val="0"/>
            <w:vAlign w:val="center"/>
          </w:tcPr>
          <w:p>
            <w:pPr>
              <w:pStyle w:val="22"/>
              <w:bidi w:val="0"/>
              <w:spacing w:line="240" w:lineRule="auto"/>
              <w:rPr>
                <w:color w:val="auto"/>
                <w:highlight w:val="none"/>
              </w:rPr>
            </w:pPr>
            <w:r>
              <w:rPr>
                <w:color w:val="auto"/>
                <w:highlight w:val="none"/>
              </w:rPr>
              <w:t>石灰岩、生物碎屑灰岩夹泥岩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514" w:type="dxa"/>
            <w:vMerge w:val="continue"/>
            <w:noWrap w:val="0"/>
            <w:vAlign w:val="center"/>
          </w:tcPr>
          <w:p>
            <w:pPr>
              <w:pStyle w:val="22"/>
              <w:bidi w:val="0"/>
              <w:spacing w:line="240" w:lineRule="auto"/>
              <w:rPr>
                <w:color w:val="auto"/>
                <w:highlight w:val="none"/>
              </w:rPr>
            </w:pPr>
          </w:p>
        </w:tc>
        <w:tc>
          <w:tcPr>
            <w:tcW w:w="1214" w:type="dxa"/>
            <w:noWrap w:val="0"/>
            <w:vAlign w:val="center"/>
          </w:tcPr>
          <w:p>
            <w:pPr>
              <w:pStyle w:val="22"/>
              <w:bidi w:val="0"/>
              <w:spacing w:line="240" w:lineRule="auto"/>
              <w:rPr>
                <w:color w:val="auto"/>
                <w:highlight w:val="none"/>
              </w:rPr>
            </w:pPr>
            <w:r>
              <w:rPr>
                <w:color w:val="auto"/>
                <w:highlight w:val="none"/>
              </w:rPr>
              <w:t>马鞍山段</w:t>
            </w:r>
          </w:p>
        </w:tc>
        <w:tc>
          <w:tcPr>
            <w:tcW w:w="734" w:type="dxa"/>
            <w:noWrap w:val="0"/>
            <w:vAlign w:val="center"/>
          </w:tcPr>
          <w:p>
            <w:pPr>
              <w:pStyle w:val="22"/>
              <w:bidi w:val="0"/>
              <w:spacing w:line="240" w:lineRule="auto"/>
              <w:rPr>
                <w:color w:val="auto"/>
                <w:highlight w:val="none"/>
              </w:rPr>
            </w:pPr>
            <w:r>
              <w:rPr>
                <w:color w:val="auto"/>
                <w:highlight w:val="none"/>
              </w:rPr>
              <w:t>J1-2z2</w:t>
            </w:r>
          </w:p>
        </w:tc>
        <w:tc>
          <w:tcPr>
            <w:tcW w:w="868" w:type="dxa"/>
            <w:noWrap w:val="0"/>
            <w:vAlign w:val="center"/>
          </w:tcPr>
          <w:p>
            <w:pPr>
              <w:pStyle w:val="22"/>
              <w:bidi w:val="0"/>
              <w:spacing w:line="240" w:lineRule="auto"/>
              <w:rPr>
                <w:color w:val="auto"/>
                <w:highlight w:val="none"/>
              </w:rPr>
            </w:pPr>
            <w:r>
              <w:rPr>
                <w:color w:val="auto"/>
                <w:highlight w:val="none"/>
              </w:rPr>
              <w:t>71~146</w:t>
            </w:r>
          </w:p>
        </w:tc>
        <w:tc>
          <w:tcPr>
            <w:tcW w:w="3559" w:type="dxa"/>
            <w:noWrap w:val="0"/>
            <w:vAlign w:val="center"/>
          </w:tcPr>
          <w:p>
            <w:pPr>
              <w:pStyle w:val="22"/>
              <w:bidi w:val="0"/>
              <w:spacing w:line="240" w:lineRule="auto"/>
              <w:rPr>
                <w:color w:val="auto"/>
                <w:highlight w:val="none"/>
              </w:rPr>
            </w:pPr>
            <w:r>
              <w:rPr>
                <w:color w:val="auto"/>
                <w:highlight w:val="none"/>
              </w:rPr>
              <w:t>泥岩夹石英粉砂岩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8"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514" w:type="dxa"/>
            <w:vMerge w:val="continue"/>
            <w:noWrap w:val="0"/>
            <w:vAlign w:val="center"/>
          </w:tcPr>
          <w:p>
            <w:pPr>
              <w:pStyle w:val="22"/>
              <w:bidi w:val="0"/>
              <w:spacing w:line="240" w:lineRule="auto"/>
              <w:rPr>
                <w:color w:val="auto"/>
                <w:highlight w:val="none"/>
              </w:rPr>
            </w:pPr>
          </w:p>
        </w:tc>
        <w:tc>
          <w:tcPr>
            <w:tcW w:w="1214" w:type="dxa"/>
            <w:noWrap w:val="0"/>
            <w:vAlign w:val="center"/>
          </w:tcPr>
          <w:p>
            <w:pPr>
              <w:pStyle w:val="22"/>
              <w:bidi w:val="0"/>
              <w:spacing w:line="240" w:lineRule="auto"/>
              <w:rPr>
                <w:color w:val="auto"/>
                <w:highlight w:val="none"/>
              </w:rPr>
            </w:pPr>
            <w:r>
              <w:rPr>
                <w:color w:val="auto"/>
                <w:highlight w:val="none"/>
              </w:rPr>
              <w:t>东岳庙段</w:t>
            </w:r>
          </w:p>
        </w:tc>
        <w:tc>
          <w:tcPr>
            <w:tcW w:w="734" w:type="dxa"/>
            <w:noWrap w:val="0"/>
            <w:vAlign w:val="center"/>
          </w:tcPr>
          <w:p>
            <w:pPr>
              <w:pStyle w:val="22"/>
              <w:bidi w:val="0"/>
              <w:spacing w:line="240" w:lineRule="auto"/>
              <w:rPr>
                <w:color w:val="auto"/>
                <w:highlight w:val="none"/>
              </w:rPr>
            </w:pPr>
            <w:r>
              <w:rPr>
                <w:color w:val="auto"/>
                <w:highlight w:val="none"/>
              </w:rPr>
              <w:t>J1-2z1</w:t>
            </w:r>
          </w:p>
        </w:tc>
        <w:tc>
          <w:tcPr>
            <w:tcW w:w="868" w:type="dxa"/>
            <w:noWrap w:val="0"/>
            <w:vAlign w:val="center"/>
          </w:tcPr>
          <w:p>
            <w:pPr>
              <w:pStyle w:val="22"/>
              <w:bidi w:val="0"/>
              <w:spacing w:line="240" w:lineRule="auto"/>
              <w:rPr>
                <w:color w:val="auto"/>
                <w:highlight w:val="none"/>
              </w:rPr>
            </w:pPr>
            <w:r>
              <w:rPr>
                <w:color w:val="auto"/>
                <w:highlight w:val="none"/>
              </w:rPr>
              <w:t>46~58</w:t>
            </w:r>
          </w:p>
        </w:tc>
        <w:tc>
          <w:tcPr>
            <w:tcW w:w="3559" w:type="dxa"/>
            <w:noWrap w:val="0"/>
            <w:vAlign w:val="center"/>
          </w:tcPr>
          <w:p>
            <w:pPr>
              <w:pStyle w:val="22"/>
              <w:bidi w:val="0"/>
              <w:spacing w:line="240" w:lineRule="auto"/>
              <w:rPr>
                <w:color w:val="auto"/>
                <w:highlight w:val="none"/>
              </w:rPr>
            </w:pPr>
            <w:r>
              <w:rPr>
                <w:color w:val="auto"/>
                <w:highlight w:val="none"/>
              </w:rPr>
              <w:t>泥岩夹介壳灰岩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noWrap w:val="0"/>
            <w:vAlign w:val="center"/>
          </w:tcPr>
          <w:p>
            <w:pPr>
              <w:pStyle w:val="22"/>
              <w:bidi w:val="0"/>
              <w:spacing w:line="240" w:lineRule="auto"/>
              <w:rPr>
                <w:color w:val="auto"/>
                <w:highlight w:val="none"/>
              </w:rPr>
            </w:pPr>
            <w:r>
              <w:rPr>
                <w:color w:val="auto"/>
                <w:highlight w:val="none"/>
              </w:rPr>
              <w:t>下统</w:t>
            </w:r>
          </w:p>
        </w:tc>
        <w:tc>
          <w:tcPr>
            <w:tcW w:w="514" w:type="dxa"/>
            <w:noWrap w:val="0"/>
            <w:vAlign w:val="center"/>
          </w:tcPr>
          <w:p>
            <w:pPr>
              <w:pStyle w:val="22"/>
              <w:bidi w:val="0"/>
              <w:spacing w:line="240" w:lineRule="auto"/>
              <w:rPr>
                <w:color w:val="auto"/>
                <w:highlight w:val="none"/>
              </w:rPr>
            </w:pPr>
          </w:p>
        </w:tc>
        <w:tc>
          <w:tcPr>
            <w:tcW w:w="1214" w:type="dxa"/>
            <w:noWrap w:val="0"/>
            <w:vAlign w:val="center"/>
          </w:tcPr>
          <w:p>
            <w:pPr>
              <w:pStyle w:val="22"/>
              <w:bidi w:val="0"/>
              <w:spacing w:line="240" w:lineRule="auto"/>
              <w:rPr>
                <w:color w:val="auto"/>
                <w:highlight w:val="none"/>
              </w:rPr>
            </w:pPr>
            <w:r>
              <w:rPr>
                <w:color w:val="auto"/>
                <w:highlight w:val="none"/>
              </w:rPr>
              <w:t>珍珠冲组</w:t>
            </w:r>
          </w:p>
        </w:tc>
        <w:tc>
          <w:tcPr>
            <w:tcW w:w="734" w:type="dxa"/>
            <w:noWrap w:val="0"/>
            <w:vAlign w:val="center"/>
          </w:tcPr>
          <w:p>
            <w:pPr>
              <w:pStyle w:val="22"/>
              <w:bidi w:val="0"/>
              <w:spacing w:line="240" w:lineRule="auto"/>
              <w:rPr>
                <w:color w:val="auto"/>
                <w:highlight w:val="none"/>
              </w:rPr>
            </w:pPr>
            <w:r>
              <w:rPr>
                <w:color w:val="auto"/>
                <w:highlight w:val="none"/>
              </w:rPr>
              <w:t>J1z</w:t>
            </w:r>
          </w:p>
        </w:tc>
        <w:tc>
          <w:tcPr>
            <w:tcW w:w="868" w:type="dxa"/>
            <w:noWrap w:val="0"/>
            <w:vAlign w:val="center"/>
          </w:tcPr>
          <w:p>
            <w:pPr>
              <w:pStyle w:val="22"/>
              <w:bidi w:val="0"/>
              <w:spacing w:line="240" w:lineRule="auto"/>
              <w:rPr>
                <w:color w:val="auto"/>
                <w:highlight w:val="none"/>
              </w:rPr>
            </w:pPr>
            <w:r>
              <w:rPr>
                <w:color w:val="auto"/>
                <w:highlight w:val="none"/>
              </w:rPr>
              <w:t>131~272</w:t>
            </w:r>
          </w:p>
        </w:tc>
        <w:tc>
          <w:tcPr>
            <w:tcW w:w="3559" w:type="dxa"/>
            <w:noWrap w:val="0"/>
            <w:vAlign w:val="center"/>
          </w:tcPr>
          <w:p>
            <w:pPr>
              <w:pStyle w:val="22"/>
              <w:bidi w:val="0"/>
              <w:spacing w:line="240" w:lineRule="auto"/>
              <w:rPr>
                <w:color w:val="auto"/>
                <w:highlight w:val="none"/>
              </w:rPr>
            </w:pPr>
            <w:r>
              <w:rPr>
                <w:color w:val="auto"/>
                <w:highlight w:val="none"/>
              </w:rPr>
              <w:t>泥岩、石英细砂岩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6" w:hRule="atLeast"/>
          <w:jc w:val="center"/>
        </w:trPr>
        <w:tc>
          <w:tcPr>
            <w:tcW w:w="737" w:type="dxa"/>
            <w:vMerge w:val="restart"/>
            <w:noWrap w:val="0"/>
            <w:vAlign w:val="center"/>
          </w:tcPr>
          <w:p>
            <w:pPr>
              <w:pStyle w:val="22"/>
              <w:bidi w:val="0"/>
              <w:spacing w:line="240" w:lineRule="auto"/>
              <w:rPr>
                <w:color w:val="auto"/>
                <w:highlight w:val="none"/>
              </w:rPr>
            </w:pPr>
            <w:r>
              <w:rPr>
                <w:color w:val="auto"/>
                <w:highlight w:val="none"/>
              </w:rPr>
              <w:t>三叠系</w:t>
            </w:r>
          </w:p>
        </w:tc>
        <w:tc>
          <w:tcPr>
            <w:tcW w:w="690" w:type="dxa"/>
            <w:vMerge w:val="restart"/>
            <w:noWrap w:val="0"/>
            <w:vAlign w:val="center"/>
          </w:tcPr>
          <w:p>
            <w:pPr>
              <w:pStyle w:val="22"/>
              <w:bidi w:val="0"/>
              <w:spacing w:line="240" w:lineRule="auto"/>
              <w:rPr>
                <w:color w:val="auto"/>
                <w:highlight w:val="none"/>
              </w:rPr>
            </w:pPr>
            <w:r>
              <w:rPr>
                <w:color w:val="auto"/>
                <w:highlight w:val="none"/>
              </w:rPr>
              <w:t>上统</w:t>
            </w:r>
          </w:p>
        </w:tc>
        <w:tc>
          <w:tcPr>
            <w:tcW w:w="514" w:type="dxa"/>
            <w:vMerge w:val="restart"/>
            <w:noWrap w:val="0"/>
            <w:vAlign w:val="center"/>
          </w:tcPr>
          <w:p>
            <w:pPr>
              <w:pStyle w:val="22"/>
              <w:bidi w:val="0"/>
              <w:spacing w:line="240" w:lineRule="auto"/>
              <w:rPr>
                <w:color w:val="auto"/>
                <w:highlight w:val="none"/>
              </w:rPr>
            </w:pPr>
            <w:r>
              <w:rPr>
                <w:color w:val="auto"/>
                <w:highlight w:val="none"/>
              </w:rPr>
              <w:t>须家河组</w:t>
            </w:r>
          </w:p>
        </w:tc>
        <w:tc>
          <w:tcPr>
            <w:tcW w:w="1214" w:type="dxa"/>
            <w:noWrap w:val="0"/>
            <w:vAlign w:val="center"/>
          </w:tcPr>
          <w:p>
            <w:pPr>
              <w:pStyle w:val="22"/>
              <w:bidi w:val="0"/>
              <w:spacing w:line="240" w:lineRule="auto"/>
              <w:rPr>
                <w:color w:val="auto"/>
                <w:highlight w:val="none"/>
              </w:rPr>
            </w:pPr>
            <w:r>
              <w:rPr>
                <w:color w:val="auto"/>
                <w:highlight w:val="none"/>
              </w:rPr>
              <w:t>上亚组</w:t>
            </w:r>
          </w:p>
        </w:tc>
        <w:tc>
          <w:tcPr>
            <w:tcW w:w="734" w:type="dxa"/>
            <w:noWrap w:val="0"/>
            <w:vAlign w:val="center"/>
          </w:tcPr>
          <w:p>
            <w:pPr>
              <w:pStyle w:val="22"/>
              <w:bidi w:val="0"/>
              <w:spacing w:line="240" w:lineRule="auto"/>
              <w:rPr>
                <w:color w:val="auto"/>
                <w:highlight w:val="none"/>
              </w:rPr>
            </w:pPr>
            <w:r>
              <w:rPr>
                <w:color w:val="auto"/>
                <w:highlight w:val="none"/>
              </w:rPr>
              <w:t>T3xj2</w:t>
            </w:r>
          </w:p>
        </w:tc>
        <w:tc>
          <w:tcPr>
            <w:tcW w:w="868" w:type="dxa"/>
            <w:noWrap w:val="0"/>
            <w:vAlign w:val="center"/>
          </w:tcPr>
          <w:p>
            <w:pPr>
              <w:pStyle w:val="22"/>
              <w:bidi w:val="0"/>
              <w:spacing w:line="240" w:lineRule="auto"/>
              <w:rPr>
                <w:color w:val="auto"/>
                <w:highlight w:val="none"/>
              </w:rPr>
            </w:pPr>
            <w:r>
              <w:rPr>
                <w:color w:val="auto"/>
                <w:highlight w:val="none"/>
              </w:rPr>
              <w:t>210~400</w:t>
            </w:r>
          </w:p>
        </w:tc>
        <w:tc>
          <w:tcPr>
            <w:tcW w:w="3559" w:type="dxa"/>
            <w:noWrap w:val="0"/>
            <w:vAlign w:val="center"/>
          </w:tcPr>
          <w:p>
            <w:pPr>
              <w:pStyle w:val="22"/>
              <w:bidi w:val="0"/>
              <w:spacing w:line="240" w:lineRule="auto"/>
              <w:rPr>
                <w:color w:val="auto"/>
                <w:highlight w:val="none"/>
              </w:rPr>
            </w:pPr>
            <w:r>
              <w:rPr>
                <w:color w:val="auto"/>
                <w:highlight w:val="none"/>
              </w:rPr>
              <w:t>岩屑石英砂岩夹泥岩及煤线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3"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514" w:type="dxa"/>
            <w:vMerge w:val="continue"/>
            <w:noWrap w:val="0"/>
            <w:vAlign w:val="center"/>
          </w:tcPr>
          <w:p>
            <w:pPr>
              <w:pStyle w:val="22"/>
              <w:bidi w:val="0"/>
              <w:spacing w:line="240" w:lineRule="auto"/>
              <w:rPr>
                <w:color w:val="auto"/>
                <w:highlight w:val="none"/>
              </w:rPr>
            </w:pPr>
          </w:p>
        </w:tc>
        <w:tc>
          <w:tcPr>
            <w:tcW w:w="1214" w:type="dxa"/>
            <w:noWrap w:val="0"/>
            <w:vAlign w:val="center"/>
          </w:tcPr>
          <w:p>
            <w:pPr>
              <w:pStyle w:val="22"/>
              <w:bidi w:val="0"/>
              <w:spacing w:line="240" w:lineRule="auto"/>
              <w:rPr>
                <w:color w:val="auto"/>
                <w:highlight w:val="none"/>
              </w:rPr>
            </w:pPr>
            <w:r>
              <w:rPr>
                <w:color w:val="auto"/>
                <w:highlight w:val="none"/>
              </w:rPr>
              <w:t>下亚组</w:t>
            </w:r>
          </w:p>
        </w:tc>
        <w:tc>
          <w:tcPr>
            <w:tcW w:w="734" w:type="dxa"/>
            <w:noWrap w:val="0"/>
            <w:vAlign w:val="center"/>
          </w:tcPr>
          <w:p>
            <w:pPr>
              <w:pStyle w:val="22"/>
              <w:bidi w:val="0"/>
              <w:spacing w:line="240" w:lineRule="auto"/>
              <w:rPr>
                <w:color w:val="auto"/>
                <w:highlight w:val="none"/>
              </w:rPr>
            </w:pPr>
            <w:r>
              <w:rPr>
                <w:color w:val="auto"/>
                <w:highlight w:val="none"/>
              </w:rPr>
              <w:t>T3xj1</w:t>
            </w:r>
          </w:p>
        </w:tc>
        <w:tc>
          <w:tcPr>
            <w:tcW w:w="868" w:type="dxa"/>
            <w:noWrap w:val="0"/>
            <w:vAlign w:val="center"/>
          </w:tcPr>
          <w:p>
            <w:pPr>
              <w:pStyle w:val="22"/>
              <w:bidi w:val="0"/>
              <w:spacing w:line="240" w:lineRule="auto"/>
              <w:rPr>
                <w:color w:val="auto"/>
                <w:highlight w:val="none"/>
              </w:rPr>
            </w:pPr>
            <w:r>
              <w:rPr>
                <w:color w:val="auto"/>
                <w:highlight w:val="none"/>
              </w:rPr>
              <w:t>160~255</w:t>
            </w:r>
          </w:p>
        </w:tc>
        <w:tc>
          <w:tcPr>
            <w:tcW w:w="3559" w:type="dxa"/>
            <w:noWrap w:val="0"/>
            <w:vAlign w:val="center"/>
          </w:tcPr>
          <w:p>
            <w:pPr>
              <w:pStyle w:val="22"/>
              <w:bidi w:val="0"/>
              <w:spacing w:line="240" w:lineRule="auto"/>
              <w:rPr>
                <w:color w:val="auto"/>
                <w:highlight w:val="none"/>
              </w:rPr>
            </w:pPr>
            <w:r>
              <w:rPr>
                <w:color w:val="auto"/>
                <w:highlight w:val="none"/>
              </w:rPr>
              <w:t>泥岩夹细砂岩及薄煤层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89"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noWrap w:val="0"/>
            <w:vAlign w:val="center"/>
          </w:tcPr>
          <w:p>
            <w:pPr>
              <w:pStyle w:val="22"/>
              <w:bidi w:val="0"/>
              <w:spacing w:line="240" w:lineRule="auto"/>
              <w:rPr>
                <w:color w:val="auto"/>
                <w:highlight w:val="none"/>
              </w:rPr>
            </w:pPr>
            <w:r>
              <w:rPr>
                <w:color w:val="auto"/>
                <w:highlight w:val="none"/>
              </w:rPr>
              <w:t>中统</w:t>
            </w:r>
          </w:p>
        </w:tc>
        <w:tc>
          <w:tcPr>
            <w:tcW w:w="1728" w:type="dxa"/>
            <w:gridSpan w:val="2"/>
            <w:noWrap w:val="0"/>
            <w:vAlign w:val="center"/>
          </w:tcPr>
          <w:p>
            <w:pPr>
              <w:pStyle w:val="22"/>
              <w:bidi w:val="0"/>
              <w:spacing w:line="240" w:lineRule="auto"/>
              <w:rPr>
                <w:color w:val="auto"/>
                <w:highlight w:val="none"/>
              </w:rPr>
            </w:pPr>
            <w:r>
              <w:rPr>
                <w:color w:val="auto"/>
                <w:highlight w:val="none"/>
              </w:rPr>
              <w:t>雷口坡组</w:t>
            </w:r>
          </w:p>
        </w:tc>
        <w:tc>
          <w:tcPr>
            <w:tcW w:w="734" w:type="dxa"/>
            <w:noWrap w:val="0"/>
            <w:vAlign w:val="center"/>
          </w:tcPr>
          <w:p>
            <w:pPr>
              <w:pStyle w:val="22"/>
              <w:bidi w:val="0"/>
              <w:spacing w:line="240" w:lineRule="auto"/>
              <w:rPr>
                <w:color w:val="auto"/>
                <w:highlight w:val="none"/>
              </w:rPr>
            </w:pPr>
            <w:r>
              <w:rPr>
                <w:color w:val="auto"/>
                <w:highlight w:val="none"/>
              </w:rPr>
              <w:t>T2l</w:t>
            </w:r>
          </w:p>
        </w:tc>
        <w:tc>
          <w:tcPr>
            <w:tcW w:w="868" w:type="dxa"/>
            <w:noWrap w:val="0"/>
            <w:vAlign w:val="center"/>
          </w:tcPr>
          <w:p>
            <w:pPr>
              <w:pStyle w:val="22"/>
              <w:bidi w:val="0"/>
              <w:spacing w:line="240" w:lineRule="auto"/>
              <w:rPr>
                <w:color w:val="auto"/>
                <w:highlight w:val="none"/>
              </w:rPr>
            </w:pPr>
            <w:r>
              <w:rPr>
                <w:color w:val="auto"/>
                <w:highlight w:val="none"/>
              </w:rPr>
              <w:t>358~776</w:t>
            </w:r>
          </w:p>
        </w:tc>
        <w:tc>
          <w:tcPr>
            <w:tcW w:w="3559" w:type="dxa"/>
            <w:noWrap w:val="0"/>
            <w:vAlign w:val="center"/>
          </w:tcPr>
          <w:p>
            <w:pPr>
              <w:pStyle w:val="22"/>
              <w:bidi w:val="0"/>
              <w:spacing w:line="240" w:lineRule="auto"/>
              <w:rPr>
                <w:color w:val="auto"/>
                <w:highlight w:val="none"/>
              </w:rPr>
            </w:pPr>
            <w:r>
              <w:rPr>
                <w:color w:val="auto"/>
                <w:highlight w:val="none"/>
              </w:rPr>
              <w:t>白云岩、泥质白云岩，底为水云母粘土岩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restart"/>
            <w:noWrap w:val="0"/>
            <w:vAlign w:val="center"/>
          </w:tcPr>
          <w:p>
            <w:pPr>
              <w:pStyle w:val="22"/>
              <w:bidi w:val="0"/>
              <w:spacing w:line="240" w:lineRule="auto"/>
              <w:rPr>
                <w:color w:val="auto"/>
                <w:highlight w:val="none"/>
              </w:rPr>
            </w:pPr>
            <w:r>
              <w:rPr>
                <w:color w:val="auto"/>
                <w:highlight w:val="none"/>
              </w:rPr>
              <w:t>下统</w:t>
            </w:r>
          </w:p>
        </w:tc>
        <w:tc>
          <w:tcPr>
            <w:tcW w:w="1728" w:type="dxa"/>
            <w:gridSpan w:val="2"/>
            <w:noWrap w:val="0"/>
            <w:vAlign w:val="center"/>
          </w:tcPr>
          <w:p>
            <w:pPr>
              <w:pStyle w:val="22"/>
              <w:bidi w:val="0"/>
              <w:spacing w:line="240" w:lineRule="auto"/>
              <w:rPr>
                <w:color w:val="auto"/>
                <w:highlight w:val="none"/>
              </w:rPr>
            </w:pPr>
            <w:r>
              <w:rPr>
                <w:color w:val="auto"/>
                <w:highlight w:val="none"/>
              </w:rPr>
              <w:t>嘉陵江组</w:t>
            </w:r>
          </w:p>
        </w:tc>
        <w:tc>
          <w:tcPr>
            <w:tcW w:w="734" w:type="dxa"/>
            <w:noWrap w:val="0"/>
            <w:vAlign w:val="center"/>
          </w:tcPr>
          <w:p>
            <w:pPr>
              <w:pStyle w:val="22"/>
              <w:bidi w:val="0"/>
              <w:spacing w:line="240" w:lineRule="auto"/>
              <w:rPr>
                <w:color w:val="auto"/>
                <w:highlight w:val="none"/>
              </w:rPr>
            </w:pPr>
            <w:r>
              <w:rPr>
                <w:color w:val="auto"/>
                <w:highlight w:val="none"/>
              </w:rPr>
              <w:t>T1j</w:t>
            </w:r>
          </w:p>
        </w:tc>
        <w:tc>
          <w:tcPr>
            <w:tcW w:w="868" w:type="dxa"/>
            <w:noWrap w:val="0"/>
            <w:vAlign w:val="center"/>
          </w:tcPr>
          <w:p>
            <w:pPr>
              <w:pStyle w:val="22"/>
              <w:bidi w:val="0"/>
              <w:spacing w:line="240" w:lineRule="auto"/>
              <w:rPr>
                <w:color w:val="auto"/>
                <w:highlight w:val="none"/>
              </w:rPr>
            </w:pPr>
            <w:r>
              <w:rPr>
                <w:color w:val="auto"/>
                <w:highlight w:val="none"/>
              </w:rPr>
              <w:t>484~715</w:t>
            </w:r>
          </w:p>
        </w:tc>
        <w:tc>
          <w:tcPr>
            <w:tcW w:w="3559" w:type="dxa"/>
            <w:noWrap w:val="0"/>
            <w:vAlign w:val="center"/>
          </w:tcPr>
          <w:p>
            <w:pPr>
              <w:pStyle w:val="22"/>
              <w:bidi w:val="0"/>
              <w:spacing w:line="240" w:lineRule="auto"/>
              <w:rPr>
                <w:color w:val="auto"/>
                <w:highlight w:val="none"/>
              </w:rPr>
            </w:pPr>
            <w:r>
              <w:rPr>
                <w:color w:val="auto"/>
                <w:highlight w:val="none"/>
              </w:rPr>
              <w:t>灰岩、泥质灰岩夹白云岩及膏盐层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3"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1728" w:type="dxa"/>
            <w:gridSpan w:val="2"/>
            <w:noWrap w:val="0"/>
            <w:vAlign w:val="center"/>
          </w:tcPr>
          <w:p>
            <w:pPr>
              <w:pStyle w:val="22"/>
              <w:bidi w:val="0"/>
              <w:spacing w:line="240" w:lineRule="auto"/>
              <w:rPr>
                <w:color w:val="auto"/>
                <w:highlight w:val="none"/>
              </w:rPr>
            </w:pPr>
            <w:r>
              <w:rPr>
                <w:color w:val="auto"/>
                <w:highlight w:val="none"/>
              </w:rPr>
              <w:t>飞仙关组</w:t>
            </w:r>
          </w:p>
        </w:tc>
        <w:tc>
          <w:tcPr>
            <w:tcW w:w="734" w:type="dxa"/>
            <w:noWrap w:val="0"/>
            <w:vAlign w:val="center"/>
          </w:tcPr>
          <w:p>
            <w:pPr>
              <w:pStyle w:val="22"/>
              <w:bidi w:val="0"/>
              <w:spacing w:line="240" w:lineRule="auto"/>
              <w:rPr>
                <w:color w:val="auto"/>
                <w:highlight w:val="none"/>
              </w:rPr>
            </w:pPr>
            <w:r>
              <w:rPr>
                <w:color w:val="auto"/>
                <w:highlight w:val="none"/>
              </w:rPr>
              <w:t>T1f</w:t>
            </w:r>
          </w:p>
        </w:tc>
        <w:tc>
          <w:tcPr>
            <w:tcW w:w="868" w:type="dxa"/>
            <w:noWrap w:val="0"/>
            <w:vAlign w:val="center"/>
          </w:tcPr>
          <w:p>
            <w:pPr>
              <w:pStyle w:val="22"/>
              <w:bidi w:val="0"/>
              <w:spacing w:line="240" w:lineRule="auto"/>
              <w:rPr>
                <w:color w:val="auto"/>
                <w:highlight w:val="none"/>
              </w:rPr>
            </w:pPr>
            <w:r>
              <w:rPr>
                <w:color w:val="auto"/>
                <w:highlight w:val="none"/>
              </w:rPr>
              <w:t>372~536</w:t>
            </w:r>
          </w:p>
        </w:tc>
        <w:tc>
          <w:tcPr>
            <w:tcW w:w="3559" w:type="dxa"/>
            <w:noWrap w:val="0"/>
            <w:vAlign w:val="center"/>
          </w:tcPr>
          <w:p>
            <w:pPr>
              <w:pStyle w:val="22"/>
              <w:bidi w:val="0"/>
              <w:spacing w:line="240" w:lineRule="auto"/>
              <w:rPr>
                <w:color w:val="auto"/>
                <w:highlight w:val="none"/>
              </w:rPr>
            </w:pPr>
            <w:r>
              <w:rPr>
                <w:color w:val="auto"/>
                <w:highlight w:val="none"/>
              </w:rPr>
              <w:t>泥岩、泥质灰岩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4" w:hRule="atLeast"/>
          <w:jc w:val="center"/>
        </w:trPr>
        <w:tc>
          <w:tcPr>
            <w:tcW w:w="737" w:type="dxa"/>
            <w:vMerge w:val="restart"/>
            <w:noWrap w:val="0"/>
            <w:vAlign w:val="center"/>
          </w:tcPr>
          <w:p>
            <w:pPr>
              <w:pStyle w:val="22"/>
              <w:bidi w:val="0"/>
              <w:spacing w:line="240" w:lineRule="auto"/>
              <w:rPr>
                <w:color w:val="auto"/>
                <w:highlight w:val="none"/>
              </w:rPr>
            </w:pPr>
            <w:r>
              <w:rPr>
                <w:color w:val="auto"/>
                <w:highlight w:val="none"/>
              </w:rPr>
              <w:t>二叠系</w:t>
            </w:r>
          </w:p>
        </w:tc>
        <w:tc>
          <w:tcPr>
            <w:tcW w:w="690" w:type="dxa"/>
            <w:vMerge w:val="restart"/>
            <w:noWrap w:val="0"/>
            <w:vAlign w:val="center"/>
          </w:tcPr>
          <w:p>
            <w:pPr>
              <w:pStyle w:val="22"/>
              <w:bidi w:val="0"/>
              <w:spacing w:line="240" w:lineRule="auto"/>
              <w:rPr>
                <w:color w:val="auto"/>
                <w:highlight w:val="none"/>
              </w:rPr>
            </w:pPr>
            <w:r>
              <w:rPr>
                <w:color w:val="auto"/>
                <w:highlight w:val="none"/>
              </w:rPr>
              <w:t>上统</w:t>
            </w:r>
          </w:p>
        </w:tc>
        <w:tc>
          <w:tcPr>
            <w:tcW w:w="1728" w:type="dxa"/>
            <w:gridSpan w:val="2"/>
            <w:noWrap w:val="0"/>
            <w:vAlign w:val="center"/>
          </w:tcPr>
          <w:p>
            <w:pPr>
              <w:pStyle w:val="22"/>
              <w:bidi w:val="0"/>
              <w:spacing w:line="240" w:lineRule="auto"/>
              <w:rPr>
                <w:color w:val="auto"/>
                <w:highlight w:val="none"/>
              </w:rPr>
            </w:pPr>
            <w:r>
              <w:rPr>
                <w:color w:val="auto"/>
                <w:highlight w:val="none"/>
              </w:rPr>
              <w:t>长兴组</w:t>
            </w:r>
          </w:p>
        </w:tc>
        <w:tc>
          <w:tcPr>
            <w:tcW w:w="734" w:type="dxa"/>
            <w:noWrap w:val="0"/>
            <w:vAlign w:val="center"/>
          </w:tcPr>
          <w:p>
            <w:pPr>
              <w:pStyle w:val="22"/>
              <w:bidi w:val="0"/>
              <w:spacing w:line="240" w:lineRule="auto"/>
              <w:rPr>
                <w:color w:val="auto"/>
                <w:highlight w:val="none"/>
              </w:rPr>
            </w:pPr>
            <w:r>
              <w:rPr>
                <w:color w:val="auto"/>
                <w:highlight w:val="none"/>
              </w:rPr>
              <w:t>P3c</w:t>
            </w:r>
          </w:p>
        </w:tc>
        <w:tc>
          <w:tcPr>
            <w:tcW w:w="868" w:type="dxa"/>
            <w:noWrap w:val="0"/>
            <w:vAlign w:val="center"/>
          </w:tcPr>
          <w:p>
            <w:pPr>
              <w:pStyle w:val="22"/>
              <w:bidi w:val="0"/>
              <w:spacing w:line="240" w:lineRule="auto"/>
              <w:rPr>
                <w:color w:val="auto"/>
                <w:highlight w:val="none"/>
              </w:rPr>
            </w:pPr>
            <w:r>
              <w:rPr>
                <w:color w:val="auto"/>
                <w:highlight w:val="none"/>
              </w:rPr>
              <w:t>96~241</w:t>
            </w:r>
          </w:p>
        </w:tc>
        <w:tc>
          <w:tcPr>
            <w:tcW w:w="3559" w:type="dxa"/>
            <w:noWrap w:val="0"/>
            <w:vAlign w:val="center"/>
          </w:tcPr>
          <w:p>
            <w:pPr>
              <w:pStyle w:val="22"/>
              <w:bidi w:val="0"/>
              <w:spacing w:line="240" w:lineRule="auto"/>
              <w:rPr>
                <w:color w:val="auto"/>
                <w:highlight w:val="none"/>
              </w:rPr>
            </w:pPr>
            <w:r>
              <w:rPr>
                <w:color w:val="auto"/>
                <w:highlight w:val="none"/>
              </w:rPr>
              <w:t>石灰岩，中上部含燧石结核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1728" w:type="dxa"/>
            <w:gridSpan w:val="2"/>
            <w:noWrap w:val="0"/>
            <w:vAlign w:val="center"/>
          </w:tcPr>
          <w:p>
            <w:pPr>
              <w:pStyle w:val="22"/>
              <w:bidi w:val="0"/>
              <w:spacing w:line="240" w:lineRule="auto"/>
              <w:rPr>
                <w:color w:val="auto"/>
                <w:highlight w:val="none"/>
              </w:rPr>
            </w:pPr>
            <w:r>
              <w:rPr>
                <w:color w:val="auto"/>
                <w:highlight w:val="none"/>
              </w:rPr>
              <w:t>龙潭组</w:t>
            </w:r>
          </w:p>
        </w:tc>
        <w:tc>
          <w:tcPr>
            <w:tcW w:w="734" w:type="dxa"/>
            <w:noWrap w:val="0"/>
            <w:vAlign w:val="center"/>
          </w:tcPr>
          <w:p>
            <w:pPr>
              <w:pStyle w:val="22"/>
              <w:bidi w:val="0"/>
              <w:spacing w:line="240" w:lineRule="auto"/>
              <w:rPr>
                <w:color w:val="auto"/>
                <w:highlight w:val="none"/>
              </w:rPr>
            </w:pPr>
            <w:r>
              <w:rPr>
                <w:color w:val="auto"/>
                <w:highlight w:val="none"/>
              </w:rPr>
              <w:t>P3l</w:t>
            </w:r>
          </w:p>
        </w:tc>
        <w:tc>
          <w:tcPr>
            <w:tcW w:w="868" w:type="dxa"/>
            <w:noWrap w:val="0"/>
            <w:vAlign w:val="center"/>
          </w:tcPr>
          <w:p>
            <w:pPr>
              <w:pStyle w:val="22"/>
              <w:bidi w:val="0"/>
              <w:spacing w:line="240" w:lineRule="auto"/>
              <w:rPr>
                <w:color w:val="auto"/>
                <w:highlight w:val="none"/>
              </w:rPr>
            </w:pPr>
            <w:r>
              <w:rPr>
                <w:color w:val="auto"/>
                <w:highlight w:val="none"/>
              </w:rPr>
              <w:t>104~172</w:t>
            </w:r>
          </w:p>
        </w:tc>
        <w:tc>
          <w:tcPr>
            <w:tcW w:w="3559" w:type="dxa"/>
            <w:noWrap w:val="0"/>
            <w:vAlign w:val="center"/>
          </w:tcPr>
          <w:p>
            <w:pPr>
              <w:pStyle w:val="22"/>
              <w:bidi w:val="0"/>
              <w:spacing w:line="240" w:lineRule="auto"/>
              <w:rPr>
                <w:color w:val="auto"/>
                <w:highlight w:val="none"/>
              </w:rPr>
            </w:pPr>
            <w:r>
              <w:rPr>
                <w:color w:val="auto"/>
                <w:highlight w:val="none"/>
              </w:rPr>
              <w:t>砂质泥岩、燧石灰岩含煤层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4"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1728" w:type="dxa"/>
            <w:gridSpan w:val="2"/>
            <w:noWrap w:val="0"/>
            <w:vAlign w:val="center"/>
          </w:tcPr>
          <w:p>
            <w:pPr>
              <w:pStyle w:val="22"/>
              <w:bidi w:val="0"/>
              <w:spacing w:line="240" w:lineRule="auto"/>
              <w:rPr>
                <w:color w:val="auto"/>
                <w:highlight w:val="none"/>
              </w:rPr>
            </w:pPr>
            <w:r>
              <w:rPr>
                <w:color w:val="auto"/>
                <w:highlight w:val="none"/>
              </w:rPr>
              <w:t>峨眉山玄武岩组</w:t>
            </w:r>
          </w:p>
        </w:tc>
        <w:tc>
          <w:tcPr>
            <w:tcW w:w="734" w:type="dxa"/>
            <w:noWrap w:val="0"/>
            <w:vAlign w:val="center"/>
          </w:tcPr>
          <w:p>
            <w:pPr>
              <w:pStyle w:val="22"/>
              <w:bidi w:val="0"/>
              <w:spacing w:line="240" w:lineRule="auto"/>
              <w:rPr>
                <w:color w:val="auto"/>
                <w:highlight w:val="none"/>
              </w:rPr>
            </w:pPr>
            <w:r>
              <w:rPr>
                <w:color w:val="auto"/>
                <w:highlight w:val="none"/>
              </w:rPr>
              <w:t>P3em</w:t>
            </w:r>
          </w:p>
        </w:tc>
        <w:tc>
          <w:tcPr>
            <w:tcW w:w="868" w:type="dxa"/>
            <w:noWrap w:val="0"/>
            <w:vAlign w:val="center"/>
          </w:tcPr>
          <w:p>
            <w:pPr>
              <w:pStyle w:val="22"/>
              <w:bidi w:val="0"/>
              <w:spacing w:line="240" w:lineRule="auto"/>
              <w:rPr>
                <w:color w:val="auto"/>
                <w:highlight w:val="none"/>
              </w:rPr>
            </w:pPr>
            <w:r>
              <w:rPr>
                <w:color w:val="auto"/>
                <w:highlight w:val="none"/>
              </w:rPr>
              <w:t>0~70</w:t>
            </w:r>
          </w:p>
        </w:tc>
        <w:tc>
          <w:tcPr>
            <w:tcW w:w="3559" w:type="dxa"/>
            <w:noWrap w:val="0"/>
            <w:vAlign w:val="center"/>
          </w:tcPr>
          <w:p>
            <w:pPr>
              <w:pStyle w:val="22"/>
              <w:bidi w:val="0"/>
              <w:spacing w:line="240" w:lineRule="auto"/>
              <w:rPr>
                <w:color w:val="auto"/>
                <w:highlight w:val="none"/>
              </w:rPr>
            </w:pPr>
            <w:r>
              <w:rPr>
                <w:color w:val="auto"/>
                <w:highlight w:val="none"/>
              </w:rPr>
              <w:t>杏仁状玄武岩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restart"/>
            <w:noWrap w:val="0"/>
            <w:vAlign w:val="center"/>
          </w:tcPr>
          <w:p>
            <w:pPr>
              <w:pStyle w:val="22"/>
              <w:bidi w:val="0"/>
              <w:spacing w:line="240" w:lineRule="auto"/>
              <w:rPr>
                <w:color w:val="auto"/>
                <w:highlight w:val="none"/>
              </w:rPr>
            </w:pPr>
            <w:r>
              <w:rPr>
                <w:color w:val="auto"/>
                <w:highlight w:val="none"/>
              </w:rPr>
              <w:t>中统</w:t>
            </w:r>
          </w:p>
        </w:tc>
        <w:tc>
          <w:tcPr>
            <w:tcW w:w="1728" w:type="dxa"/>
            <w:gridSpan w:val="2"/>
            <w:noWrap w:val="0"/>
            <w:vAlign w:val="center"/>
          </w:tcPr>
          <w:p>
            <w:pPr>
              <w:pStyle w:val="22"/>
              <w:bidi w:val="0"/>
              <w:spacing w:line="240" w:lineRule="auto"/>
              <w:rPr>
                <w:color w:val="auto"/>
                <w:highlight w:val="none"/>
              </w:rPr>
            </w:pPr>
            <w:r>
              <w:rPr>
                <w:color w:val="auto"/>
                <w:highlight w:val="none"/>
              </w:rPr>
              <w:t>茅口组</w:t>
            </w:r>
          </w:p>
        </w:tc>
        <w:tc>
          <w:tcPr>
            <w:tcW w:w="734" w:type="dxa"/>
            <w:noWrap w:val="0"/>
            <w:vAlign w:val="center"/>
          </w:tcPr>
          <w:p>
            <w:pPr>
              <w:pStyle w:val="22"/>
              <w:bidi w:val="0"/>
              <w:spacing w:line="240" w:lineRule="auto"/>
              <w:rPr>
                <w:color w:val="auto"/>
                <w:highlight w:val="none"/>
              </w:rPr>
            </w:pPr>
            <w:r>
              <w:rPr>
                <w:color w:val="auto"/>
                <w:highlight w:val="none"/>
              </w:rPr>
              <w:t>P2m</w:t>
            </w:r>
          </w:p>
        </w:tc>
        <w:tc>
          <w:tcPr>
            <w:tcW w:w="868" w:type="dxa"/>
            <w:noWrap w:val="0"/>
            <w:vAlign w:val="center"/>
          </w:tcPr>
          <w:p>
            <w:pPr>
              <w:pStyle w:val="22"/>
              <w:bidi w:val="0"/>
              <w:spacing w:line="240" w:lineRule="auto"/>
              <w:rPr>
                <w:color w:val="auto"/>
                <w:highlight w:val="none"/>
              </w:rPr>
            </w:pPr>
            <w:r>
              <w:rPr>
                <w:color w:val="auto"/>
                <w:highlight w:val="none"/>
              </w:rPr>
              <w:t>188~191</w:t>
            </w:r>
          </w:p>
        </w:tc>
        <w:tc>
          <w:tcPr>
            <w:tcW w:w="3559" w:type="dxa"/>
            <w:noWrap w:val="0"/>
            <w:vAlign w:val="center"/>
          </w:tcPr>
          <w:p>
            <w:pPr>
              <w:pStyle w:val="22"/>
              <w:bidi w:val="0"/>
              <w:spacing w:line="240" w:lineRule="auto"/>
              <w:rPr>
                <w:color w:val="auto"/>
                <w:highlight w:val="none"/>
              </w:rPr>
            </w:pPr>
            <w:r>
              <w:rPr>
                <w:color w:val="auto"/>
                <w:highlight w:val="none"/>
              </w:rPr>
              <w:t>石灰岩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vMerge w:val="continue"/>
            <w:noWrap w:val="0"/>
            <w:vAlign w:val="center"/>
          </w:tcPr>
          <w:p>
            <w:pPr>
              <w:pStyle w:val="22"/>
              <w:bidi w:val="0"/>
              <w:spacing w:line="240" w:lineRule="auto"/>
              <w:rPr>
                <w:color w:val="auto"/>
                <w:highlight w:val="none"/>
              </w:rPr>
            </w:pPr>
          </w:p>
        </w:tc>
        <w:tc>
          <w:tcPr>
            <w:tcW w:w="1728" w:type="dxa"/>
            <w:gridSpan w:val="2"/>
            <w:noWrap w:val="0"/>
            <w:vAlign w:val="center"/>
          </w:tcPr>
          <w:p>
            <w:pPr>
              <w:pStyle w:val="22"/>
              <w:bidi w:val="0"/>
              <w:spacing w:line="240" w:lineRule="auto"/>
              <w:rPr>
                <w:color w:val="auto"/>
                <w:highlight w:val="none"/>
              </w:rPr>
            </w:pPr>
            <w:r>
              <w:rPr>
                <w:color w:val="auto"/>
                <w:highlight w:val="none"/>
              </w:rPr>
              <w:t>栖霞组</w:t>
            </w:r>
          </w:p>
        </w:tc>
        <w:tc>
          <w:tcPr>
            <w:tcW w:w="734" w:type="dxa"/>
            <w:noWrap w:val="0"/>
            <w:vAlign w:val="center"/>
          </w:tcPr>
          <w:p>
            <w:pPr>
              <w:pStyle w:val="22"/>
              <w:bidi w:val="0"/>
              <w:spacing w:line="240" w:lineRule="auto"/>
              <w:rPr>
                <w:color w:val="auto"/>
                <w:highlight w:val="none"/>
              </w:rPr>
            </w:pPr>
            <w:r>
              <w:rPr>
                <w:color w:val="auto"/>
                <w:highlight w:val="none"/>
              </w:rPr>
              <w:t>P2q</w:t>
            </w:r>
          </w:p>
        </w:tc>
        <w:tc>
          <w:tcPr>
            <w:tcW w:w="868" w:type="dxa"/>
            <w:noWrap w:val="0"/>
            <w:vAlign w:val="center"/>
          </w:tcPr>
          <w:p>
            <w:pPr>
              <w:pStyle w:val="22"/>
              <w:bidi w:val="0"/>
              <w:spacing w:line="240" w:lineRule="auto"/>
              <w:rPr>
                <w:color w:val="auto"/>
                <w:highlight w:val="none"/>
              </w:rPr>
            </w:pPr>
            <w:r>
              <w:rPr>
                <w:color w:val="auto"/>
                <w:highlight w:val="none"/>
              </w:rPr>
              <w:t>126~156</w:t>
            </w:r>
          </w:p>
        </w:tc>
        <w:tc>
          <w:tcPr>
            <w:tcW w:w="3559" w:type="dxa"/>
            <w:noWrap w:val="0"/>
            <w:vAlign w:val="center"/>
          </w:tcPr>
          <w:p>
            <w:pPr>
              <w:pStyle w:val="22"/>
              <w:bidi w:val="0"/>
              <w:spacing w:line="240" w:lineRule="auto"/>
              <w:rPr>
                <w:color w:val="auto"/>
                <w:highlight w:val="none"/>
              </w:rPr>
            </w:pPr>
            <w:r>
              <w:rPr>
                <w:color w:val="auto"/>
                <w:highlight w:val="none"/>
              </w:rPr>
              <w:t>石灰岩，上部含燧石结核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737" w:type="dxa"/>
            <w:vMerge w:val="continue"/>
            <w:noWrap w:val="0"/>
            <w:vAlign w:val="center"/>
          </w:tcPr>
          <w:p>
            <w:pPr>
              <w:pStyle w:val="22"/>
              <w:bidi w:val="0"/>
              <w:spacing w:line="240" w:lineRule="auto"/>
              <w:rPr>
                <w:color w:val="auto"/>
                <w:highlight w:val="none"/>
              </w:rPr>
            </w:pPr>
          </w:p>
        </w:tc>
        <w:tc>
          <w:tcPr>
            <w:tcW w:w="690" w:type="dxa"/>
            <w:noWrap w:val="0"/>
            <w:vAlign w:val="center"/>
          </w:tcPr>
          <w:p>
            <w:pPr>
              <w:pStyle w:val="22"/>
              <w:bidi w:val="0"/>
              <w:spacing w:line="240" w:lineRule="auto"/>
              <w:rPr>
                <w:color w:val="auto"/>
                <w:highlight w:val="none"/>
              </w:rPr>
            </w:pPr>
            <w:r>
              <w:rPr>
                <w:color w:val="auto"/>
                <w:highlight w:val="none"/>
              </w:rPr>
              <w:t>下统</w:t>
            </w:r>
          </w:p>
        </w:tc>
        <w:tc>
          <w:tcPr>
            <w:tcW w:w="1728" w:type="dxa"/>
            <w:gridSpan w:val="2"/>
            <w:noWrap w:val="0"/>
            <w:vAlign w:val="center"/>
          </w:tcPr>
          <w:p>
            <w:pPr>
              <w:pStyle w:val="22"/>
              <w:bidi w:val="0"/>
              <w:spacing w:line="240" w:lineRule="auto"/>
              <w:rPr>
                <w:color w:val="auto"/>
                <w:highlight w:val="none"/>
              </w:rPr>
            </w:pPr>
            <w:r>
              <w:rPr>
                <w:color w:val="auto"/>
                <w:highlight w:val="none"/>
              </w:rPr>
              <w:t>梁山组</w:t>
            </w:r>
          </w:p>
        </w:tc>
        <w:tc>
          <w:tcPr>
            <w:tcW w:w="734" w:type="dxa"/>
            <w:noWrap w:val="0"/>
            <w:vAlign w:val="center"/>
          </w:tcPr>
          <w:p>
            <w:pPr>
              <w:pStyle w:val="22"/>
              <w:bidi w:val="0"/>
              <w:spacing w:line="240" w:lineRule="auto"/>
              <w:rPr>
                <w:color w:val="auto"/>
                <w:highlight w:val="none"/>
              </w:rPr>
            </w:pPr>
            <w:r>
              <w:rPr>
                <w:color w:val="auto"/>
                <w:highlight w:val="none"/>
              </w:rPr>
              <w:t>P1l</w:t>
            </w:r>
          </w:p>
        </w:tc>
        <w:tc>
          <w:tcPr>
            <w:tcW w:w="868" w:type="dxa"/>
            <w:noWrap w:val="0"/>
            <w:vAlign w:val="center"/>
          </w:tcPr>
          <w:p>
            <w:pPr>
              <w:pStyle w:val="22"/>
              <w:bidi w:val="0"/>
              <w:spacing w:line="240" w:lineRule="auto"/>
              <w:rPr>
                <w:color w:val="auto"/>
                <w:highlight w:val="none"/>
              </w:rPr>
            </w:pPr>
            <w:r>
              <w:rPr>
                <w:color w:val="auto"/>
                <w:highlight w:val="none"/>
              </w:rPr>
              <w:t>32~144</w:t>
            </w:r>
          </w:p>
        </w:tc>
        <w:tc>
          <w:tcPr>
            <w:tcW w:w="3559" w:type="dxa"/>
            <w:noWrap w:val="0"/>
            <w:vAlign w:val="center"/>
          </w:tcPr>
          <w:p>
            <w:pPr>
              <w:pStyle w:val="22"/>
              <w:bidi w:val="0"/>
              <w:spacing w:line="240" w:lineRule="auto"/>
              <w:rPr>
                <w:color w:val="auto"/>
                <w:highlight w:val="none"/>
              </w:rPr>
            </w:pPr>
            <w:r>
              <w:rPr>
                <w:color w:val="auto"/>
                <w:highlight w:val="none"/>
              </w:rPr>
              <w:t>泥岩夹粘土岩及煤线</w:t>
            </w:r>
          </w:p>
        </w:tc>
      </w:tr>
    </w:tbl>
    <w:p>
      <w:pPr>
        <w:pStyle w:val="22"/>
        <w:bidi w:val="0"/>
        <w:rPr>
          <w:rFonts w:hint="eastAsia"/>
          <w:color w:val="auto"/>
          <w:highlight w:val="none"/>
          <w:lang w:eastAsia="zh-CN"/>
        </w:rPr>
      </w:pP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区域构造</w:t>
      </w:r>
    </w:p>
    <w:p>
      <w:pPr>
        <w:bidi w:val="0"/>
        <w:rPr>
          <w:color w:val="auto"/>
          <w:highlight w:val="none"/>
        </w:rPr>
      </w:pPr>
      <w:r>
        <w:rPr>
          <w:color w:val="auto"/>
          <w:highlight w:val="none"/>
        </w:rPr>
        <w:t>本区位于新华夏系四川沉降带川东褶皱带</w:t>
      </w:r>
      <w:r>
        <w:rPr>
          <w:rFonts w:hint="eastAsia"/>
          <w:color w:val="auto"/>
          <w:highlight w:val="none"/>
        </w:rPr>
        <w:t>，有</w:t>
      </w:r>
      <w:r>
        <w:rPr>
          <w:color w:val="auto"/>
          <w:highlight w:val="none"/>
        </w:rPr>
        <w:t>铜锣峡(中山)背斜</w:t>
      </w:r>
      <w:r>
        <w:rPr>
          <w:rFonts w:hint="eastAsia"/>
          <w:color w:val="auto"/>
          <w:highlight w:val="none"/>
        </w:rPr>
        <w:t>、</w:t>
      </w:r>
      <w:r>
        <w:rPr>
          <w:color w:val="auto"/>
          <w:highlight w:val="none"/>
        </w:rPr>
        <w:t>达县～大竹向斜、华蓥山背斜</w:t>
      </w:r>
      <w:r>
        <w:rPr>
          <w:rFonts w:hint="eastAsia"/>
          <w:color w:val="auto"/>
          <w:highlight w:val="none"/>
        </w:rPr>
        <w:t>、</w:t>
      </w:r>
      <w:r>
        <w:rPr>
          <w:color w:val="auto"/>
          <w:highlight w:val="none"/>
        </w:rPr>
        <w:t>景市～永兴向斜、明月峡背斜，彼此呈线状平行排列，轴向呈NE～SW向展布，背斜紧密，向斜开阔</w:t>
      </w:r>
      <w:r>
        <w:rPr>
          <w:rFonts w:hint="eastAsia"/>
          <w:color w:val="auto"/>
          <w:highlight w:val="none"/>
        </w:rPr>
        <w:t>。</w:t>
      </w:r>
      <w:r>
        <w:rPr>
          <w:color w:val="auto"/>
          <w:highlight w:val="none"/>
        </w:rPr>
        <w:t>见图3.1-</w:t>
      </w:r>
      <w:r>
        <w:rPr>
          <w:rFonts w:hint="eastAsia"/>
          <w:color w:val="auto"/>
          <w:highlight w:val="none"/>
          <w:lang w:val="en-US" w:eastAsia="zh-CN"/>
        </w:rPr>
        <w:t>3</w:t>
      </w:r>
      <w:r>
        <w:rPr>
          <w:color w:val="auto"/>
          <w:highlight w:val="none"/>
        </w:rPr>
        <w:t>。</w:t>
      </w:r>
    </w:p>
    <w:p>
      <w:pPr>
        <w:pStyle w:val="22"/>
        <w:bidi w:val="0"/>
        <w:rPr>
          <w:color w:val="auto"/>
          <w:highlight w:val="none"/>
        </w:rPr>
      </w:pPr>
      <w:r>
        <w:rPr>
          <w:rFonts w:ascii="宋体" w:hAnsi="宋体" w:cs="宋体"/>
          <w:color w:val="auto"/>
          <w:sz w:val="28"/>
          <w:szCs w:val="28"/>
          <w:highlight w:val="none"/>
        </w:rPr>
        <w:drawing>
          <wp:inline distT="0" distB="0" distL="114300" distR="114300">
            <wp:extent cx="5238750" cy="6156325"/>
            <wp:effectExtent l="0" t="0" r="0" b="15875"/>
            <wp:docPr id="5" name="图片 1" descr="说明: 未定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说明: 未定名"/>
                    <pic:cNvPicPr>
                      <a:picLocks noChangeAspect="1"/>
                    </pic:cNvPicPr>
                  </pic:nvPicPr>
                  <pic:blipFill>
                    <a:blip r:embed="rId47"/>
                    <a:srcRect l="2565" t="1938" r="3419" b="1781"/>
                    <a:stretch>
                      <a:fillRect/>
                    </a:stretch>
                  </pic:blipFill>
                  <pic:spPr>
                    <a:xfrm>
                      <a:off x="0" y="0"/>
                      <a:ext cx="5238750" cy="6156325"/>
                    </a:xfrm>
                    <a:prstGeom prst="rect">
                      <a:avLst/>
                    </a:prstGeom>
                    <a:noFill/>
                    <a:ln>
                      <a:noFill/>
                    </a:ln>
                  </pic:spPr>
                </pic:pic>
              </a:graphicData>
            </a:graphic>
          </wp:inline>
        </w:drawing>
      </w:r>
    </w:p>
    <w:p>
      <w:pPr>
        <w:tabs>
          <w:tab w:val="left" w:pos="909"/>
        </w:tabs>
        <w:spacing w:before="76"/>
        <w:ind w:left="0" w:right="21" w:firstLine="0"/>
        <w:jc w:val="center"/>
        <w:rPr>
          <w:b/>
          <w:color w:val="auto"/>
          <w:sz w:val="21"/>
          <w:highlight w:val="none"/>
        </w:rPr>
      </w:pPr>
      <w:r>
        <w:rPr>
          <w:b/>
          <w:color w:val="auto"/>
          <w:sz w:val="21"/>
          <w:highlight w:val="none"/>
        </w:rPr>
        <w:t>图</w:t>
      </w:r>
      <w:r>
        <w:rPr>
          <w:b/>
          <w:color w:val="auto"/>
          <w:spacing w:val="-55"/>
          <w:sz w:val="21"/>
          <w:highlight w:val="none"/>
        </w:rPr>
        <w:t xml:space="preserve"> </w:t>
      </w:r>
      <w:r>
        <w:rPr>
          <w:rFonts w:ascii="Times New Roman" w:eastAsia="Times New Roman"/>
          <w:b/>
          <w:color w:val="auto"/>
          <w:sz w:val="21"/>
          <w:highlight w:val="none"/>
        </w:rPr>
        <w:t>3.1-</w:t>
      </w:r>
      <w:r>
        <w:rPr>
          <w:rFonts w:hint="eastAsia"/>
          <w:b/>
          <w:color w:val="auto"/>
          <w:sz w:val="21"/>
          <w:highlight w:val="none"/>
          <w:lang w:val="en-US" w:eastAsia="zh-CN"/>
        </w:rPr>
        <w:t xml:space="preserve">3 </w:t>
      </w:r>
      <w:r>
        <w:rPr>
          <w:b/>
          <w:color w:val="auto"/>
          <w:sz w:val="21"/>
          <w:highlight w:val="none"/>
        </w:rPr>
        <w:t>区域构造纲要图</w:t>
      </w:r>
    </w:p>
    <w:p>
      <w:pPr>
        <w:pStyle w:val="7"/>
        <w:numPr>
          <w:ilvl w:val="3"/>
          <w:numId w:val="6"/>
        </w:numPr>
        <w:bidi w:val="0"/>
        <w:rPr>
          <w:color w:val="auto"/>
          <w:highlight w:val="none"/>
        </w:rPr>
      </w:pPr>
      <w:r>
        <w:rPr>
          <w:color w:val="auto"/>
          <w:highlight w:val="none"/>
        </w:rPr>
        <w:t>水文及水文特征</w:t>
      </w:r>
    </w:p>
    <w:p>
      <w:pPr>
        <w:bidi w:val="0"/>
        <w:rPr>
          <w:color w:val="auto"/>
          <w:highlight w:val="none"/>
        </w:rPr>
      </w:pPr>
      <w:r>
        <w:rPr>
          <w:rFonts w:hint="eastAsia"/>
          <w:color w:val="auto"/>
          <w:highlight w:val="none"/>
        </w:rPr>
        <w:t>（1）地表水系</w:t>
      </w:r>
    </w:p>
    <w:p>
      <w:pPr>
        <w:bidi w:val="0"/>
        <w:rPr>
          <w:color w:val="auto"/>
          <w:highlight w:val="none"/>
        </w:rPr>
      </w:pPr>
      <w:r>
        <w:rPr>
          <w:rFonts w:hint="eastAsia"/>
          <w:color w:val="auto"/>
          <w:highlight w:val="none"/>
        </w:rPr>
        <w:t>大竹县境内无大江大河，仅有东柳河、铜钵河、东河、黄滩河(西河)四条小河及竹溪河、柳城溪、兴隆河、清水河、八渡乡、上白水河、下白水河七条小溪(40平方公里以上)，全属长江水系，均发源于大竹县。</w:t>
      </w:r>
    </w:p>
    <w:p>
      <w:pPr>
        <w:bidi w:val="0"/>
        <w:rPr>
          <w:color w:val="auto"/>
          <w:highlight w:val="none"/>
        </w:rPr>
      </w:pPr>
      <w:r>
        <w:rPr>
          <w:rFonts w:hint="eastAsia"/>
          <w:color w:val="auto"/>
          <w:highlight w:val="none"/>
        </w:rPr>
        <w:t>①东柳河</w:t>
      </w:r>
    </w:p>
    <w:p>
      <w:pPr>
        <w:bidi w:val="0"/>
        <w:rPr>
          <w:color w:val="auto"/>
          <w:highlight w:val="none"/>
        </w:rPr>
      </w:pPr>
      <w:r>
        <w:rPr>
          <w:rFonts w:hint="eastAsia"/>
          <w:color w:val="auto"/>
          <w:highlight w:val="none"/>
        </w:rPr>
        <w:t>源于铜锣山黄泥扁西侧朝阳乡境的花土地，北流至庞家咀出县境，注入州河。全长</w:t>
      </w:r>
      <w:r>
        <w:rPr>
          <w:color w:val="auto"/>
          <w:highlight w:val="none"/>
        </w:rPr>
        <w:t>72.5km</w:t>
      </w:r>
      <w:r>
        <w:rPr>
          <w:rFonts w:hint="eastAsia"/>
          <w:color w:val="auto"/>
          <w:highlight w:val="none"/>
        </w:rPr>
        <w:t>，流域面积</w:t>
      </w:r>
      <w:r>
        <w:rPr>
          <w:color w:val="auto"/>
          <w:highlight w:val="none"/>
        </w:rPr>
        <w:t>850</w:t>
      </w:r>
      <w:r>
        <w:rPr>
          <w:rFonts w:hint="eastAsia"/>
          <w:color w:val="auto"/>
          <w:highlight w:val="none"/>
        </w:rPr>
        <w:t>.</w:t>
      </w:r>
      <w:r>
        <w:rPr>
          <w:color w:val="auto"/>
          <w:highlight w:val="none"/>
        </w:rPr>
        <w:t>3km</w:t>
      </w:r>
      <w:r>
        <w:rPr>
          <w:color w:val="auto"/>
          <w:highlight w:val="none"/>
          <w:vertAlign w:val="superscript"/>
        </w:rPr>
        <w:t>2</w:t>
      </w:r>
      <w:r>
        <w:rPr>
          <w:rFonts w:hint="eastAsia"/>
          <w:color w:val="auto"/>
          <w:highlight w:val="none"/>
        </w:rPr>
        <w:t>，其中大竹县境内</w:t>
      </w:r>
      <w:r>
        <w:rPr>
          <w:color w:val="auto"/>
          <w:highlight w:val="none"/>
        </w:rPr>
        <w:t>742km</w:t>
      </w:r>
      <w:r>
        <w:rPr>
          <w:color w:val="auto"/>
          <w:highlight w:val="none"/>
          <w:vertAlign w:val="superscript"/>
        </w:rPr>
        <w:t>2</w:t>
      </w:r>
      <w:r>
        <w:rPr>
          <w:rFonts w:hint="eastAsia"/>
          <w:color w:val="auto"/>
          <w:highlight w:val="none"/>
        </w:rPr>
        <w:t>，水面面积</w:t>
      </w:r>
      <w:r>
        <w:rPr>
          <w:color w:val="auto"/>
          <w:highlight w:val="none"/>
        </w:rPr>
        <w:t>435hm</w:t>
      </w:r>
      <w:r>
        <w:rPr>
          <w:color w:val="auto"/>
          <w:highlight w:val="none"/>
          <w:vertAlign w:val="superscript"/>
        </w:rPr>
        <w:t>2</w:t>
      </w:r>
      <w:r>
        <w:rPr>
          <w:rFonts w:hint="eastAsia"/>
          <w:color w:val="auto"/>
          <w:highlight w:val="none"/>
        </w:rPr>
        <w:t>，年均流量</w:t>
      </w:r>
      <w:r>
        <w:rPr>
          <w:color w:val="auto"/>
          <w:highlight w:val="none"/>
        </w:rPr>
        <w:t>1</w:t>
      </w:r>
      <w:r>
        <w:rPr>
          <w:rFonts w:hint="eastAsia"/>
          <w:color w:val="auto"/>
          <w:highlight w:val="none"/>
        </w:rPr>
        <w:t>6.</w:t>
      </w:r>
      <w:r>
        <w:rPr>
          <w:color w:val="auto"/>
          <w:highlight w:val="none"/>
        </w:rPr>
        <w:t>5m</w:t>
      </w:r>
      <w:r>
        <w:rPr>
          <w:color w:val="auto"/>
          <w:highlight w:val="none"/>
          <w:vertAlign w:val="superscript"/>
        </w:rPr>
        <w:t>3</w:t>
      </w:r>
      <w:r>
        <w:rPr>
          <w:color w:val="auto"/>
          <w:highlight w:val="none"/>
        </w:rPr>
        <w:t>/s</w:t>
      </w:r>
      <w:r>
        <w:rPr>
          <w:rFonts w:hint="eastAsia"/>
          <w:color w:val="auto"/>
          <w:highlight w:val="none"/>
        </w:rPr>
        <w:t>，多年平均径流量</w:t>
      </w:r>
      <w:r>
        <w:rPr>
          <w:color w:val="auto"/>
          <w:highlight w:val="none"/>
        </w:rPr>
        <w:t>5.21</w:t>
      </w:r>
      <w:r>
        <w:rPr>
          <w:rFonts w:hint="eastAsia"/>
          <w:color w:val="auto"/>
          <w:highlight w:val="none"/>
        </w:rPr>
        <w:t>亿立方米。主要支流有回龙河、柳城河等。</w:t>
      </w:r>
    </w:p>
    <w:p>
      <w:pPr>
        <w:bidi w:val="0"/>
        <w:rPr>
          <w:color w:val="auto"/>
          <w:highlight w:val="none"/>
        </w:rPr>
      </w:pPr>
      <w:r>
        <w:rPr>
          <w:rFonts w:hint="eastAsia"/>
          <w:color w:val="auto"/>
          <w:highlight w:val="none"/>
        </w:rPr>
        <w:t>②铜钵河（又名铆宝河）</w:t>
      </w:r>
    </w:p>
    <w:p>
      <w:pPr>
        <w:bidi w:val="0"/>
        <w:rPr>
          <w:color w:val="auto"/>
          <w:highlight w:val="none"/>
        </w:rPr>
      </w:pPr>
      <w:r>
        <w:rPr>
          <w:rFonts w:hint="eastAsia"/>
          <w:color w:val="auto"/>
          <w:highlight w:val="none"/>
        </w:rPr>
        <w:t>源于白坝乡百羊坡下遇河沟，北流至安吉乡入达川区。大竹县内长</w:t>
      </w:r>
      <w:r>
        <w:rPr>
          <w:color w:val="auto"/>
          <w:highlight w:val="none"/>
        </w:rPr>
        <w:t>40.5km</w:t>
      </w:r>
      <w:r>
        <w:rPr>
          <w:rFonts w:hint="eastAsia"/>
          <w:color w:val="auto"/>
          <w:highlight w:val="none"/>
        </w:rPr>
        <w:t>，流域面积</w:t>
      </w:r>
      <w:r>
        <w:rPr>
          <w:color w:val="auto"/>
          <w:highlight w:val="none"/>
        </w:rPr>
        <w:t>587km</w:t>
      </w:r>
      <w:r>
        <w:rPr>
          <w:color w:val="auto"/>
          <w:highlight w:val="none"/>
          <w:vertAlign w:val="superscript"/>
        </w:rPr>
        <w:t>2</w:t>
      </w:r>
      <w:r>
        <w:rPr>
          <w:rFonts w:hint="eastAsia"/>
          <w:color w:val="auto"/>
          <w:highlight w:val="none"/>
        </w:rPr>
        <w:t>，其中大竹县境内</w:t>
      </w:r>
      <w:r>
        <w:rPr>
          <w:color w:val="auto"/>
          <w:highlight w:val="none"/>
        </w:rPr>
        <w:t>284km</w:t>
      </w:r>
      <w:r>
        <w:rPr>
          <w:color w:val="auto"/>
          <w:highlight w:val="none"/>
          <w:vertAlign w:val="superscript"/>
        </w:rPr>
        <w:t>2</w:t>
      </w:r>
      <w:r>
        <w:rPr>
          <w:rFonts w:hint="eastAsia"/>
          <w:color w:val="auto"/>
          <w:highlight w:val="none"/>
        </w:rPr>
        <w:t>，水面面积</w:t>
      </w:r>
      <w:r>
        <w:rPr>
          <w:color w:val="auto"/>
          <w:highlight w:val="none"/>
        </w:rPr>
        <w:t>267.46hm</w:t>
      </w:r>
      <w:r>
        <w:rPr>
          <w:color w:val="auto"/>
          <w:highlight w:val="none"/>
          <w:vertAlign w:val="superscript"/>
        </w:rPr>
        <w:t>2</w:t>
      </w:r>
      <w:r>
        <w:rPr>
          <w:rFonts w:hint="eastAsia"/>
          <w:color w:val="auto"/>
          <w:highlight w:val="none"/>
        </w:rPr>
        <w:t>，年均流量</w:t>
      </w:r>
      <w:r>
        <w:rPr>
          <w:color w:val="auto"/>
          <w:highlight w:val="none"/>
        </w:rPr>
        <w:t>12.2m</w:t>
      </w:r>
      <w:r>
        <w:rPr>
          <w:color w:val="auto"/>
          <w:highlight w:val="none"/>
          <w:vertAlign w:val="superscript"/>
        </w:rPr>
        <w:t>3</w:t>
      </w:r>
      <w:r>
        <w:rPr>
          <w:color w:val="auto"/>
          <w:highlight w:val="none"/>
        </w:rPr>
        <w:t>/s</w:t>
      </w:r>
      <w:r>
        <w:rPr>
          <w:rFonts w:hint="eastAsia"/>
          <w:color w:val="auto"/>
          <w:highlight w:val="none"/>
        </w:rPr>
        <w:t>，多年平均径流量</w:t>
      </w:r>
      <w:r>
        <w:rPr>
          <w:color w:val="auto"/>
          <w:highlight w:val="none"/>
        </w:rPr>
        <w:t>3.84</w:t>
      </w:r>
      <w:r>
        <w:rPr>
          <w:rFonts w:hint="eastAsia"/>
          <w:color w:val="auto"/>
          <w:highlight w:val="none"/>
        </w:rPr>
        <w:t>亿立方米。主要支流有兴隆河。</w:t>
      </w:r>
    </w:p>
    <w:p>
      <w:pPr>
        <w:bidi w:val="0"/>
        <w:rPr>
          <w:color w:val="auto"/>
          <w:highlight w:val="none"/>
        </w:rPr>
      </w:pPr>
      <w:r>
        <w:rPr>
          <w:rFonts w:hint="eastAsia"/>
          <w:color w:val="auto"/>
          <w:highlight w:val="none"/>
        </w:rPr>
        <w:t>③黄滩河（原称西河）</w:t>
      </w:r>
    </w:p>
    <w:p>
      <w:pPr>
        <w:bidi w:val="0"/>
        <w:rPr>
          <w:color w:val="auto"/>
          <w:highlight w:val="none"/>
        </w:rPr>
      </w:pPr>
      <w:r>
        <w:rPr>
          <w:rFonts w:hint="eastAsia"/>
          <w:color w:val="auto"/>
          <w:highlight w:val="none"/>
        </w:rPr>
        <w:t>源于西河乡八角庙，南流至高家乡后入邻水县。大竹县境内长</w:t>
      </w:r>
      <w:r>
        <w:rPr>
          <w:color w:val="auto"/>
          <w:highlight w:val="none"/>
        </w:rPr>
        <w:t>46.9km</w:t>
      </w:r>
      <w:r>
        <w:rPr>
          <w:rFonts w:hint="eastAsia"/>
          <w:color w:val="auto"/>
          <w:highlight w:val="none"/>
        </w:rPr>
        <w:t>，流域面积</w:t>
      </w:r>
      <w:r>
        <w:rPr>
          <w:color w:val="auto"/>
          <w:highlight w:val="none"/>
        </w:rPr>
        <w:t>518km2</w:t>
      </w:r>
      <w:r>
        <w:rPr>
          <w:rFonts w:hint="eastAsia"/>
          <w:color w:val="auto"/>
          <w:highlight w:val="none"/>
        </w:rPr>
        <w:t>，其中大竹县境内</w:t>
      </w:r>
      <w:r>
        <w:rPr>
          <w:color w:val="auto"/>
          <w:highlight w:val="none"/>
        </w:rPr>
        <w:t>483km</w:t>
      </w:r>
      <w:r>
        <w:rPr>
          <w:color w:val="auto"/>
          <w:highlight w:val="none"/>
          <w:vertAlign w:val="superscript"/>
        </w:rPr>
        <w:t>2</w:t>
      </w:r>
      <w:r>
        <w:rPr>
          <w:rFonts w:hint="eastAsia"/>
          <w:color w:val="auto"/>
          <w:highlight w:val="none"/>
        </w:rPr>
        <w:t>，水面面积</w:t>
      </w:r>
      <w:r>
        <w:rPr>
          <w:color w:val="auto"/>
          <w:highlight w:val="none"/>
        </w:rPr>
        <w:t>140.53hm</w:t>
      </w:r>
      <w:r>
        <w:rPr>
          <w:color w:val="auto"/>
          <w:highlight w:val="none"/>
          <w:vertAlign w:val="superscript"/>
        </w:rPr>
        <w:t>2</w:t>
      </w:r>
      <w:r>
        <w:rPr>
          <w:rFonts w:hint="eastAsia"/>
          <w:color w:val="auto"/>
          <w:highlight w:val="none"/>
        </w:rPr>
        <w:t>，多年平均流量</w:t>
      </w:r>
      <w:r>
        <w:rPr>
          <w:color w:val="auto"/>
          <w:highlight w:val="none"/>
        </w:rPr>
        <w:t>10.0m</w:t>
      </w:r>
      <w:r>
        <w:rPr>
          <w:color w:val="auto"/>
          <w:highlight w:val="none"/>
          <w:vertAlign w:val="superscript"/>
        </w:rPr>
        <w:t>3</w:t>
      </w:r>
      <w:r>
        <w:rPr>
          <w:color w:val="auto"/>
          <w:highlight w:val="none"/>
        </w:rPr>
        <w:t>/s</w:t>
      </w:r>
      <w:r>
        <w:rPr>
          <w:rFonts w:hint="eastAsia"/>
          <w:color w:val="auto"/>
          <w:highlight w:val="none"/>
        </w:rPr>
        <w:t>，多年平均径流量</w:t>
      </w:r>
      <w:r>
        <w:rPr>
          <w:color w:val="auto"/>
          <w:highlight w:val="none"/>
        </w:rPr>
        <w:t>3.17</w:t>
      </w:r>
      <w:r>
        <w:rPr>
          <w:rFonts w:hint="eastAsia"/>
          <w:color w:val="auto"/>
          <w:highlight w:val="none"/>
        </w:rPr>
        <w:t>亿立方米。主要支流有西河（又名清水河）等。</w:t>
      </w:r>
    </w:p>
    <w:p>
      <w:pPr>
        <w:bidi w:val="0"/>
        <w:rPr>
          <w:color w:val="auto"/>
          <w:highlight w:val="none"/>
        </w:rPr>
      </w:pPr>
      <w:r>
        <w:rPr>
          <w:rFonts w:hint="eastAsia"/>
          <w:color w:val="auto"/>
          <w:highlight w:val="none"/>
        </w:rPr>
        <w:t>④东河</w:t>
      </w:r>
    </w:p>
    <w:p>
      <w:pPr>
        <w:bidi w:val="0"/>
        <w:rPr>
          <w:color w:val="auto"/>
          <w:highlight w:val="none"/>
        </w:rPr>
      </w:pPr>
      <w:r>
        <w:rPr>
          <w:rFonts w:hint="eastAsia"/>
          <w:color w:val="auto"/>
          <w:highlight w:val="none"/>
        </w:rPr>
        <w:t>源于八渡乡华星寨南，向南流至张家乡入邻水县。大竹县内长</w:t>
      </w:r>
      <w:r>
        <w:rPr>
          <w:color w:val="auto"/>
          <w:highlight w:val="none"/>
        </w:rPr>
        <w:t>58km</w:t>
      </w:r>
      <w:r>
        <w:rPr>
          <w:rFonts w:hint="eastAsia"/>
          <w:color w:val="auto"/>
          <w:highlight w:val="none"/>
        </w:rPr>
        <w:t>，流域面积</w:t>
      </w:r>
      <w:r>
        <w:rPr>
          <w:color w:val="auto"/>
          <w:highlight w:val="none"/>
        </w:rPr>
        <w:t>633km</w:t>
      </w:r>
      <w:r>
        <w:rPr>
          <w:color w:val="auto"/>
          <w:highlight w:val="none"/>
          <w:vertAlign w:val="superscript"/>
        </w:rPr>
        <w:t>2</w:t>
      </w:r>
      <w:r>
        <w:rPr>
          <w:rFonts w:hint="eastAsia"/>
          <w:color w:val="auto"/>
          <w:highlight w:val="none"/>
        </w:rPr>
        <w:t>，其中大竹县境内</w:t>
      </w:r>
      <w:r>
        <w:rPr>
          <w:color w:val="auto"/>
          <w:highlight w:val="none"/>
        </w:rPr>
        <w:t>531km</w:t>
      </w:r>
      <w:r>
        <w:rPr>
          <w:color w:val="auto"/>
          <w:highlight w:val="none"/>
          <w:vertAlign w:val="superscript"/>
        </w:rPr>
        <w:t>2</w:t>
      </w:r>
      <w:r>
        <w:rPr>
          <w:rFonts w:hint="eastAsia"/>
          <w:color w:val="auto"/>
          <w:highlight w:val="none"/>
        </w:rPr>
        <w:t>，水面面积</w:t>
      </w:r>
      <w:r>
        <w:rPr>
          <w:color w:val="auto"/>
          <w:highlight w:val="none"/>
        </w:rPr>
        <w:t>206.47hm</w:t>
      </w:r>
      <w:r>
        <w:rPr>
          <w:color w:val="auto"/>
          <w:highlight w:val="none"/>
          <w:vertAlign w:val="superscript"/>
        </w:rPr>
        <w:t>2</w:t>
      </w:r>
      <w:r>
        <w:rPr>
          <w:rFonts w:hint="eastAsia"/>
          <w:color w:val="auto"/>
          <w:highlight w:val="none"/>
        </w:rPr>
        <w:t>。多年平均流量</w:t>
      </w:r>
      <w:r>
        <w:rPr>
          <w:color w:val="auto"/>
          <w:highlight w:val="none"/>
        </w:rPr>
        <w:t>11.6m</w:t>
      </w:r>
      <w:r>
        <w:rPr>
          <w:color w:val="auto"/>
          <w:highlight w:val="none"/>
          <w:vertAlign w:val="superscript"/>
        </w:rPr>
        <w:t>3</w:t>
      </w:r>
      <w:r>
        <w:rPr>
          <w:color w:val="auto"/>
          <w:highlight w:val="none"/>
        </w:rPr>
        <w:t>/s</w:t>
      </w:r>
      <w:r>
        <w:rPr>
          <w:rFonts w:hint="eastAsia"/>
          <w:color w:val="auto"/>
          <w:highlight w:val="none"/>
        </w:rPr>
        <w:t>，多年平均径流量</w:t>
      </w:r>
      <w:r>
        <w:rPr>
          <w:color w:val="auto"/>
          <w:highlight w:val="none"/>
        </w:rPr>
        <w:t>3.64</w:t>
      </w:r>
      <w:r>
        <w:rPr>
          <w:rFonts w:hint="eastAsia"/>
          <w:color w:val="auto"/>
          <w:highlight w:val="none"/>
        </w:rPr>
        <w:t>亿立方米。主要支流有高滩河、上白水河、中白水河等。</w:t>
      </w:r>
    </w:p>
    <w:p>
      <w:pPr>
        <w:bidi w:val="0"/>
        <w:rPr>
          <w:color w:val="auto"/>
          <w:highlight w:val="none"/>
        </w:rPr>
      </w:pPr>
      <w:r>
        <w:rPr>
          <w:rFonts w:hint="eastAsia"/>
          <w:color w:val="auto"/>
          <w:highlight w:val="none"/>
        </w:rPr>
        <w:t>（2）地下水</w:t>
      </w:r>
    </w:p>
    <w:p>
      <w:pPr>
        <w:bidi w:val="0"/>
        <w:rPr>
          <w:color w:val="auto"/>
          <w:highlight w:val="none"/>
        </w:rPr>
      </w:pPr>
      <w:r>
        <w:rPr>
          <w:rFonts w:hint="eastAsia"/>
          <w:color w:val="auto"/>
          <w:highlight w:val="none"/>
        </w:rPr>
        <w:t>大竹县地下水包括松散岩孔隙性潜水、基岩裂隙水和碳酸盐岩类裂隙溶洞水</w:t>
      </w:r>
      <w:r>
        <w:rPr>
          <w:color w:val="auto"/>
          <w:highlight w:val="none"/>
        </w:rPr>
        <w:t>3</w:t>
      </w:r>
      <w:r>
        <w:rPr>
          <w:rFonts w:hint="eastAsia"/>
          <w:color w:val="auto"/>
          <w:highlight w:val="none"/>
        </w:rPr>
        <w:t>种类型，地下水赋层较薄，埋藏浅，水位深</w:t>
      </w:r>
      <w:r>
        <w:rPr>
          <w:color w:val="auto"/>
          <w:highlight w:val="none"/>
        </w:rPr>
        <w:t>5m</w:t>
      </w:r>
      <w:r>
        <w:rPr>
          <w:rFonts w:hint="eastAsia"/>
          <w:color w:val="auto"/>
          <w:highlight w:val="none"/>
        </w:rPr>
        <w:t>～</w:t>
      </w:r>
      <w:r>
        <w:rPr>
          <w:color w:val="auto"/>
          <w:highlight w:val="none"/>
        </w:rPr>
        <w:t>15m</w:t>
      </w:r>
      <w:r>
        <w:rPr>
          <w:rFonts w:hint="eastAsia"/>
          <w:color w:val="auto"/>
          <w:highlight w:val="none"/>
        </w:rPr>
        <w:t>，主要接受大气降水和部分地表水补给，通过溶洞、暗河、煤</w:t>
      </w:r>
      <w:r>
        <w:rPr>
          <w:rFonts w:hint="eastAsia"/>
          <w:color w:val="auto"/>
          <w:highlight w:val="none"/>
          <w:lang w:eastAsia="zh-CN"/>
        </w:rPr>
        <w:t>井</w:t>
      </w:r>
      <w:r>
        <w:rPr>
          <w:rFonts w:hint="eastAsia"/>
          <w:color w:val="auto"/>
          <w:highlight w:val="none"/>
        </w:rPr>
        <w:t>、井泉等流出地表。</w:t>
      </w:r>
    </w:p>
    <w:p>
      <w:pPr>
        <w:pStyle w:val="7"/>
        <w:numPr>
          <w:ilvl w:val="3"/>
          <w:numId w:val="6"/>
        </w:numPr>
        <w:bidi w:val="0"/>
        <w:rPr>
          <w:color w:val="auto"/>
          <w:highlight w:val="none"/>
        </w:rPr>
      </w:pPr>
      <w:r>
        <w:rPr>
          <w:color w:val="auto"/>
          <w:highlight w:val="none"/>
        </w:rPr>
        <w:t>动植物资源</w:t>
      </w:r>
    </w:p>
    <w:p>
      <w:pPr>
        <w:bidi w:val="0"/>
        <w:rPr>
          <w:color w:val="auto"/>
          <w:highlight w:val="none"/>
        </w:rPr>
      </w:pPr>
      <w:r>
        <w:rPr>
          <w:rFonts w:hint="eastAsia"/>
          <w:color w:val="auto"/>
          <w:highlight w:val="none"/>
        </w:rPr>
        <w:t>区内植物资源丰富，种类繁多。各类植物有1000多种。以马尾松、丝栗、樟树、柳树、玫瑰、杜鹃、月季等为代表的乔木、灌木有62科，4个亚科，127种；以半夏、丝茅草、车前草、夏枯草、石昌蒲、板蓝根等为代表的草本植物有700余种；以葡萄、猕猴桃、鸡血藤、勾藤等为代表的藤本植物有76种；还有各类菌类、苔藓、地衣、卷柏等低等植物百余种。有白夹竹、黄竹、斑竹、楠竹等24个竹种，</w:t>
      </w:r>
      <w:r>
        <w:rPr>
          <w:color w:val="auto"/>
          <w:highlight w:val="none"/>
        </w:rPr>
        <w:t>竹林资源2.67万公顷</w:t>
      </w:r>
      <w:r>
        <w:rPr>
          <w:rFonts w:hint="eastAsia"/>
          <w:color w:val="auto"/>
          <w:highlight w:val="none"/>
        </w:rPr>
        <w:t>，素有川东</w:t>
      </w:r>
      <w:r>
        <w:rPr>
          <w:color w:val="auto"/>
          <w:highlight w:val="none"/>
        </w:rPr>
        <w:t>“</w:t>
      </w:r>
      <w:r>
        <w:rPr>
          <w:rFonts w:hint="eastAsia"/>
          <w:color w:val="auto"/>
          <w:highlight w:val="none"/>
        </w:rPr>
        <w:t>绿竹之乡</w:t>
      </w:r>
      <w:r>
        <w:rPr>
          <w:color w:val="auto"/>
          <w:highlight w:val="none"/>
        </w:rPr>
        <w:t>”</w:t>
      </w:r>
      <w:r>
        <w:rPr>
          <w:rFonts w:hint="eastAsia"/>
          <w:color w:val="auto"/>
          <w:highlight w:val="none"/>
        </w:rPr>
        <w:t>之称。重点保护的名木古树有银杏树、香樟树、黄葛树、古柏树、红豆杉树、罗汉松树、黄果兰树、青檀树、楠木树、桂花树、榆树、水杉树、三尖杉树等10余种。</w:t>
      </w:r>
    </w:p>
    <w:p>
      <w:pPr>
        <w:bidi w:val="0"/>
        <w:rPr>
          <w:color w:val="auto"/>
          <w:highlight w:val="none"/>
        </w:rPr>
      </w:pPr>
      <w:r>
        <w:rPr>
          <w:rFonts w:hint="eastAsia"/>
          <w:color w:val="auto"/>
          <w:highlight w:val="none"/>
        </w:rPr>
        <w:t>区域内野生动物繁多，有野生兽类26种，鸟类95种，另外众多的昆虫类、鱼类等动物。其中属国家保护的有：金钱豹、中华鲟、草鸮、大鲵、水獭、小灵猫、雀鹰、红腹锦鸡、白腹黑啄木鸟、天鹅、穿山甲等。</w:t>
      </w:r>
    </w:p>
    <w:p>
      <w:pPr>
        <w:pStyle w:val="7"/>
        <w:numPr>
          <w:ilvl w:val="3"/>
          <w:numId w:val="6"/>
        </w:numPr>
        <w:bidi w:val="0"/>
        <w:rPr>
          <w:color w:val="auto"/>
          <w:highlight w:val="none"/>
        </w:rPr>
      </w:pPr>
      <w:r>
        <w:rPr>
          <w:color w:val="auto"/>
          <w:highlight w:val="none"/>
        </w:rPr>
        <w:t>地震</w:t>
      </w:r>
    </w:p>
    <w:p>
      <w:pPr>
        <w:bidi w:val="0"/>
        <w:rPr>
          <w:color w:val="auto"/>
          <w:highlight w:val="none"/>
        </w:rPr>
      </w:pPr>
      <w:r>
        <w:rPr>
          <w:rFonts w:hint="eastAsia"/>
          <w:color w:val="auto"/>
          <w:highlight w:val="none"/>
        </w:rPr>
        <w:t>根据大竹县志记载和《中国地震动参数区划图》(GB18306-2015)，本区历史上无破坏性地震记录，地震动反应谱特征周期为0.35s，地震动峰值加速度为0.05g，地震基本烈度为Ⅵ度。</w:t>
      </w:r>
    </w:p>
    <w:p>
      <w:pPr>
        <w:bidi w:val="0"/>
        <w:rPr>
          <w:color w:val="auto"/>
          <w:highlight w:val="none"/>
        </w:rPr>
      </w:pPr>
      <w:r>
        <w:rPr>
          <w:color w:val="auto"/>
          <w:highlight w:val="none"/>
        </w:rPr>
        <w:t>2008年5月12日，四川省西部汶川发生震级为里氏8</w:t>
      </w:r>
      <w:r>
        <w:rPr>
          <w:rFonts w:hint="eastAsia"/>
          <w:color w:val="auto"/>
          <w:highlight w:val="none"/>
          <w:lang w:val="en-US" w:eastAsia="zh-CN"/>
        </w:rPr>
        <w:t>.0</w:t>
      </w:r>
      <w:r>
        <w:rPr>
          <w:color w:val="auto"/>
          <w:highlight w:val="none"/>
        </w:rPr>
        <w:t>级的强烈地震，</w:t>
      </w:r>
      <w:r>
        <w:rPr>
          <w:rFonts w:hint="eastAsia"/>
          <w:color w:val="auto"/>
          <w:highlight w:val="none"/>
          <w:lang w:eastAsia="zh-CN"/>
        </w:rPr>
        <w:t>大竹县</w:t>
      </w:r>
      <w:r>
        <w:rPr>
          <w:color w:val="auto"/>
          <w:highlight w:val="none"/>
        </w:rPr>
        <w:t>距震源中心直距约34</w:t>
      </w:r>
      <w:r>
        <w:rPr>
          <w:rFonts w:hint="eastAsia"/>
          <w:color w:val="auto"/>
          <w:highlight w:val="none"/>
          <w:lang w:val="en-US" w:eastAsia="zh-CN"/>
        </w:rPr>
        <w:t>0</w:t>
      </w:r>
      <w:r>
        <w:rPr>
          <w:color w:val="auto"/>
          <w:highlight w:val="none"/>
        </w:rPr>
        <w:t>km，虽有强烈震感，但地表山体、房屋、道路和电力设施等没有造成重大破坏，地震影响较小。</w:t>
      </w:r>
    </w:p>
    <w:p>
      <w:pPr>
        <w:pStyle w:val="6"/>
        <w:numPr>
          <w:ilvl w:val="2"/>
          <w:numId w:val="5"/>
        </w:numPr>
        <w:bidi w:val="0"/>
        <w:rPr>
          <w:color w:val="auto"/>
          <w:highlight w:val="none"/>
        </w:rPr>
      </w:pPr>
      <w:bookmarkStart w:id="184" w:name="3.1.2  社会经济概况"/>
      <w:bookmarkEnd w:id="184"/>
      <w:bookmarkStart w:id="185" w:name="3.1.2  社会经济概况"/>
      <w:bookmarkEnd w:id="185"/>
      <w:bookmarkStart w:id="186" w:name="_Toc31168"/>
      <w:bookmarkStart w:id="187" w:name="_Toc1981"/>
      <w:r>
        <w:rPr>
          <w:color w:val="auto"/>
          <w:highlight w:val="none"/>
        </w:rPr>
        <w:t>社会经济概况</w:t>
      </w:r>
      <w:bookmarkEnd w:id="186"/>
      <w:bookmarkEnd w:id="187"/>
    </w:p>
    <w:p>
      <w:pPr>
        <w:bidi w:val="0"/>
        <w:rPr>
          <w:color w:val="auto"/>
          <w:highlight w:val="none"/>
        </w:rPr>
      </w:pPr>
      <w:r>
        <w:rPr>
          <w:rFonts w:hint="eastAsia"/>
          <w:color w:val="auto"/>
          <w:highlight w:val="none"/>
        </w:rPr>
        <w:t>大竹县系北纬30º川东第一城，素有中国苎麻之乡、中国香椿第一县、中国醪糟之都、中国糯米之乡、川东绿竹之乡美誉，唐武则天久视元年（公元700年）始置县，迄今有1300多年历史，因“竹多竹大”而得名。全县幅员2076平方公里，辖3个街道、28个乡镇、235个行政村、89个社区，总人口112万。</w:t>
      </w:r>
    </w:p>
    <w:p>
      <w:pPr>
        <w:bidi w:val="0"/>
        <w:rPr>
          <w:color w:val="auto"/>
          <w:highlight w:val="none"/>
        </w:rPr>
      </w:pPr>
      <w:r>
        <w:rPr>
          <w:rFonts w:hint="eastAsia"/>
          <w:color w:val="auto"/>
          <w:highlight w:val="none"/>
        </w:rPr>
        <w:t>属亚热带季风气候，风光秀丽怡人，物产资源富饶，境内有五峰山国家AAAA级旅游景区，有启于先秦、兴于三国的古官驿道，有四川历史文化名镇清河古镇；境内有苎麻13.5万亩、香椿11万亩、竹40万亩、糯稻17万亩、白茶5.5万亩，苎麻纺织品、“巴山红”香椿、东汉醪糟等享誉国内外。系全省重点产煤县之一，拥有亚洲第二大天然气集输站，年输转天然气27亿立方米，发展保障有力。</w:t>
      </w:r>
    </w:p>
    <w:p>
      <w:pPr>
        <w:bidi w:val="0"/>
        <w:rPr>
          <w:color w:val="auto"/>
          <w:highlight w:val="none"/>
        </w:rPr>
      </w:pPr>
      <w:r>
        <w:rPr>
          <w:rFonts w:hint="eastAsia"/>
          <w:color w:val="auto"/>
          <w:highlight w:val="none"/>
        </w:rPr>
        <w:t>2020年，实现地区生产总值387.3亿元、社会消费品零售总额176亿元、地方公共财政一般预算收入15.23亿元、城镇常住居民人均可支配收入37254元、农村常住居民人均可支配收入20153元。全社会固定资产投资、规模以上工业增加值较“十二五”末分别增长78.9%、52.6%。工业经济量质同升。规模以上工业企业159户、净增50户，2020年实现总产值315.8亿元。</w:t>
      </w:r>
    </w:p>
    <w:p>
      <w:pPr>
        <w:pStyle w:val="5"/>
        <w:numPr>
          <w:ilvl w:val="1"/>
          <w:numId w:val="5"/>
        </w:numPr>
        <w:bidi w:val="0"/>
        <w:rPr>
          <w:color w:val="auto"/>
          <w:highlight w:val="none"/>
        </w:rPr>
      </w:pPr>
      <w:bookmarkStart w:id="188" w:name="_bookmark16"/>
      <w:bookmarkEnd w:id="188"/>
      <w:bookmarkStart w:id="189" w:name="3.2 矿区环境质量现状分析"/>
      <w:bookmarkEnd w:id="189"/>
      <w:bookmarkStart w:id="190" w:name="_Toc28539"/>
      <w:bookmarkStart w:id="191" w:name="_Toc20637"/>
      <w:r>
        <w:rPr>
          <w:color w:val="auto"/>
          <w:highlight w:val="none"/>
        </w:rPr>
        <w:t>矿区环境质量现状分析</w:t>
      </w:r>
      <w:bookmarkEnd w:id="190"/>
      <w:bookmarkEnd w:id="191"/>
    </w:p>
    <w:p>
      <w:pPr>
        <w:pStyle w:val="6"/>
        <w:numPr>
          <w:ilvl w:val="2"/>
          <w:numId w:val="5"/>
        </w:numPr>
        <w:bidi w:val="0"/>
        <w:rPr>
          <w:color w:val="auto"/>
          <w:highlight w:val="none"/>
        </w:rPr>
      </w:pPr>
      <w:bookmarkStart w:id="192" w:name="3.2.1 环境空气质量现状"/>
      <w:bookmarkEnd w:id="192"/>
      <w:bookmarkStart w:id="193" w:name="3.2.1 环境空气质量现状"/>
      <w:bookmarkEnd w:id="193"/>
      <w:bookmarkStart w:id="194" w:name="_Toc2358"/>
      <w:bookmarkStart w:id="195" w:name="_Toc25458"/>
      <w:r>
        <w:rPr>
          <w:color w:val="auto"/>
          <w:highlight w:val="none"/>
        </w:rPr>
        <w:t>环境空气质量现状</w:t>
      </w:r>
      <w:bookmarkEnd w:id="194"/>
      <w:bookmarkEnd w:id="195"/>
    </w:p>
    <w:p>
      <w:pPr>
        <w:pStyle w:val="7"/>
        <w:numPr>
          <w:ilvl w:val="3"/>
          <w:numId w:val="7"/>
        </w:numPr>
        <w:bidi w:val="0"/>
        <w:ind w:left="0" w:leftChars="0" w:firstLine="0" w:firstLineChars="0"/>
        <w:rPr>
          <w:color w:val="auto"/>
          <w:highlight w:val="none"/>
        </w:rPr>
      </w:pPr>
      <w:r>
        <w:rPr>
          <w:color w:val="auto"/>
          <w:highlight w:val="none"/>
        </w:rPr>
        <w:t>评价基准年的筛选</w:t>
      </w:r>
    </w:p>
    <w:p>
      <w:pPr>
        <w:bidi w:val="0"/>
        <w:rPr>
          <w:color w:val="auto"/>
          <w:highlight w:val="none"/>
        </w:rPr>
      </w:pPr>
      <w:r>
        <w:rPr>
          <w:color w:val="auto"/>
          <w:highlight w:val="none"/>
        </w:rPr>
        <w:t>根据本项目所需环境空气质量现状、气象资料等数据的可获取性、数据质量、代表性等因素，选择2020年作为评价基准年。</w:t>
      </w:r>
    </w:p>
    <w:p>
      <w:pPr>
        <w:pStyle w:val="7"/>
        <w:numPr>
          <w:ilvl w:val="3"/>
          <w:numId w:val="7"/>
        </w:numPr>
        <w:bidi w:val="0"/>
        <w:rPr>
          <w:color w:val="auto"/>
          <w:highlight w:val="none"/>
        </w:rPr>
      </w:pPr>
      <w:r>
        <w:rPr>
          <w:color w:val="auto"/>
          <w:highlight w:val="none"/>
        </w:rPr>
        <w:t>环境空气质量达标区判定</w:t>
      </w:r>
    </w:p>
    <w:p>
      <w:pPr>
        <w:bidi w:val="0"/>
        <w:rPr>
          <w:color w:val="auto"/>
          <w:highlight w:val="none"/>
        </w:rPr>
      </w:pPr>
      <w:r>
        <w:rPr>
          <w:color w:val="auto"/>
          <w:highlight w:val="none"/>
        </w:rPr>
        <w:t>项目位于达州市</w:t>
      </w:r>
      <w:r>
        <w:rPr>
          <w:rFonts w:hint="eastAsia"/>
          <w:color w:val="auto"/>
          <w:highlight w:val="none"/>
          <w:lang w:eastAsia="zh-CN"/>
        </w:rPr>
        <w:t>大竹县</w:t>
      </w:r>
      <w:r>
        <w:rPr>
          <w:color w:val="auto"/>
          <w:highlight w:val="none"/>
        </w:rPr>
        <w:t>，根据《2020年达州市生态环境状况公报》，区域环境空气质量达标区判定情况如下：</w:t>
      </w:r>
    </w:p>
    <w:p>
      <w:pPr>
        <w:bidi w:val="0"/>
        <w:rPr>
          <w:color w:val="auto"/>
          <w:highlight w:val="none"/>
        </w:rPr>
      </w:pPr>
      <w:r>
        <w:rPr>
          <w:color w:val="auto"/>
          <w:highlight w:val="none"/>
        </w:rPr>
        <w:t>2020年全市空气质量日均值达标率为93.3%，较上年提高2.0个百分点（2019年为91.3%）。市城区及各县（市）空气质量达标率为89.3%~97.5%，其中，宣汉县94.3%，万源市97.5%，开江县95.1%，渠县93.4%，大竹县90.2%，市城区89.3%。全市环境空气中主要污染物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和O</w:t>
      </w:r>
      <w:r>
        <w:rPr>
          <w:color w:val="auto"/>
          <w:highlight w:val="none"/>
          <w:vertAlign w:val="subscript"/>
        </w:rPr>
        <w:t>3</w:t>
      </w:r>
      <w:r>
        <w:rPr>
          <w:color w:val="auto"/>
          <w:highlight w:val="none"/>
        </w:rPr>
        <w:t>。市城区SO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、PM</w:t>
      </w:r>
      <w:r>
        <w:rPr>
          <w:color w:val="auto"/>
          <w:highlight w:val="none"/>
          <w:vertAlign w:val="subscript"/>
        </w:rPr>
        <w:t>10</w:t>
      </w:r>
      <w:r>
        <w:rPr>
          <w:color w:val="auto"/>
          <w:highlight w:val="none"/>
        </w:rPr>
        <w:t>、CO和O</w:t>
      </w:r>
      <w:r>
        <w:rPr>
          <w:color w:val="auto"/>
          <w:highlight w:val="none"/>
          <w:vertAlign w:val="subscript"/>
        </w:rPr>
        <w:t>3</w:t>
      </w:r>
      <w:r>
        <w:rPr>
          <w:color w:val="auto"/>
          <w:highlight w:val="none"/>
        </w:rPr>
        <w:t>年评价结果达标，PM</w:t>
      </w:r>
      <w:r>
        <w:rPr>
          <w:color w:val="auto"/>
          <w:highlight w:val="none"/>
          <w:vertAlign w:val="subscript"/>
        </w:rPr>
        <w:t>2.5</w:t>
      </w:r>
      <w:r>
        <w:rPr>
          <w:color w:val="auto"/>
          <w:highlight w:val="none"/>
        </w:rPr>
        <w:t>年评价结果超标，超标倍数为0.11倍；各县（市、区）SO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、PM</w:t>
      </w:r>
      <w:r>
        <w:rPr>
          <w:color w:val="auto"/>
          <w:highlight w:val="none"/>
          <w:vertAlign w:val="subscript"/>
        </w:rPr>
        <w:t>10</w:t>
      </w:r>
      <w:r>
        <w:rPr>
          <w:color w:val="auto"/>
          <w:highlight w:val="none"/>
        </w:rPr>
        <w:t>、CO、O</w:t>
      </w:r>
      <w:r>
        <w:rPr>
          <w:color w:val="auto"/>
          <w:highlight w:val="none"/>
          <w:vertAlign w:val="subscript"/>
        </w:rPr>
        <w:t>3</w:t>
      </w:r>
      <w:r>
        <w:rPr>
          <w:color w:val="auto"/>
          <w:highlight w:val="none"/>
        </w:rPr>
        <w:t>和PM</w:t>
      </w:r>
      <w:r>
        <w:rPr>
          <w:color w:val="auto"/>
          <w:highlight w:val="none"/>
          <w:vertAlign w:val="subscript"/>
        </w:rPr>
        <w:t>2.5</w:t>
      </w:r>
      <w:r>
        <w:rPr>
          <w:color w:val="auto"/>
          <w:highlight w:val="none"/>
        </w:rPr>
        <w:t>年评价结果均达标。2020年全市降水均未出现酸雨，与上年降水环境质量持平，均为非酸雨区。全市降水中主要阴离子为硫酸根、硝酸根、氯离子，主要阳离子为钙离子、铵离子，与上年基本一致。硫酸根与氯离子的当量浓度比为3.74:1，与上年（2.9:1）相比有所上升，硫酸根与硝酸根的当量浓度比为3.74:1，与上年（4.13:1）相比有所下降。</w:t>
      </w:r>
    </w:p>
    <w:p>
      <w:pPr>
        <w:bidi w:val="0"/>
        <w:rPr>
          <w:color w:val="auto"/>
          <w:highlight w:val="none"/>
        </w:rPr>
      </w:pPr>
      <w:r>
        <w:rPr>
          <w:color w:val="auto"/>
          <w:highlight w:val="none"/>
        </w:rPr>
        <w:t>矿区位于达州市</w:t>
      </w:r>
      <w:r>
        <w:rPr>
          <w:rFonts w:hint="eastAsia"/>
          <w:color w:val="auto"/>
          <w:highlight w:val="none"/>
          <w:lang w:eastAsia="zh-CN"/>
        </w:rPr>
        <w:t>大竹县</w:t>
      </w:r>
      <w:r>
        <w:rPr>
          <w:color w:val="auto"/>
          <w:highlight w:val="none"/>
        </w:rPr>
        <w:t>，根据达州市</w:t>
      </w:r>
      <w:r>
        <w:rPr>
          <w:rFonts w:hint="eastAsia"/>
          <w:color w:val="auto"/>
          <w:highlight w:val="none"/>
          <w:lang w:eastAsia="zh-CN"/>
        </w:rPr>
        <w:t>大竹</w:t>
      </w:r>
      <w:r>
        <w:rPr>
          <w:color w:val="auto"/>
          <w:highlight w:val="none"/>
        </w:rPr>
        <w:t>生态环境局</w:t>
      </w:r>
      <w:r>
        <w:rPr>
          <w:rFonts w:hint="eastAsia"/>
          <w:color w:val="auto"/>
          <w:highlight w:val="none"/>
          <w:lang w:eastAsia="zh-CN"/>
        </w:rPr>
        <w:t>提供的</w:t>
      </w:r>
      <w:r>
        <w:rPr>
          <w:rFonts w:hint="eastAsia"/>
          <w:color w:val="auto"/>
          <w:highlight w:val="none"/>
          <w:lang w:val="en-US" w:eastAsia="zh-CN"/>
        </w:rPr>
        <w:t>2020年大竹县环境空气</w:t>
      </w:r>
      <w:r>
        <w:rPr>
          <w:rFonts w:hint="eastAsia"/>
          <w:color w:val="auto"/>
          <w:highlight w:val="none"/>
          <w:lang w:eastAsia="zh-CN"/>
        </w:rPr>
        <w:t>例行监测</w:t>
      </w:r>
      <w:r>
        <w:rPr>
          <w:color w:val="auto"/>
          <w:highlight w:val="none"/>
        </w:rPr>
        <w:t>数据，对照《环境空气质量评价技术规范（试行）》（HJ663-2013）及《环境空气质量标准》（GB3095-2012），本次采用的基本污染物数据符合上述标准要求。</w:t>
      </w:r>
    </w:p>
    <w:p>
      <w:pPr>
        <w:bidi w:val="0"/>
        <w:rPr>
          <w:color w:val="auto"/>
          <w:highlight w:val="none"/>
        </w:rPr>
      </w:pPr>
      <w:r>
        <w:rPr>
          <w:color w:val="auto"/>
          <w:highlight w:val="none"/>
        </w:rPr>
        <w:t>基本污染物环境空气质量现状评价结果见表3.2-1。</w:t>
      </w:r>
    </w:p>
    <w:p>
      <w:pPr>
        <w:pStyle w:val="22"/>
        <w:bidi w:val="0"/>
        <w:rPr>
          <w:b/>
          <w:color w:val="auto"/>
          <w:sz w:val="21"/>
          <w:highlight w:val="none"/>
        </w:rPr>
      </w:pPr>
      <w:r>
        <w:rPr>
          <w:b/>
          <w:color w:val="auto"/>
          <w:sz w:val="21"/>
          <w:highlight w:val="none"/>
        </w:rPr>
        <w:t>表</w:t>
      </w:r>
      <w:r>
        <w:rPr>
          <w:b/>
          <w:color w:val="auto"/>
          <w:spacing w:val="-53"/>
          <w:sz w:val="21"/>
          <w:highlight w:val="none"/>
        </w:rPr>
        <w:t xml:space="preserve"> </w:t>
      </w:r>
      <w:r>
        <w:rPr>
          <w:rFonts w:ascii="Times New Roman" w:eastAsia="Times New Roman"/>
          <w:b/>
          <w:color w:val="auto"/>
          <w:sz w:val="21"/>
          <w:highlight w:val="none"/>
        </w:rPr>
        <w:t>3.2-1</w:t>
      </w:r>
      <w:r>
        <w:rPr>
          <w:rFonts w:ascii="Times New Roman" w:eastAsia="Times New Roman"/>
          <w:b/>
          <w:color w:val="auto"/>
          <w:sz w:val="21"/>
          <w:highlight w:val="none"/>
        </w:rPr>
        <w:tab/>
      </w:r>
      <w:r>
        <w:rPr>
          <w:b/>
          <w:color w:val="auto"/>
          <w:sz w:val="21"/>
          <w:highlight w:val="none"/>
        </w:rPr>
        <w:t>基本污染物环境质量现状</w:t>
      </w:r>
    </w:p>
    <w:tbl>
      <w:tblPr>
        <w:tblStyle w:val="17"/>
        <w:tblW w:w="83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860"/>
        <w:gridCol w:w="995"/>
        <w:gridCol w:w="3379"/>
        <w:gridCol w:w="1137"/>
        <w:gridCol w:w="1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Merge w:val="restart"/>
            <w:vAlign w:val="center"/>
          </w:tcPr>
          <w:p>
            <w:pPr>
              <w:pStyle w:val="22"/>
              <w:bidi w:val="0"/>
              <w:rPr>
                <w:color w:val="auto"/>
                <w:highlight w:val="none"/>
              </w:rPr>
            </w:pPr>
            <w:r>
              <w:rPr>
                <w:color w:val="auto"/>
                <w:highlight w:val="none"/>
              </w:rPr>
              <w:t>指标</w:t>
            </w:r>
          </w:p>
        </w:tc>
        <w:tc>
          <w:tcPr>
            <w:tcW w:w="1855" w:type="dxa"/>
            <w:gridSpan w:val="2"/>
            <w:vAlign w:val="center"/>
          </w:tcPr>
          <w:p>
            <w:pPr>
              <w:pStyle w:val="22"/>
              <w:bidi w:val="0"/>
              <w:rPr>
                <w:color w:val="auto"/>
                <w:highlight w:val="none"/>
              </w:rPr>
            </w:pPr>
            <w:r>
              <w:rPr>
                <w:color w:val="auto"/>
                <w:highlight w:val="none"/>
              </w:rPr>
              <w:t>年均浓度μg/m</w:t>
            </w:r>
            <w:r>
              <w:rPr>
                <w:color w:val="auto"/>
                <w:highlight w:val="none"/>
                <w:vertAlign w:val="superscript"/>
              </w:rPr>
              <w:t>3</w:t>
            </w:r>
          </w:p>
        </w:tc>
        <w:tc>
          <w:tcPr>
            <w:tcW w:w="4516" w:type="dxa"/>
            <w:gridSpan w:val="2"/>
            <w:vAlign w:val="center"/>
          </w:tcPr>
          <w:p>
            <w:pPr>
              <w:pStyle w:val="22"/>
              <w:bidi w:val="0"/>
              <w:rPr>
                <w:color w:val="auto"/>
                <w:highlight w:val="none"/>
              </w:rPr>
            </w:pPr>
            <w:r>
              <w:rPr>
                <w:color w:val="auto"/>
                <w:highlight w:val="none"/>
              </w:rPr>
              <w:t>相应百分位数浓度μg/m</w:t>
            </w:r>
            <w:r>
              <w:rPr>
                <w:color w:val="auto"/>
                <w:highlight w:val="none"/>
                <w:vertAlign w:val="superscript"/>
              </w:rPr>
              <w:t>3</w:t>
            </w:r>
          </w:p>
        </w:tc>
        <w:tc>
          <w:tcPr>
            <w:tcW w:w="1100" w:type="dxa"/>
            <w:vMerge w:val="restart"/>
            <w:vAlign w:val="center"/>
          </w:tcPr>
          <w:p>
            <w:pPr>
              <w:pStyle w:val="22"/>
              <w:bidi w:val="0"/>
              <w:rPr>
                <w:color w:val="auto"/>
                <w:highlight w:val="none"/>
              </w:rPr>
            </w:pPr>
            <w:r>
              <w:rPr>
                <w:color w:val="auto"/>
                <w:highlight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Merge w:val="continue"/>
            <w:vAlign w:val="center"/>
          </w:tcPr>
          <w:p>
            <w:pPr>
              <w:pStyle w:val="22"/>
              <w:bidi w:val="0"/>
              <w:rPr>
                <w:color w:val="auto"/>
                <w:highlight w:val="none"/>
              </w:rPr>
            </w:pPr>
          </w:p>
        </w:tc>
        <w:tc>
          <w:tcPr>
            <w:tcW w:w="860" w:type="dxa"/>
            <w:vAlign w:val="center"/>
          </w:tcPr>
          <w:p>
            <w:pPr>
              <w:pStyle w:val="22"/>
              <w:bidi w:val="0"/>
              <w:rPr>
                <w:color w:val="auto"/>
                <w:highlight w:val="none"/>
              </w:rPr>
            </w:pPr>
            <w:r>
              <w:rPr>
                <w:color w:val="auto"/>
                <w:highlight w:val="none"/>
              </w:rPr>
              <w:t>监测值</w:t>
            </w:r>
          </w:p>
        </w:tc>
        <w:tc>
          <w:tcPr>
            <w:tcW w:w="995" w:type="dxa"/>
            <w:vAlign w:val="center"/>
          </w:tcPr>
          <w:p>
            <w:pPr>
              <w:pStyle w:val="22"/>
              <w:bidi w:val="0"/>
              <w:rPr>
                <w:color w:val="auto"/>
                <w:highlight w:val="none"/>
              </w:rPr>
            </w:pPr>
            <w:r>
              <w:rPr>
                <w:color w:val="auto"/>
                <w:highlight w:val="none"/>
              </w:rPr>
              <w:t>标准值</w:t>
            </w:r>
          </w:p>
        </w:tc>
        <w:tc>
          <w:tcPr>
            <w:tcW w:w="3379" w:type="dxa"/>
            <w:vAlign w:val="center"/>
          </w:tcPr>
          <w:p>
            <w:pPr>
              <w:pStyle w:val="22"/>
              <w:bidi w:val="0"/>
              <w:rPr>
                <w:color w:val="auto"/>
                <w:highlight w:val="none"/>
              </w:rPr>
            </w:pPr>
            <w:r>
              <w:rPr>
                <w:color w:val="auto"/>
                <w:highlight w:val="none"/>
              </w:rPr>
              <w:t>监测值</w:t>
            </w:r>
          </w:p>
        </w:tc>
        <w:tc>
          <w:tcPr>
            <w:tcW w:w="1137" w:type="dxa"/>
            <w:vAlign w:val="center"/>
          </w:tcPr>
          <w:p>
            <w:pPr>
              <w:pStyle w:val="22"/>
              <w:bidi w:val="0"/>
              <w:rPr>
                <w:color w:val="auto"/>
                <w:highlight w:val="none"/>
              </w:rPr>
            </w:pPr>
            <w:r>
              <w:rPr>
                <w:color w:val="auto"/>
                <w:highlight w:val="none"/>
              </w:rPr>
              <w:t>标准值</w:t>
            </w:r>
          </w:p>
        </w:tc>
        <w:tc>
          <w:tcPr>
            <w:tcW w:w="1100"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86" w:type="dxa"/>
            <w:vAlign w:val="center"/>
          </w:tcPr>
          <w:p>
            <w:pPr>
              <w:pStyle w:val="22"/>
              <w:bidi w:val="0"/>
              <w:rPr>
                <w:color w:val="auto"/>
                <w:highlight w:val="none"/>
              </w:rPr>
            </w:pPr>
            <w:r>
              <w:rPr>
                <w:color w:val="auto"/>
                <w:highlight w:val="none"/>
              </w:rPr>
              <w:t>SO</w:t>
            </w:r>
            <w:r>
              <w:rPr>
                <w:color w:val="auto"/>
                <w:highlight w:val="none"/>
                <w:vertAlign w:val="subscript"/>
              </w:rPr>
              <w:t>2</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17.3</w:t>
            </w:r>
          </w:p>
        </w:tc>
        <w:tc>
          <w:tcPr>
            <w:tcW w:w="995" w:type="dxa"/>
            <w:vAlign w:val="center"/>
          </w:tcPr>
          <w:p>
            <w:pPr>
              <w:pStyle w:val="22"/>
              <w:bidi w:val="0"/>
              <w:rPr>
                <w:color w:val="auto"/>
                <w:highlight w:val="none"/>
              </w:rPr>
            </w:pPr>
            <w:r>
              <w:rPr>
                <w:color w:val="auto"/>
                <w:highlight w:val="none"/>
              </w:rPr>
              <w:t>60</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24小时平均第98百分位数：</w:t>
            </w:r>
            <w:r>
              <w:rPr>
                <w:rFonts w:hint="eastAsia"/>
                <w:color w:val="auto"/>
                <w:highlight w:val="none"/>
                <w:lang w:val="en-US" w:eastAsia="zh-CN"/>
              </w:rPr>
              <w:t>95</w:t>
            </w:r>
          </w:p>
        </w:tc>
        <w:tc>
          <w:tcPr>
            <w:tcW w:w="1137" w:type="dxa"/>
            <w:vAlign w:val="center"/>
          </w:tcPr>
          <w:p>
            <w:pPr>
              <w:pStyle w:val="22"/>
              <w:bidi w:val="0"/>
              <w:rPr>
                <w:color w:val="auto"/>
                <w:highlight w:val="none"/>
              </w:rPr>
            </w:pPr>
            <w:r>
              <w:rPr>
                <w:color w:val="auto"/>
                <w:highlight w:val="none"/>
              </w:rPr>
              <w:t>150</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NO</w:t>
            </w:r>
            <w:r>
              <w:rPr>
                <w:color w:val="auto"/>
                <w:highlight w:val="none"/>
                <w:vertAlign w:val="subscript"/>
              </w:rPr>
              <w:t>2</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27.6</w:t>
            </w:r>
          </w:p>
        </w:tc>
        <w:tc>
          <w:tcPr>
            <w:tcW w:w="995" w:type="dxa"/>
            <w:vAlign w:val="center"/>
          </w:tcPr>
          <w:p>
            <w:pPr>
              <w:pStyle w:val="22"/>
              <w:bidi w:val="0"/>
              <w:rPr>
                <w:color w:val="auto"/>
                <w:highlight w:val="none"/>
              </w:rPr>
            </w:pPr>
            <w:r>
              <w:rPr>
                <w:color w:val="auto"/>
                <w:highlight w:val="none"/>
              </w:rPr>
              <w:t>40</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24小时平均第98百分位数：</w:t>
            </w:r>
            <w:r>
              <w:rPr>
                <w:rFonts w:hint="eastAsia"/>
                <w:color w:val="auto"/>
                <w:highlight w:val="none"/>
                <w:lang w:val="en-US" w:eastAsia="zh-CN"/>
              </w:rPr>
              <w:t>55</w:t>
            </w:r>
          </w:p>
        </w:tc>
        <w:tc>
          <w:tcPr>
            <w:tcW w:w="1137" w:type="dxa"/>
            <w:vAlign w:val="center"/>
          </w:tcPr>
          <w:p>
            <w:pPr>
              <w:pStyle w:val="22"/>
              <w:bidi w:val="0"/>
              <w:rPr>
                <w:color w:val="auto"/>
                <w:highlight w:val="none"/>
              </w:rPr>
            </w:pPr>
            <w:r>
              <w:rPr>
                <w:color w:val="auto"/>
                <w:highlight w:val="none"/>
              </w:rPr>
              <w:t>80</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PM</w:t>
            </w:r>
            <w:r>
              <w:rPr>
                <w:color w:val="auto"/>
                <w:highlight w:val="none"/>
                <w:vertAlign w:val="subscript"/>
              </w:rPr>
              <w:t>10</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55</w:t>
            </w:r>
          </w:p>
        </w:tc>
        <w:tc>
          <w:tcPr>
            <w:tcW w:w="995" w:type="dxa"/>
            <w:vAlign w:val="center"/>
          </w:tcPr>
          <w:p>
            <w:pPr>
              <w:pStyle w:val="22"/>
              <w:bidi w:val="0"/>
              <w:rPr>
                <w:color w:val="auto"/>
                <w:highlight w:val="none"/>
              </w:rPr>
            </w:pPr>
            <w:r>
              <w:rPr>
                <w:color w:val="auto"/>
                <w:highlight w:val="none"/>
              </w:rPr>
              <w:t>70</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24小时平均第95百分位数：</w:t>
            </w:r>
            <w:r>
              <w:rPr>
                <w:rFonts w:hint="eastAsia"/>
                <w:color w:val="auto"/>
                <w:highlight w:val="none"/>
                <w:lang w:val="en-US" w:eastAsia="zh-CN"/>
              </w:rPr>
              <w:t>119</w:t>
            </w:r>
          </w:p>
        </w:tc>
        <w:tc>
          <w:tcPr>
            <w:tcW w:w="1137" w:type="dxa"/>
            <w:vAlign w:val="center"/>
          </w:tcPr>
          <w:p>
            <w:pPr>
              <w:pStyle w:val="22"/>
              <w:bidi w:val="0"/>
              <w:rPr>
                <w:color w:val="auto"/>
                <w:highlight w:val="none"/>
              </w:rPr>
            </w:pPr>
            <w:r>
              <w:rPr>
                <w:color w:val="auto"/>
                <w:highlight w:val="none"/>
              </w:rPr>
              <w:t>150</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PM</w:t>
            </w:r>
            <w:r>
              <w:rPr>
                <w:color w:val="auto"/>
                <w:highlight w:val="none"/>
                <w:vertAlign w:val="subscript"/>
              </w:rPr>
              <w:t>2.5</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32.5</w:t>
            </w:r>
          </w:p>
        </w:tc>
        <w:tc>
          <w:tcPr>
            <w:tcW w:w="995" w:type="dxa"/>
            <w:vAlign w:val="center"/>
          </w:tcPr>
          <w:p>
            <w:pPr>
              <w:pStyle w:val="22"/>
              <w:bidi w:val="0"/>
              <w:rPr>
                <w:color w:val="auto"/>
                <w:highlight w:val="none"/>
              </w:rPr>
            </w:pPr>
            <w:r>
              <w:rPr>
                <w:color w:val="auto"/>
                <w:highlight w:val="none"/>
              </w:rPr>
              <w:t>35</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24小时平均第95百分位数：</w:t>
            </w:r>
            <w:r>
              <w:rPr>
                <w:rFonts w:hint="eastAsia"/>
                <w:b/>
                <w:bCs/>
                <w:color w:val="auto"/>
                <w:highlight w:val="none"/>
                <w:lang w:val="en-US" w:eastAsia="zh-CN"/>
              </w:rPr>
              <w:t>83</w:t>
            </w:r>
          </w:p>
        </w:tc>
        <w:tc>
          <w:tcPr>
            <w:tcW w:w="1137" w:type="dxa"/>
            <w:vAlign w:val="center"/>
          </w:tcPr>
          <w:p>
            <w:pPr>
              <w:pStyle w:val="22"/>
              <w:bidi w:val="0"/>
              <w:rPr>
                <w:color w:val="auto"/>
                <w:highlight w:val="none"/>
              </w:rPr>
            </w:pPr>
            <w:r>
              <w:rPr>
                <w:color w:val="auto"/>
                <w:highlight w:val="none"/>
              </w:rPr>
              <w:t>75</w:t>
            </w:r>
          </w:p>
        </w:tc>
        <w:tc>
          <w:tcPr>
            <w:tcW w:w="1100" w:type="dxa"/>
            <w:vAlign w:val="center"/>
          </w:tcPr>
          <w:p>
            <w:pPr>
              <w:pStyle w:val="22"/>
              <w:bidi w:val="0"/>
              <w:rPr>
                <w:color w:val="auto"/>
                <w:highlight w:val="none"/>
              </w:rPr>
            </w:pPr>
            <w:r>
              <w:rPr>
                <w:rFonts w:hint="eastAsia"/>
                <w:b/>
                <w:bCs/>
                <w:color w:val="auto"/>
                <w:highlight w:val="none"/>
                <w:lang w:eastAsia="zh-CN"/>
              </w:rPr>
              <w:t>不</w:t>
            </w:r>
            <w:r>
              <w:rPr>
                <w:b/>
                <w:bCs/>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CO①</w:t>
            </w:r>
          </w:p>
        </w:tc>
        <w:tc>
          <w:tcPr>
            <w:tcW w:w="1855" w:type="dxa"/>
            <w:gridSpan w:val="2"/>
            <w:vAlign w:val="center"/>
          </w:tcPr>
          <w:p>
            <w:pPr>
              <w:pStyle w:val="22"/>
              <w:bidi w:val="0"/>
              <w:rPr>
                <w:color w:val="auto"/>
                <w:highlight w:val="none"/>
              </w:rPr>
            </w:pPr>
            <w:r>
              <w:rPr>
                <w:color w:val="auto"/>
                <w:highlight w:val="none"/>
              </w:rPr>
              <w:t>/</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24小时平均第95百分位数：</w:t>
            </w:r>
            <w:r>
              <w:rPr>
                <w:rFonts w:hint="eastAsia"/>
                <w:color w:val="auto"/>
                <w:highlight w:val="none"/>
                <w:lang w:val="en-US" w:eastAsia="zh-CN"/>
              </w:rPr>
              <w:t>1.5</w:t>
            </w:r>
          </w:p>
        </w:tc>
        <w:tc>
          <w:tcPr>
            <w:tcW w:w="1137" w:type="dxa"/>
            <w:vAlign w:val="center"/>
          </w:tcPr>
          <w:p>
            <w:pPr>
              <w:pStyle w:val="22"/>
              <w:bidi w:val="0"/>
              <w:rPr>
                <w:color w:val="auto"/>
                <w:highlight w:val="none"/>
              </w:rPr>
            </w:pPr>
            <w:r>
              <w:rPr>
                <w:color w:val="auto"/>
                <w:highlight w:val="none"/>
              </w:rPr>
              <w:t>4</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O</w:t>
            </w:r>
            <w:r>
              <w:rPr>
                <w:color w:val="auto"/>
                <w:highlight w:val="none"/>
                <w:vertAlign w:val="subscript"/>
              </w:rPr>
              <w:t>3</w:t>
            </w:r>
          </w:p>
        </w:tc>
        <w:tc>
          <w:tcPr>
            <w:tcW w:w="1855" w:type="dxa"/>
            <w:gridSpan w:val="2"/>
            <w:vAlign w:val="center"/>
          </w:tcPr>
          <w:p>
            <w:pPr>
              <w:pStyle w:val="22"/>
              <w:bidi w:val="0"/>
              <w:rPr>
                <w:color w:val="auto"/>
                <w:highlight w:val="none"/>
              </w:rPr>
            </w:pPr>
            <w:r>
              <w:rPr>
                <w:color w:val="auto"/>
                <w:highlight w:val="none"/>
              </w:rPr>
              <w:t>/</w:t>
            </w:r>
          </w:p>
        </w:tc>
        <w:tc>
          <w:tcPr>
            <w:tcW w:w="3379" w:type="dxa"/>
            <w:vAlign w:val="center"/>
          </w:tcPr>
          <w:p>
            <w:pPr>
              <w:pStyle w:val="22"/>
              <w:bidi w:val="0"/>
              <w:rPr>
                <w:rFonts w:hint="default" w:eastAsia="宋体"/>
                <w:color w:val="auto"/>
                <w:highlight w:val="none"/>
                <w:lang w:val="en-US" w:eastAsia="zh-CN"/>
              </w:rPr>
            </w:pPr>
            <w:r>
              <w:rPr>
                <w:color w:val="auto"/>
                <w:highlight w:val="none"/>
              </w:rPr>
              <w:t>日最大8小时滑动平均值的第90百分位数：</w:t>
            </w:r>
            <w:r>
              <w:rPr>
                <w:rFonts w:hint="eastAsia"/>
                <w:color w:val="auto"/>
                <w:highlight w:val="none"/>
                <w:lang w:val="en-US" w:eastAsia="zh-CN"/>
              </w:rPr>
              <w:t>123</w:t>
            </w:r>
          </w:p>
        </w:tc>
        <w:tc>
          <w:tcPr>
            <w:tcW w:w="1137" w:type="dxa"/>
            <w:vAlign w:val="center"/>
          </w:tcPr>
          <w:p>
            <w:pPr>
              <w:pStyle w:val="22"/>
              <w:bidi w:val="0"/>
              <w:rPr>
                <w:color w:val="auto"/>
                <w:highlight w:val="none"/>
              </w:rPr>
            </w:pPr>
            <w:r>
              <w:rPr>
                <w:color w:val="auto"/>
                <w:highlight w:val="none"/>
              </w:rPr>
              <w:t>160</w:t>
            </w:r>
          </w:p>
        </w:tc>
        <w:tc>
          <w:tcPr>
            <w:tcW w:w="1100" w:type="dxa"/>
            <w:vAlign w:val="center"/>
          </w:tcPr>
          <w:p>
            <w:pPr>
              <w:pStyle w:val="22"/>
              <w:bidi w:val="0"/>
              <w:rPr>
                <w:color w:val="auto"/>
                <w:highlight w:val="none"/>
              </w:rPr>
            </w:pPr>
            <w:r>
              <w:rPr>
                <w:color w:val="auto"/>
                <w:highlight w:val="none"/>
              </w:rPr>
              <w:t>达标</w:t>
            </w:r>
          </w:p>
        </w:tc>
      </w:tr>
    </w:tbl>
    <w:p>
      <w:pPr>
        <w:pStyle w:val="22"/>
        <w:bidi w:val="0"/>
        <w:rPr>
          <w:color w:val="auto"/>
          <w:highlight w:val="none"/>
        </w:rPr>
      </w:pPr>
    </w:p>
    <w:p>
      <w:pPr>
        <w:adjustRightInd w:val="0"/>
        <w:snapToGrid w:val="0"/>
        <w:spacing w:line="360" w:lineRule="auto"/>
        <w:rPr>
          <w:color w:val="auto"/>
          <w:sz w:val="24"/>
          <w:highlight w:val="none"/>
        </w:rPr>
      </w:pPr>
      <w:r>
        <w:rPr>
          <w:color w:val="auto"/>
          <w:sz w:val="24"/>
          <w:highlight w:val="none"/>
        </w:rPr>
        <w:t>（注：</w:t>
      </w:r>
      <w:r>
        <w:rPr>
          <w:rFonts w:hint="eastAsia"/>
          <w:color w:val="auto"/>
          <w:sz w:val="24"/>
          <w:highlight w:val="none"/>
          <w:lang w:eastAsia="zh-CN"/>
        </w:rPr>
        <w:t>①</w:t>
      </w:r>
      <w:r>
        <w:rPr>
          <w:color w:val="auto"/>
          <w:szCs w:val="21"/>
          <w:highlight w:val="none"/>
        </w:rPr>
        <w:t>CO24小时平均浓度单位为</w:t>
      </w:r>
      <w:r>
        <w:rPr>
          <w:color w:val="auto"/>
          <w:sz w:val="24"/>
          <w:highlight w:val="none"/>
        </w:rPr>
        <w:t>mg/m</w:t>
      </w:r>
      <w:r>
        <w:rPr>
          <w:color w:val="auto"/>
          <w:sz w:val="24"/>
          <w:highlight w:val="none"/>
          <w:vertAlign w:val="superscript"/>
        </w:rPr>
        <w:t>3</w:t>
      </w:r>
      <w:r>
        <w:rPr>
          <w:color w:val="auto"/>
          <w:sz w:val="24"/>
          <w:highlight w:val="none"/>
        </w:rPr>
        <w:t>）</w:t>
      </w:r>
    </w:p>
    <w:p>
      <w:pPr>
        <w:bidi w:val="0"/>
        <w:rPr>
          <w:color w:val="auto"/>
          <w:highlight w:val="none"/>
        </w:rPr>
      </w:pPr>
      <w:r>
        <w:rPr>
          <w:color w:val="auto"/>
          <w:highlight w:val="none"/>
        </w:rPr>
        <w:t>由上表可知：</w:t>
      </w:r>
    </w:p>
    <w:p>
      <w:pPr>
        <w:bidi w:val="0"/>
        <w:rPr>
          <w:color w:val="auto"/>
          <w:highlight w:val="none"/>
        </w:rPr>
      </w:pP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lang w:val="en-US" w:eastAsia="zh-CN"/>
        </w:rPr>
        <w:t>、</w:t>
      </w:r>
      <w:r>
        <w:rPr>
          <w:color w:val="auto"/>
          <w:highlight w:val="none"/>
        </w:rPr>
        <w:t>PM</w:t>
      </w:r>
      <w:r>
        <w:rPr>
          <w:color w:val="auto"/>
          <w:highlight w:val="none"/>
          <w:vertAlign w:val="subscript"/>
        </w:rPr>
        <w:t>10</w:t>
      </w:r>
      <w:r>
        <w:rPr>
          <w:color w:val="auto"/>
          <w:highlight w:val="none"/>
        </w:rPr>
        <w:t>年平均质量浓度达到《环境空气质量标准》（GB3095-2012）中二级标准要求；</w:t>
      </w:r>
    </w:p>
    <w:p>
      <w:pPr>
        <w:bidi w:val="0"/>
        <w:rPr>
          <w:rFonts w:hint="eastAsia"/>
          <w:color w:val="auto"/>
          <w:highlight w:val="none"/>
          <w:lang w:eastAsia="zh-CN"/>
        </w:rPr>
      </w:pP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r>
        <w:rPr>
          <w:rFonts w:hint="eastAsia"/>
          <w:color w:val="auto"/>
          <w:highlight w:val="none"/>
          <w:lang w:val="en-US" w:eastAsia="zh-CN"/>
        </w:rPr>
        <w:t>24小时平均第98百分位数</w:t>
      </w:r>
      <w:r>
        <w:rPr>
          <w:color w:val="auto"/>
          <w:highlight w:val="none"/>
        </w:rPr>
        <w:t>达到《环境空气质量标准》（GB3095-2012）二级标准要求</w:t>
      </w:r>
      <w:r>
        <w:rPr>
          <w:rFonts w:hint="eastAsia"/>
          <w:color w:val="auto"/>
          <w:highlight w:val="none"/>
          <w:lang w:eastAsia="zh-CN"/>
        </w:rPr>
        <w:t>；</w:t>
      </w:r>
    </w:p>
    <w:p>
      <w:pPr>
        <w:bidi w:val="0"/>
        <w:rPr>
          <w:rFonts w:hint="eastAsia"/>
          <w:color w:val="auto"/>
          <w:highlight w:val="none"/>
          <w:lang w:eastAsia="zh-CN"/>
        </w:rPr>
      </w:pPr>
      <w:r>
        <w:rPr>
          <w:color w:val="auto"/>
          <w:highlight w:val="none"/>
        </w:rPr>
        <w:t>PM</w:t>
      </w:r>
      <w:r>
        <w:rPr>
          <w:color w:val="auto"/>
          <w:highlight w:val="none"/>
          <w:vertAlign w:val="subscript"/>
        </w:rPr>
        <w:t>10</w:t>
      </w:r>
      <w:r>
        <w:rPr>
          <w:rFonts w:hint="eastAsia"/>
          <w:color w:val="auto"/>
          <w:highlight w:val="none"/>
          <w:lang w:val="en-US" w:eastAsia="zh-CN"/>
        </w:rPr>
        <w:t>24小时平均第95百分位数</w:t>
      </w:r>
      <w:r>
        <w:rPr>
          <w:color w:val="auto"/>
          <w:highlight w:val="none"/>
        </w:rPr>
        <w:t>达到《环境空气质量标准》（GB3095-2012）二级标准要求</w:t>
      </w:r>
      <w:r>
        <w:rPr>
          <w:rFonts w:hint="eastAsia"/>
          <w:color w:val="auto"/>
          <w:highlight w:val="none"/>
          <w:lang w:eastAsia="zh-CN"/>
        </w:rPr>
        <w:t>；</w:t>
      </w:r>
    </w:p>
    <w:p>
      <w:pPr>
        <w:bidi w:val="0"/>
        <w:rPr>
          <w:rFonts w:hint="eastAsia" w:eastAsia="宋体"/>
          <w:color w:val="auto"/>
          <w:highlight w:val="none"/>
          <w:lang w:val="en-US" w:eastAsia="zh-CN"/>
        </w:rPr>
      </w:pPr>
      <w:r>
        <w:rPr>
          <w:color w:val="auto"/>
          <w:highlight w:val="none"/>
        </w:rPr>
        <w:t>PM</w:t>
      </w:r>
      <w:r>
        <w:rPr>
          <w:rFonts w:hint="eastAsia"/>
          <w:color w:val="auto"/>
          <w:highlight w:val="none"/>
          <w:vertAlign w:val="subscript"/>
          <w:lang w:val="en-US" w:eastAsia="zh-CN"/>
        </w:rPr>
        <w:t>2.5</w:t>
      </w:r>
      <w:r>
        <w:rPr>
          <w:rFonts w:hint="eastAsia"/>
          <w:color w:val="auto"/>
          <w:highlight w:val="none"/>
          <w:lang w:val="en-US" w:eastAsia="zh-CN"/>
        </w:rPr>
        <w:t>24小时平均第95百分位数</w:t>
      </w:r>
      <w:r>
        <w:rPr>
          <w:rFonts w:hint="eastAsia"/>
          <w:color w:val="auto"/>
          <w:highlight w:val="none"/>
          <w:lang w:eastAsia="zh-CN"/>
        </w:rPr>
        <w:t>对比</w:t>
      </w:r>
      <w:r>
        <w:rPr>
          <w:color w:val="auto"/>
          <w:highlight w:val="none"/>
        </w:rPr>
        <w:t>《环境空气质量标准》（GB3095-2012）二级标准要求</w:t>
      </w:r>
      <w:r>
        <w:rPr>
          <w:rFonts w:hint="eastAsia"/>
          <w:color w:val="auto"/>
          <w:highlight w:val="none"/>
          <w:u w:val="single"/>
          <w:lang w:eastAsia="zh-CN"/>
        </w:rPr>
        <w:t>超标</w:t>
      </w:r>
      <w:r>
        <w:rPr>
          <w:rFonts w:hint="eastAsia"/>
          <w:color w:val="auto"/>
          <w:highlight w:val="none"/>
          <w:lang w:eastAsia="zh-CN"/>
        </w:rPr>
        <w:t>；</w:t>
      </w:r>
    </w:p>
    <w:p>
      <w:pPr>
        <w:bidi w:val="0"/>
        <w:rPr>
          <w:color w:val="auto"/>
          <w:highlight w:val="none"/>
        </w:rPr>
      </w:pPr>
      <w:r>
        <w:rPr>
          <w:color w:val="auto"/>
          <w:highlight w:val="none"/>
        </w:rPr>
        <w:t>CO24小时平均第95百分位数达到《环境空气质量标准》（GB3095-2012）中24小时平均浓度二级标准要求；</w:t>
      </w:r>
    </w:p>
    <w:p>
      <w:pPr>
        <w:bidi w:val="0"/>
        <w:rPr>
          <w:rFonts w:hint="eastAsia" w:eastAsia="宋体"/>
          <w:color w:val="auto"/>
          <w:highlight w:val="none"/>
          <w:lang w:val="en-US" w:eastAsia="zh-CN"/>
        </w:rPr>
      </w:pPr>
      <w:r>
        <w:rPr>
          <w:color w:val="auto"/>
          <w:highlight w:val="none"/>
        </w:rPr>
        <w:t>O</w:t>
      </w:r>
      <w:r>
        <w:rPr>
          <w:color w:val="auto"/>
          <w:highlight w:val="none"/>
          <w:vertAlign w:val="subscript"/>
        </w:rPr>
        <w:t>3</w:t>
      </w:r>
      <w:r>
        <w:rPr>
          <w:color w:val="auto"/>
          <w:highlight w:val="none"/>
        </w:rPr>
        <w:t>日最大8小时滑动平均值的第90百分位数达到《环境空气质量标准》（GB3095-2012）二级标准要求。</w:t>
      </w:r>
    </w:p>
    <w:p>
      <w:pPr>
        <w:bidi w:val="0"/>
        <w:rPr>
          <w:color w:val="auto"/>
          <w:highlight w:val="none"/>
        </w:rPr>
      </w:pPr>
      <w:r>
        <w:rPr>
          <w:color w:val="auto"/>
          <w:highlight w:val="none"/>
        </w:rPr>
        <w:t>根据《环境影响评价技术导则大气环境》（HJ2.2-2018），城市环境空气质量达标情况评价指标为六项污染物全部达标即为城市环境空气质量达标。因此，矿区所在区域</w:t>
      </w:r>
      <w:r>
        <w:rPr>
          <w:rFonts w:hint="eastAsia"/>
          <w:color w:val="auto"/>
          <w:highlight w:val="none"/>
          <w:lang w:eastAsia="zh-CN"/>
        </w:rPr>
        <w:t>（大竹县）</w:t>
      </w:r>
      <w:r>
        <w:rPr>
          <w:color w:val="auto"/>
          <w:highlight w:val="none"/>
        </w:rPr>
        <w:t>属于</w:t>
      </w:r>
      <w:r>
        <w:rPr>
          <w:color w:val="auto"/>
          <w:highlight w:val="none"/>
          <w:u w:val="single"/>
        </w:rPr>
        <w:t>环境空气质量</w:t>
      </w:r>
      <w:r>
        <w:rPr>
          <w:b/>
          <w:bCs/>
          <w:color w:val="auto"/>
          <w:highlight w:val="none"/>
          <w:u w:val="single"/>
        </w:rPr>
        <w:t>不达标区</w:t>
      </w:r>
      <w:r>
        <w:rPr>
          <w:color w:val="auto"/>
          <w:highlight w:val="none"/>
        </w:rPr>
        <w:t>。</w:t>
      </w:r>
    </w:p>
    <w:p>
      <w:pPr>
        <w:bidi w:val="0"/>
        <w:rPr>
          <w:color w:val="auto"/>
          <w:highlight w:val="none"/>
        </w:rPr>
      </w:pPr>
      <w:r>
        <w:rPr>
          <w:color w:val="auto"/>
          <w:highlight w:val="none"/>
        </w:rPr>
        <w:t>根据《达州市大气环境质量限期达标规划（2018-2030年）》，针对达州市环境空气质量现状不达标提出大气质量限期达标战略如下：</w:t>
      </w:r>
    </w:p>
    <w:p>
      <w:pPr>
        <w:pStyle w:val="22"/>
        <w:bidi w:val="0"/>
        <w:rPr>
          <w:b/>
          <w:color w:val="auto"/>
          <w:sz w:val="21"/>
          <w:highlight w:val="none"/>
        </w:rPr>
      </w:pPr>
      <w:r>
        <w:rPr>
          <w:b/>
          <w:color w:val="auto"/>
          <w:sz w:val="21"/>
          <w:highlight w:val="none"/>
        </w:rPr>
        <w:t>表</w:t>
      </w:r>
      <w:r>
        <w:rPr>
          <w:rFonts w:ascii="Times New Roman" w:eastAsia="Times New Roman"/>
          <w:b/>
          <w:color w:val="auto"/>
          <w:sz w:val="21"/>
          <w:highlight w:val="none"/>
        </w:rPr>
        <w:t>3</w:t>
      </w:r>
      <w:r>
        <w:rPr>
          <w:rFonts w:hint="eastAsia"/>
          <w:b/>
          <w:color w:val="auto"/>
          <w:sz w:val="21"/>
          <w:highlight w:val="none"/>
          <w:lang w:val="en-US" w:eastAsia="zh-CN"/>
        </w:rPr>
        <w:t>.2</w:t>
      </w:r>
      <w:r>
        <w:rPr>
          <w:rFonts w:ascii="Times New Roman" w:eastAsia="Times New Roman"/>
          <w:b/>
          <w:color w:val="auto"/>
          <w:sz w:val="21"/>
          <w:highlight w:val="none"/>
        </w:rPr>
        <w:t xml:space="preserve">-2 </w:t>
      </w:r>
      <w:r>
        <w:rPr>
          <w:b/>
          <w:color w:val="auto"/>
          <w:sz w:val="21"/>
          <w:highlight w:val="none"/>
        </w:rPr>
        <w:t>达州市空气质量达标规划具体指标</w:t>
      </w:r>
    </w:p>
    <w:p>
      <w:pPr>
        <w:pStyle w:val="10"/>
        <w:spacing w:before="12"/>
        <w:ind w:left="0"/>
        <w:rPr>
          <w:b/>
          <w:color w:val="auto"/>
          <w:sz w:val="10"/>
          <w:highlight w:val="none"/>
        </w:rPr>
      </w:pP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1"/>
        <w:gridCol w:w="2546"/>
        <w:gridCol w:w="1329"/>
        <w:gridCol w:w="1153"/>
        <w:gridCol w:w="1096"/>
        <w:gridCol w:w="1154"/>
        <w:gridCol w:w="8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41" w:type="dxa"/>
            <w:vMerge w:val="restart"/>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序号</w:t>
            </w:r>
          </w:p>
        </w:tc>
        <w:tc>
          <w:tcPr>
            <w:tcW w:w="2546" w:type="dxa"/>
            <w:vMerge w:val="restart"/>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环境质量指标</w:t>
            </w:r>
          </w:p>
        </w:tc>
        <w:tc>
          <w:tcPr>
            <w:tcW w:w="3578" w:type="dxa"/>
            <w:gridSpan w:val="3"/>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目标值</w:t>
            </w:r>
          </w:p>
        </w:tc>
        <w:tc>
          <w:tcPr>
            <w:tcW w:w="1154" w:type="dxa"/>
            <w:vMerge w:val="restart"/>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国家空气质量标准</w:t>
            </w:r>
          </w:p>
        </w:tc>
        <w:tc>
          <w:tcPr>
            <w:tcW w:w="861" w:type="dxa"/>
            <w:vMerge w:val="restart"/>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属性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741"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2546"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329"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近期</w:t>
            </w:r>
          </w:p>
          <w:p>
            <w:pPr>
              <w:pStyle w:val="22"/>
              <w:bidi w:val="0"/>
              <w:rPr>
                <w:color w:val="auto"/>
                <w:highlight w:val="none"/>
              </w:rPr>
            </w:pPr>
            <w:r>
              <w:rPr>
                <w:color w:val="auto"/>
                <w:highlight w:val="none"/>
              </w:rPr>
              <w:t>2020年</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中期</w:t>
            </w:r>
          </w:p>
          <w:p>
            <w:pPr>
              <w:pStyle w:val="22"/>
              <w:bidi w:val="0"/>
              <w:rPr>
                <w:color w:val="auto"/>
                <w:highlight w:val="none"/>
              </w:rPr>
            </w:pPr>
            <w:r>
              <w:rPr>
                <w:color w:val="auto"/>
                <w:highlight w:val="none"/>
              </w:rPr>
              <w:t>2025年</w:t>
            </w:r>
          </w:p>
        </w:tc>
        <w:tc>
          <w:tcPr>
            <w:tcW w:w="10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远期</w:t>
            </w:r>
          </w:p>
          <w:p>
            <w:pPr>
              <w:pStyle w:val="22"/>
              <w:bidi w:val="0"/>
              <w:rPr>
                <w:color w:val="auto"/>
                <w:highlight w:val="none"/>
              </w:rPr>
            </w:pPr>
            <w:r>
              <w:rPr>
                <w:color w:val="auto"/>
                <w:highlight w:val="none"/>
              </w:rPr>
              <w:t>2030年</w:t>
            </w:r>
          </w:p>
        </w:tc>
        <w:tc>
          <w:tcPr>
            <w:tcW w:w="115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86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41"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w:t>
            </w:r>
          </w:p>
        </w:tc>
        <w:tc>
          <w:tcPr>
            <w:tcW w:w="254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SO</w:t>
            </w:r>
            <w:r>
              <w:rPr>
                <w:color w:val="auto"/>
                <w:highlight w:val="none"/>
                <w:vertAlign w:val="subscript"/>
              </w:rPr>
              <w:t>2</w:t>
            </w:r>
            <w:r>
              <w:rPr>
                <w:color w:val="auto"/>
                <w:highlight w:val="none"/>
              </w:rPr>
              <w:t>年均浓度（μg/m</w:t>
            </w:r>
            <w:r>
              <w:rPr>
                <w:color w:val="auto"/>
                <w:highlight w:val="none"/>
                <w:vertAlign w:val="superscript"/>
              </w:rPr>
              <w:t>3</w:t>
            </w:r>
            <w:r>
              <w:rPr>
                <w:color w:val="auto"/>
                <w:highlight w:val="none"/>
              </w:rPr>
              <w:t>）</w:t>
            </w:r>
          </w:p>
        </w:tc>
        <w:tc>
          <w:tcPr>
            <w:tcW w:w="3578" w:type="dxa"/>
            <w:gridSpan w:val="3"/>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≤60</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≤60</w:t>
            </w:r>
          </w:p>
        </w:tc>
        <w:tc>
          <w:tcPr>
            <w:tcW w:w="86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约束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41"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2</w:t>
            </w:r>
          </w:p>
        </w:tc>
        <w:tc>
          <w:tcPr>
            <w:tcW w:w="254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NO</w:t>
            </w:r>
            <w:r>
              <w:rPr>
                <w:color w:val="auto"/>
                <w:highlight w:val="none"/>
                <w:vertAlign w:val="subscript"/>
              </w:rPr>
              <w:t>2</w:t>
            </w:r>
            <w:r>
              <w:rPr>
                <w:color w:val="auto"/>
                <w:highlight w:val="none"/>
              </w:rPr>
              <w:t>年均浓度（μg/m</w:t>
            </w:r>
            <w:r>
              <w:rPr>
                <w:color w:val="auto"/>
                <w:highlight w:val="none"/>
                <w:vertAlign w:val="superscript"/>
              </w:rPr>
              <w:t>3</w:t>
            </w:r>
            <w:r>
              <w:rPr>
                <w:color w:val="auto"/>
                <w:highlight w:val="none"/>
              </w:rPr>
              <w:t>）</w:t>
            </w:r>
          </w:p>
        </w:tc>
        <w:tc>
          <w:tcPr>
            <w:tcW w:w="3578" w:type="dxa"/>
            <w:gridSpan w:val="3"/>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≤40</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≤40</w:t>
            </w:r>
          </w:p>
        </w:tc>
        <w:tc>
          <w:tcPr>
            <w:tcW w:w="86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约束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41"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3</w:t>
            </w:r>
          </w:p>
        </w:tc>
        <w:tc>
          <w:tcPr>
            <w:tcW w:w="254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PM</w:t>
            </w:r>
            <w:r>
              <w:rPr>
                <w:color w:val="auto"/>
                <w:highlight w:val="none"/>
                <w:vertAlign w:val="subscript"/>
              </w:rPr>
              <w:t>10</w:t>
            </w:r>
            <w:r>
              <w:rPr>
                <w:color w:val="auto"/>
                <w:highlight w:val="none"/>
              </w:rPr>
              <w:t>年均浓度（μg/m</w:t>
            </w:r>
            <w:r>
              <w:rPr>
                <w:color w:val="auto"/>
                <w:highlight w:val="none"/>
                <w:vertAlign w:val="superscript"/>
              </w:rPr>
              <w:t>3</w:t>
            </w:r>
            <w:r>
              <w:rPr>
                <w:color w:val="auto"/>
                <w:highlight w:val="none"/>
              </w:rPr>
              <w:t>）</w:t>
            </w:r>
          </w:p>
        </w:tc>
        <w:tc>
          <w:tcPr>
            <w:tcW w:w="1329"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w:t>
            </w:r>
          </w:p>
        </w:tc>
        <w:tc>
          <w:tcPr>
            <w:tcW w:w="10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≤70</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≤70</w:t>
            </w:r>
          </w:p>
        </w:tc>
        <w:tc>
          <w:tcPr>
            <w:tcW w:w="86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约束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41"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4</w:t>
            </w:r>
          </w:p>
        </w:tc>
        <w:tc>
          <w:tcPr>
            <w:tcW w:w="254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PM</w:t>
            </w:r>
            <w:r>
              <w:rPr>
                <w:color w:val="auto"/>
                <w:highlight w:val="none"/>
                <w:vertAlign w:val="subscript"/>
              </w:rPr>
              <w:t>2.5</w:t>
            </w:r>
            <w:r>
              <w:rPr>
                <w:color w:val="auto"/>
                <w:highlight w:val="none"/>
              </w:rPr>
              <w:t>年均浓度（μg/m</w:t>
            </w:r>
            <w:r>
              <w:rPr>
                <w:color w:val="auto"/>
                <w:highlight w:val="none"/>
                <w:vertAlign w:val="superscript"/>
              </w:rPr>
              <w:t>3</w:t>
            </w:r>
            <w:r>
              <w:rPr>
                <w:color w:val="auto"/>
                <w:highlight w:val="none"/>
              </w:rPr>
              <w:t>）</w:t>
            </w:r>
          </w:p>
        </w:tc>
        <w:tc>
          <w:tcPr>
            <w:tcW w:w="1329"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≤48.9</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≤39.9</w:t>
            </w:r>
          </w:p>
        </w:tc>
        <w:tc>
          <w:tcPr>
            <w:tcW w:w="10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≤34.3</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≤35</w:t>
            </w:r>
          </w:p>
        </w:tc>
        <w:tc>
          <w:tcPr>
            <w:tcW w:w="86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约束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741"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5</w:t>
            </w:r>
          </w:p>
        </w:tc>
        <w:tc>
          <w:tcPr>
            <w:tcW w:w="254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CO日平均值得第95百分位数（mg/m</w:t>
            </w:r>
            <w:r>
              <w:rPr>
                <w:color w:val="auto"/>
                <w:highlight w:val="none"/>
                <w:vertAlign w:val="superscript"/>
              </w:rPr>
              <w:t>3</w:t>
            </w:r>
            <w:r>
              <w:rPr>
                <w:color w:val="auto"/>
                <w:highlight w:val="none"/>
              </w:rPr>
              <w:t>）</w:t>
            </w:r>
          </w:p>
        </w:tc>
        <w:tc>
          <w:tcPr>
            <w:tcW w:w="3578" w:type="dxa"/>
            <w:gridSpan w:val="3"/>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≤4</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≤4</w:t>
            </w:r>
          </w:p>
        </w:tc>
        <w:tc>
          <w:tcPr>
            <w:tcW w:w="86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p>
          <w:p>
            <w:pPr>
              <w:pStyle w:val="22"/>
              <w:bidi w:val="0"/>
              <w:rPr>
                <w:color w:val="auto"/>
                <w:highlight w:val="none"/>
              </w:rPr>
            </w:pPr>
            <w:r>
              <w:rPr>
                <w:color w:val="auto"/>
                <w:highlight w:val="none"/>
              </w:rPr>
              <w:t>约束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741"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6</w:t>
            </w:r>
          </w:p>
        </w:tc>
        <w:tc>
          <w:tcPr>
            <w:tcW w:w="254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O</w:t>
            </w:r>
            <w:r>
              <w:rPr>
                <w:color w:val="auto"/>
                <w:highlight w:val="none"/>
                <w:vertAlign w:val="subscript"/>
              </w:rPr>
              <w:t>3</w:t>
            </w:r>
            <w:r>
              <w:rPr>
                <w:color w:val="auto"/>
                <w:highlight w:val="none"/>
              </w:rPr>
              <w:t>日最大8小时平均值得第90百分位数（mg/m</w:t>
            </w:r>
            <w:r>
              <w:rPr>
                <w:color w:val="auto"/>
                <w:highlight w:val="none"/>
                <w:vertAlign w:val="superscript"/>
              </w:rPr>
              <w:t>3</w:t>
            </w:r>
            <w:r>
              <w:rPr>
                <w:color w:val="auto"/>
                <w:highlight w:val="none"/>
              </w:rPr>
              <w:t>）</w:t>
            </w:r>
          </w:p>
        </w:tc>
        <w:tc>
          <w:tcPr>
            <w:tcW w:w="3578" w:type="dxa"/>
            <w:gridSpan w:val="3"/>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≤160</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≤160</w:t>
            </w:r>
          </w:p>
        </w:tc>
        <w:tc>
          <w:tcPr>
            <w:tcW w:w="86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指导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741" w:type="dxa"/>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7</w:t>
            </w:r>
          </w:p>
        </w:tc>
        <w:tc>
          <w:tcPr>
            <w:tcW w:w="2546"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空气质量优良天数比例</w:t>
            </w:r>
          </w:p>
          <w:p>
            <w:pPr>
              <w:pStyle w:val="22"/>
              <w:bidi w:val="0"/>
              <w:rPr>
                <w:color w:val="auto"/>
                <w:highlight w:val="none"/>
              </w:rPr>
            </w:pPr>
            <w:r>
              <w:rPr>
                <w:color w:val="auto"/>
                <w:highlight w:val="none"/>
              </w:rPr>
              <w:t>（%）</w:t>
            </w:r>
          </w:p>
        </w:tc>
        <w:tc>
          <w:tcPr>
            <w:tcW w:w="1329"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≥78.2</w:t>
            </w:r>
          </w:p>
        </w:tc>
        <w:tc>
          <w:tcPr>
            <w:tcW w:w="1153"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≥85</w:t>
            </w:r>
          </w:p>
        </w:tc>
        <w:tc>
          <w:tcPr>
            <w:tcW w:w="1096"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≥90</w:t>
            </w:r>
          </w:p>
        </w:tc>
        <w:tc>
          <w:tcPr>
            <w:tcW w:w="1154"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w:t>
            </w:r>
          </w:p>
        </w:tc>
        <w:tc>
          <w:tcPr>
            <w:tcW w:w="861" w:type="dxa"/>
            <w:tcBorders>
              <w:top w:val="single" w:color="000000" w:sz="4" w:space="0"/>
              <w:left w:val="single" w:color="000000" w:sz="4" w:space="0"/>
              <w:right w:val="nil"/>
            </w:tcBorders>
            <w:vAlign w:val="center"/>
          </w:tcPr>
          <w:p>
            <w:pPr>
              <w:pStyle w:val="22"/>
              <w:bidi w:val="0"/>
              <w:rPr>
                <w:color w:val="auto"/>
                <w:highlight w:val="none"/>
              </w:rPr>
            </w:pPr>
            <w:r>
              <w:rPr>
                <w:color w:val="auto"/>
                <w:highlight w:val="none"/>
              </w:rPr>
              <w:t>预期</w:t>
            </w:r>
          </w:p>
        </w:tc>
      </w:tr>
    </w:tbl>
    <w:p>
      <w:pPr>
        <w:bidi w:val="0"/>
        <w:rPr>
          <w:rFonts w:hint="eastAsia" w:eastAsia="宋体"/>
          <w:color w:val="auto"/>
          <w:highlight w:val="none"/>
          <w:lang w:eastAsia="zh-CN"/>
        </w:rPr>
      </w:pPr>
      <w:r>
        <w:rPr>
          <w:color w:val="auto"/>
          <w:highlight w:val="none"/>
        </w:rPr>
        <w:t>总体战略</w:t>
      </w:r>
      <w:r>
        <w:rPr>
          <w:rFonts w:hint="eastAsia"/>
          <w:color w:val="auto"/>
          <w:highlight w:val="none"/>
          <w:lang w:eastAsia="zh-CN"/>
        </w:rPr>
        <w:t>：</w:t>
      </w:r>
    </w:p>
    <w:p>
      <w:pPr>
        <w:bidi w:val="0"/>
        <w:rPr>
          <w:color w:val="auto"/>
          <w:highlight w:val="none"/>
        </w:rPr>
      </w:pPr>
      <w:r>
        <w:rPr>
          <w:color w:val="auto"/>
          <w:highlight w:val="none"/>
        </w:rPr>
        <w:t>以大气环境质量达标为核心，以PM</w:t>
      </w:r>
      <w:r>
        <w:rPr>
          <w:color w:val="auto"/>
          <w:highlight w:val="none"/>
          <w:vertAlign w:val="subscript"/>
        </w:rPr>
        <w:t>2.5</w:t>
      </w:r>
      <w:r>
        <w:rPr>
          <w:color w:val="auto"/>
          <w:highlight w:val="none"/>
        </w:rPr>
        <w:t>作为重点控制对象，实施空气质量达标战略，包括：优化产业结构和布局，推进能源结构调整，深化火电超低排放、工业锅炉、建材行业、冶金行业治理整顿，有效控制扬尘、移动源、秸秆焚烧的污染排放，加快推进VOC</w:t>
      </w:r>
      <w:r>
        <w:rPr>
          <w:color w:val="auto"/>
          <w:highlight w:val="none"/>
          <w:vertAlign w:val="subscript"/>
        </w:rPr>
        <w:t>S</w:t>
      </w:r>
      <w:r>
        <w:rPr>
          <w:color w:val="auto"/>
          <w:highlight w:val="none"/>
        </w:rPr>
        <w:t>综合整治，促进多污染物协同控制及区域联防联控，提升大气污染精细化防控能力。</w:t>
      </w:r>
    </w:p>
    <w:p>
      <w:pPr>
        <w:bidi w:val="0"/>
        <w:rPr>
          <w:rFonts w:hint="eastAsia" w:eastAsia="宋体"/>
          <w:color w:val="auto"/>
          <w:highlight w:val="none"/>
          <w:lang w:eastAsia="zh-CN"/>
        </w:rPr>
      </w:pPr>
      <w:r>
        <w:rPr>
          <w:color w:val="auto"/>
          <w:highlight w:val="none"/>
        </w:rPr>
        <w:t>分阶段战略</w:t>
      </w:r>
      <w:r>
        <w:rPr>
          <w:rFonts w:hint="eastAsia"/>
          <w:color w:val="auto"/>
          <w:highlight w:val="none"/>
          <w:lang w:eastAsia="zh-CN"/>
        </w:rPr>
        <w:t>：</w:t>
      </w:r>
    </w:p>
    <w:p>
      <w:pPr>
        <w:bidi w:val="0"/>
        <w:rPr>
          <w:color w:val="auto"/>
          <w:highlight w:val="none"/>
        </w:rPr>
      </w:pPr>
      <w:r>
        <w:rPr>
          <w:rFonts w:hint="eastAsia"/>
          <w:color w:val="auto"/>
          <w:highlight w:val="none"/>
          <w:lang w:eastAsia="zh-CN"/>
        </w:rPr>
        <w:t>①</w:t>
      </w:r>
      <w:r>
        <w:rPr>
          <w:color w:val="auto"/>
          <w:highlight w:val="none"/>
        </w:rPr>
        <w:t>近期（2018-2020年）：协同减排促改善，实现空气质量初步改善。</w:t>
      </w:r>
    </w:p>
    <w:p>
      <w:pPr>
        <w:bidi w:val="0"/>
        <w:rPr>
          <w:color w:val="auto"/>
          <w:highlight w:val="none"/>
        </w:rPr>
      </w:pPr>
      <w:r>
        <w:rPr>
          <w:color w:val="auto"/>
          <w:highlight w:val="none"/>
        </w:rPr>
        <w:t>改善措施：“十三五”期间，通过调整优化产业结构和布局、优化能源结构，强化污染减排，逐步推进大气污染源头控制；加快淘汰落后和化解过剩产能，提高行业准入的技术和规模门槛，减轻污染排放负荷；全面取缔、整治分散燃煤锅炉，推动煤炭清洁利用、热电联产，实现煤炭消费总量控制；将重点行业工业企业治污减排作为大气环境质量改善的重要着力点，通过提升污染物排放控制技术和管理水平、增强企业的污染治理能力等手段，大幅降低大气污染物排放量；通过淘汰黄标车、油品升级、机动车排放标准升级等综合管理措施，提升机动车综合管理水平，减少机动车尾气排放；通过控制扬尘污染、控制秸秆露天焚烧、控制餐饮油烟污染等手段深化面源综合治理，大力减少颗粒物排放量；通过全面落实“减排、控煤、抑尘、治车、控秸” 等综合措施，切实有效减少污染物排放量。到2020年，实现 PM2.5、PM10浓度明显下降，其余指标全部达标，重污染天气显著降低，环境空气质量得到初步改善。</w:t>
      </w:r>
    </w:p>
    <w:p>
      <w:pPr>
        <w:bidi w:val="0"/>
        <w:rPr>
          <w:color w:val="auto"/>
          <w:highlight w:val="none"/>
        </w:rPr>
      </w:pPr>
      <w:r>
        <w:rPr>
          <w:rFonts w:hint="eastAsia"/>
          <w:color w:val="auto"/>
          <w:highlight w:val="none"/>
          <w:lang w:eastAsia="zh-CN"/>
        </w:rPr>
        <w:t>②</w:t>
      </w:r>
      <w:r>
        <w:rPr>
          <w:color w:val="auto"/>
          <w:highlight w:val="none"/>
        </w:rPr>
        <w:t>中长期（2021-2030年）：调整结构促转型，力争空气质量稳定达标。</w:t>
      </w:r>
    </w:p>
    <w:p>
      <w:pPr>
        <w:bidi w:val="0"/>
        <w:rPr>
          <w:color w:val="auto"/>
          <w:highlight w:val="none"/>
        </w:rPr>
      </w:pPr>
      <w:r>
        <w:rPr>
          <w:color w:val="auto"/>
          <w:highlight w:val="none"/>
        </w:rPr>
        <w:t>改善措施：在不断巩固和深化“十三五”大气污染防治工作成效的基础上，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2030年实现空气质量稳定达标。</w:t>
      </w:r>
    </w:p>
    <w:p>
      <w:pPr>
        <w:pStyle w:val="7"/>
        <w:numPr>
          <w:ilvl w:val="3"/>
          <w:numId w:val="7"/>
        </w:numPr>
        <w:bidi w:val="0"/>
        <w:rPr>
          <w:color w:val="auto"/>
          <w:highlight w:val="none"/>
        </w:rPr>
      </w:pPr>
      <w:r>
        <w:rPr>
          <w:color w:val="auto"/>
          <w:highlight w:val="none"/>
        </w:rPr>
        <w:t>补充监测</w:t>
      </w:r>
    </w:p>
    <w:p>
      <w:pPr>
        <w:bidi w:val="0"/>
        <w:rPr>
          <w:rFonts w:hint="eastAsia"/>
          <w:color w:val="auto"/>
          <w:highlight w:val="none"/>
          <w:lang w:eastAsia="zh-CN"/>
        </w:rPr>
      </w:pPr>
      <w:r>
        <w:rPr>
          <w:color w:val="auto"/>
          <w:highlight w:val="none"/>
        </w:rPr>
        <w:t>为了解规划区环境质量现状，本次评价对规划区内的大气进行了现状监测</w:t>
      </w:r>
      <w:r>
        <w:rPr>
          <w:rFonts w:hint="eastAsia"/>
          <w:color w:val="auto"/>
          <w:highlight w:val="none"/>
          <w:lang w:eastAsia="zh-CN"/>
        </w:rPr>
        <w:t>。</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监测布点及监测项目</w:t>
      </w:r>
    </w:p>
    <w:p>
      <w:pPr>
        <w:adjustRightInd w:val="0"/>
        <w:snapToGrid w:val="0"/>
        <w:spacing w:line="360" w:lineRule="auto"/>
        <w:ind w:firstLine="480" w:firstLineChars="200"/>
        <w:rPr>
          <w:color w:val="auto"/>
          <w:sz w:val="24"/>
          <w:highlight w:val="none"/>
        </w:rPr>
      </w:pPr>
      <w:r>
        <w:rPr>
          <w:color w:val="auto"/>
          <w:sz w:val="24"/>
          <w:highlight w:val="none"/>
        </w:rPr>
        <w:t>本次补充监测共布置</w:t>
      </w:r>
      <w:r>
        <w:rPr>
          <w:rFonts w:hint="eastAsia"/>
          <w:color w:val="auto"/>
          <w:sz w:val="24"/>
          <w:highlight w:val="none"/>
          <w:lang w:val="en-US" w:eastAsia="zh-CN"/>
        </w:rPr>
        <w:t>2</w:t>
      </w:r>
      <w:r>
        <w:rPr>
          <w:color w:val="auto"/>
          <w:sz w:val="24"/>
          <w:highlight w:val="none"/>
        </w:rPr>
        <w:t>6个大气监测点，2020年10月10日~16日、2021年8月</w:t>
      </w:r>
      <w:r>
        <w:rPr>
          <w:rFonts w:hint="eastAsia"/>
          <w:color w:val="auto"/>
          <w:sz w:val="24"/>
          <w:highlight w:val="none"/>
        </w:rPr>
        <w:t>28</w:t>
      </w:r>
      <w:r>
        <w:rPr>
          <w:color w:val="auto"/>
          <w:sz w:val="24"/>
          <w:highlight w:val="none"/>
        </w:rPr>
        <w:t>日~</w:t>
      </w:r>
      <w:r>
        <w:rPr>
          <w:rFonts w:hint="eastAsia"/>
          <w:color w:val="auto"/>
          <w:sz w:val="24"/>
          <w:highlight w:val="none"/>
        </w:rPr>
        <w:t>9月3</w:t>
      </w:r>
      <w:r>
        <w:rPr>
          <w:color w:val="auto"/>
          <w:sz w:val="24"/>
          <w:highlight w:val="none"/>
        </w:rPr>
        <w:t>日</w:t>
      </w:r>
      <w:r>
        <w:rPr>
          <w:rFonts w:hint="eastAsia"/>
          <w:color w:val="auto"/>
          <w:sz w:val="24"/>
          <w:highlight w:val="none"/>
        </w:rPr>
        <w:t>分别</w:t>
      </w:r>
      <w:r>
        <w:rPr>
          <w:color w:val="auto"/>
          <w:sz w:val="24"/>
          <w:highlight w:val="none"/>
        </w:rPr>
        <w:t>对监测点进行了监测取样，监测位置与信息如下表所示。</w:t>
      </w:r>
    </w:p>
    <w:p>
      <w:pPr>
        <w:pStyle w:val="22"/>
        <w:bidi w:val="0"/>
        <w:rPr>
          <w:color w:val="auto"/>
          <w:highlight w:val="none"/>
          <w:lang w:val="zh-CN"/>
        </w:rPr>
      </w:pPr>
      <w:r>
        <w:rPr>
          <w:rFonts w:hint="eastAsia"/>
          <w:color w:val="auto"/>
          <w:highlight w:val="none"/>
          <w:lang w:val="zh-CN"/>
        </w:rPr>
        <w:t>表</w:t>
      </w:r>
      <w:r>
        <w:rPr>
          <w:rFonts w:hint="eastAsia"/>
          <w:color w:val="auto"/>
          <w:highlight w:val="none"/>
          <w:lang w:val="en-US" w:eastAsia="zh-CN"/>
        </w:rPr>
        <w:t>3.2-3</w:t>
      </w:r>
      <w:r>
        <w:rPr>
          <w:color w:val="auto"/>
          <w:highlight w:val="none"/>
          <w:lang w:val="zh-CN"/>
        </w:rPr>
        <w:t xml:space="preserve">  大气环境现状补充监测点位及特征</w:t>
      </w:r>
    </w:p>
    <w:tbl>
      <w:tblPr>
        <w:tblStyle w:val="17"/>
        <w:tblW w:w="838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5"/>
        <w:gridCol w:w="3874"/>
        <w:gridCol w:w="1928"/>
        <w:gridCol w:w="17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95" w:type="dxa"/>
            <w:vMerge w:val="restart"/>
            <w:vAlign w:val="center"/>
          </w:tcPr>
          <w:p>
            <w:pPr>
              <w:pStyle w:val="22"/>
              <w:bidi w:val="0"/>
              <w:rPr>
                <w:color w:val="auto"/>
                <w:highlight w:val="none"/>
              </w:rPr>
            </w:pPr>
            <w:r>
              <w:rPr>
                <w:color w:val="auto"/>
                <w:highlight w:val="none"/>
              </w:rPr>
              <w:t>监测点位</w:t>
            </w:r>
          </w:p>
        </w:tc>
        <w:tc>
          <w:tcPr>
            <w:tcW w:w="3874" w:type="dxa"/>
            <w:vMerge w:val="restart"/>
            <w:vAlign w:val="center"/>
          </w:tcPr>
          <w:p>
            <w:pPr>
              <w:pStyle w:val="22"/>
              <w:bidi w:val="0"/>
              <w:rPr>
                <w:color w:val="auto"/>
                <w:highlight w:val="none"/>
              </w:rPr>
            </w:pPr>
            <w:r>
              <w:rPr>
                <w:color w:val="auto"/>
                <w:highlight w:val="none"/>
              </w:rPr>
              <w:t>监测点名称</w:t>
            </w:r>
          </w:p>
        </w:tc>
        <w:tc>
          <w:tcPr>
            <w:tcW w:w="3720" w:type="dxa"/>
            <w:gridSpan w:val="2"/>
            <w:vAlign w:val="center"/>
          </w:tcPr>
          <w:p>
            <w:pPr>
              <w:pStyle w:val="22"/>
              <w:bidi w:val="0"/>
              <w:rPr>
                <w:color w:val="auto"/>
                <w:highlight w:val="none"/>
              </w:rPr>
            </w:pPr>
            <w:r>
              <w:rPr>
                <w:color w:val="auto"/>
                <w:highlight w:val="none"/>
              </w:rPr>
              <w:t>监测因子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95" w:type="dxa"/>
            <w:vMerge w:val="continue"/>
            <w:vAlign w:val="center"/>
          </w:tcPr>
          <w:p>
            <w:pPr>
              <w:pStyle w:val="22"/>
              <w:bidi w:val="0"/>
              <w:rPr>
                <w:color w:val="auto"/>
                <w:highlight w:val="none"/>
              </w:rPr>
            </w:pPr>
          </w:p>
        </w:tc>
        <w:tc>
          <w:tcPr>
            <w:tcW w:w="3874" w:type="dxa"/>
            <w:vMerge w:val="continue"/>
            <w:vAlign w:val="center"/>
          </w:tcPr>
          <w:p>
            <w:pPr>
              <w:pStyle w:val="22"/>
              <w:bidi w:val="0"/>
              <w:rPr>
                <w:color w:val="auto"/>
                <w:highlight w:val="none"/>
              </w:rPr>
            </w:pPr>
          </w:p>
        </w:tc>
        <w:tc>
          <w:tcPr>
            <w:tcW w:w="1928" w:type="dxa"/>
            <w:vAlign w:val="center"/>
          </w:tcPr>
          <w:p>
            <w:pPr>
              <w:pStyle w:val="22"/>
              <w:bidi w:val="0"/>
              <w:rPr>
                <w:color w:val="auto"/>
                <w:highlight w:val="none"/>
              </w:rPr>
            </w:pPr>
            <w:r>
              <w:rPr>
                <w:color w:val="auto"/>
                <w:highlight w:val="none"/>
              </w:rPr>
              <w:t>2020.10.10~10.16</w:t>
            </w:r>
          </w:p>
        </w:tc>
        <w:tc>
          <w:tcPr>
            <w:tcW w:w="1792" w:type="dxa"/>
            <w:vAlign w:val="center"/>
          </w:tcPr>
          <w:p>
            <w:pPr>
              <w:pStyle w:val="22"/>
              <w:bidi w:val="0"/>
              <w:rPr>
                <w:color w:val="auto"/>
                <w:highlight w:val="none"/>
              </w:rPr>
            </w:pPr>
            <w:r>
              <w:rPr>
                <w:color w:val="auto"/>
                <w:highlight w:val="none"/>
              </w:rPr>
              <w:t>2021.08.2</w:t>
            </w:r>
            <w:r>
              <w:rPr>
                <w:rFonts w:hint="eastAsia"/>
                <w:color w:val="auto"/>
                <w:highlight w:val="none"/>
              </w:rPr>
              <w:t>8</w:t>
            </w:r>
            <w:r>
              <w:rPr>
                <w:color w:val="auto"/>
                <w:highlight w:val="none"/>
              </w:rPr>
              <w:t>~09.0</w:t>
            </w:r>
            <w:r>
              <w:rPr>
                <w:rFonts w:hint="eastAsia"/>
                <w:color w:val="auto"/>
                <w:highlight w:val="none"/>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3" w:hRule="atLeast"/>
          <w:jc w:val="center"/>
        </w:trPr>
        <w:tc>
          <w:tcPr>
            <w:tcW w:w="795" w:type="dxa"/>
            <w:vAlign w:val="center"/>
          </w:tcPr>
          <w:p>
            <w:pPr>
              <w:pStyle w:val="22"/>
              <w:bidi w:val="0"/>
              <w:rPr>
                <w:color w:val="auto"/>
                <w:highlight w:val="none"/>
              </w:rPr>
            </w:pPr>
            <w:r>
              <w:rPr>
                <w:color w:val="auto"/>
                <w:highlight w:val="none"/>
              </w:rPr>
              <w:t>1</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柏林煤矿厂区</w:t>
            </w:r>
          </w:p>
        </w:tc>
        <w:tc>
          <w:tcPr>
            <w:tcW w:w="3720" w:type="dxa"/>
            <w:gridSpan w:val="2"/>
            <w:vMerge w:val="restart"/>
            <w:vAlign w:val="center"/>
          </w:tcPr>
          <w:p>
            <w:pPr>
              <w:pStyle w:val="22"/>
              <w:bidi w:val="0"/>
              <w:rPr>
                <w:color w:val="auto"/>
                <w:highlight w:val="none"/>
              </w:rPr>
            </w:pPr>
            <w:r>
              <w:rPr>
                <w:rFonts w:hint="eastAsia"/>
                <w:color w:val="auto"/>
                <w:highlight w:val="none"/>
                <w:lang w:val="en-US" w:eastAsia="zh-CN"/>
              </w:rPr>
              <w:t>TSP</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2" w:hRule="atLeast"/>
          <w:jc w:val="center"/>
        </w:trPr>
        <w:tc>
          <w:tcPr>
            <w:tcW w:w="795" w:type="dxa"/>
            <w:vAlign w:val="center"/>
          </w:tcPr>
          <w:p>
            <w:pPr>
              <w:pStyle w:val="22"/>
              <w:bidi w:val="0"/>
              <w:rPr>
                <w:color w:val="auto"/>
                <w:highlight w:val="none"/>
              </w:rPr>
            </w:pPr>
            <w:r>
              <w:rPr>
                <w:color w:val="auto"/>
                <w:highlight w:val="none"/>
              </w:rPr>
              <w:t>2</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大硐坪煤矿厂区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color w:val="auto"/>
                <w:highlight w:val="none"/>
              </w:rPr>
            </w:pPr>
            <w:r>
              <w:rPr>
                <w:color w:val="auto"/>
                <w:highlight w:val="none"/>
              </w:rPr>
              <w:t>3</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大河沟煤矿厂区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color w:val="auto"/>
                <w:highlight w:val="none"/>
              </w:rPr>
            </w:pPr>
            <w:r>
              <w:rPr>
                <w:color w:val="auto"/>
                <w:highlight w:val="none"/>
              </w:rPr>
              <w:t>4</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田坝煤矿厂区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color w:val="auto"/>
                <w:highlight w:val="none"/>
              </w:rPr>
            </w:pPr>
            <w:r>
              <w:rPr>
                <w:color w:val="auto"/>
                <w:highlight w:val="none"/>
              </w:rPr>
              <w:t>5</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黑滩煤矿厂区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color w:val="auto"/>
                <w:highlight w:val="none"/>
              </w:rPr>
            </w:pPr>
            <w:r>
              <w:rPr>
                <w:color w:val="auto"/>
                <w:highlight w:val="none"/>
              </w:rPr>
              <w:t>6</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新桥红星煤矿厂区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堡子煤矿厂区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荣华煤矿厂区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华家沟煤矿厂区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孔家沟煤矿厂区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刘家沟煤矿厂区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牛郎沟煤矿厂区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平桥煤矿厂区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14</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观音煤矿厂区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柏林镇</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16</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清河镇</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清水镇</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18</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庙坝镇</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19</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高河村</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中和场社区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21</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八渡华兴村</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22</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达州市百岛湖职业技术学校</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23</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賨人谷风景区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24</w:t>
            </w:r>
          </w:p>
        </w:tc>
        <w:tc>
          <w:tcPr>
            <w:tcW w:w="3874" w:type="dxa"/>
            <w:vAlign w:val="center"/>
          </w:tcPr>
          <w:p>
            <w:pPr>
              <w:pStyle w:val="22"/>
              <w:bidi w:val="0"/>
              <w:rPr>
                <w:rFonts w:hint="eastAsia" w:eastAsia="宋体"/>
                <w:color w:val="auto"/>
                <w:highlight w:val="none"/>
                <w:lang w:eastAsia="zh-CN"/>
              </w:rPr>
            </w:pPr>
            <w:r>
              <w:rPr>
                <w:rFonts w:hint="eastAsia"/>
                <w:color w:val="auto"/>
                <w:highlight w:val="none"/>
                <w:lang w:eastAsia="zh-CN"/>
              </w:rPr>
              <w:t>五峰山国家森林公园五峰山景区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25</w:t>
            </w:r>
          </w:p>
        </w:tc>
        <w:tc>
          <w:tcPr>
            <w:tcW w:w="3874" w:type="dxa"/>
            <w:vAlign w:val="center"/>
          </w:tcPr>
          <w:p>
            <w:pPr>
              <w:pStyle w:val="22"/>
              <w:bidi w:val="0"/>
              <w:rPr>
                <w:color w:val="auto"/>
                <w:highlight w:val="none"/>
              </w:rPr>
            </w:pPr>
            <w:r>
              <w:rPr>
                <w:rFonts w:hint="eastAsia"/>
                <w:color w:val="auto"/>
                <w:highlight w:val="none"/>
                <w:lang w:eastAsia="zh-CN"/>
              </w:rPr>
              <w:t>五峰山国家森林公园蒲包山景区</w:t>
            </w:r>
          </w:p>
        </w:tc>
        <w:tc>
          <w:tcPr>
            <w:tcW w:w="3720" w:type="dxa"/>
            <w:gridSpan w:val="2"/>
            <w:vMerge w:val="continue"/>
            <w:vAlign w:val="center"/>
          </w:tcPr>
          <w:p>
            <w:pPr>
              <w:pStyle w:val="22"/>
              <w:bidi w:val="0"/>
              <w:rPr>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79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26</w:t>
            </w:r>
          </w:p>
        </w:tc>
        <w:tc>
          <w:tcPr>
            <w:tcW w:w="3874" w:type="dxa"/>
            <w:vAlign w:val="center"/>
          </w:tcPr>
          <w:p>
            <w:pPr>
              <w:pStyle w:val="22"/>
              <w:bidi w:val="0"/>
              <w:rPr>
                <w:color w:val="auto"/>
                <w:highlight w:val="none"/>
              </w:rPr>
            </w:pPr>
            <w:r>
              <w:rPr>
                <w:rFonts w:hint="eastAsia"/>
                <w:color w:val="auto"/>
                <w:highlight w:val="none"/>
                <w:lang w:eastAsia="zh-CN"/>
              </w:rPr>
              <w:t>五峰山国家森林公园乌木湖景区</w:t>
            </w:r>
          </w:p>
        </w:tc>
        <w:tc>
          <w:tcPr>
            <w:tcW w:w="3720" w:type="dxa"/>
            <w:gridSpan w:val="2"/>
            <w:vMerge w:val="continue"/>
            <w:vAlign w:val="center"/>
          </w:tcPr>
          <w:p>
            <w:pPr>
              <w:pStyle w:val="22"/>
              <w:bidi w:val="0"/>
              <w:rPr>
                <w:color w:val="auto"/>
                <w:highlight w:val="none"/>
              </w:rPr>
            </w:pPr>
          </w:p>
        </w:tc>
      </w:tr>
    </w:tbl>
    <w:p>
      <w:pPr>
        <w:bidi w:val="0"/>
        <w:rPr>
          <w:color w:val="auto"/>
          <w:highlight w:val="none"/>
        </w:rPr>
      </w:pP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监测时间和监测频率</w:t>
      </w:r>
    </w:p>
    <w:p>
      <w:pPr>
        <w:bidi w:val="0"/>
        <w:rPr>
          <w:color w:val="auto"/>
          <w:highlight w:val="none"/>
        </w:rPr>
      </w:pPr>
      <w:r>
        <w:rPr>
          <w:color w:val="auto"/>
          <w:highlight w:val="none"/>
        </w:rPr>
        <w:t>连续监测7天。</w:t>
      </w:r>
      <w:r>
        <w:rPr>
          <w:rFonts w:hint="eastAsia"/>
          <w:color w:val="auto"/>
          <w:highlight w:val="none"/>
          <w:lang w:val="en-US" w:eastAsia="zh-CN"/>
        </w:rPr>
        <w:t>TSP</w:t>
      </w:r>
      <w:r>
        <w:rPr>
          <w:rFonts w:hint="eastAsia"/>
          <w:color w:val="auto"/>
          <w:highlight w:val="none"/>
          <w:lang w:eastAsia="zh-CN"/>
        </w:rPr>
        <w:t>日均值</w:t>
      </w:r>
      <w:r>
        <w:rPr>
          <w:rFonts w:hint="eastAsia"/>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监测和分析方法</w:t>
      </w:r>
    </w:p>
    <w:p>
      <w:pPr>
        <w:bidi w:val="0"/>
        <w:rPr>
          <w:color w:val="auto"/>
          <w:highlight w:val="none"/>
        </w:rPr>
      </w:pPr>
      <w:r>
        <w:rPr>
          <w:color w:val="auto"/>
          <w:highlight w:val="none"/>
        </w:rPr>
        <w:t>按照国家《环境空气质量标准》和《环境监测技术规范》（大气部分）中规定的原则和方法进行。</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color w:val="auto"/>
          <w:sz w:val="24"/>
          <w:highlight w:val="none"/>
        </w:rPr>
        <w:t>评价标准</w:t>
      </w:r>
    </w:p>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TSP</w:t>
      </w:r>
      <w:r>
        <w:rPr>
          <w:color w:val="auto"/>
          <w:sz w:val="24"/>
          <w:highlight w:val="none"/>
        </w:rPr>
        <w:t>执行</w:t>
      </w:r>
      <w:r>
        <w:rPr>
          <w:rFonts w:hint="eastAsia"/>
          <w:color w:val="auto"/>
          <w:sz w:val="24"/>
          <w:highlight w:val="none"/>
        </w:rPr>
        <w:t>《环境空气质量标准》（GB3095-2012）</w:t>
      </w:r>
      <w:r>
        <w:rPr>
          <w:rFonts w:hint="eastAsia"/>
          <w:color w:val="auto"/>
          <w:sz w:val="24"/>
          <w:highlight w:val="none"/>
          <w:lang w:eastAsia="zh-CN"/>
        </w:rPr>
        <w:t>表</w:t>
      </w:r>
      <w:r>
        <w:rPr>
          <w:rFonts w:hint="eastAsia"/>
          <w:color w:val="auto"/>
          <w:sz w:val="24"/>
          <w:highlight w:val="none"/>
          <w:lang w:val="en-US" w:eastAsia="zh-CN"/>
        </w:rPr>
        <w:t>2</w:t>
      </w:r>
      <w:r>
        <w:rPr>
          <w:rFonts w:hint="eastAsia"/>
          <w:color w:val="auto"/>
          <w:sz w:val="24"/>
          <w:highlight w:val="none"/>
        </w:rPr>
        <w:t>中限值。</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color w:val="auto"/>
          <w:sz w:val="24"/>
          <w:highlight w:val="none"/>
        </w:rPr>
        <w:t>评价方法</w:t>
      </w:r>
    </w:p>
    <w:p>
      <w:pPr>
        <w:adjustRightInd w:val="0"/>
        <w:snapToGrid w:val="0"/>
        <w:spacing w:line="360" w:lineRule="auto"/>
        <w:ind w:firstLine="499" w:firstLineChars="208"/>
        <w:rPr>
          <w:color w:val="auto"/>
          <w:sz w:val="24"/>
          <w:highlight w:val="none"/>
        </w:rPr>
      </w:pPr>
      <w:r>
        <w:rPr>
          <w:color w:val="auto"/>
          <w:sz w:val="24"/>
          <w:highlight w:val="none"/>
        </w:rPr>
        <w:t>空气环境质量现状采用单因子指数法进行评价，其表达式为：</w:t>
      </w:r>
    </w:p>
    <w:p>
      <w:pPr>
        <w:adjustRightInd w:val="0"/>
        <w:snapToGrid w:val="0"/>
        <w:spacing w:line="360" w:lineRule="auto"/>
        <w:ind w:firstLine="603" w:firstLineChars="208"/>
        <w:jc w:val="center"/>
        <w:rPr>
          <w:color w:val="auto"/>
          <w:sz w:val="24"/>
          <w:highlight w:val="none"/>
        </w:rPr>
      </w:pPr>
      <w:r>
        <w:rPr>
          <w:color w:val="auto"/>
          <w:spacing w:val="5"/>
          <w:position w:val="-24"/>
          <w:sz w:val="28"/>
          <w:szCs w:val="28"/>
          <w:highlight w:val="none"/>
        </w:rPr>
        <w:drawing>
          <wp:inline distT="0" distB="0" distL="0" distR="0">
            <wp:extent cx="616585" cy="393700"/>
            <wp:effectExtent l="0" t="0" r="12065" b="571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16585" cy="393700"/>
                    </a:xfrm>
                    <a:prstGeom prst="rect">
                      <a:avLst/>
                    </a:prstGeom>
                    <a:noFill/>
                    <a:ln>
                      <a:noFill/>
                    </a:ln>
                  </pic:spPr>
                </pic:pic>
              </a:graphicData>
            </a:graphic>
          </wp:inline>
        </w:drawing>
      </w:r>
    </w:p>
    <w:p>
      <w:pPr>
        <w:adjustRightInd w:val="0"/>
        <w:snapToGrid w:val="0"/>
        <w:spacing w:line="360" w:lineRule="auto"/>
        <w:ind w:firstLine="480"/>
        <w:rPr>
          <w:i/>
          <w:color w:val="auto"/>
          <w:sz w:val="22"/>
          <w:highlight w:val="none"/>
        </w:rPr>
      </w:pPr>
      <w:r>
        <w:rPr>
          <w:i/>
          <w:color w:val="auto"/>
          <w:sz w:val="22"/>
          <w:highlight w:val="none"/>
        </w:rPr>
        <w:t>式中：</w:t>
      </w:r>
      <w:r>
        <w:rPr>
          <w:i/>
          <w:color w:val="auto"/>
          <w:position w:val="-6"/>
          <w:sz w:val="22"/>
          <w:highlight w:val="none"/>
        </w:rPr>
        <w:object>
          <v:shape id="_x0000_i1035" o:spt="75" type="#_x0000_t75" style="height:14.25pt;width:14.25pt;" o:ole="t" filled="f" o:preferrelative="t" stroked="f" coordsize="21600,21600">
            <v:path/>
            <v:fill on="f" focussize="0,0"/>
            <v:stroke on="f" joinstyle="miter"/>
            <v:imagedata r:id="rId50" o:title=""/>
            <o:lock v:ext="edit" aspectratio="t"/>
            <w10:wrap type="none"/>
            <w10:anchorlock/>
          </v:shape>
          <o:OLEObject Type="Embed" ProgID="Equation.3" ShapeID="_x0000_i1035" DrawAspect="Content" ObjectID="_1468075735" r:id="rId49">
            <o:LockedField>false</o:LockedField>
          </o:OLEObject>
        </w:object>
      </w:r>
      <w:r>
        <w:rPr>
          <w:i/>
          <w:color w:val="auto"/>
          <w:sz w:val="22"/>
          <w:highlight w:val="none"/>
        </w:rPr>
        <w:t>——i类污染物单因子指数，无量纲；</w:t>
      </w:r>
    </w:p>
    <w:p>
      <w:pPr>
        <w:adjustRightInd w:val="0"/>
        <w:snapToGrid w:val="0"/>
        <w:spacing w:line="360" w:lineRule="auto"/>
        <w:ind w:firstLine="1210" w:firstLineChars="550"/>
        <w:rPr>
          <w:i/>
          <w:color w:val="auto"/>
          <w:sz w:val="22"/>
          <w:highlight w:val="none"/>
        </w:rPr>
      </w:pPr>
      <w:r>
        <w:rPr>
          <w:i/>
          <w:color w:val="auto"/>
          <w:sz w:val="22"/>
          <w:highlight w:val="none"/>
        </w:rPr>
        <w:drawing>
          <wp:inline distT="0" distB="0" distL="0" distR="0">
            <wp:extent cx="191135" cy="180975"/>
            <wp:effectExtent l="0" t="0" r="18415" b="889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1135" cy="180975"/>
                    </a:xfrm>
                    <a:prstGeom prst="rect">
                      <a:avLst/>
                    </a:prstGeom>
                    <a:noFill/>
                    <a:ln>
                      <a:noFill/>
                    </a:ln>
                  </pic:spPr>
                </pic:pic>
              </a:graphicData>
            </a:graphic>
          </wp:inline>
        </w:drawing>
      </w:r>
      <w:bookmarkStart w:id="196" w:name="_Toc360807290"/>
      <w:r>
        <w:rPr>
          <w:i/>
          <w:color w:val="auto"/>
          <w:sz w:val="22"/>
          <w:highlight w:val="none"/>
        </w:rPr>
        <w:t>——i类污染物实测浓度，mg/Nm</w:t>
      </w:r>
      <w:r>
        <w:rPr>
          <w:i/>
          <w:color w:val="auto"/>
          <w:sz w:val="22"/>
          <w:highlight w:val="none"/>
          <w:vertAlign w:val="superscript"/>
        </w:rPr>
        <w:t>3</w:t>
      </w:r>
      <w:r>
        <w:rPr>
          <w:i/>
          <w:color w:val="auto"/>
          <w:sz w:val="22"/>
          <w:highlight w:val="none"/>
        </w:rPr>
        <w:t>；</w:t>
      </w:r>
      <w:bookmarkEnd w:id="196"/>
    </w:p>
    <w:p>
      <w:pPr>
        <w:adjustRightInd w:val="0"/>
        <w:snapToGrid w:val="0"/>
        <w:spacing w:line="360" w:lineRule="auto"/>
        <w:ind w:firstLine="420"/>
        <w:rPr>
          <w:i/>
          <w:color w:val="auto"/>
          <w:sz w:val="22"/>
          <w:highlight w:val="none"/>
        </w:rPr>
      </w:pPr>
      <w:r>
        <w:rPr>
          <w:i/>
          <w:color w:val="auto"/>
          <w:sz w:val="22"/>
          <w:highlight w:val="none"/>
        </w:rPr>
        <w:t xml:space="preserve">       </w:t>
      </w:r>
      <w:r>
        <w:rPr>
          <w:i/>
          <w:color w:val="auto"/>
          <w:position w:val="-6"/>
          <w:sz w:val="22"/>
          <w:highlight w:val="none"/>
        </w:rPr>
        <w:object>
          <v:shape id="_x0000_i1036" o:spt="75" type="#_x0000_t75" style="height:14.25pt;width:21.75pt;" o:ole="t" filled="f" o:preferrelative="t" stroked="f" coordsize="21600,21600">
            <v:path/>
            <v:fill on="f" focussize="0,0"/>
            <v:stroke on="f" joinstyle="miter"/>
            <v:imagedata r:id="rId53" o:title=""/>
            <o:lock v:ext="edit" aspectratio="t"/>
            <w10:wrap type="none"/>
            <w10:anchorlock/>
          </v:shape>
          <o:OLEObject Type="Embed" ProgID="Equation.3" ShapeID="_x0000_i1036" DrawAspect="Content" ObjectID="_1468075736" r:id="rId52">
            <o:LockedField>false</o:LockedField>
          </o:OLEObject>
        </w:object>
      </w:r>
      <w:r>
        <w:rPr>
          <w:i/>
          <w:color w:val="auto"/>
          <w:sz w:val="22"/>
          <w:highlight w:val="none"/>
        </w:rPr>
        <w:t>——i类污染物的评价标准值，mg/</w:t>
      </w:r>
      <w:r>
        <w:rPr>
          <w:i/>
          <w:color w:val="auto"/>
          <w:kern w:val="0"/>
          <w:sz w:val="22"/>
          <w:highlight w:val="none"/>
        </w:rPr>
        <w:t>Nm</w:t>
      </w:r>
      <w:r>
        <w:rPr>
          <w:i/>
          <w:color w:val="auto"/>
          <w:kern w:val="0"/>
          <w:sz w:val="22"/>
          <w:highlight w:val="none"/>
          <w:vertAlign w:val="superscript"/>
        </w:rPr>
        <w:t>3</w:t>
      </w:r>
      <w:r>
        <w:rPr>
          <w:i/>
          <w:color w:val="auto"/>
          <w:sz w:val="22"/>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w:t>
      </w:r>
      <w:r>
        <w:rPr>
          <w:color w:val="auto"/>
          <w:sz w:val="24"/>
          <w:highlight w:val="none"/>
        </w:rPr>
        <w:t>监测及统计结果</w:t>
      </w:r>
    </w:p>
    <w:p>
      <w:pPr>
        <w:adjustRightInd w:val="0"/>
        <w:snapToGrid w:val="0"/>
        <w:spacing w:line="360" w:lineRule="auto"/>
        <w:ind w:firstLine="480" w:firstLineChars="200"/>
        <w:rPr>
          <w:color w:val="auto"/>
          <w:sz w:val="24"/>
          <w:highlight w:val="none"/>
        </w:rPr>
      </w:pPr>
      <w:r>
        <w:rPr>
          <w:color w:val="auto"/>
          <w:sz w:val="24"/>
          <w:highlight w:val="none"/>
        </w:rPr>
        <w:t>本次环评监测统计结果见</w:t>
      </w:r>
      <w:r>
        <w:rPr>
          <w:rFonts w:hint="eastAsia"/>
          <w:color w:val="auto"/>
          <w:sz w:val="24"/>
          <w:highlight w:val="none"/>
          <w:lang w:eastAsia="zh-CN"/>
        </w:rPr>
        <w:t>下表</w:t>
      </w:r>
      <w:r>
        <w:rPr>
          <w:color w:val="auto"/>
          <w:sz w:val="24"/>
          <w:highlight w:val="none"/>
        </w:rPr>
        <w:t>。</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3.2-4</w:t>
      </w:r>
      <w:r>
        <w:rPr>
          <w:color w:val="auto"/>
          <w:highlight w:val="none"/>
          <w:lang w:val="zh-CN"/>
        </w:rPr>
        <w:t xml:space="preserve">  环境空气质量现状补充监测统计结果</w:t>
      </w:r>
    </w:p>
    <w:tbl>
      <w:tblPr>
        <w:tblStyle w:val="17"/>
        <w:tblW w:w="8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7"/>
        <w:gridCol w:w="1144"/>
        <w:gridCol w:w="1429"/>
        <w:gridCol w:w="1716"/>
        <w:gridCol w:w="1287"/>
        <w:gridCol w:w="1001"/>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967" w:type="dxa"/>
            <w:vAlign w:val="center"/>
          </w:tcPr>
          <w:p>
            <w:pPr>
              <w:pStyle w:val="22"/>
              <w:bidi w:val="0"/>
              <w:rPr>
                <w:color w:val="auto"/>
                <w:highlight w:val="none"/>
              </w:rPr>
            </w:pPr>
            <w:r>
              <w:rPr>
                <w:color w:val="auto"/>
                <w:highlight w:val="none"/>
              </w:rPr>
              <w:t>点位名称</w:t>
            </w:r>
          </w:p>
        </w:tc>
        <w:tc>
          <w:tcPr>
            <w:tcW w:w="1144" w:type="dxa"/>
            <w:vAlign w:val="center"/>
          </w:tcPr>
          <w:p>
            <w:pPr>
              <w:pStyle w:val="22"/>
              <w:bidi w:val="0"/>
              <w:rPr>
                <w:color w:val="auto"/>
                <w:highlight w:val="none"/>
              </w:rPr>
            </w:pPr>
            <w:r>
              <w:rPr>
                <w:color w:val="auto"/>
                <w:highlight w:val="none"/>
              </w:rPr>
              <w:t>污染物</w:t>
            </w:r>
          </w:p>
        </w:tc>
        <w:tc>
          <w:tcPr>
            <w:tcW w:w="1429" w:type="dxa"/>
            <w:vAlign w:val="center"/>
          </w:tcPr>
          <w:p>
            <w:pPr>
              <w:pStyle w:val="22"/>
              <w:bidi w:val="0"/>
              <w:rPr>
                <w:color w:val="auto"/>
                <w:highlight w:val="none"/>
              </w:rPr>
            </w:pPr>
            <w:r>
              <w:rPr>
                <w:color w:val="auto"/>
                <w:highlight w:val="none"/>
              </w:rPr>
              <w:t>评价标准(mg/m</w:t>
            </w:r>
            <w:r>
              <w:rPr>
                <w:color w:val="auto"/>
                <w:highlight w:val="none"/>
                <w:vertAlign w:val="superscript"/>
              </w:rPr>
              <w:t>3</w:t>
            </w:r>
            <w:r>
              <w:rPr>
                <w:color w:val="auto"/>
                <w:highlight w:val="none"/>
              </w:rPr>
              <w:t>)</w:t>
            </w:r>
          </w:p>
        </w:tc>
        <w:tc>
          <w:tcPr>
            <w:tcW w:w="1716" w:type="dxa"/>
            <w:vAlign w:val="center"/>
          </w:tcPr>
          <w:p>
            <w:pPr>
              <w:pStyle w:val="22"/>
              <w:bidi w:val="0"/>
              <w:rPr>
                <w:color w:val="auto"/>
                <w:highlight w:val="none"/>
              </w:rPr>
            </w:pPr>
            <w:r>
              <w:rPr>
                <w:color w:val="auto"/>
                <w:highlight w:val="none"/>
              </w:rPr>
              <w:t>监测浓度范围(mg/m</w:t>
            </w:r>
            <w:r>
              <w:rPr>
                <w:color w:val="auto"/>
                <w:highlight w:val="none"/>
                <w:vertAlign w:val="superscript"/>
              </w:rPr>
              <w:t>3</w:t>
            </w:r>
            <w:r>
              <w:rPr>
                <w:color w:val="auto"/>
                <w:highlight w:val="none"/>
              </w:rPr>
              <w:t>)</w:t>
            </w:r>
          </w:p>
        </w:tc>
        <w:tc>
          <w:tcPr>
            <w:tcW w:w="1287" w:type="dxa"/>
            <w:vAlign w:val="center"/>
          </w:tcPr>
          <w:p>
            <w:pPr>
              <w:pStyle w:val="22"/>
              <w:bidi w:val="0"/>
              <w:rPr>
                <w:color w:val="auto"/>
                <w:highlight w:val="none"/>
              </w:rPr>
            </w:pPr>
            <w:r>
              <w:rPr>
                <w:rFonts w:hint="eastAsia"/>
                <w:color w:val="auto"/>
                <w:highlight w:val="none"/>
              </w:rPr>
              <w:t>Pi</w:t>
            </w:r>
          </w:p>
        </w:tc>
        <w:tc>
          <w:tcPr>
            <w:tcW w:w="1001" w:type="dxa"/>
            <w:vAlign w:val="center"/>
          </w:tcPr>
          <w:p>
            <w:pPr>
              <w:pStyle w:val="22"/>
              <w:bidi w:val="0"/>
              <w:rPr>
                <w:color w:val="auto"/>
                <w:highlight w:val="none"/>
              </w:rPr>
            </w:pPr>
            <w:r>
              <w:rPr>
                <w:color w:val="auto"/>
                <w:highlight w:val="none"/>
              </w:rPr>
              <w:t>超标率/%</w:t>
            </w:r>
          </w:p>
        </w:tc>
        <w:tc>
          <w:tcPr>
            <w:tcW w:w="1002" w:type="dxa"/>
            <w:vAlign w:val="center"/>
          </w:tcPr>
          <w:p>
            <w:pPr>
              <w:pStyle w:val="22"/>
              <w:bidi w:val="0"/>
              <w:rPr>
                <w:color w:val="auto"/>
                <w:highlight w:val="none"/>
              </w:rPr>
            </w:pPr>
            <w:r>
              <w:rPr>
                <w:color w:val="auto"/>
                <w:highlight w:val="none"/>
              </w:rPr>
              <w:t>达标</w:t>
            </w:r>
          </w:p>
          <w:p>
            <w:pPr>
              <w:pStyle w:val="22"/>
              <w:bidi w:val="0"/>
              <w:rPr>
                <w:color w:val="auto"/>
                <w:highlight w:val="none"/>
              </w:rPr>
            </w:pPr>
            <w:r>
              <w:rPr>
                <w:color w:val="auto"/>
                <w:highlight w:val="none"/>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1</w:t>
            </w:r>
          </w:p>
        </w:tc>
        <w:tc>
          <w:tcPr>
            <w:tcW w:w="1144" w:type="dxa"/>
            <w:vMerge w:val="restart"/>
            <w:vAlign w:val="center"/>
          </w:tcPr>
          <w:p>
            <w:pPr>
              <w:pStyle w:val="22"/>
              <w:bidi w:val="0"/>
              <w:rPr>
                <w:color w:val="auto"/>
                <w:highlight w:val="none"/>
              </w:rPr>
            </w:pPr>
            <w:r>
              <w:rPr>
                <w:color w:val="auto"/>
                <w:highlight w:val="none"/>
              </w:rPr>
              <w:t>TVOC</w:t>
            </w:r>
          </w:p>
        </w:tc>
        <w:tc>
          <w:tcPr>
            <w:tcW w:w="1429"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300</w:t>
            </w: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r>
              <w:rPr>
                <w:color w:val="auto"/>
                <w:highlight w:val="none"/>
              </w:rPr>
              <w:t>0</w:t>
            </w:r>
          </w:p>
        </w:tc>
        <w:tc>
          <w:tcPr>
            <w:tcW w:w="1002"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2</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3</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4</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5</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6</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7</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8</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9</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11</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12</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13</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14</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15</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16</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17</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18</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19</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20</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21</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22</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23</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eastAsia"/>
                <w:color w:val="auto"/>
                <w:highlight w:val="none"/>
                <w:lang w:val="en-US" w:eastAsia="zh-CN"/>
              </w:rPr>
            </w:pP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24</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default"/>
                <w:color w:val="auto"/>
                <w:highlight w:val="none"/>
                <w:lang w:val="en-US" w:eastAsia="zh-CN"/>
              </w:rPr>
            </w:pPr>
            <w:r>
              <w:rPr>
                <w:rFonts w:hint="eastAsia"/>
                <w:color w:val="auto"/>
                <w:highlight w:val="none"/>
                <w:lang w:val="en-US" w:eastAsia="zh-CN"/>
              </w:rPr>
              <w:t>120</w:t>
            </w: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25</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default"/>
                <w:color w:val="auto"/>
                <w:highlight w:val="none"/>
                <w:lang w:val="en-US" w:eastAsia="zh-CN"/>
              </w:rPr>
            </w:pPr>
            <w:r>
              <w:rPr>
                <w:rFonts w:hint="eastAsia"/>
                <w:color w:val="auto"/>
                <w:highlight w:val="none"/>
                <w:lang w:val="en-US" w:eastAsia="zh-CN"/>
              </w:rPr>
              <w:t>120</w:t>
            </w: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9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26</w:t>
            </w:r>
          </w:p>
        </w:tc>
        <w:tc>
          <w:tcPr>
            <w:tcW w:w="1144" w:type="dxa"/>
            <w:vMerge w:val="continue"/>
            <w:vAlign w:val="center"/>
          </w:tcPr>
          <w:p>
            <w:pPr>
              <w:pStyle w:val="22"/>
              <w:bidi w:val="0"/>
              <w:rPr>
                <w:color w:val="auto"/>
                <w:highlight w:val="none"/>
              </w:rPr>
            </w:pPr>
          </w:p>
        </w:tc>
        <w:tc>
          <w:tcPr>
            <w:tcW w:w="1429" w:type="dxa"/>
            <w:vAlign w:val="center"/>
          </w:tcPr>
          <w:p>
            <w:pPr>
              <w:pStyle w:val="22"/>
              <w:bidi w:val="0"/>
              <w:rPr>
                <w:rFonts w:hint="default"/>
                <w:color w:val="auto"/>
                <w:highlight w:val="none"/>
                <w:lang w:val="en-US" w:eastAsia="zh-CN"/>
              </w:rPr>
            </w:pPr>
            <w:r>
              <w:rPr>
                <w:rFonts w:hint="eastAsia"/>
                <w:color w:val="auto"/>
                <w:highlight w:val="none"/>
                <w:lang w:val="en-US" w:eastAsia="zh-CN"/>
              </w:rPr>
              <w:t>120</w:t>
            </w:r>
          </w:p>
        </w:tc>
        <w:tc>
          <w:tcPr>
            <w:tcW w:w="1716" w:type="dxa"/>
            <w:vAlign w:val="center"/>
          </w:tcPr>
          <w:p>
            <w:pPr>
              <w:pStyle w:val="22"/>
              <w:bidi w:val="0"/>
              <w:rPr>
                <w:color w:val="auto"/>
                <w:highlight w:val="none"/>
              </w:rPr>
            </w:pPr>
          </w:p>
        </w:tc>
        <w:tc>
          <w:tcPr>
            <w:tcW w:w="1287" w:type="dxa"/>
            <w:vAlign w:val="center"/>
          </w:tcPr>
          <w:p>
            <w:pPr>
              <w:pStyle w:val="22"/>
              <w:bidi w:val="0"/>
              <w:rPr>
                <w:color w:val="auto"/>
                <w:highlight w:val="none"/>
              </w:rPr>
            </w:pPr>
          </w:p>
        </w:tc>
        <w:tc>
          <w:tcPr>
            <w:tcW w:w="1001" w:type="dxa"/>
            <w:vAlign w:val="center"/>
          </w:tcPr>
          <w:p>
            <w:pPr>
              <w:pStyle w:val="22"/>
              <w:bidi w:val="0"/>
              <w:rPr>
                <w:color w:val="auto"/>
                <w:highlight w:val="none"/>
              </w:rPr>
            </w:pPr>
          </w:p>
        </w:tc>
        <w:tc>
          <w:tcPr>
            <w:tcW w:w="1002" w:type="dxa"/>
            <w:vAlign w:val="center"/>
          </w:tcPr>
          <w:p>
            <w:pPr>
              <w:pStyle w:val="22"/>
              <w:bidi w:val="0"/>
              <w:rPr>
                <w:color w:val="auto"/>
                <w:highlight w:val="none"/>
              </w:rPr>
            </w:pPr>
          </w:p>
        </w:tc>
      </w:tr>
    </w:tbl>
    <w:p>
      <w:pPr>
        <w:bidi w:val="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color w:val="auto"/>
          <w:sz w:val="24"/>
          <w:highlight w:val="none"/>
        </w:rPr>
        <w:t>评价结果</w:t>
      </w:r>
    </w:p>
    <w:p>
      <w:pPr>
        <w:bidi w:val="0"/>
        <w:rPr>
          <w:rFonts w:hint="eastAsia"/>
          <w:color w:val="auto"/>
          <w:highlight w:val="none"/>
          <w:lang w:eastAsia="zh-CN"/>
        </w:rPr>
      </w:pPr>
      <w:r>
        <w:rPr>
          <w:color w:val="auto"/>
          <w:highlight w:val="none"/>
        </w:rPr>
        <w:t>监测结果表明，规划区及其周边区域大气环境质量监测因子均未出现超标，各监测点污染物浓度的单因子指数均小于1。因此，该区域环境空气质量达到相应标准要求，区域环境空气质量良好。</w:t>
      </w:r>
    </w:p>
    <w:p>
      <w:pPr>
        <w:pStyle w:val="6"/>
        <w:numPr>
          <w:ilvl w:val="2"/>
          <w:numId w:val="5"/>
        </w:numPr>
        <w:bidi w:val="0"/>
        <w:rPr>
          <w:color w:val="auto"/>
          <w:highlight w:val="none"/>
        </w:rPr>
      </w:pPr>
      <w:bookmarkStart w:id="197" w:name="_Toc16879"/>
      <w:bookmarkStart w:id="198" w:name="_Toc3588"/>
      <w:r>
        <w:rPr>
          <w:color w:val="auto"/>
          <w:highlight w:val="none"/>
        </w:rPr>
        <w:t>地</w:t>
      </w:r>
      <w:r>
        <w:rPr>
          <w:rFonts w:hint="eastAsia"/>
          <w:color w:val="auto"/>
          <w:highlight w:val="none"/>
          <w:lang w:eastAsia="zh-CN"/>
        </w:rPr>
        <w:t>表</w:t>
      </w:r>
      <w:r>
        <w:rPr>
          <w:color w:val="auto"/>
          <w:highlight w:val="none"/>
        </w:rPr>
        <w:t>水环境质量现状</w:t>
      </w:r>
      <w:bookmarkEnd w:id="197"/>
      <w:bookmarkEnd w:id="198"/>
    </w:p>
    <w:p>
      <w:pPr>
        <w:bidi w:val="0"/>
        <w:rPr>
          <w:rFonts w:hint="eastAsia"/>
          <w:color w:val="auto"/>
          <w:highlight w:val="none"/>
          <w:lang w:eastAsia="zh-CN"/>
        </w:rPr>
      </w:pPr>
      <w:r>
        <w:rPr>
          <w:color w:val="auto"/>
          <w:highlight w:val="none"/>
        </w:rPr>
        <w:t>为了解规划区环境质量现状，本次评价对规划区内的</w:t>
      </w:r>
      <w:r>
        <w:rPr>
          <w:rFonts w:hint="eastAsia"/>
          <w:color w:val="auto"/>
          <w:highlight w:val="none"/>
          <w:lang w:eastAsia="zh-CN"/>
        </w:rPr>
        <w:t>地表水</w:t>
      </w:r>
      <w:r>
        <w:rPr>
          <w:color w:val="auto"/>
          <w:highlight w:val="none"/>
        </w:rPr>
        <w:t>进行了现状监测</w:t>
      </w:r>
      <w:r>
        <w:rPr>
          <w:rFonts w:hint="eastAsia"/>
          <w:color w:val="auto"/>
          <w:highlight w:val="none"/>
          <w:lang w:eastAsia="zh-CN"/>
        </w:rPr>
        <w:t>。</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监测布点</w:t>
      </w:r>
    </w:p>
    <w:p>
      <w:pPr>
        <w:adjustRightInd w:val="0"/>
        <w:snapToGrid w:val="0"/>
        <w:spacing w:line="360" w:lineRule="auto"/>
        <w:ind w:firstLine="480" w:firstLineChars="200"/>
        <w:rPr>
          <w:color w:val="auto"/>
          <w:sz w:val="24"/>
          <w:highlight w:val="none"/>
        </w:rPr>
      </w:pPr>
      <w:r>
        <w:rPr>
          <w:color w:val="auto"/>
          <w:sz w:val="24"/>
          <w:highlight w:val="none"/>
        </w:rPr>
        <w:t>根据</w:t>
      </w:r>
      <w:r>
        <w:rPr>
          <w:rFonts w:hint="eastAsia"/>
          <w:color w:val="auto"/>
          <w:sz w:val="24"/>
          <w:highlight w:val="none"/>
          <w:lang w:eastAsia="zh-CN"/>
        </w:rPr>
        <w:t>规划区</w:t>
      </w:r>
      <w:r>
        <w:rPr>
          <w:color w:val="auto"/>
          <w:sz w:val="24"/>
          <w:highlight w:val="none"/>
        </w:rPr>
        <w:t>排水方案以及</w:t>
      </w:r>
      <w:r>
        <w:rPr>
          <w:rFonts w:hint="eastAsia"/>
          <w:color w:val="auto"/>
          <w:sz w:val="24"/>
          <w:highlight w:val="none"/>
          <w:lang w:eastAsia="zh-CN"/>
        </w:rPr>
        <w:t>区域</w:t>
      </w:r>
      <w:r>
        <w:rPr>
          <w:color w:val="auto"/>
          <w:sz w:val="24"/>
          <w:highlight w:val="none"/>
        </w:rPr>
        <w:t>的径流走向，共设</w:t>
      </w:r>
      <w:r>
        <w:rPr>
          <w:rFonts w:hint="eastAsia"/>
          <w:color w:val="auto"/>
          <w:sz w:val="24"/>
          <w:highlight w:val="none"/>
          <w:lang w:val="en-US" w:eastAsia="zh-CN"/>
        </w:rPr>
        <w:t>16</w:t>
      </w:r>
      <w:r>
        <w:rPr>
          <w:color w:val="auto"/>
          <w:sz w:val="24"/>
          <w:highlight w:val="none"/>
        </w:rPr>
        <w:t>个监测断面，2020年10月11日~13日、2021年8月28日~30日</w:t>
      </w:r>
      <w:r>
        <w:rPr>
          <w:rFonts w:hint="eastAsia"/>
          <w:color w:val="auto"/>
          <w:sz w:val="24"/>
          <w:highlight w:val="none"/>
        </w:rPr>
        <w:t>、2</w:t>
      </w:r>
      <w:r>
        <w:rPr>
          <w:color w:val="auto"/>
          <w:sz w:val="24"/>
          <w:highlight w:val="none"/>
        </w:rPr>
        <w:t>021</w:t>
      </w:r>
      <w:r>
        <w:rPr>
          <w:rFonts w:hint="eastAsia"/>
          <w:color w:val="auto"/>
          <w:sz w:val="24"/>
          <w:highlight w:val="none"/>
        </w:rPr>
        <w:t>年1</w:t>
      </w:r>
      <w:r>
        <w:rPr>
          <w:color w:val="auto"/>
          <w:sz w:val="24"/>
          <w:highlight w:val="none"/>
        </w:rPr>
        <w:t>0</w:t>
      </w:r>
      <w:r>
        <w:rPr>
          <w:rFonts w:hint="eastAsia"/>
          <w:color w:val="auto"/>
          <w:sz w:val="24"/>
          <w:highlight w:val="none"/>
        </w:rPr>
        <w:t>月2日~</w:t>
      </w:r>
      <w:r>
        <w:rPr>
          <w:color w:val="auto"/>
          <w:sz w:val="24"/>
          <w:highlight w:val="none"/>
        </w:rPr>
        <w:t>4</w:t>
      </w:r>
      <w:r>
        <w:rPr>
          <w:rFonts w:hint="eastAsia"/>
          <w:color w:val="auto"/>
          <w:sz w:val="24"/>
          <w:highlight w:val="none"/>
        </w:rPr>
        <w:t>日</w:t>
      </w:r>
      <w:r>
        <w:rPr>
          <w:color w:val="auto"/>
          <w:sz w:val="24"/>
          <w:highlight w:val="none"/>
        </w:rPr>
        <w:t>对监测断面进行了监测取样</w:t>
      </w:r>
      <w:r>
        <w:rPr>
          <w:rFonts w:hint="eastAsia"/>
          <w:color w:val="auto"/>
          <w:sz w:val="24"/>
          <w:highlight w:val="none"/>
        </w:rPr>
        <w:t>。</w:t>
      </w:r>
      <w:r>
        <w:rPr>
          <w:color w:val="auto"/>
          <w:sz w:val="24"/>
          <w:highlight w:val="none"/>
        </w:rPr>
        <w:t>监测断面设置情况见</w:t>
      </w:r>
      <w:r>
        <w:rPr>
          <w:rFonts w:hint="eastAsia"/>
          <w:color w:val="auto"/>
          <w:sz w:val="24"/>
          <w:highlight w:val="none"/>
          <w:lang w:eastAsia="zh-CN"/>
        </w:rPr>
        <w:t>下表</w:t>
      </w:r>
      <w:r>
        <w:rPr>
          <w:color w:val="auto"/>
          <w:sz w:val="24"/>
          <w:highlight w:val="none"/>
        </w:rPr>
        <w:t>。</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3.2-5</w:t>
      </w:r>
      <w:r>
        <w:rPr>
          <w:color w:val="auto"/>
          <w:highlight w:val="none"/>
          <w:lang w:val="zh-CN"/>
        </w:rPr>
        <w:t xml:space="preserve">  地表水质监测断面布设情况</w:t>
      </w:r>
    </w:p>
    <w:tbl>
      <w:tblPr>
        <w:tblStyle w:val="17"/>
        <w:tblW w:w="8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1"/>
        <w:gridCol w:w="3271"/>
        <w:gridCol w:w="1910"/>
        <w:gridCol w:w="1310"/>
        <w:gridCol w:w="1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Merge w:val="restart"/>
            <w:vAlign w:val="center"/>
          </w:tcPr>
          <w:p>
            <w:pPr>
              <w:pStyle w:val="22"/>
              <w:bidi w:val="0"/>
              <w:rPr>
                <w:color w:val="auto"/>
                <w:highlight w:val="none"/>
              </w:rPr>
            </w:pPr>
            <w:r>
              <w:rPr>
                <w:color w:val="auto"/>
                <w:highlight w:val="none"/>
              </w:rPr>
              <w:t>断面号</w:t>
            </w:r>
          </w:p>
        </w:tc>
        <w:tc>
          <w:tcPr>
            <w:tcW w:w="3271" w:type="dxa"/>
            <w:vMerge w:val="restart"/>
            <w:vAlign w:val="center"/>
          </w:tcPr>
          <w:p>
            <w:pPr>
              <w:pStyle w:val="22"/>
              <w:bidi w:val="0"/>
              <w:rPr>
                <w:color w:val="auto"/>
                <w:highlight w:val="none"/>
              </w:rPr>
            </w:pPr>
            <w:r>
              <w:rPr>
                <w:color w:val="auto"/>
                <w:highlight w:val="none"/>
              </w:rPr>
              <w:t>监测断面</w:t>
            </w:r>
          </w:p>
        </w:tc>
        <w:tc>
          <w:tcPr>
            <w:tcW w:w="4494" w:type="dxa"/>
            <w:gridSpan w:val="3"/>
            <w:vAlign w:val="center"/>
          </w:tcPr>
          <w:p>
            <w:pPr>
              <w:pStyle w:val="22"/>
              <w:bidi w:val="0"/>
              <w:rPr>
                <w:color w:val="auto"/>
                <w:highlight w:val="none"/>
              </w:rPr>
            </w:pPr>
            <w:r>
              <w:rPr>
                <w:color w:val="auto"/>
                <w:highlight w:val="none"/>
              </w:rPr>
              <w:t>监测因子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Merge w:val="continue"/>
            <w:vAlign w:val="center"/>
          </w:tcPr>
          <w:p>
            <w:pPr>
              <w:pStyle w:val="22"/>
              <w:bidi w:val="0"/>
              <w:rPr>
                <w:color w:val="auto"/>
                <w:highlight w:val="none"/>
              </w:rPr>
            </w:pPr>
          </w:p>
        </w:tc>
        <w:tc>
          <w:tcPr>
            <w:tcW w:w="3271" w:type="dxa"/>
            <w:vMerge w:val="continue"/>
            <w:vAlign w:val="center"/>
          </w:tcPr>
          <w:p>
            <w:pPr>
              <w:pStyle w:val="22"/>
              <w:bidi w:val="0"/>
              <w:rPr>
                <w:color w:val="auto"/>
                <w:highlight w:val="none"/>
              </w:rPr>
            </w:pPr>
          </w:p>
        </w:tc>
        <w:tc>
          <w:tcPr>
            <w:tcW w:w="1910" w:type="dxa"/>
            <w:vAlign w:val="center"/>
          </w:tcPr>
          <w:p>
            <w:pPr>
              <w:pStyle w:val="22"/>
              <w:bidi w:val="0"/>
              <w:rPr>
                <w:color w:val="auto"/>
                <w:highlight w:val="none"/>
              </w:rPr>
            </w:pPr>
            <w:r>
              <w:rPr>
                <w:color w:val="auto"/>
                <w:highlight w:val="none"/>
              </w:rPr>
              <w:t>2020.10.11~13</w:t>
            </w:r>
          </w:p>
        </w:tc>
        <w:tc>
          <w:tcPr>
            <w:tcW w:w="1310" w:type="dxa"/>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78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3271" w:type="dxa"/>
            <w:vAlign w:val="center"/>
          </w:tcPr>
          <w:p>
            <w:pPr>
              <w:pStyle w:val="22"/>
              <w:bidi w:val="0"/>
              <w:rPr>
                <w:color w:val="auto"/>
                <w:highlight w:val="none"/>
              </w:rPr>
            </w:pPr>
            <w:r>
              <w:rPr>
                <w:rFonts w:hint="eastAsia" w:hAnsi="宋体"/>
                <w:color w:val="auto"/>
                <w:sz w:val="21"/>
                <w:szCs w:val="21"/>
                <w:highlight w:val="none"/>
                <w:lang w:val="en-US" w:eastAsia="zh-CN"/>
              </w:rPr>
              <w:t>东柳河汇入州河下游500m</w:t>
            </w:r>
            <w:r>
              <w:rPr>
                <w:rFonts w:hint="eastAsia" w:hAnsi="宋体"/>
                <w:color w:val="auto"/>
                <w:sz w:val="21"/>
                <w:szCs w:val="21"/>
                <w:highlight w:val="none"/>
                <w:lang w:eastAsia="zh-CN"/>
              </w:rPr>
              <w:t>断面处</w:t>
            </w:r>
          </w:p>
        </w:tc>
        <w:tc>
          <w:tcPr>
            <w:tcW w:w="1910" w:type="dxa"/>
            <w:vMerge w:val="restart"/>
            <w:vAlign w:val="center"/>
          </w:tcPr>
          <w:p>
            <w:pPr>
              <w:pStyle w:val="22"/>
              <w:bidi w:val="0"/>
              <w:rPr>
                <w:color w:val="auto"/>
                <w:highlight w:val="none"/>
              </w:rPr>
            </w:pPr>
            <w:r>
              <w:rPr>
                <w:rFonts w:hint="eastAsia" w:hAnsi="宋体"/>
                <w:color w:val="auto"/>
                <w:sz w:val="21"/>
                <w:szCs w:val="21"/>
                <w:highlight w:val="none"/>
              </w:rPr>
              <w:t>pH、COD</w:t>
            </w:r>
            <w:r>
              <w:rPr>
                <w:rFonts w:hint="eastAsia" w:hAnsi="宋体"/>
                <w:color w:val="auto"/>
                <w:sz w:val="21"/>
                <w:szCs w:val="21"/>
                <w:highlight w:val="none"/>
                <w:vertAlign w:val="subscript"/>
              </w:rPr>
              <w:t>Cr</w:t>
            </w:r>
            <w:r>
              <w:rPr>
                <w:rFonts w:hint="eastAsia" w:hAnsi="宋体"/>
                <w:color w:val="auto"/>
                <w:sz w:val="21"/>
                <w:szCs w:val="21"/>
                <w:highlight w:val="none"/>
              </w:rPr>
              <w:t>、BOD</w:t>
            </w:r>
            <w:r>
              <w:rPr>
                <w:rFonts w:hint="eastAsia" w:hAnsi="宋体"/>
                <w:color w:val="auto"/>
                <w:sz w:val="21"/>
                <w:szCs w:val="21"/>
                <w:highlight w:val="none"/>
                <w:vertAlign w:val="subscript"/>
              </w:rPr>
              <w:t>5</w:t>
            </w:r>
            <w:r>
              <w:rPr>
                <w:rFonts w:hint="eastAsia" w:hAnsi="宋体"/>
                <w:color w:val="auto"/>
                <w:sz w:val="21"/>
                <w:szCs w:val="21"/>
                <w:highlight w:val="none"/>
              </w:rPr>
              <w:t>、NH</w:t>
            </w:r>
            <w:r>
              <w:rPr>
                <w:rFonts w:hint="eastAsia" w:hAnsi="宋体"/>
                <w:color w:val="auto"/>
                <w:sz w:val="21"/>
                <w:szCs w:val="21"/>
                <w:highlight w:val="none"/>
                <w:vertAlign w:val="subscript"/>
              </w:rPr>
              <w:t>3</w:t>
            </w:r>
            <w:r>
              <w:rPr>
                <w:rFonts w:hint="eastAsia" w:hAnsi="宋体"/>
                <w:color w:val="auto"/>
                <w:sz w:val="21"/>
                <w:szCs w:val="21"/>
                <w:highlight w:val="none"/>
              </w:rPr>
              <w:t>-N、DO、TP</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TN</w:t>
            </w:r>
            <w:r>
              <w:rPr>
                <w:rFonts w:hint="eastAsia" w:hAnsi="宋体"/>
                <w:color w:val="auto"/>
                <w:sz w:val="21"/>
                <w:szCs w:val="21"/>
                <w:highlight w:val="none"/>
              </w:rPr>
              <w:t>、SS、石油类</w:t>
            </w:r>
            <w:r>
              <w:rPr>
                <w:rFonts w:hint="eastAsia" w:hAnsi="宋体"/>
                <w:color w:val="auto"/>
                <w:sz w:val="21"/>
                <w:szCs w:val="21"/>
                <w:highlight w:val="none"/>
                <w:lang w:eastAsia="zh-CN"/>
              </w:rPr>
              <w:t>、氯化物、硫化物、氟化物、六价铬、硫酸盐、硝酸盐氮、挥发酚、氰化物、铜、锌、硒、镉、铅、铁、锰、砷、汞、粪大肠菌群、</w:t>
            </w:r>
            <w:r>
              <w:rPr>
                <w:rFonts w:hint="eastAsia" w:hAnsi="宋体"/>
                <w:color w:val="auto"/>
                <w:sz w:val="21"/>
                <w:szCs w:val="21"/>
                <w:highlight w:val="none"/>
                <w:lang w:val="en-US" w:eastAsia="zh-CN"/>
              </w:rPr>
              <w:t>LAS、</w:t>
            </w:r>
            <w:r>
              <w:rPr>
                <w:rFonts w:hint="eastAsia" w:hAnsi="宋体"/>
                <w:color w:val="auto"/>
                <w:sz w:val="21"/>
                <w:szCs w:val="21"/>
                <w:highlight w:val="none"/>
                <w:lang w:eastAsia="zh-CN"/>
              </w:rPr>
              <w:t>水温</w:t>
            </w:r>
            <w:r>
              <w:rPr>
                <w:rFonts w:hint="eastAsia" w:hAnsi="宋体"/>
                <w:color w:val="auto"/>
                <w:sz w:val="21"/>
                <w:szCs w:val="21"/>
                <w:highlight w:val="none"/>
              </w:rPr>
              <w:t>等共</w:t>
            </w:r>
            <w:r>
              <w:rPr>
                <w:rFonts w:hint="eastAsia" w:hAnsi="宋体"/>
                <w:color w:val="auto"/>
                <w:sz w:val="21"/>
                <w:szCs w:val="21"/>
                <w:highlight w:val="none"/>
                <w:lang w:val="en-US" w:eastAsia="zh-CN"/>
              </w:rPr>
              <w:t>29</w:t>
            </w:r>
            <w:r>
              <w:rPr>
                <w:rFonts w:hint="eastAsia" w:hAnsi="宋体"/>
                <w:color w:val="auto"/>
                <w:sz w:val="21"/>
                <w:szCs w:val="21"/>
                <w:highlight w:val="none"/>
              </w:rPr>
              <w:t>项</w:t>
            </w:r>
          </w:p>
        </w:tc>
        <w:tc>
          <w:tcPr>
            <w:tcW w:w="1310" w:type="dxa"/>
            <w:vMerge w:val="restart"/>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3271" w:type="dxa"/>
            <w:vAlign w:val="center"/>
          </w:tcPr>
          <w:p>
            <w:pPr>
              <w:pStyle w:val="22"/>
              <w:bidi w:val="0"/>
              <w:rPr>
                <w:color w:val="auto"/>
                <w:highlight w:val="none"/>
              </w:rPr>
            </w:pPr>
            <w:r>
              <w:rPr>
                <w:rFonts w:hint="eastAsia" w:hAnsi="宋体"/>
                <w:color w:val="auto"/>
                <w:sz w:val="21"/>
                <w:szCs w:val="21"/>
                <w:highlight w:val="none"/>
                <w:lang w:val="en-US" w:eastAsia="zh-CN"/>
              </w:rPr>
              <w:t>东柳河柏林镇断面处</w:t>
            </w:r>
          </w:p>
        </w:tc>
        <w:tc>
          <w:tcPr>
            <w:tcW w:w="1910" w:type="dxa"/>
            <w:vMerge w:val="continue"/>
            <w:vAlign w:val="center"/>
          </w:tcPr>
          <w:p>
            <w:pPr>
              <w:pStyle w:val="22"/>
              <w:bidi w:val="0"/>
              <w:rPr>
                <w:color w:val="auto"/>
                <w:highlight w:val="none"/>
              </w:rPr>
            </w:pPr>
          </w:p>
        </w:tc>
        <w:tc>
          <w:tcPr>
            <w:tcW w:w="1310" w:type="dxa"/>
            <w:vMerge w:val="continue"/>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3271" w:type="dxa"/>
            <w:vAlign w:val="center"/>
          </w:tcPr>
          <w:p>
            <w:pPr>
              <w:pStyle w:val="22"/>
              <w:bidi w:val="0"/>
              <w:rPr>
                <w:color w:val="auto"/>
                <w:highlight w:val="none"/>
              </w:rPr>
            </w:pPr>
            <w:r>
              <w:rPr>
                <w:rFonts w:hint="eastAsia" w:hAnsi="宋体"/>
                <w:color w:val="auto"/>
                <w:sz w:val="21"/>
                <w:szCs w:val="21"/>
                <w:highlight w:val="none"/>
                <w:lang w:val="en-US" w:eastAsia="zh-CN"/>
              </w:rPr>
              <w:t>清水河清水镇上游断面处</w:t>
            </w:r>
          </w:p>
        </w:tc>
        <w:tc>
          <w:tcPr>
            <w:tcW w:w="1910" w:type="dxa"/>
            <w:vMerge w:val="continue"/>
            <w:vAlign w:val="center"/>
          </w:tcPr>
          <w:p>
            <w:pPr>
              <w:pStyle w:val="22"/>
              <w:bidi w:val="0"/>
              <w:rPr>
                <w:color w:val="auto"/>
                <w:highlight w:val="none"/>
              </w:rPr>
            </w:pPr>
          </w:p>
        </w:tc>
        <w:tc>
          <w:tcPr>
            <w:tcW w:w="1310" w:type="dxa"/>
            <w:vMerge w:val="continue"/>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3271" w:type="dxa"/>
            <w:vAlign w:val="center"/>
          </w:tcPr>
          <w:p>
            <w:pPr>
              <w:pStyle w:val="22"/>
              <w:bidi w:val="0"/>
              <w:rPr>
                <w:color w:val="auto"/>
                <w:highlight w:val="none"/>
              </w:rPr>
            </w:pPr>
            <w:r>
              <w:rPr>
                <w:rFonts w:hint="eastAsia" w:hAnsi="宋体"/>
                <w:color w:val="auto"/>
                <w:sz w:val="21"/>
                <w:szCs w:val="21"/>
                <w:highlight w:val="none"/>
                <w:lang w:val="en-US" w:eastAsia="zh-CN"/>
              </w:rPr>
              <w:t>清水河庙坝镇上游断面处</w:t>
            </w:r>
          </w:p>
        </w:tc>
        <w:tc>
          <w:tcPr>
            <w:tcW w:w="1910" w:type="dxa"/>
            <w:vMerge w:val="continue"/>
            <w:vAlign w:val="center"/>
          </w:tcPr>
          <w:p>
            <w:pPr>
              <w:pStyle w:val="22"/>
              <w:bidi w:val="0"/>
              <w:rPr>
                <w:color w:val="auto"/>
                <w:highlight w:val="none"/>
              </w:rPr>
            </w:pPr>
          </w:p>
        </w:tc>
        <w:tc>
          <w:tcPr>
            <w:tcW w:w="1310" w:type="dxa"/>
            <w:vMerge w:val="continue"/>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3271" w:type="dxa"/>
            <w:vAlign w:val="center"/>
          </w:tcPr>
          <w:p>
            <w:pPr>
              <w:pStyle w:val="22"/>
              <w:bidi w:val="0"/>
              <w:rPr>
                <w:color w:val="auto"/>
                <w:highlight w:val="none"/>
              </w:rPr>
            </w:pPr>
            <w:r>
              <w:rPr>
                <w:rFonts w:hint="eastAsia" w:hAnsi="宋体"/>
                <w:color w:val="auto"/>
                <w:sz w:val="21"/>
                <w:szCs w:val="21"/>
                <w:highlight w:val="none"/>
                <w:lang w:val="en-US" w:eastAsia="zh-CN"/>
              </w:rPr>
              <w:t>龙潭水库龙潭村处</w:t>
            </w:r>
          </w:p>
        </w:tc>
        <w:tc>
          <w:tcPr>
            <w:tcW w:w="1910" w:type="dxa"/>
            <w:vMerge w:val="continue"/>
            <w:vAlign w:val="center"/>
          </w:tcPr>
          <w:p>
            <w:pPr>
              <w:pStyle w:val="22"/>
              <w:bidi w:val="0"/>
              <w:rPr>
                <w:color w:val="auto"/>
                <w:highlight w:val="none"/>
              </w:rPr>
            </w:pPr>
          </w:p>
        </w:tc>
        <w:tc>
          <w:tcPr>
            <w:tcW w:w="1310" w:type="dxa"/>
            <w:vMerge w:val="continue"/>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3271" w:type="dxa"/>
            <w:vAlign w:val="center"/>
          </w:tcPr>
          <w:p>
            <w:pPr>
              <w:pStyle w:val="22"/>
              <w:bidi w:val="0"/>
              <w:rPr>
                <w:color w:val="auto"/>
                <w:highlight w:val="none"/>
              </w:rPr>
            </w:pPr>
            <w:r>
              <w:rPr>
                <w:rFonts w:hint="eastAsia" w:hAnsi="宋体"/>
                <w:color w:val="auto"/>
                <w:sz w:val="21"/>
                <w:szCs w:val="21"/>
                <w:highlight w:val="none"/>
                <w:lang w:val="en-US" w:eastAsia="zh-CN"/>
              </w:rPr>
              <w:t>道河王家大院子断面</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7</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平滩河支流河石村断面</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8</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同心桥水库北部</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9</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同心桥水库南部</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10</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上白水河雷家湾断面</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11</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清滩子水库北</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12</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八渡河八渡乡断面</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13</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乌木滩水库朝阳乡处</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14</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乌木滩水库乌木村处</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15</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乌木滩水库仁寿村处</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1" w:type="dxa"/>
            <w:vAlign w:val="center"/>
          </w:tcPr>
          <w:p>
            <w:pPr>
              <w:pStyle w:val="22"/>
              <w:bidi w:val="0"/>
              <w:rPr>
                <w:rFonts w:hint="default"/>
                <w:color w:val="auto"/>
                <w:highlight w:val="none"/>
                <w:lang w:val="en-US" w:eastAsia="zh-CN"/>
              </w:rPr>
            </w:pPr>
            <w:r>
              <w:rPr>
                <w:rFonts w:hint="eastAsia"/>
                <w:color w:val="auto"/>
                <w:highlight w:val="none"/>
                <w:lang w:val="en-US" w:eastAsia="zh-CN"/>
              </w:rPr>
              <w:t>16</w:t>
            </w:r>
          </w:p>
        </w:tc>
        <w:tc>
          <w:tcPr>
            <w:tcW w:w="3271" w:type="dxa"/>
            <w:vAlign w:val="center"/>
          </w:tcPr>
          <w:p>
            <w:pPr>
              <w:pStyle w:val="22"/>
              <w:bidi w:val="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乌木滩水库乌木湖景区处</w:t>
            </w:r>
          </w:p>
        </w:tc>
        <w:tc>
          <w:tcPr>
            <w:tcW w:w="1910" w:type="dxa"/>
            <w:vMerge w:val="continue"/>
            <w:vAlign w:val="center"/>
          </w:tcPr>
          <w:p>
            <w:pPr>
              <w:pStyle w:val="22"/>
              <w:bidi w:val="0"/>
              <w:rPr>
                <w:color w:val="auto"/>
                <w:highlight w:val="none"/>
              </w:rPr>
            </w:pPr>
          </w:p>
        </w:tc>
        <w:tc>
          <w:tcPr>
            <w:tcW w:w="1310" w:type="dxa"/>
            <w:vAlign w:val="center"/>
          </w:tcPr>
          <w:p>
            <w:pPr>
              <w:pStyle w:val="22"/>
              <w:bidi w:val="0"/>
              <w:rPr>
                <w:color w:val="auto"/>
                <w:highlight w:val="none"/>
              </w:rPr>
            </w:pPr>
          </w:p>
        </w:tc>
        <w:tc>
          <w:tcPr>
            <w:tcW w:w="1274" w:type="dxa"/>
            <w:vAlign w:val="center"/>
          </w:tcPr>
          <w:p>
            <w:pPr>
              <w:pStyle w:val="22"/>
              <w:bidi w:val="0"/>
              <w:rPr>
                <w:rFonts w:hint="eastAsia"/>
                <w:color w:val="auto"/>
                <w:highlight w:val="none"/>
              </w:rPr>
            </w:pPr>
          </w:p>
        </w:tc>
      </w:tr>
    </w:tbl>
    <w:p>
      <w:pPr>
        <w:adjustRightInd w:val="0"/>
        <w:snapToGrid w:val="0"/>
        <w:spacing w:line="360" w:lineRule="auto"/>
        <w:rPr>
          <w:color w:val="auto"/>
          <w:sz w:val="24"/>
          <w:highlight w:val="none"/>
        </w:rPr>
      </w:pP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color w:val="auto"/>
          <w:sz w:val="24"/>
          <w:highlight w:val="none"/>
        </w:rPr>
        <w:t>采样时间、频次及分析方法</w:t>
      </w:r>
    </w:p>
    <w:p>
      <w:pPr>
        <w:adjustRightInd w:val="0"/>
        <w:snapToGrid w:val="0"/>
        <w:spacing w:line="360" w:lineRule="auto"/>
        <w:ind w:firstLine="480" w:firstLineChars="200"/>
        <w:rPr>
          <w:color w:val="auto"/>
          <w:sz w:val="24"/>
          <w:highlight w:val="none"/>
        </w:rPr>
      </w:pPr>
      <w:r>
        <w:rPr>
          <w:color w:val="auto"/>
          <w:sz w:val="24"/>
          <w:highlight w:val="none"/>
        </w:rPr>
        <w:t>于2020年10月11日~13日、2021年8月28</w:t>
      </w:r>
      <w:r>
        <w:rPr>
          <w:rFonts w:hint="eastAsia"/>
          <w:color w:val="auto"/>
          <w:sz w:val="24"/>
          <w:highlight w:val="none"/>
        </w:rPr>
        <w:t>日</w:t>
      </w:r>
      <w:r>
        <w:rPr>
          <w:color w:val="auto"/>
          <w:sz w:val="24"/>
          <w:highlight w:val="none"/>
        </w:rPr>
        <w:t>~30日</w:t>
      </w:r>
      <w:r>
        <w:rPr>
          <w:rFonts w:hint="eastAsia"/>
          <w:color w:val="auto"/>
          <w:sz w:val="24"/>
          <w:highlight w:val="none"/>
        </w:rPr>
        <w:t>、2</w:t>
      </w:r>
      <w:r>
        <w:rPr>
          <w:color w:val="auto"/>
          <w:sz w:val="24"/>
          <w:highlight w:val="none"/>
        </w:rPr>
        <w:t>021</w:t>
      </w:r>
      <w:r>
        <w:rPr>
          <w:rFonts w:hint="eastAsia"/>
          <w:color w:val="auto"/>
          <w:sz w:val="24"/>
          <w:highlight w:val="none"/>
        </w:rPr>
        <w:t>年1</w:t>
      </w:r>
      <w:r>
        <w:rPr>
          <w:color w:val="auto"/>
          <w:sz w:val="24"/>
          <w:highlight w:val="none"/>
        </w:rPr>
        <w:t>0</w:t>
      </w:r>
      <w:r>
        <w:rPr>
          <w:rFonts w:hint="eastAsia"/>
          <w:color w:val="auto"/>
          <w:sz w:val="24"/>
          <w:highlight w:val="none"/>
        </w:rPr>
        <w:t>月2日~</w:t>
      </w:r>
      <w:r>
        <w:rPr>
          <w:color w:val="auto"/>
          <w:sz w:val="24"/>
          <w:highlight w:val="none"/>
        </w:rPr>
        <w:t>4</w:t>
      </w:r>
      <w:r>
        <w:rPr>
          <w:rFonts w:hint="eastAsia"/>
          <w:color w:val="auto"/>
          <w:sz w:val="24"/>
          <w:highlight w:val="none"/>
        </w:rPr>
        <w:t>日</w:t>
      </w:r>
      <w:r>
        <w:rPr>
          <w:color w:val="auto"/>
          <w:sz w:val="24"/>
          <w:highlight w:val="none"/>
        </w:rPr>
        <w:t>对各断面进行了地表水环境现状监测</w:t>
      </w:r>
      <w:r>
        <w:rPr>
          <w:rFonts w:hint="eastAsia"/>
          <w:color w:val="auto"/>
          <w:sz w:val="24"/>
          <w:highlight w:val="none"/>
        </w:rPr>
        <w:t>，</w:t>
      </w:r>
      <w:r>
        <w:rPr>
          <w:color w:val="auto"/>
          <w:sz w:val="24"/>
          <w:highlight w:val="none"/>
        </w:rPr>
        <w:t>每天采样1次，监测分析方法按《地表水环境质量标准》（GB3838-2002）中有关规定进行。</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color w:val="auto"/>
          <w:sz w:val="24"/>
          <w:highlight w:val="none"/>
        </w:rPr>
        <w:t>评价标准</w:t>
      </w:r>
    </w:p>
    <w:p>
      <w:pPr>
        <w:adjustRightInd w:val="0"/>
        <w:snapToGrid w:val="0"/>
        <w:spacing w:line="360" w:lineRule="auto"/>
        <w:ind w:firstLine="480" w:firstLineChars="200"/>
        <w:rPr>
          <w:color w:val="auto"/>
          <w:sz w:val="24"/>
          <w:highlight w:val="none"/>
        </w:rPr>
      </w:pPr>
      <w:r>
        <w:rPr>
          <w:color w:val="auto"/>
          <w:sz w:val="24"/>
          <w:highlight w:val="none"/>
        </w:rPr>
        <w:t>项目评价范围内主要地表水体执行《地表水环境质量标准》（GB3838-2002）中的Ⅲ类标准。</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color w:val="auto"/>
          <w:sz w:val="24"/>
          <w:highlight w:val="none"/>
        </w:rPr>
        <w:t>评价方法</w:t>
      </w:r>
    </w:p>
    <w:p>
      <w:pPr>
        <w:adjustRightInd w:val="0"/>
        <w:snapToGrid w:val="0"/>
        <w:spacing w:line="360" w:lineRule="auto"/>
        <w:ind w:firstLine="480" w:firstLineChars="200"/>
        <w:rPr>
          <w:color w:val="auto"/>
          <w:sz w:val="24"/>
          <w:highlight w:val="none"/>
        </w:rPr>
      </w:pPr>
      <w:r>
        <w:rPr>
          <w:color w:val="auto"/>
          <w:sz w:val="24"/>
          <w:highlight w:val="none"/>
        </w:rPr>
        <w:t>为直观反映水质现状，科学评价水体中污染物是否超标，采用单项质量指数法进行评价。</w:t>
      </w:r>
    </w:p>
    <w:p>
      <w:pPr>
        <w:adjustRightInd w:val="0"/>
        <w:snapToGrid w:val="0"/>
        <w:spacing w:line="360" w:lineRule="auto"/>
        <w:ind w:firstLine="480" w:firstLineChars="200"/>
        <w:rPr>
          <w:color w:val="auto"/>
          <w:sz w:val="24"/>
          <w:highlight w:val="none"/>
        </w:rPr>
      </w:pPr>
      <w:r>
        <w:rPr>
          <w:color w:val="auto"/>
          <w:sz w:val="24"/>
          <w:highlight w:val="none"/>
        </w:rPr>
        <w:t>单项质量指数法数学模式如下：</w:t>
      </w:r>
    </w:p>
    <w:p>
      <w:pPr>
        <w:adjustRightInd w:val="0"/>
        <w:snapToGrid w:val="0"/>
        <w:spacing w:line="360" w:lineRule="auto"/>
        <w:ind w:firstLine="480" w:firstLineChars="200"/>
        <w:rPr>
          <w:color w:val="auto"/>
          <w:sz w:val="24"/>
          <w:highlight w:val="none"/>
        </w:rPr>
      </w:pPr>
      <w:r>
        <w:rPr>
          <w:rFonts w:hint="eastAsia" w:ascii="宋体" w:hAnsi="宋体"/>
          <w:color w:val="auto"/>
          <w:sz w:val="24"/>
          <w:highlight w:val="none"/>
        </w:rPr>
        <w:t>①</w:t>
      </w:r>
      <w:r>
        <w:rPr>
          <w:color w:val="auto"/>
          <w:sz w:val="24"/>
          <w:highlight w:val="none"/>
        </w:rPr>
        <w:t>对于一般污染物</w:t>
      </w:r>
    </w:p>
    <w:p>
      <w:pPr>
        <w:adjustRightInd w:val="0"/>
        <w:snapToGrid w:val="0"/>
        <w:spacing w:line="360" w:lineRule="auto"/>
        <w:jc w:val="center"/>
        <w:rPr>
          <w:color w:val="auto"/>
          <w:sz w:val="24"/>
          <w:highlight w:val="none"/>
        </w:rPr>
      </w:pPr>
      <w:r>
        <w:rPr>
          <w:color w:val="auto"/>
          <w:sz w:val="24"/>
          <w:highlight w:val="none"/>
        </w:rPr>
        <w:object>
          <v:shape id="_x0000_i1037" o:spt="75" type="#_x0000_t75" style="height:16.75pt;width:55.25pt;" o:ole="t" filled="f" o:preferrelative="t" stroked="f" coordsize="21600,21600">
            <v:path/>
            <v:fill on="f" focussize="0,0"/>
            <v:stroke on="f" joinstyle="miter"/>
            <v:imagedata r:id="rId55" o:title=""/>
            <o:lock v:ext="edit" aspectratio="t"/>
            <w10:wrap type="none"/>
            <w10:anchorlock/>
          </v:shape>
          <o:OLEObject Type="Embed" ProgID="Equation.3" ShapeID="_x0000_i1037" DrawAspect="Content" ObjectID="_1468075737" r:id="rId54">
            <o:LockedField>false</o:LockedField>
          </o:OLEObject>
        </w:object>
      </w:r>
    </w:p>
    <w:p>
      <w:pPr>
        <w:adjustRightInd w:val="0"/>
        <w:snapToGrid w:val="0"/>
        <w:spacing w:line="360" w:lineRule="auto"/>
        <w:ind w:firstLine="480" w:firstLineChars="200"/>
        <w:rPr>
          <w:i/>
          <w:color w:val="auto"/>
          <w:kern w:val="0"/>
          <w:highlight w:val="none"/>
        </w:rPr>
      </w:pPr>
      <w:r>
        <w:rPr>
          <w:i/>
          <w:color w:val="auto"/>
          <w:kern w:val="0"/>
          <w:highlight w:val="none"/>
        </w:rPr>
        <w:t>式中：Pi——单项质量指数；</w:t>
      </w:r>
    </w:p>
    <w:p>
      <w:pPr>
        <w:adjustRightInd w:val="0"/>
        <w:snapToGrid w:val="0"/>
        <w:spacing w:line="360" w:lineRule="auto"/>
        <w:ind w:firstLine="1200" w:firstLineChars="500"/>
        <w:rPr>
          <w:i/>
          <w:color w:val="auto"/>
          <w:kern w:val="0"/>
          <w:highlight w:val="none"/>
        </w:rPr>
      </w:pPr>
      <w:r>
        <w:rPr>
          <w:i/>
          <w:color w:val="auto"/>
          <w:kern w:val="0"/>
          <w:highlight w:val="none"/>
        </w:rPr>
        <w:t>Ci——评价因子i的实测浓度值（mg/L）；</w:t>
      </w:r>
    </w:p>
    <w:p>
      <w:pPr>
        <w:adjustRightInd w:val="0"/>
        <w:snapToGrid w:val="0"/>
        <w:spacing w:line="360" w:lineRule="auto"/>
        <w:ind w:firstLine="1200" w:firstLineChars="500"/>
        <w:rPr>
          <w:i/>
          <w:color w:val="auto"/>
          <w:kern w:val="0"/>
          <w:highlight w:val="none"/>
        </w:rPr>
      </w:pPr>
      <w:r>
        <w:rPr>
          <w:i/>
          <w:color w:val="auto"/>
          <w:kern w:val="0"/>
          <w:highlight w:val="none"/>
        </w:rPr>
        <w:t>Si——评价因子i的评价标准限值（mg/L）。</w:t>
      </w:r>
    </w:p>
    <w:p>
      <w:pPr>
        <w:adjustRightInd w:val="0"/>
        <w:snapToGrid w:val="0"/>
        <w:spacing w:line="360" w:lineRule="auto"/>
        <w:ind w:firstLine="480" w:firstLineChars="200"/>
        <w:rPr>
          <w:color w:val="auto"/>
          <w:sz w:val="24"/>
          <w:highlight w:val="none"/>
        </w:rPr>
      </w:pPr>
      <w:r>
        <w:rPr>
          <w:rFonts w:hint="eastAsia" w:ascii="宋体" w:hAnsi="宋体"/>
          <w:color w:val="auto"/>
          <w:sz w:val="24"/>
          <w:highlight w:val="none"/>
        </w:rPr>
        <w:t>②</w:t>
      </w:r>
      <w:r>
        <w:rPr>
          <w:color w:val="auto"/>
          <w:sz w:val="24"/>
          <w:highlight w:val="none"/>
        </w:rPr>
        <w:t>对具有上下限标准的项目pH，单项指数模式为：</w:t>
      </w:r>
    </w:p>
    <w:p>
      <w:pPr>
        <w:adjustRightInd w:val="0"/>
        <w:snapToGrid w:val="0"/>
        <w:spacing w:line="360" w:lineRule="auto"/>
        <w:jc w:val="center"/>
        <w:rPr>
          <w:color w:val="auto"/>
          <w:sz w:val="28"/>
          <w:szCs w:val="28"/>
          <w:highlight w:val="none"/>
        </w:rPr>
      </w:pPr>
      <w:r>
        <w:rPr>
          <w:color w:val="auto"/>
          <w:position w:val="-30"/>
          <w:sz w:val="28"/>
          <w:szCs w:val="28"/>
          <w:highlight w:val="none"/>
        </w:rPr>
        <w:drawing>
          <wp:inline distT="0" distB="0" distL="0" distR="0">
            <wp:extent cx="1084580" cy="436245"/>
            <wp:effectExtent l="0" t="0" r="0" b="190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84580" cy="436245"/>
                    </a:xfrm>
                    <a:prstGeom prst="rect">
                      <a:avLst/>
                    </a:prstGeom>
                    <a:noFill/>
                    <a:ln>
                      <a:noFill/>
                    </a:ln>
                  </pic:spPr>
                </pic:pic>
              </a:graphicData>
            </a:graphic>
          </wp:inline>
        </w:drawing>
      </w:r>
      <w:r>
        <w:rPr>
          <w:color w:val="auto"/>
          <w:sz w:val="24"/>
          <w:highlight w:val="none"/>
        </w:rPr>
        <w:t xml:space="preserve"> </w:t>
      </w:r>
      <w:r>
        <w:rPr>
          <w:color w:val="auto"/>
          <w:sz w:val="28"/>
          <w:szCs w:val="28"/>
          <w:highlight w:val="none"/>
        </w:rPr>
        <w:t>（pH</w:t>
      </w:r>
      <w:r>
        <w:rPr>
          <w:color w:val="auto"/>
          <w:sz w:val="28"/>
          <w:szCs w:val="28"/>
          <w:highlight w:val="none"/>
          <w:vertAlign w:val="subscript"/>
        </w:rPr>
        <w:t>i</w:t>
      </w:r>
      <w:r>
        <w:rPr>
          <w:color w:val="auto"/>
          <w:sz w:val="28"/>
          <w:szCs w:val="28"/>
          <w:highlight w:val="none"/>
        </w:rPr>
        <w:sym w:font="Symbol" w:char="F0A3"/>
      </w:r>
      <w:r>
        <w:rPr>
          <w:color w:val="auto"/>
          <w:sz w:val="28"/>
          <w:szCs w:val="28"/>
          <w:highlight w:val="none"/>
        </w:rPr>
        <w:t>7）</w:t>
      </w:r>
    </w:p>
    <w:p>
      <w:pPr>
        <w:adjustRightInd w:val="0"/>
        <w:snapToGrid w:val="0"/>
        <w:spacing w:line="360" w:lineRule="auto"/>
        <w:jc w:val="center"/>
        <w:rPr>
          <w:color w:val="auto"/>
          <w:sz w:val="24"/>
          <w:highlight w:val="none"/>
        </w:rPr>
      </w:pPr>
      <w:r>
        <w:rPr>
          <w:color w:val="auto"/>
          <w:position w:val="-30"/>
          <w:highlight w:val="none"/>
        </w:rPr>
        <w:object>
          <v:shape id="_x0000_i1038" o:spt="75" type="#_x0000_t75" style="height:37.65pt;width:96.3pt;" o:ole="t" filled="f" o:preferrelative="t" stroked="f" coordsize="21600,21600">
            <v:path/>
            <v:fill on="f" focussize="0,0"/>
            <v:stroke on="f" joinstyle="miter"/>
            <v:imagedata r:id="rId58" o:title=""/>
            <o:lock v:ext="edit" aspectratio="t"/>
            <w10:wrap type="none"/>
            <w10:anchorlock/>
          </v:shape>
          <o:OLEObject Type="Embed" ProgID="Equation.3" ShapeID="_x0000_i1038" DrawAspect="Content" ObjectID="_1468075738" r:id="rId57">
            <o:LockedField>false</o:LockedField>
          </o:OLEObject>
        </w:object>
      </w:r>
      <w:r>
        <w:rPr>
          <w:color w:val="auto"/>
          <w:sz w:val="28"/>
          <w:szCs w:val="28"/>
          <w:highlight w:val="none"/>
        </w:rPr>
        <w:t>（pH</w:t>
      </w:r>
      <w:r>
        <w:rPr>
          <w:color w:val="auto"/>
          <w:sz w:val="28"/>
          <w:szCs w:val="28"/>
          <w:highlight w:val="none"/>
          <w:vertAlign w:val="subscript"/>
        </w:rPr>
        <w:t>i</w:t>
      </w:r>
      <w:r>
        <w:rPr>
          <w:color w:val="auto"/>
          <w:sz w:val="28"/>
          <w:szCs w:val="28"/>
          <w:highlight w:val="none"/>
        </w:rPr>
        <w:t>&gt;7）</w:t>
      </w:r>
    </w:p>
    <w:p>
      <w:pPr>
        <w:adjustRightInd w:val="0"/>
        <w:snapToGrid w:val="0"/>
        <w:spacing w:line="360" w:lineRule="auto"/>
        <w:ind w:firstLine="480" w:firstLineChars="200"/>
        <w:rPr>
          <w:i/>
          <w:color w:val="auto"/>
          <w:kern w:val="0"/>
          <w:highlight w:val="none"/>
        </w:rPr>
      </w:pPr>
      <w:r>
        <w:rPr>
          <w:i/>
          <w:color w:val="auto"/>
          <w:kern w:val="0"/>
          <w:highlight w:val="none"/>
        </w:rPr>
        <w:t>式中：pHi——pH实测值；</w:t>
      </w:r>
    </w:p>
    <w:p>
      <w:pPr>
        <w:adjustRightInd w:val="0"/>
        <w:snapToGrid w:val="0"/>
        <w:spacing w:line="360" w:lineRule="auto"/>
        <w:ind w:firstLine="480" w:firstLineChars="200"/>
        <w:rPr>
          <w:i/>
          <w:color w:val="auto"/>
          <w:kern w:val="0"/>
          <w:highlight w:val="none"/>
        </w:rPr>
      </w:pPr>
      <w:r>
        <w:rPr>
          <w:i/>
          <w:color w:val="auto"/>
          <w:kern w:val="0"/>
          <w:highlight w:val="none"/>
        </w:rPr>
        <w:t>pHsd——水质标准pH的下限值；</w:t>
      </w:r>
    </w:p>
    <w:p>
      <w:pPr>
        <w:adjustRightInd w:val="0"/>
        <w:snapToGrid w:val="0"/>
        <w:spacing w:line="360" w:lineRule="auto"/>
        <w:ind w:firstLine="480" w:firstLineChars="200"/>
        <w:rPr>
          <w:i/>
          <w:color w:val="auto"/>
          <w:kern w:val="0"/>
          <w:highlight w:val="none"/>
        </w:rPr>
      </w:pPr>
      <w:r>
        <w:rPr>
          <w:i/>
          <w:color w:val="auto"/>
          <w:kern w:val="0"/>
          <w:highlight w:val="none"/>
        </w:rPr>
        <w:t>pHsu——水质标准pH的上限值。</w:t>
      </w:r>
    </w:p>
    <w:p>
      <w:pPr>
        <w:adjustRightInd w:val="0"/>
        <w:snapToGrid w:val="0"/>
        <w:spacing w:line="360" w:lineRule="auto"/>
        <w:ind w:firstLine="480" w:firstLineChars="200"/>
        <w:rPr>
          <w:color w:val="auto"/>
          <w:kern w:val="0"/>
          <w:sz w:val="24"/>
          <w:highlight w:val="none"/>
        </w:rPr>
      </w:pPr>
      <w:r>
        <w:rPr>
          <w:color w:val="auto"/>
          <w:kern w:val="0"/>
          <w:sz w:val="24"/>
          <w:highlight w:val="none"/>
        </w:rPr>
        <w:t>③对于DO，其单项指数模式为：</w:t>
      </w:r>
    </w:p>
    <w:p>
      <w:pPr>
        <w:adjustRightInd w:val="0"/>
        <w:snapToGrid w:val="0"/>
        <w:spacing w:line="360" w:lineRule="auto"/>
        <w:jc w:val="center"/>
        <w:rPr>
          <w:color w:val="auto"/>
          <w:sz w:val="24"/>
          <w:highlight w:val="none"/>
        </w:rPr>
      </w:pPr>
      <w:r>
        <w:rPr>
          <w:color w:val="auto"/>
          <w:position w:val="-34"/>
          <w:sz w:val="28"/>
          <w:szCs w:val="28"/>
          <w:highlight w:val="none"/>
        </w:rPr>
        <w:object>
          <v:shape id="_x0000_i1039" o:spt="75" type="#_x0000_t75" style="height:34.35pt;width:80.35pt;" o:ole="t" filled="f" o:preferrelative="t" stroked="f" coordsize="21600,21600">
            <v:path/>
            <v:fill on="f" focussize="0,0"/>
            <v:stroke on="f" joinstyle="miter"/>
            <v:imagedata r:id="rId60" o:title=""/>
            <o:lock v:ext="edit" aspectratio="t"/>
            <w10:wrap type="none"/>
            <w10:anchorlock/>
          </v:shape>
          <o:OLEObject Type="Embed" ProgID="Equation.3" ShapeID="_x0000_i1039" DrawAspect="Content" ObjectID="_1468075739" r:id="rId59">
            <o:LockedField>false</o:LockedField>
          </o:OLEObject>
        </w:object>
      </w:r>
    </w:p>
    <w:p>
      <w:pPr>
        <w:adjustRightInd w:val="0"/>
        <w:snapToGrid w:val="0"/>
        <w:spacing w:line="360" w:lineRule="auto"/>
        <w:ind w:firstLine="480" w:firstLineChars="200"/>
        <w:rPr>
          <w:i/>
          <w:color w:val="auto"/>
          <w:kern w:val="0"/>
          <w:highlight w:val="none"/>
        </w:rPr>
      </w:pPr>
      <w:r>
        <w:rPr>
          <w:i/>
          <w:color w:val="auto"/>
          <w:kern w:val="0"/>
          <w:highlight w:val="none"/>
        </w:rPr>
        <w:t>式中：PDO——DO的单项水质指数；</w:t>
      </w:r>
    </w:p>
    <w:p>
      <w:pPr>
        <w:adjustRightInd w:val="0"/>
        <w:snapToGrid w:val="0"/>
        <w:spacing w:line="360" w:lineRule="auto"/>
        <w:ind w:firstLine="480" w:firstLineChars="200"/>
        <w:rPr>
          <w:i/>
          <w:color w:val="auto"/>
          <w:kern w:val="0"/>
          <w:highlight w:val="none"/>
        </w:rPr>
      </w:pPr>
      <w:r>
        <w:rPr>
          <w:i/>
          <w:color w:val="auto"/>
          <w:kern w:val="0"/>
          <w:highlight w:val="none"/>
        </w:rPr>
        <w:t>Os——某水温、气压条件下的饱和溶解氧浓度（mg/L）；其计算公式为：</w:t>
      </w:r>
    </w:p>
    <w:p>
      <w:pPr>
        <w:adjustRightInd w:val="0"/>
        <w:snapToGrid w:val="0"/>
        <w:spacing w:line="360" w:lineRule="auto"/>
        <w:ind w:firstLine="480" w:firstLineChars="200"/>
        <w:rPr>
          <w:i/>
          <w:color w:val="auto"/>
          <w:kern w:val="0"/>
          <w:highlight w:val="none"/>
        </w:rPr>
      </w:pPr>
      <w:r>
        <w:rPr>
          <w:i/>
          <w:color w:val="auto"/>
          <w:kern w:val="0"/>
          <w:highlight w:val="none"/>
        </w:rPr>
        <w:t>Os=468/（31.6+T），T为水温（℃）；</w:t>
      </w:r>
    </w:p>
    <w:p>
      <w:pPr>
        <w:adjustRightInd w:val="0"/>
        <w:snapToGrid w:val="0"/>
        <w:spacing w:line="360" w:lineRule="auto"/>
        <w:ind w:firstLine="480" w:firstLineChars="200"/>
        <w:rPr>
          <w:i/>
          <w:color w:val="auto"/>
          <w:kern w:val="0"/>
          <w:highlight w:val="none"/>
        </w:rPr>
      </w:pPr>
      <w:r>
        <w:rPr>
          <w:i/>
          <w:color w:val="auto"/>
          <w:kern w:val="0"/>
          <w:highlight w:val="none"/>
        </w:rPr>
        <w:t>DOi——溶解氧实测值（mg/L）；</w:t>
      </w:r>
    </w:p>
    <w:p>
      <w:pPr>
        <w:adjustRightInd w:val="0"/>
        <w:snapToGrid w:val="0"/>
        <w:spacing w:line="360" w:lineRule="auto"/>
        <w:ind w:firstLine="480" w:firstLineChars="200"/>
        <w:rPr>
          <w:color w:val="auto"/>
          <w:sz w:val="24"/>
          <w:highlight w:val="none"/>
        </w:rPr>
      </w:pPr>
      <w:r>
        <w:rPr>
          <w:i/>
          <w:color w:val="auto"/>
          <w:kern w:val="0"/>
          <w:highlight w:val="none"/>
        </w:rPr>
        <w:t>DOs——溶解氧的评价标准限值（mg/L）</w:t>
      </w:r>
      <w:r>
        <w:rPr>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水质参数的标准指数&gt;1，表明该项水质参数超过了规定的指数水质指标，已不能满足使用要求；水质参数的标准指数≤1，表明该项水质参数到达或优于规定的水质，完全符合国家标准，可以满足使用要求。</w:t>
      </w:r>
    </w:p>
    <w:p>
      <w:pPr>
        <w:bidi w:val="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color w:val="auto"/>
          <w:sz w:val="24"/>
          <w:highlight w:val="none"/>
        </w:rPr>
        <w:t>监测及评价结果</w:t>
      </w:r>
    </w:p>
    <w:p>
      <w:pPr>
        <w:bidi w:val="0"/>
        <w:rPr>
          <w:color w:val="auto"/>
          <w:sz w:val="24"/>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r>
        <w:rPr>
          <w:color w:val="auto"/>
          <w:sz w:val="24"/>
          <w:highlight w:val="none"/>
        </w:rPr>
        <w:t>地表水水质评价结果见</w:t>
      </w:r>
      <w:r>
        <w:rPr>
          <w:rFonts w:hint="eastAsia"/>
          <w:color w:val="auto"/>
          <w:sz w:val="24"/>
          <w:highlight w:val="none"/>
          <w:lang w:eastAsia="zh-CN"/>
        </w:rPr>
        <w:t>下表</w:t>
      </w:r>
      <w:r>
        <w:rPr>
          <w:color w:val="auto"/>
          <w:sz w:val="24"/>
          <w:highlight w:val="none"/>
        </w:rPr>
        <w:t>。</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3.2-6</w:t>
      </w:r>
      <w:r>
        <w:rPr>
          <w:color w:val="auto"/>
          <w:highlight w:val="none"/>
          <w:lang w:val="zh-CN"/>
        </w:rPr>
        <w:t xml:space="preserve">  地表水环境质量评价结果P</w:t>
      </w:r>
      <w:r>
        <w:rPr>
          <w:color w:val="auto"/>
          <w:highlight w:val="none"/>
          <w:vertAlign w:val="subscript"/>
          <w:lang w:val="zh-CN"/>
        </w:rPr>
        <w:t>max</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927"/>
        <w:gridCol w:w="973"/>
        <w:gridCol w:w="974"/>
        <w:gridCol w:w="839"/>
        <w:gridCol w:w="848"/>
        <w:gridCol w:w="843"/>
        <w:gridCol w:w="843"/>
        <w:gridCol w:w="843"/>
        <w:gridCol w:w="843"/>
        <w:gridCol w:w="843"/>
        <w:gridCol w:w="843"/>
        <w:gridCol w:w="843"/>
        <w:gridCol w:w="843"/>
        <w:gridCol w:w="843"/>
        <w:gridCol w:w="843"/>
        <w:gridCol w:w="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1173" w:type="dxa"/>
          </w:tcPr>
          <w:p>
            <w:pPr>
              <w:pStyle w:val="22"/>
              <w:bidi w:val="0"/>
              <w:rPr>
                <w:color w:val="auto"/>
                <w:highlight w:val="none"/>
              </w:rPr>
            </w:pPr>
            <w:r>
              <w:rPr>
                <w:color w:val="auto"/>
                <w:highlight w:val="none"/>
              </w:rPr>
              <w:t>监测项目</w:t>
            </w:r>
          </w:p>
        </w:tc>
        <w:tc>
          <w:tcPr>
            <w:tcW w:w="1268" w:type="dxa"/>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1337" w:type="dxa"/>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1338" w:type="dxa"/>
            <w:vAlign w:val="top"/>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1138" w:type="dxa"/>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1150" w:type="dxa"/>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1142" w:type="dxa"/>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1142" w:type="dxa"/>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8</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9</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10</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11</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12</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13</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14</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15</w:t>
            </w:r>
          </w:p>
        </w:tc>
        <w:tc>
          <w:tcPr>
            <w:tcW w:w="1142" w:type="dxa"/>
          </w:tcPr>
          <w:p>
            <w:pPr>
              <w:pStyle w:val="22"/>
              <w:bidi w:val="0"/>
              <w:rPr>
                <w:rFonts w:hint="default"/>
                <w:color w:val="auto"/>
                <w:highlight w:val="none"/>
                <w:lang w:val="en-US" w:eastAsia="zh-CN"/>
              </w:rPr>
            </w:pPr>
            <w:r>
              <w:rPr>
                <w:rFonts w:hint="eastAsia"/>
                <w:color w:val="auto"/>
                <w:highlight w:val="none"/>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pH</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CODcr</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BOD5</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eastAsia" w:eastAsia="宋体"/>
                <w:color w:val="auto"/>
                <w:highlight w:val="none"/>
                <w:lang w:eastAsia="zh-CN"/>
              </w:rPr>
            </w:pPr>
            <w:r>
              <w:rPr>
                <w:rFonts w:hint="eastAsia"/>
                <w:color w:val="auto"/>
                <w:highlight w:val="none"/>
                <w:lang w:eastAsia="zh-CN"/>
              </w:rPr>
              <w:t>氨氮</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DO</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TP</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TN</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default" w:eastAsia="宋体"/>
                <w:color w:val="auto"/>
                <w:highlight w:val="none"/>
                <w:lang w:val="en-US" w:eastAsia="zh-CN"/>
              </w:rPr>
            </w:pPr>
            <w:r>
              <w:rPr>
                <w:rFonts w:hint="eastAsia"/>
                <w:color w:val="auto"/>
                <w:highlight w:val="none"/>
                <w:lang w:val="en-US" w:eastAsia="zh-CN"/>
              </w:rPr>
              <w:t>SS</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tcPr>
          <w:p>
            <w:pPr>
              <w:pStyle w:val="22"/>
              <w:bidi w:val="0"/>
              <w:rPr>
                <w:rFonts w:hint="eastAsia" w:eastAsia="宋体"/>
                <w:color w:val="auto"/>
                <w:highlight w:val="none"/>
                <w:lang w:eastAsia="zh-CN"/>
              </w:rPr>
            </w:pPr>
            <w:r>
              <w:rPr>
                <w:rFonts w:hint="eastAsia"/>
                <w:color w:val="auto"/>
                <w:highlight w:val="none"/>
                <w:lang w:eastAsia="zh-CN"/>
              </w:rPr>
              <w:t>石油类</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氯化物</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硫化物</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氟化物</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六价铬</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硫酸盐</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硝酸盐氮</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挥发酚</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氰化物</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铜</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锌</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硒</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镉</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铅</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铁</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锰</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砷</w:t>
            </w:r>
          </w:p>
        </w:tc>
        <w:tc>
          <w:tcPr>
            <w:tcW w:w="1268" w:type="dxa"/>
          </w:tcPr>
          <w:p>
            <w:pPr>
              <w:pStyle w:val="22"/>
              <w:bidi w:val="0"/>
              <w:rPr>
                <w:color w:val="auto"/>
                <w:highlight w:val="none"/>
              </w:rPr>
            </w:pPr>
          </w:p>
        </w:tc>
        <w:tc>
          <w:tcPr>
            <w:tcW w:w="1337" w:type="dxa"/>
          </w:tcPr>
          <w:p>
            <w:pPr>
              <w:pStyle w:val="22"/>
              <w:bidi w:val="0"/>
              <w:rPr>
                <w:color w:val="auto"/>
                <w:highlight w:val="none"/>
              </w:rPr>
            </w:pPr>
          </w:p>
        </w:tc>
        <w:tc>
          <w:tcPr>
            <w:tcW w:w="1338" w:type="dxa"/>
          </w:tcPr>
          <w:p>
            <w:pPr>
              <w:pStyle w:val="22"/>
              <w:bidi w:val="0"/>
              <w:rPr>
                <w:color w:val="auto"/>
                <w:highlight w:val="none"/>
              </w:rPr>
            </w:pPr>
          </w:p>
        </w:tc>
        <w:tc>
          <w:tcPr>
            <w:tcW w:w="1138" w:type="dxa"/>
          </w:tcPr>
          <w:p>
            <w:pPr>
              <w:pStyle w:val="22"/>
              <w:bidi w:val="0"/>
              <w:rPr>
                <w:color w:val="auto"/>
                <w:highlight w:val="none"/>
              </w:rPr>
            </w:pPr>
          </w:p>
        </w:tc>
        <w:tc>
          <w:tcPr>
            <w:tcW w:w="1150"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c>
          <w:tcPr>
            <w:tcW w:w="1142"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eastAsia="宋体"/>
                <w:color w:val="auto"/>
                <w:highlight w:val="none"/>
                <w:lang w:eastAsia="zh-CN"/>
              </w:rPr>
            </w:pPr>
            <w:r>
              <w:rPr>
                <w:rFonts w:hint="eastAsia"/>
                <w:color w:val="auto"/>
                <w:highlight w:val="none"/>
                <w:lang w:eastAsia="zh-CN"/>
              </w:rPr>
              <w:t>汞</w:t>
            </w:r>
          </w:p>
        </w:tc>
        <w:tc>
          <w:tcPr>
            <w:tcW w:w="1268" w:type="dxa"/>
            <w:vAlign w:val="center"/>
          </w:tcPr>
          <w:p>
            <w:pPr>
              <w:pStyle w:val="22"/>
              <w:bidi w:val="0"/>
              <w:rPr>
                <w:color w:val="auto"/>
                <w:highlight w:val="none"/>
              </w:rPr>
            </w:pPr>
          </w:p>
        </w:tc>
        <w:tc>
          <w:tcPr>
            <w:tcW w:w="1337" w:type="dxa"/>
            <w:vAlign w:val="center"/>
          </w:tcPr>
          <w:p>
            <w:pPr>
              <w:pStyle w:val="22"/>
              <w:bidi w:val="0"/>
              <w:rPr>
                <w:color w:val="auto"/>
                <w:highlight w:val="none"/>
              </w:rPr>
            </w:pPr>
          </w:p>
        </w:tc>
        <w:tc>
          <w:tcPr>
            <w:tcW w:w="1338" w:type="dxa"/>
            <w:vAlign w:val="center"/>
          </w:tcPr>
          <w:p>
            <w:pPr>
              <w:pStyle w:val="22"/>
              <w:bidi w:val="0"/>
              <w:rPr>
                <w:color w:val="auto"/>
                <w:highlight w:val="none"/>
              </w:rPr>
            </w:pPr>
          </w:p>
        </w:tc>
        <w:tc>
          <w:tcPr>
            <w:tcW w:w="1138" w:type="dxa"/>
            <w:vAlign w:val="center"/>
          </w:tcPr>
          <w:p>
            <w:pPr>
              <w:pStyle w:val="22"/>
              <w:bidi w:val="0"/>
              <w:rPr>
                <w:color w:val="auto"/>
                <w:highlight w:val="none"/>
              </w:rPr>
            </w:pPr>
          </w:p>
        </w:tc>
        <w:tc>
          <w:tcPr>
            <w:tcW w:w="1150"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color w:val="auto"/>
                <w:highlight w:val="none"/>
                <w:lang w:eastAsia="zh-CN"/>
              </w:rPr>
            </w:pPr>
            <w:r>
              <w:rPr>
                <w:rFonts w:hint="eastAsia"/>
                <w:color w:val="auto"/>
                <w:highlight w:val="none"/>
                <w:lang w:eastAsia="zh-CN"/>
              </w:rPr>
              <w:t>粪大肠</w:t>
            </w:r>
          </w:p>
        </w:tc>
        <w:tc>
          <w:tcPr>
            <w:tcW w:w="1268" w:type="dxa"/>
            <w:vAlign w:val="center"/>
          </w:tcPr>
          <w:p>
            <w:pPr>
              <w:pStyle w:val="22"/>
              <w:bidi w:val="0"/>
              <w:rPr>
                <w:color w:val="auto"/>
                <w:highlight w:val="none"/>
              </w:rPr>
            </w:pPr>
          </w:p>
        </w:tc>
        <w:tc>
          <w:tcPr>
            <w:tcW w:w="1337" w:type="dxa"/>
            <w:vAlign w:val="center"/>
          </w:tcPr>
          <w:p>
            <w:pPr>
              <w:pStyle w:val="22"/>
              <w:bidi w:val="0"/>
              <w:rPr>
                <w:color w:val="auto"/>
                <w:highlight w:val="none"/>
              </w:rPr>
            </w:pPr>
          </w:p>
        </w:tc>
        <w:tc>
          <w:tcPr>
            <w:tcW w:w="1338" w:type="dxa"/>
            <w:vAlign w:val="center"/>
          </w:tcPr>
          <w:p>
            <w:pPr>
              <w:pStyle w:val="22"/>
              <w:bidi w:val="0"/>
              <w:rPr>
                <w:color w:val="auto"/>
                <w:highlight w:val="none"/>
              </w:rPr>
            </w:pPr>
          </w:p>
        </w:tc>
        <w:tc>
          <w:tcPr>
            <w:tcW w:w="1138" w:type="dxa"/>
            <w:vAlign w:val="center"/>
          </w:tcPr>
          <w:p>
            <w:pPr>
              <w:pStyle w:val="22"/>
              <w:bidi w:val="0"/>
              <w:rPr>
                <w:color w:val="auto"/>
                <w:highlight w:val="none"/>
              </w:rPr>
            </w:pPr>
          </w:p>
        </w:tc>
        <w:tc>
          <w:tcPr>
            <w:tcW w:w="1150"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default"/>
                <w:color w:val="auto"/>
                <w:highlight w:val="none"/>
                <w:lang w:val="en-US" w:eastAsia="zh-CN"/>
              </w:rPr>
            </w:pPr>
            <w:r>
              <w:rPr>
                <w:rFonts w:hint="eastAsia"/>
                <w:color w:val="auto"/>
                <w:highlight w:val="none"/>
                <w:lang w:val="en-US" w:eastAsia="zh-CN"/>
              </w:rPr>
              <w:t>LAS</w:t>
            </w:r>
          </w:p>
        </w:tc>
        <w:tc>
          <w:tcPr>
            <w:tcW w:w="1268" w:type="dxa"/>
            <w:vAlign w:val="center"/>
          </w:tcPr>
          <w:p>
            <w:pPr>
              <w:pStyle w:val="22"/>
              <w:bidi w:val="0"/>
              <w:rPr>
                <w:color w:val="auto"/>
                <w:highlight w:val="none"/>
              </w:rPr>
            </w:pPr>
          </w:p>
        </w:tc>
        <w:tc>
          <w:tcPr>
            <w:tcW w:w="1337" w:type="dxa"/>
            <w:vAlign w:val="center"/>
          </w:tcPr>
          <w:p>
            <w:pPr>
              <w:pStyle w:val="22"/>
              <w:bidi w:val="0"/>
              <w:rPr>
                <w:color w:val="auto"/>
                <w:highlight w:val="none"/>
              </w:rPr>
            </w:pPr>
          </w:p>
        </w:tc>
        <w:tc>
          <w:tcPr>
            <w:tcW w:w="1338" w:type="dxa"/>
            <w:vAlign w:val="center"/>
          </w:tcPr>
          <w:p>
            <w:pPr>
              <w:pStyle w:val="22"/>
              <w:bidi w:val="0"/>
              <w:rPr>
                <w:color w:val="auto"/>
                <w:highlight w:val="none"/>
              </w:rPr>
            </w:pPr>
          </w:p>
        </w:tc>
        <w:tc>
          <w:tcPr>
            <w:tcW w:w="1138" w:type="dxa"/>
            <w:vAlign w:val="center"/>
          </w:tcPr>
          <w:p>
            <w:pPr>
              <w:pStyle w:val="22"/>
              <w:bidi w:val="0"/>
              <w:rPr>
                <w:color w:val="auto"/>
                <w:highlight w:val="none"/>
              </w:rPr>
            </w:pPr>
          </w:p>
        </w:tc>
        <w:tc>
          <w:tcPr>
            <w:tcW w:w="1150"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73" w:type="dxa"/>
            <w:vAlign w:val="center"/>
          </w:tcPr>
          <w:p>
            <w:pPr>
              <w:pStyle w:val="22"/>
              <w:bidi w:val="0"/>
              <w:rPr>
                <w:rFonts w:hint="eastAsia"/>
                <w:color w:val="auto"/>
                <w:highlight w:val="none"/>
                <w:lang w:val="en-US" w:eastAsia="zh-CN"/>
              </w:rPr>
            </w:pPr>
            <w:r>
              <w:rPr>
                <w:rFonts w:hint="eastAsia"/>
                <w:color w:val="auto"/>
                <w:highlight w:val="none"/>
                <w:lang w:val="en-US" w:eastAsia="zh-CN"/>
              </w:rPr>
              <w:t>水温</w:t>
            </w:r>
          </w:p>
        </w:tc>
        <w:tc>
          <w:tcPr>
            <w:tcW w:w="1268" w:type="dxa"/>
            <w:vAlign w:val="center"/>
          </w:tcPr>
          <w:p>
            <w:pPr>
              <w:pStyle w:val="22"/>
              <w:bidi w:val="0"/>
              <w:rPr>
                <w:color w:val="auto"/>
                <w:highlight w:val="none"/>
              </w:rPr>
            </w:pPr>
          </w:p>
        </w:tc>
        <w:tc>
          <w:tcPr>
            <w:tcW w:w="1337" w:type="dxa"/>
            <w:vAlign w:val="center"/>
          </w:tcPr>
          <w:p>
            <w:pPr>
              <w:pStyle w:val="22"/>
              <w:bidi w:val="0"/>
              <w:rPr>
                <w:color w:val="auto"/>
                <w:highlight w:val="none"/>
              </w:rPr>
            </w:pPr>
          </w:p>
        </w:tc>
        <w:tc>
          <w:tcPr>
            <w:tcW w:w="1338" w:type="dxa"/>
            <w:vAlign w:val="center"/>
          </w:tcPr>
          <w:p>
            <w:pPr>
              <w:pStyle w:val="22"/>
              <w:bidi w:val="0"/>
              <w:rPr>
                <w:color w:val="auto"/>
                <w:highlight w:val="none"/>
              </w:rPr>
            </w:pPr>
          </w:p>
        </w:tc>
        <w:tc>
          <w:tcPr>
            <w:tcW w:w="1138" w:type="dxa"/>
            <w:vAlign w:val="center"/>
          </w:tcPr>
          <w:p>
            <w:pPr>
              <w:pStyle w:val="22"/>
              <w:bidi w:val="0"/>
              <w:rPr>
                <w:color w:val="auto"/>
                <w:highlight w:val="none"/>
              </w:rPr>
            </w:pPr>
          </w:p>
        </w:tc>
        <w:tc>
          <w:tcPr>
            <w:tcW w:w="1150"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c>
          <w:tcPr>
            <w:tcW w:w="1142" w:type="dxa"/>
            <w:vAlign w:val="center"/>
          </w:tcPr>
          <w:p>
            <w:pPr>
              <w:pStyle w:val="22"/>
              <w:bidi w:val="0"/>
              <w:rPr>
                <w:color w:val="auto"/>
                <w:highlight w:val="none"/>
              </w:rPr>
            </w:pPr>
          </w:p>
        </w:tc>
      </w:tr>
    </w:tbl>
    <w:p>
      <w:pPr>
        <w:adjustRightInd w:val="0"/>
        <w:snapToGrid w:val="0"/>
        <w:spacing w:line="360" w:lineRule="auto"/>
        <w:ind w:firstLine="570"/>
        <w:rPr>
          <w:color w:val="auto"/>
          <w:spacing w:val="-4"/>
          <w:sz w:val="24"/>
          <w:highlight w:val="none"/>
        </w:rPr>
        <w:sectPr>
          <w:pgSz w:w="16840" w:h="11910" w:orient="landscape"/>
          <w:pgMar w:top="1260" w:right="1360" w:bottom="1240" w:left="1000" w:header="902" w:footer="804" w:gutter="0"/>
          <w:pgBorders>
            <w:top w:val="none" w:sz="0" w:space="0"/>
            <w:left w:val="none" w:sz="0" w:space="0"/>
            <w:bottom w:val="none" w:sz="0" w:space="0"/>
            <w:right w:val="none" w:sz="0" w:space="0"/>
          </w:pgBorders>
          <w:pgNumType w:fmt="decimal"/>
          <w:cols w:space="720" w:num="1"/>
        </w:sectPr>
      </w:pPr>
    </w:p>
    <w:p>
      <w:pPr>
        <w:bidi w:val="0"/>
        <w:rPr>
          <w:rFonts w:hint="eastAsia" w:eastAsia="宋体"/>
          <w:color w:val="auto"/>
          <w:highlight w:val="none"/>
          <w:lang w:eastAsia="zh-CN"/>
        </w:rPr>
      </w:pPr>
      <w:r>
        <w:rPr>
          <w:color w:val="auto"/>
          <w:spacing w:val="-4"/>
          <w:sz w:val="24"/>
          <w:highlight w:val="none"/>
        </w:rPr>
        <w:t>综上，引起地表水环境现状监测超标主要是</w:t>
      </w:r>
      <w:r>
        <w:rPr>
          <w:rFonts w:hint="eastAsia"/>
          <w:color w:val="auto"/>
          <w:sz w:val="24"/>
          <w:highlight w:val="none"/>
        </w:rPr>
        <w:t>新宁河上流来水量较低，河流自净能力较低，沿河的场镇生活污水散排入河，且受</w:t>
      </w:r>
      <w:r>
        <w:rPr>
          <w:color w:val="auto"/>
          <w:spacing w:val="-4"/>
          <w:sz w:val="24"/>
          <w:highlight w:val="none"/>
        </w:rPr>
        <w:t>部分</w:t>
      </w:r>
      <w:r>
        <w:rPr>
          <w:color w:val="auto"/>
          <w:sz w:val="24"/>
          <w:highlight w:val="none"/>
        </w:rPr>
        <w:t>农村生活污水散排及农业面源污染</w:t>
      </w:r>
      <w:r>
        <w:rPr>
          <w:rFonts w:hint="eastAsia"/>
          <w:color w:val="auto"/>
          <w:sz w:val="24"/>
          <w:highlight w:val="none"/>
        </w:rPr>
        <w:t>影响。同时</w:t>
      </w:r>
      <w:r>
        <w:rPr>
          <w:rFonts w:hint="eastAsia"/>
          <w:color w:val="auto"/>
          <w:sz w:val="24"/>
          <w:highlight w:val="none"/>
          <w:lang w:bidi="en-US"/>
        </w:rPr>
        <w:t>从幸福桥</w:t>
      </w:r>
      <w:r>
        <w:rPr>
          <w:color w:val="auto"/>
          <w:sz w:val="24"/>
          <w:highlight w:val="none"/>
          <w:lang w:bidi="en-US"/>
        </w:rPr>
        <w:t>断面-玉河桥断面河流段有蕉溪河支流汇入，输入性污染较严重</w:t>
      </w:r>
      <w:r>
        <w:rPr>
          <w:rFonts w:hint="eastAsia"/>
          <w:color w:val="auto"/>
          <w:sz w:val="24"/>
          <w:highlight w:val="none"/>
          <w:lang w:bidi="en-US"/>
        </w:rPr>
        <w:t>。</w:t>
      </w:r>
    </w:p>
    <w:p>
      <w:pPr>
        <w:pStyle w:val="6"/>
        <w:numPr>
          <w:ilvl w:val="2"/>
          <w:numId w:val="5"/>
        </w:numPr>
        <w:bidi w:val="0"/>
        <w:rPr>
          <w:color w:val="auto"/>
          <w:highlight w:val="none"/>
        </w:rPr>
      </w:pPr>
      <w:bookmarkStart w:id="199" w:name="3.2.2 地下水环境质量现状"/>
      <w:bookmarkEnd w:id="199"/>
      <w:bookmarkStart w:id="200" w:name="3.2.2 地下水环境质量现状"/>
      <w:bookmarkEnd w:id="200"/>
      <w:bookmarkStart w:id="201" w:name="_Toc23465"/>
      <w:bookmarkStart w:id="202" w:name="_Toc10525"/>
      <w:r>
        <w:rPr>
          <w:color w:val="auto"/>
          <w:highlight w:val="none"/>
        </w:rPr>
        <w:t>地下水环境质量现状</w:t>
      </w:r>
      <w:bookmarkEnd w:id="201"/>
      <w:bookmarkEnd w:id="202"/>
    </w:p>
    <w:p>
      <w:pPr>
        <w:bidi w:val="0"/>
        <w:rPr>
          <w:rFonts w:hint="eastAsia"/>
          <w:color w:val="auto"/>
          <w:highlight w:val="none"/>
          <w:lang w:eastAsia="zh-CN"/>
        </w:rPr>
      </w:pPr>
      <w:r>
        <w:rPr>
          <w:color w:val="auto"/>
          <w:highlight w:val="none"/>
        </w:rPr>
        <w:t>为了解规划区环境质量现状，本次评价对规划区内的</w:t>
      </w:r>
      <w:r>
        <w:rPr>
          <w:rFonts w:hint="eastAsia"/>
          <w:color w:val="auto"/>
          <w:highlight w:val="none"/>
          <w:lang w:eastAsia="zh-CN"/>
        </w:rPr>
        <w:t>地下水</w:t>
      </w:r>
      <w:r>
        <w:rPr>
          <w:color w:val="auto"/>
          <w:highlight w:val="none"/>
        </w:rPr>
        <w:t>进行了现状监测</w:t>
      </w:r>
      <w:r>
        <w:rPr>
          <w:rFonts w:hint="eastAsia"/>
          <w:color w:val="auto"/>
          <w:highlight w:val="none"/>
          <w:lang w:eastAsia="zh-CN"/>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监测布点</w:t>
      </w:r>
    </w:p>
    <w:p>
      <w:pPr>
        <w:bidi w:val="0"/>
        <w:rPr>
          <w:color w:val="auto"/>
          <w:highlight w:val="none"/>
        </w:rPr>
      </w:pPr>
      <w:r>
        <w:rPr>
          <w:color w:val="auto"/>
          <w:highlight w:val="none"/>
        </w:rPr>
        <w:t>根据该评价项目及周围的水体状况，在地下水评价区域范围内</w:t>
      </w:r>
      <w:r>
        <w:rPr>
          <w:rFonts w:hint="eastAsia"/>
          <w:color w:val="auto"/>
          <w:highlight w:val="none"/>
        </w:rPr>
        <w:t>设置</w:t>
      </w:r>
      <w:r>
        <w:rPr>
          <w:color w:val="auto"/>
          <w:highlight w:val="none"/>
        </w:rPr>
        <w:t>了</w:t>
      </w:r>
      <w:r>
        <w:rPr>
          <w:rFonts w:hint="eastAsia"/>
          <w:color w:val="auto"/>
          <w:highlight w:val="none"/>
          <w:lang w:val="en-US" w:eastAsia="zh-CN"/>
        </w:rPr>
        <w:t>15</w:t>
      </w:r>
      <w:r>
        <w:rPr>
          <w:rFonts w:hint="eastAsia"/>
          <w:color w:val="auto"/>
          <w:highlight w:val="none"/>
        </w:rPr>
        <w:t>个</w:t>
      </w:r>
      <w:r>
        <w:rPr>
          <w:color w:val="auto"/>
          <w:highlight w:val="none"/>
        </w:rPr>
        <w:t>地下水水质水位</w:t>
      </w:r>
      <w:r>
        <w:rPr>
          <w:rFonts w:hint="eastAsia"/>
          <w:color w:val="auto"/>
          <w:highlight w:val="none"/>
        </w:rPr>
        <w:t>监测</w:t>
      </w:r>
      <w:r>
        <w:rPr>
          <w:color w:val="auto"/>
          <w:highlight w:val="none"/>
        </w:rPr>
        <w:t>点</w:t>
      </w:r>
      <w:r>
        <w:rPr>
          <w:rFonts w:hint="eastAsia"/>
          <w:color w:val="auto"/>
          <w:highlight w:val="none"/>
          <w:lang w:eastAsia="zh-CN"/>
        </w:rPr>
        <w:t>，</w:t>
      </w:r>
      <w:r>
        <w:rPr>
          <w:color w:val="auto"/>
          <w:highlight w:val="none"/>
        </w:rPr>
        <w:t>2020年10月14日对</w:t>
      </w:r>
      <w:r>
        <w:rPr>
          <w:rFonts w:hint="eastAsia"/>
          <w:color w:val="auto"/>
          <w:highlight w:val="none"/>
        </w:rPr>
        <w:t>1#~3#</w:t>
      </w:r>
      <w:r>
        <w:rPr>
          <w:color w:val="auto"/>
          <w:highlight w:val="none"/>
        </w:rPr>
        <w:t>进行</w:t>
      </w:r>
      <w:r>
        <w:rPr>
          <w:rFonts w:hint="eastAsia"/>
          <w:color w:val="auto"/>
          <w:highlight w:val="none"/>
        </w:rPr>
        <w:t>水质水位</w:t>
      </w:r>
      <w:r>
        <w:rPr>
          <w:color w:val="auto"/>
          <w:highlight w:val="none"/>
        </w:rPr>
        <w:t>的监测</w:t>
      </w:r>
      <w:r>
        <w:rPr>
          <w:rFonts w:hint="eastAsia"/>
          <w:color w:val="auto"/>
          <w:highlight w:val="none"/>
        </w:rPr>
        <w:t>。</w:t>
      </w:r>
      <w:r>
        <w:rPr>
          <w:color w:val="auto"/>
          <w:highlight w:val="none"/>
        </w:rPr>
        <w:t>具体监测布点及监测信息见下表。</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 xml:space="preserve">3.2-7   </w:t>
      </w:r>
      <w:r>
        <w:rPr>
          <w:color w:val="auto"/>
          <w:highlight w:val="none"/>
          <w:lang w:val="zh-CN"/>
        </w:rPr>
        <w:t xml:space="preserve"> 地下水水质监测断面布设情况</w:t>
      </w:r>
    </w:p>
    <w:tbl>
      <w:tblPr>
        <w:tblStyle w:val="17"/>
        <w:tblW w:w="83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50"/>
        <w:gridCol w:w="2112"/>
        <w:gridCol w:w="3386"/>
        <w:gridCol w:w="2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Merge w:val="restart"/>
            <w:vAlign w:val="center"/>
          </w:tcPr>
          <w:p>
            <w:pPr>
              <w:pStyle w:val="22"/>
              <w:bidi w:val="0"/>
              <w:rPr>
                <w:color w:val="auto"/>
                <w:highlight w:val="none"/>
              </w:rPr>
            </w:pPr>
            <w:r>
              <w:rPr>
                <w:color w:val="auto"/>
                <w:highlight w:val="none"/>
              </w:rPr>
              <w:t>断面号</w:t>
            </w:r>
          </w:p>
        </w:tc>
        <w:tc>
          <w:tcPr>
            <w:tcW w:w="2112" w:type="dxa"/>
            <w:vMerge w:val="restart"/>
            <w:vAlign w:val="center"/>
          </w:tcPr>
          <w:p>
            <w:pPr>
              <w:pStyle w:val="22"/>
              <w:bidi w:val="0"/>
              <w:rPr>
                <w:color w:val="auto"/>
                <w:highlight w:val="none"/>
              </w:rPr>
            </w:pPr>
            <w:r>
              <w:rPr>
                <w:color w:val="auto"/>
                <w:highlight w:val="none"/>
              </w:rPr>
              <w:t>监测点名称</w:t>
            </w:r>
          </w:p>
        </w:tc>
        <w:tc>
          <w:tcPr>
            <w:tcW w:w="5727" w:type="dxa"/>
            <w:gridSpan w:val="2"/>
            <w:vAlign w:val="center"/>
          </w:tcPr>
          <w:p>
            <w:pPr>
              <w:pStyle w:val="22"/>
              <w:bidi w:val="0"/>
              <w:rPr>
                <w:color w:val="auto"/>
                <w:highlight w:val="none"/>
              </w:rPr>
            </w:pPr>
            <w:r>
              <w:rPr>
                <w:color w:val="auto"/>
                <w:highlight w:val="none"/>
              </w:rPr>
              <w:t>监测因子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Merge w:val="continue"/>
            <w:vAlign w:val="center"/>
          </w:tcPr>
          <w:p>
            <w:pPr>
              <w:pStyle w:val="22"/>
              <w:bidi w:val="0"/>
              <w:rPr>
                <w:color w:val="auto"/>
                <w:highlight w:val="none"/>
              </w:rPr>
            </w:pPr>
          </w:p>
        </w:tc>
        <w:tc>
          <w:tcPr>
            <w:tcW w:w="2112" w:type="dxa"/>
            <w:vMerge w:val="continue"/>
            <w:vAlign w:val="center"/>
          </w:tcPr>
          <w:p>
            <w:pPr>
              <w:pStyle w:val="22"/>
              <w:bidi w:val="0"/>
              <w:rPr>
                <w:color w:val="auto"/>
                <w:highlight w:val="none"/>
              </w:rPr>
            </w:pPr>
          </w:p>
        </w:tc>
        <w:tc>
          <w:tcPr>
            <w:tcW w:w="3386" w:type="dxa"/>
            <w:vAlign w:val="center"/>
          </w:tcPr>
          <w:p>
            <w:pPr>
              <w:pStyle w:val="22"/>
              <w:bidi w:val="0"/>
              <w:rPr>
                <w:color w:val="auto"/>
                <w:highlight w:val="none"/>
              </w:rPr>
            </w:pPr>
            <w:r>
              <w:rPr>
                <w:color w:val="auto"/>
                <w:highlight w:val="none"/>
              </w:rPr>
              <w:t>2020.10.14</w:t>
            </w:r>
          </w:p>
        </w:tc>
        <w:tc>
          <w:tcPr>
            <w:tcW w:w="2341" w:type="dxa"/>
            <w:vAlign w:val="center"/>
          </w:tcPr>
          <w:p>
            <w:pPr>
              <w:pStyle w:val="22"/>
              <w:bidi w:val="0"/>
              <w:rPr>
                <w:color w:val="auto"/>
                <w:highlight w:val="none"/>
              </w:rPr>
            </w:pPr>
            <w:r>
              <w:rPr>
                <w:color w:val="auto"/>
                <w:highlight w:val="none"/>
              </w:rPr>
              <w:t>2021.8.29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2" w:hRule="atLeast"/>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柏林煤矿矿井</w:t>
            </w:r>
          </w:p>
        </w:tc>
        <w:tc>
          <w:tcPr>
            <w:tcW w:w="5727" w:type="dxa"/>
            <w:gridSpan w:val="2"/>
            <w:vMerge w:val="restart"/>
            <w:vAlign w:val="center"/>
          </w:tcPr>
          <w:p>
            <w:pPr>
              <w:pStyle w:val="22"/>
              <w:bidi w:val="0"/>
              <w:rPr>
                <w:color w:val="auto"/>
                <w:highlight w:val="none"/>
                <w:vertAlign w:val="baseline"/>
              </w:rPr>
            </w:pPr>
            <w:r>
              <w:rPr>
                <w:rFonts w:ascii="Times New Roman" w:hAnsi="Times New Roman" w:cs="Times New Roman"/>
                <w:color w:val="auto"/>
                <w:spacing w:val="-2"/>
                <w:kern w:val="2"/>
                <w:sz w:val="24"/>
                <w:szCs w:val="24"/>
                <w:highlight w:val="none"/>
                <w:lang w:eastAsia="zh-CN"/>
              </w:rPr>
              <w:t>K</w:t>
            </w:r>
            <w:r>
              <w:rPr>
                <w:rFonts w:ascii="Times New Roman" w:hAnsi="Times New Roman" w:cs="Times New Roman"/>
                <w:color w:val="auto"/>
                <w:spacing w:val="-2"/>
                <w:kern w:val="2"/>
                <w:sz w:val="24"/>
                <w:szCs w:val="24"/>
                <w:highlight w:val="none"/>
                <w:vertAlign w:val="superscript"/>
                <w:lang w:eastAsia="zh-CN"/>
              </w:rPr>
              <w:t>+</w:t>
            </w:r>
            <w:r>
              <w:rPr>
                <w:rFonts w:hint="eastAsia" w:ascii="Times New Roman" w:hAnsi="Times New Roman" w:cs="Times New Roman"/>
                <w:color w:val="auto"/>
                <w:spacing w:val="-2"/>
                <w:kern w:val="2"/>
                <w:sz w:val="24"/>
                <w:szCs w:val="24"/>
                <w:highlight w:val="none"/>
                <w:vertAlign w:val="baseline"/>
                <w:lang w:eastAsia="zh-CN"/>
              </w:rPr>
              <w:t>、</w:t>
            </w:r>
            <w:r>
              <w:rPr>
                <w:rFonts w:ascii="Times New Roman" w:hAnsi="Times New Roman" w:cs="Times New Roman"/>
                <w:color w:val="auto"/>
                <w:spacing w:val="-2"/>
                <w:kern w:val="2"/>
                <w:sz w:val="24"/>
                <w:szCs w:val="24"/>
                <w:highlight w:val="none"/>
                <w:lang w:eastAsia="zh-CN"/>
              </w:rPr>
              <w:t>Na</w:t>
            </w:r>
            <w:r>
              <w:rPr>
                <w:rFonts w:ascii="Times New Roman" w:hAnsi="Times New Roman" w:cs="Times New Roman"/>
                <w:color w:val="auto"/>
                <w:spacing w:val="-2"/>
                <w:kern w:val="2"/>
                <w:sz w:val="24"/>
                <w:szCs w:val="24"/>
                <w:highlight w:val="none"/>
                <w:vertAlign w:val="superscript"/>
                <w:lang w:eastAsia="zh-CN"/>
              </w:rPr>
              <w:t>+</w:t>
            </w:r>
            <w:r>
              <w:rPr>
                <w:rFonts w:ascii="Times New Roman" w:hAnsi="Times New Roman" w:cs="Times New Roman"/>
                <w:color w:val="auto"/>
                <w:spacing w:val="-2"/>
                <w:kern w:val="2"/>
                <w:sz w:val="24"/>
                <w:szCs w:val="24"/>
                <w:highlight w:val="none"/>
                <w:lang w:eastAsia="zh-CN"/>
              </w:rPr>
              <w:t>、Ca</w:t>
            </w:r>
            <w:r>
              <w:rPr>
                <w:rFonts w:ascii="Times New Roman" w:hAnsi="Times New Roman" w:cs="Times New Roman"/>
                <w:color w:val="auto"/>
                <w:spacing w:val="-2"/>
                <w:kern w:val="2"/>
                <w:sz w:val="24"/>
                <w:szCs w:val="24"/>
                <w:highlight w:val="none"/>
                <w:vertAlign w:val="superscript"/>
                <w:lang w:eastAsia="zh-CN"/>
              </w:rPr>
              <w:t>2+</w:t>
            </w:r>
            <w:r>
              <w:rPr>
                <w:rFonts w:ascii="Times New Roman" w:hAnsi="Times New Roman" w:cs="Times New Roman"/>
                <w:color w:val="auto"/>
                <w:spacing w:val="-2"/>
                <w:kern w:val="2"/>
                <w:sz w:val="24"/>
                <w:szCs w:val="24"/>
                <w:highlight w:val="none"/>
                <w:lang w:eastAsia="zh-CN"/>
              </w:rPr>
              <w:t>、Mg</w:t>
            </w:r>
            <w:r>
              <w:rPr>
                <w:rFonts w:ascii="Times New Roman" w:hAnsi="Times New Roman" w:cs="Times New Roman"/>
                <w:color w:val="auto"/>
                <w:spacing w:val="-2"/>
                <w:kern w:val="2"/>
                <w:sz w:val="24"/>
                <w:szCs w:val="24"/>
                <w:highlight w:val="none"/>
                <w:vertAlign w:val="superscript"/>
                <w:lang w:eastAsia="zh-CN"/>
              </w:rPr>
              <w:t>2+</w:t>
            </w:r>
            <w:r>
              <w:rPr>
                <w:rFonts w:ascii="Times New Roman" w:hAnsi="Times New Roman" w:cs="Times New Roman"/>
                <w:color w:val="auto"/>
                <w:spacing w:val="-2"/>
                <w:kern w:val="2"/>
                <w:sz w:val="24"/>
                <w:szCs w:val="24"/>
                <w:highlight w:val="none"/>
                <w:lang w:eastAsia="zh-CN"/>
              </w:rPr>
              <w:t>、CO</w:t>
            </w:r>
            <w:r>
              <w:rPr>
                <w:rFonts w:ascii="Times New Roman" w:hAnsi="Times New Roman" w:cs="Times New Roman"/>
                <w:color w:val="auto"/>
                <w:spacing w:val="-2"/>
                <w:kern w:val="2"/>
                <w:sz w:val="24"/>
                <w:szCs w:val="24"/>
                <w:highlight w:val="none"/>
                <w:vertAlign w:val="subscript"/>
                <w:lang w:eastAsia="zh-CN"/>
              </w:rPr>
              <w:t>3</w:t>
            </w:r>
            <w:r>
              <w:rPr>
                <w:rFonts w:ascii="Times New Roman" w:hAnsi="Times New Roman" w:cs="Times New Roman"/>
                <w:color w:val="auto"/>
                <w:spacing w:val="-2"/>
                <w:kern w:val="2"/>
                <w:sz w:val="24"/>
                <w:szCs w:val="24"/>
                <w:highlight w:val="none"/>
                <w:vertAlign w:val="superscript"/>
                <w:lang w:eastAsia="zh-CN"/>
              </w:rPr>
              <w:t>2-</w:t>
            </w:r>
            <w:r>
              <w:rPr>
                <w:rFonts w:ascii="Times New Roman" w:hAnsi="Times New Roman" w:cs="Times New Roman"/>
                <w:color w:val="auto"/>
                <w:spacing w:val="-2"/>
                <w:kern w:val="2"/>
                <w:sz w:val="24"/>
                <w:szCs w:val="24"/>
                <w:highlight w:val="none"/>
                <w:lang w:eastAsia="zh-CN"/>
              </w:rPr>
              <w:t>、HCO</w:t>
            </w:r>
            <w:r>
              <w:rPr>
                <w:rFonts w:ascii="Times New Roman" w:hAnsi="Times New Roman" w:cs="Times New Roman"/>
                <w:color w:val="auto"/>
                <w:spacing w:val="-2"/>
                <w:kern w:val="2"/>
                <w:sz w:val="24"/>
                <w:szCs w:val="24"/>
                <w:highlight w:val="none"/>
                <w:vertAlign w:val="subscript"/>
                <w:lang w:eastAsia="zh-CN"/>
              </w:rPr>
              <w:t>3</w:t>
            </w:r>
            <w:r>
              <w:rPr>
                <w:rFonts w:ascii="Times New Roman" w:hAnsi="Times New Roman" w:cs="Times New Roman"/>
                <w:color w:val="auto"/>
                <w:spacing w:val="-2"/>
                <w:kern w:val="2"/>
                <w:sz w:val="24"/>
                <w:szCs w:val="24"/>
                <w:highlight w:val="none"/>
                <w:vertAlign w:val="superscript"/>
                <w:lang w:eastAsia="zh-CN"/>
              </w:rPr>
              <w:t>-</w:t>
            </w:r>
            <w:r>
              <w:rPr>
                <w:rFonts w:ascii="Times New Roman" w:hAnsi="Times New Roman" w:cs="Times New Roman"/>
                <w:color w:val="auto"/>
                <w:spacing w:val="-2"/>
                <w:kern w:val="2"/>
                <w:sz w:val="24"/>
                <w:szCs w:val="24"/>
                <w:highlight w:val="none"/>
                <w:lang w:eastAsia="zh-CN"/>
              </w:rPr>
              <w:t>、Cl</w:t>
            </w:r>
            <w:r>
              <w:rPr>
                <w:rFonts w:ascii="Times New Roman" w:hAnsi="Times New Roman" w:cs="Times New Roman"/>
                <w:color w:val="auto"/>
                <w:spacing w:val="-2"/>
                <w:kern w:val="2"/>
                <w:sz w:val="24"/>
                <w:szCs w:val="24"/>
                <w:highlight w:val="none"/>
                <w:vertAlign w:val="superscript"/>
                <w:lang w:eastAsia="zh-CN"/>
              </w:rPr>
              <w:t>-</w:t>
            </w:r>
            <w:r>
              <w:rPr>
                <w:rFonts w:ascii="Times New Roman" w:hAnsi="Times New Roman" w:cs="Times New Roman"/>
                <w:color w:val="auto"/>
                <w:spacing w:val="-2"/>
                <w:kern w:val="2"/>
                <w:sz w:val="24"/>
                <w:szCs w:val="24"/>
                <w:highlight w:val="none"/>
                <w:lang w:eastAsia="zh-CN"/>
              </w:rPr>
              <w:t>、SO</w:t>
            </w:r>
            <w:r>
              <w:rPr>
                <w:rFonts w:ascii="Times New Roman" w:hAnsi="Times New Roman" w:cs="Times New Roman"/>
                <w:color w:val="auto"/>
                <w:spacing w:val="-2"/>
                <w:kern w:val="2"/>
                <w:sz w:val="24"/>
                <w:szCs w:val="24"/>
                <w:highlight w:val="none"/>
                <w:vertAlign w:val="subscript"/>
                <w:lang w:eastAsia="zh-CN"/>
              </w:rPr>
              <w:t>4</w:t>
            </w:r>
            <w:r>
              <w:rPr>
                <w:rFonts w:ascii="Times New Roman" w:hAnsi="Times New Roman" w:cs="Times New Roman"/>
                <w:color w:val="auto"/>
                <w:spacing w:val="-2"/>
                <w:kern w:val="2"/>
                <w:sz w:val="24"/>
                <w:szCs w:val="24"/>
                <w:highlight w:val="none"/>
                <w:vertAlign w:val="superscript"/>
                <w:lang w:eastAsia="zh-CN"/>
              </w:rPr>
              <w:t>2-</w:t>
            </w:r>
            <w:r>
              <w:rPr>
                <w:rFonts w:hint="eastAsia" w:ascii="Times New Roman" w:hAnsi="Times New Roman" w:cs="Times New Roman"/>
                <w:color w:val="auto"/>
                <w:spacing w:val="-2"/>
                <w:kern w:val="2"/>
                <w:sz w:val="24"/>
                <w:szCs w:val="24"/>
                <w:highlight w:val="none"/>
                <w:vertAlign w:val="baseline"/>
                <w:lang w:eastAsia="zh-CN"/>
              </w:rPr>
              <w:t>、</w:t>
            </w:r>
            <w:r>
              <w:rPr>
                <w:rFonts w:ascii="Times New Roman" w:hAnsi="Times New Roman" w:cs="Times New Roman"/>
                <w:color w:val="auto"/>
                <w:spacing w:val="-2"/>
                <w:kern w:val="2"/>
                <w:sz w:val="24"/>
                <w:szCs w:val="24"/>
                <w:highlight w:val="none"/>
                <w:lang w:eastAsia="zh-CN"/>
              </w:rPr>
              <w:t>pH、氨氮、硝酸盐、亚硝酸盐、挥发性酚类、</w:t>
            </w:r>
            <w:r>
              <w:rPr>
                <w:rFonts w:hint="eastAsia" w:ascii="Times New Roman" w:hAnsi="Times New Roman" w:cs="Times New Roman"/>
                <w:color w:val="auto"/>
                <w:spacing w:val="-2"/>
                <w:kern w:val="2"/>
                <w:sz w:val="24"/>
                <w:szCs w:val="24"/>
                <w:highlight w:val="none"/>
                <w:lang w:eastAsia="zh-CN"/>
              </w:rPr>
              <w:t>氰化物、</w:t>
            </w:r>
            <w:r>
              <w:rPr>
                <w:rFonts w:ascii="Times New Roman" w:hAnsi="Times New Roman" w:cs="Times New Roman"/>
                <w:color w:val="auto"/>
                <w:spacing w:val="-2"/>
                <w:kern w:val="2"/>
                <w:sz w:val="24"/>
                <w:szCs w:val="24"/>
                <w:highlight w:val="none"/>
                <w:lang w:eastAsia="zh-CN"/>
              </w:rPr>
              <w:t>砷、汞、铬(六价)、总硬度、铅、氟、镉、铁、锰、溶解性总固体、</w:t>
            </w:r>
            <w:r>
              <w:rPr>
                <w:rFonts w:hint="eastAsia" w:ascii="Times New Roman" w:hAnsi="Times New Roman" w:cs="Times New Roman"/>
                <w:color w:val="auto"/>
                <w:spacing w:val="-2"/>
                <w:kern w:val="2"/>
                <w:sz w:val="24"/>
                <w:szCs w:val="24"/>
                <w:highlight w:val="none"/>
                <w:lang w:eastAsia="zh-CN"/>
              </w:rPr>
              <w:t>耗氧量</w:t>
            </w:r>
            <w:r>
              <w:rPr>
                <w:rFonts w:ascii="Times New Roman" w:hAnsi="Times New Roman" w:cs="Times New Roman"/>
                <w:color w:val="auto"/>
                <w:spacing w:val="-2"/>
                <w:kern w:val="2"/>
                <w:sz w:val="24"/>
                <w:szCs w:val="24"/>
                <w:highlight w:val="none"/>
                <w:lang w:eastAsia="zh-CN"/>
              </w:rPr>
              <w:t>、硫酸盐、氯化物、总大肠菌群、细菌总数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49" w:hRule="atLeast"/>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大硐坪煤矿矿井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大河沟煤矿矿井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69" w:hRule="atLeast"/>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田坝煤矿矿井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黑滩煤矿矿井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新桥红星煤矿矿井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堡子煤矿矿井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荣华煤矿矿井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华家沟煤矿矿井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孔家沟煤矿矿井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刘家沟煤矿矿井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牛郎沟煤矿南翼矿井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牛郎沟煤矿北翼矿井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14</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平桥煤矿矿井</w:t>
            </w:r>
          </w:p>
        </w:tc>
        <w:tc>
          <w:tcPr>
            <w:tcW w:w="5727" w:type="dxa"/>
            <w:gridSpan w:val="2"/>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55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2112" w:type="dxa"/>
            <w:vAlign w:val="center"/>
          </w:tcPr>
          <w:p>
            <w:pPr>
              <w:pStyle w:val="22"/>
              <w:bidi w:val="0"/>
              <w:rPr>
                <w:rFonts w:hint="eastAsia" w:eastAsia="宋体"/>
                <w:color w:val="auto"/>
                <w:highlight w:val="none"/>
                <w:lang w:eastAsia="zh-CN"/>
              </w:rPr>
            </w:pPr>
            <w:r>
              <w:rPr>
                <w:rFonts w:hint="eastAsia"/>
                <w:color w:val="auto"/>
                <w:highlight w:val="none"/>
                <w:lang w:eastAsia="zh-CN"/>
              </w:rPr>
              <w:t>观音煤矿矿井</w:t>
            </w:r>
          </w:p>
        </w:tc>
        <w:tc>
          <w:tcPr>
            <w:tcW w:w="5727" w:type="dxa"/>
            <w:gridSpan w:val="2"/>
            <w:vMerge w:val="continue"/>
            <w:vAlign w:val="center"/>
          </w:tcPr>
          <w:p>
            <w:pPr>
              <w:pStyle w:val="22"/>
              <w:bidi w:val="0"/>
              <w:rPr>
                <w:color w:val="auto"/>
                <w:highlight w:val="none"/>
              </w:rPr>
            </w:pPr>
          </w:p>
        </w:tc>
      </w:tr>
    </w:tbl>
    <w:p>
      <w:pPr>
        <w:adjustRightInd w:val="0"/>
        <w:snapToGrid w:val="0"/>
        <w:spacing w:line="360" w:lineRule="auto"/>
        <w:ind w:firstLine="480" w:firstLineChars="200"/>
        <w:rPr>
          <w:color w:val="auto"/>
          <w:sz w:val="24"/>
          <w:highlight w:val="none"/>
        </w:rPr>
      </w:pPr>
    </w:p>
    <w:p>
      <w:pPr>
        <w:bidi w:val="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color w:val="auto"/>
          <w:sz w:val="24"/>
          <w:highlight w:val="none"/>
        </w:rPr>
        <w:t>监测及评价结果</w:t>
      </w:r>
    </w:p>
    <w:p>
      <w:pPr>
        <w:bidi w:val="0"/>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r>
        <w:rPr>
          <w:color w:val="auto"/>
          <w:highlight w:val="none"/>
        </w:rPr>
        <w:t>现状监测因子及统计结果见</w:t>
      </w:r>
      <w:r>
        <w:rPr>
          <w:rFonts w:hint="eastAsia"/>
          <w:color w:val="auto"/>
          <w:highlight w:val="none"/>
          <w:lang w:eastAsia="zh-CN"/>
        </w:rPr>
        <w:t>下表</w:t>
      </w:r>
      <w:r>
        <w:rPr>
          <w:color w:val="auto"/>
          <w:highlight w:val="none"/>
        </w:rPr>
        <w:t>。</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3.2-7</w:t>
      </w:r>
      <w:r>
        <w:rPr>
          <w:color w:val="auto"/>
          <w:highlight w:val="none"/>
          <w:lang w:val="zh-CN"/>
        </w:rPr>
        <w:t xml:space="preserve">  地</w:t>
      </w:r>
      <w:r>
        <w:rPr>
          <w:rFonts w:hint="eastAsia"/>
          <w:color w:val="auto"/>
          <w:highlight w:val="none"/>
          <w:lang w:val="zh-CN"/>
        </w:rPr>
        <w:t>下</w:t>
      </w:r>
      <w:r>
        <w:rPr>
          <w:color w:val="auto"/>
          <w:highlight w:val="none"/>
          <w:lang w:val="zh-CN"/>
        </w:rPr>
        <w:t>水环境质量评价结果</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
        <w:gridCol w:w="983"/>
        <w:gridCol w:w="1032"/>
        <w:gridCol w:w="1033"/>
        <w:gridCol w:w="890"/>
        <w:gridCol w:w="900"/>
        <w:gridCol w:w="894"/>
        <w:gridCol w:w="894"/>
        <w:gridCol w:w="894"/>
        <w:gridCol w:w="894"/>
        <w:gridCol w:w="894"/>
        <w:gridCol w:w="894"/>
        <w:gridCol w:w="895"/>
        <w:gridCol w:w="895"/>
        <w:gridCol w:w="895"/>
        <w:gridCol w:w="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862" w:type="dxa"/>
          </w:tcPr>
          <w:p>
            <w:pPr>
              <w:pStyle w:val="22"/>
              <w:bidi w:val="0"/>
              <w:rPr>
                <w:color w:val="auto"/>
                <w:highlight w:val="none"/>
              </w:rPr>
            </w:pPr>
            <w:r>
              <w:rPr>
                <w:color w:val="auto"/>
                <w:highlight w:val="none"/>
              </w:rPr>
              <w:t>监测项目</w:t>
            </w:r>
          </w:p>
        </w:tc>
        <w:tc>
          <w:tcPr>
            <w:tcW w:w="927" w:type="dxa"/>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973" w:type="dxa"/>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974" w:type="dxa"/>
            <w:vAlign w:val="top"/>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839" w:type="dxa"/>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848" w:type="dxa"/>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843" w:type="dxa"/>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843" w:type="dxa"/>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8</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9</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10</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11</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12</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13</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14</w:t>
            </w:r>
          </w:p>
        </w:tc>
        <w:tc>
          <w:tcPr>
            <w:tcW w:w="843" w:type="dxa"/>
          </w:tcPr>
          <w:p>
            <w:pPr>
              <w:pStyle w:val="22"/>
              <w:bidi w:val="0"/>
              <w:rPr>
                <w:rFonts w:hint="default"/>
                <w:color w:val="auto"/>
                <w:highlight w:val="none"/>
                <w:lang w:val="en-US" w:eastAsia="zh-CN"/>
              </w:rPr>
            </w:pPr>
            <w:r>
              <w:rPr>
                <w:rFonts w:hint="eastAsia"/>
                <w:color w:val="auto"/>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K</w:t>
            </w:r>
            <w:r>
              <w:rPr>
                <w:rFonts w:hint="eastAsia"/>
                <w:color w:val="auto"/>
                <w:sz w:val="21"/>
                <w:szCs w:val="21"/>
                <w:highlight w:val="none"/>
                <w:vertAlign w:val="superscript"/>
                <w:lang w:val="en-US" w:eastAsia="zh-CN"/>
              </w:rPr>
              <w:t>+</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Na</w:t>
            </w:r>
            <w:r>
              <w:rPr>
                <w:rFonts w:hint="eastAsia"/>
                <w:color w:val="auto"/>
                <w:sz w:val="21"/>
                <w:szCs w:val="21"/>
                <w:highlight w:val="none"/>
                <w:vertAlign w:val="superscript"/>
                <w:lang w:val="en-US" w:eastAsia="zh-CN"/>
              </w:rPr>
              <w:t>+</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ascii="Times New Roman" w:hAnsi="Times New Roman" w:cs="Times New Roman"/>
                <w:color w:val="auto"/>
                <w:spacing w:val="-2"/>
                <w:kern w:val="2"/>
                <w:sz w:val="21"/>
                <w:szCs w:val="21"/>
                <w:highlight w:val="none"/>
                <w:lang w:eastAsia="zh-CN"/>
              </w:rPr>
              <w:t>Ca</w:t>
            </w:r>
            <w:r>
              <w:rPr>
                <w:rFonts w:ascii="Times New Roman" w:hAnsi="Times New Roman" w:cs="Times New Roman"/>
                <w:color w:val="auto"/>
                <w:spacing w:val="-2"/>
                <w:kern w:val="2"/>
                <w:sz w:val="21"/>
                <w:szCs w:val="21"/>
                <w:highlight w:val="none"/>
                <w:vertAlign w:val="superscript"/>
                <w:lang w:eastAsia="zh-CN"/>
              </w:rPr>
              <w:t>2+</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eastAsia" w:eastAsia="宋体"/>
                <w:color w:val="auto"/>
                <w:sz w:val="21"/>
                <w:szCs w:val="21"/>
                <w:highlight w:val="none"/>
                <w:lang w:eastAsia="zh-CN"/>
              </w:rPr>
            </w:pPr>
            <w:r>
              <w:rPr>
                <w:rFonts w:ascii="Times New Roman" w:hAnsi="Times New Roman" w:cs="Times New Roman"/>
                <w:color w:val="auto"/>
                <w:spacing w:val="-2"/>
                <w:kern w:val="2"/>
                <w:sz w:val="21"/>
                <w:szCs w:val="21"/>
                <w:highlight w:val="none"/>
                <w:lang w:eastAsia="zh-CN"/>
              </w:rPr>
              <w:t>Mg</w:t>
            </w:r>
            <w:r>
              <w:rPr>
                <w:rFonts w:ascii="Times New Roman" w:hAnsi="Times New Roman" w:cs="Times New Roman"/>
                <w:color w:val="auto"/>
                <w:spacing w:val="-2"/>
                <w:kern w:val="2"/>
                <w:sz w:val="21"/>
                <w:szCs w:val="21"/>
                <w:highlight w:val="none"/>
                <w:vertAlign w:val="superscript"/>
                <w:lang w:eastAsia="zh-CN"/>
              </w:rPr>
              <w:t>2+</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ascii="Times New Roman" w:hAnsi="Times New Roman" w:cs="Times New Roman"/>
                <w:color w:val="auto"/>
                <w:spacing w:val="-2"/>
                <w:kern w:val="2"/>
                <w:sz w:val="21"/>
                <w:szCs w:val="21"/>
                <w:highlight w:val="none"/>
                <w:lang w:eastAsia="zh-CN"/>
              </w:rPr>
              <w:t>CO</w:t>
            </w:r>
            <w:r>
              <w:rPr>
                <w:rFonts w:ascii="Times New Roman" w:hAnsi="Times New Roman" w:cs="Times New Roman"/>
                <w:color w:val="auto"/>
                <w:spacing w:val="-2"/>
                <w:kern w:val="2"/>
                <w:sz w:val="21"/>
                <w:szCs w:val="21"/>
                <w:highlight w:val="none"/>
                <w:vertAlign w:val="subscript"/>
                <w:lang w:eastAsia="zh-CN"/>
              </w:rPr>
              <w:t>3</w:t>
            </w:r>
            <w:r>
              <w:rPr>
                <w:rFonts w:ascii="Times New Roman" w:hAnsi="Times New Roman" w:cs="Times New Roman"/>
                <w:color w:val="auto"/>
                <w:spacing w:val="-2"/>
                <w:kern w:val="2"/>
                <w:sz w:val="21"/>
                <w:szCs w:val="21"/>
                <w:highlight w:val="none"/>
                <w:vertAlign w:val="superscript"/>
                <w:lang w:eastAsia="zh-CN"/>
              </w:rPr>
              <w:t>2-</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ascii="Times New Roman" w:hAnsi="Times New Roman" w:cs="Times New Roman"/>
                <w:color w:val="auto"/>
                <w:spacing w:val="-2"/>
                <w:kern w:val="2"/>
                <w:sz w:val="21"/>
                <w:szCs w:val="21"/>
                <w:highlight w:val="none"/>
                <w:lang w:eastAsia="zh-CN"/>
              </w:rPr>
              <w:t>HCO</w:t>
            </w:r>
            <w:r>
              <w:rPr>
                <w:rFonts w:ascii="Times New Roman" w:hAnsi="Times New Roman" w:cs="Times New Roman"/>
                <w:color w:val="auto"/>
                <w:spacing w:val="-2"/>
                <w:kern w:val="2"/>
                <w:sz w:val="21"/>
                <w:szCs w:val="21"/>
                <w:highlight w:val="none"/>
                <w:vertAlign w:val="subscript"/>
                <w:lang w:eastAsia="zh-CN"/>
              </w:rPr>
              <w:t>3</w:t>
            </w:r>
            <w:r>
              <w:rPr>
                <w:rFonts w:ascii="Times New Roman" w:hAnsi="Times New Roman" w:cs="Times New Roman"/>
                <w:color w:val="auto"/>
                <w:spacing w:val="-2"/>
                <w:kern w:val="2"/>
                <w:sz w:val="21"/>
                <w:szCs w:val="21"/>
                <w:highlight w:val="none"/>
                <w:vertAlign w:val="superscript"/>
                <w:lang w:eastAsia="zh-CN"/>
              </w:rPr>
              <w:t>-</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ascii="Times New Roman" w:hAnsi="Times New Roman" w:cs="Times New Roman"/>
                <w:color w:val="auto"/>
                <w:spacing w:val="-2"/>
                <w:kern w:val="2"/>
                <w:sz w:val="21"/>
                <w:szCs w:val="21"/>
                <w:highlight w:val="none"/>
                <w:lang w:eastAsia="zh-CN"/>
              </w:rPr>
              <w:t>Cl</w:t>
            </w:r>
            <w:r>
              <w:rPr>
                <w:rFonts w:ascii="Times New Roman" w:hAnsi="Times New Roman" w:cs="Times New Roman"/>
                <w:color w:val="auto"/>
                <w:spacing w:val="-2"/>
                <w:kern w:val="2"/>
                <w:sz w:val="21"/>
                <w:szCs w:val="21"/>
                <w:highlight w:val="none"/>
                <w:vertAlign w:val="superscript"/>
                <w:lang w:eastAsia="zh-CN"/>
              </w:rPr>
              <w:t>-</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sz w:val="21"/>
                <w:szCs w:val="21"/>
                <w:highlight w:val="none"/>
                <w:lang w:val="en-US" w:eastAsia="zh-CN"/>
              </w:rPr>
            </w:pPr>
            <w:r>
              <w:rPr>
                <w:rFonts w:ascii="Times New Roman" w:hAnsi="Times New Roman" w:cs="Times New Roman"/>
                <w:color w:val="auto"/>
                <w:spacing w:val="-2"/>
                <w:kern w:val="2"/>
                <w:sz w:val="21"/>
                <w:szCs w:val="21"/>
                <w:highlight w:val="none"/>
                <w:lang w:eastAsia="zh-CN"/>
              </w:rPr>
              <w:t>SO</w:t>
            </w:r>
            <w:r>
              <w:rPr>
                <w:rFonts w:ascii="Times New Roman" w:hAnsi="Times New Roman" w:cs="Times New Roman"/>
                <w:color w:val="auto"/>
                <w:spacing w:val="-2"/>
                <w:kern w:val="2"/>
                <w:sz w:val="21"/>
                <w:szCs w:val="21"/>
                <w:highlight w:val="none"/>
                <w:vertAlign w:val="subscript"/>
                <w:lang w:eastAsia="zh-CN"/>
              </w:rPr>
              <w:t>4</w:t>
            </w:r>
            <w:r>
              <w:rPr>
                <w:rFonts w:ascii="Times New Roman" w:hAnsi="Times New Roman" w:cs="Times New Roman"/>
                <w:color w:val="auto"/>
                <w:spacing w:val="-2"/>
                <w:kern w:val="2"/>
                <w:sz w:val="21"/>
                <w:szCs w:val="21"/>
                <w:highlight w:val="none"/>
                <w:vertAlign w:val="superscript"/>
                <w:lang w:eastAsia="zh-CN"/>
              </w:rPr>
              <w:t>2-</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Pr>
          <w:p>
            <w:pPr>
              <w:pStyle w:val="22"/>
              <w:bidi w:val="0"/>
              <w:rPr>
                <w:rFonts w:hint="default" w:eastAsia="宋体"/>
                <w:color w:val="auto"/>
                <w:highlight w:val="none"/>
                <w:lang w:val="en-US" w:eastAsia="zh-CN"/>
              </w:rPr>
            </w:pPr>
            <w:r>
              <w:rPr>
                <w:rFonts w:hint="eastAsia"/>
                <w:color w:val="auto"/>
                <w:highlight w:val="none"/>
                <w:lang w:val="en-US" w:eastAsia="zh-CN"/>
              </w:rPr>
              <w:t>pH</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氨氮</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硝酸盐</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亚硝酸盐</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挥发酚</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氰化物</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砷</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汞</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六价铬</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总硬度</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铅</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氟</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镉</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铁</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锰</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溶解性总固体</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耗氧量</w:t>
            </w:r>
          </w:p>
        </w:tc>
        <w:tc>
          <w:tcPr>
            <w:tcW w:w="927" w:type="dxa"/>
          </w:tcPr>
          <w:p>
            <w:pPr>
              <w:pStyle w:val="22"/>
              <w:bidi w:val="0"/>
              <w:rPr>
                <w:color w:val="auto"/>
                <w:highlight w:val="none"/>
              </w:rPr>
            </w:pPr>
          </w:p>
        </w:tc>
        <w:tc>
          <w:tcPr>
            <w:tcW w:w="973" w:type="dxa"/>
          </w:tcPr>
          <w:p>
            <w:pPr>
              <w:pStyle w:val="22"/>
              <w:bidi w:val="0"/>
              <w:rPr>
                <w:color w:val="auto"/>
                <w:highlight w:val="none"/>
              </w:rPr>
            </w:pPr>
          </w:p>
        </w:tc>
        <w:tc>
          <w:tcPr>
            <w:tcW w:w="974" w:type="dxa"/>
          </w:tcPr>
          <w:p>
            <w:pPr>
              <w:pStyle w:val="22"/>
              <w:bidi w:val="0"/>
              <w:rPr>
                <w:color w:val="auto"/>
                <w:highlight w:val="none"/>
              </w:rPr>
            </w:pPr>
          </w:p>
        </w:tc>
        <w:tc>
          <w:tcPr>
            <w:tcW w:w="839" w:type="dxa"/>
          </w:tcPr>
          <w:p>
            <w:pPr>
              <w:pStyle w:val="22"/>
              <w:bidi w:val="0"/>
              <w:rPr>
                <w:color w:val="auto"/>
                <w:highlight w:val="none"/>
              </w:rPr>
            </w:pPr>
          </w:p>
        </w:tc>
        <w:tc>
          <w:tcPr>
            <w:tcW w:w="848"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c>
          <w:tcPr>
            <w:tcW w:w="8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eastAsia="宋体"/>
                <w:color w:val="auto"/>
                <w:highlight w:val="none"/>
                <w:lang w:eastAsia="zh-CN"/>
              </w:rPr>
            </w:pPr>
            <w:r>
              <w:rPr>
                <w:rFonts w:hint="eastAsia"/>
                <w:color w:val="auto"/>
                <w:highlight w:val="none"/>
                <w:lang w:eastAsia="zh-CN"/>
              </w:rPr>
              <w:t>硫酸盐</w:t>
            </w:r>
          </w:p>
        </w:tc>
        <w:tc>
          <w:tcPr>
            <w:tcW w:w="927" w:type="dxa"/>
            <w:vAlign w:val="center"/>
          </w:tcPr>
          <w:p>
            <w:pPr>
              <w:pStyle w:val="22"/>
              <w:bidi w:val="0"/>
              <w:rPr>
                <w:color w:val="auto"/>
                <w:highlight w:val="none"/>
              </w:rPr>
            </w:pPr>
          </w:p>
        </w:tc>
        <w:tc>
          <w:tcPr>
            <w:tcW w:w="973" w:type="dxa"/>
            <w:vAlign w:val="center"/>
          </w:tcPr>
          <w:p>
            <w:pPr>
              <w:pStyle w:val="22"/>
              <w:bidi w:val="0"/>
              <w:rPr>
                <w:color w:val="auto"/>
                <w:highlight w:val="none"/>
              </w:rPr>
            </w:pPr>
          </w:p>
        </w:tc>
        <w:tc>
          <w:tcPr>
            <w:tcW w:w="974" w:type="dxa"/>
            <w:vAlign w:val="center"/>
          </w:tcPr>
          <w:p>
            <w:pPr>
              <w:pStyle w:val="22"/>
              <w:bidi w:val="0"/>
              <w:rPr>
                <w:color w:val="auto"/>
                <w:highlight w:val="none"/>
              </w:rPr>
            </w:pPr>
          </w:p>
        </w:tc>
        <w:tc>
          <w:tcPr>
            <w:tcW w:w="839" w:type="dxa"/>
            <w:vAlign w:val="center"/>
          </w:tcPr>
          <w:p>
            <w:pPr>
              <w:pStyle w:val="22"/>
              <w:bidi w:val="0"/>
              <w:rPr>
                <w:color w:val="auto"/>
                <w:highlight w:val="none"/>
              </w:rPr>
            </w:pPr>
          </w:p>
        </w:tc>
        <w:tc>
          <w:tcPr>
            <w:tcW w:w="848"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color w:val="auto"/>
                <w:highlight w:val="none"/>
                <w:lang w:eastAsia="zh-CN"/>
              </w:rPr>
            </w:pPr>
            <w:r>
              <w:rPr>
                <w:rFonts w:hint="eastAsia"/>
                <w:color w:val="auto"/>
                <w:highlight w:val="none"/>
                <w:lang w:eastAsia="zh-CN"/>
              </w:rPr>
              <w:t>氯化物</w:t>
            </w:r>
          </w:p>
        </w:tc>
        <w:tc>
          <w:tcPr>
            <w:tcW w:w="927" w:type="dxa"/>
            <w:vAlign w:val="center"/>
          </w:tcPr>
          <w:p>
            <w:pPr>
              <w:pStyle w:val="22"/>
              <w:bidi w:val="0"/>
              <w:rPr>
                <w:color w:val="auto"/>
                <w:highlight w:val="none"/>
              </w:rPr>
            </w:pPr>
          </w:p>
        </w:tc>
        <w:tc>
          <w:tcPr>
            <w:tcW w:w="973" w:type="dxa"/>
            <w:vAlign w:val="center"/>
          </w:tcPr>
          <w:p>
            <w:pPr>
              <w:pStyle w:val="22"/>
              <w:bidi w:val="0"/>
              <w:rPr>
                <w:color w:val="auto"/>
                <w:highlight w:val="none"/>
              </w:rPr>
            </w:pPr>
          </w:p>
        </w:tc>
        <w:tc>
          <w:tcPr>
            <w:tcW w:w="974" w:type="dxa"/>
            <w:vAlign w:val="center"/>
          </w:tcPr>
          <w:p>
            <w:pPr>
              <w:pStyle w:val="22"/>
              <w:bidi w:val="0"/>
              <w:rPr>
                <w:color w:val="auto"/>
                <w:highlight w:val="none"/>
              </w:rPr>
            </w:pPr>
          </w:p>
        </w:tc>
        <w:tc>
          <w:tcPr>
            <w:tcW w:w="839" w:type="dxa"/>
            <w:vAlign w:val="center"/>
          </w:tcPr>
          <w:p>
            <w:pPr>
              <w:pStyle w:val="22"/>
              <w:bidi w:val="0"/>
              <w:rPr>
                <w:color w:val="auto"/>
                <w:highlight w:val="none"/>
              </w:rPr>
            </w:pPr>
          </w:p>
        </w:tc>
        <w:tc>
          <w:tcPr>
            <w:tcW w:w="848"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default"/>
                <w:color w:val="auto"/>
                <w:highlight w:val="none"/>
                <w:lang w:val="en-US" w:eastAsia="zh-CN"/>
              </w:rPr>
            </w:pPr>
            <w:r>
              <w:rPr>
                <w:rFonts w:hint="eastAsia"/>
                <w:color w:val="auto"/>
                <w:highlight w:val="none"/>
                <w:lang w:val="en-US" w:eastAsia="zh-CN"/>
              </w:rPr>
              <w:t>总大肠菌群</w:t>
            </w:r>
          </w:p>
        </w:tc>
        <w:tc>
          <w:tcPr>
            <w:tcW w:w="927" w:type="dxa"/>
            <w:vAlign w:val="center"/>
          </w:tcPr>
          <w:p>
            <w:pPr>
              <w:pStyle w:val="22"/>
              <w:bidi w:val="0"/>
              <w:rPr>
                <w:color w:val="auto"/>
                <w:highlight w:val="none"/>
              </w:rPr>
            </w:pPr>
          </w:p>
        </w:tc>
        <w:tc>
          <w:tcPr>
            <w:tcW w:w="973" w:type="dxa"/>
            <w:vAlign w:val="center"/>
          </w:tcPr>
          <w:p>
            <w:pPr>
              <w:pStyle w:val="22"/>
              <w:bidi w:val="0"/>
              <w:rPr>
                <w:color w:val="auto"/>
                <w:highlight w:val="none"/>
              </w:rPr>
            </w:pPr>
          </w:p>
        </w:tc>
        <w:tc>
          <w:tcPr>
            <w:tcW w:w="974" w:type="dxa"/>
            <w:vAlign w:val="center"/>
          </w:tcPr>
          <w:p>
            <w:pPr>
              <w:pStyle w:val="22"/>
              <w:bidi w:val="0"/>
              <w:rPr>
                <w:color w:val="auto"/>
                <w:highlight w:val="none"/>
              </w:rPr>
            </w:pPr>
          </w:p>
        </w:tc>
        <w:tc>
          <w:tcPr>
            <w:tcW w:w="839" w:type="dxa"/>
            <w:vAlign w:val="center"/>
          </w:tcPr>
          <w:p>
            <w:pPr>
              <w:pStyle w:val="22"/>
              <w:bidi w:val="0"/>
              <w:rPr>
                <w:color w:val="auto"/>
                <w:highlight w:val="none"/>
              </w:rPr>
            </w:pPr>
          </w:p>
        </w:tc>
        <w:tc>
          <w:tcPr>
            <w:tcW w:w="848"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vAlign w:val="center"/>
          </w:tcPr>
          <w:p>
            <w:pPr>
              <w:pStyle w:val="22"/>
              <w:bidi w:val="0"/>
              <w:rPr>
                <w:rFonts w:hint="eastAsia"/>
                <w:color w:val="auto"/>
                <w:highlight w:val="none"/>
                <w:lang w:val="en-US" w:eastAsia="zh-CN"/>
              </w:rPr>
            </w:pPr>
            <w:r>
              <w:rPr>
                <w:rFonts w:hint="eastAsia"/>
                <w:color w:val="auto"/>
                <w:highlight w:val="none"/>
                <w:lang w:val="en-US" w:eastAsia="zh-CN"/>
              </w:rPr>
              <w:t>细菌总数</w:t>
            </w:r>
          </w:p>
        </w:tc>
        <w:tc>
          <w:tcPr>
            <w:tcW w:w="927" w:type="dxa"/>
            <w:vAlign w:val="center"/>
          </w:tcPr>
          <w:p>
            <w:pPr>
              <w:pStyle w:val="22"/>
              <w:bidi w:val="0"/>
              <w:rPr>
                <w:color w:val="auto"/>
                <w:highlight w:val="none"/>
              </w:rPr>
            </w:pPr>
          </w:p>
        </w:tc>
        <w:tc>
          <w:tcPr>
            <w:tcW w:w="973" w:type="dxa"/>
            <w:vAlign w:val="center"/>
          </w:tcPr>
          <w:p>
            <w:pPr>
              <w:pStyle w:val="22"/>
              <w:bidi w:val="0"/>
              <w:rPr>
                <w:color w:val="auto"/>
                <w:highlight w:val="none"/>
              </w:rPr>
            </w:pPr>
          </w:p>
        </w:tc>
        <w:tc>
          <w:tcPr>
            <w:tcW w:w="974" w:type="dxa"/>
            <w:vAlign w:val="center"/>
          </w:tcPr>
          <w:p>
            <w:pPr>
              <w:pStyle w:val="22"/>
              <w:bidi w:val="0"/>
              <w:rPr>
                <w:color w:val="auto"/>
                <w:highlight w:val="none"/>
              </w:rPr>
            </w:pPr>
          </w:p>
        </w:tc>
        <w:tc>
          <w:tcPr>
            <w:tcW w:w="839" w:type="dxa"/>
            <w:vAlign w:val="center"/>
          </w:tcPr>
          <w:p>
            <w:pPr>
              <w:pStyle w:val="22"/>
              <w:bidi w:val="0"/>
              <w:rPr>
                <w:color w:val="auto"/>
                <w:highlight w:val="none"/>
              </w:rPr>
            </w:pPr>
          </w:p>
        </w:tc>
        <w:tc>
          <w:tcPr>
            <w:tcW w:w="848"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c>
          <w:tcPr>
            <w:tcW w:w="843" w:type="dxa"/>
            <w:vAlign w:val="center"/>
          </w:tcPr>
          <w:p>
            <w:pPr>
              <w:pStyle w:val="22"/>
              <w:bidi w:val="0"/>
              <w:rPr>
                <w:color w:val="auto"/>
                <w:highlight w:val="none"/>
              </w:rPr>
            </w:pPr>
          </w:p>
        </w:tc>
      </w:tr>
    </w:tbl>
    <w:p>
      <w:pPr>
        <w:pStyle w:val="10"/>
        <w:rPr>
          <w:color w:val="auto"/>
          <w:highlight w:val="none"/>
        </w:rPr>
        <w:sectPr>
          <w:pgSz w:w="16840" w:h="11910" w:orient="landscape"/>
          <w:pgMar w:top="1260" w:right="1360" w:bottom="1240" w:left="1000" w:header="902" w:footer="804" w:gutter="0"/>
          <w:pgBorders>
            <w:top w:val="none" w:sz="0" w:space="0"/>
            <w:left w:val="none" w:sz="0" w:space="0"/>
            <w:bottom w:val="none" w:sz="0" w:space="0"/>
            <w:right w:val="none" w:sz="0" w:space="0"/>
          </w:pgBorders>
          <w:pgNumType w:fmt="decimal"/>
          <w:cols w:space="720" w:num="1"/>
        </w:sectPr>
      </w:pPr>
    </w:p>
    <w:p>
      <w:pPr>
        <w:bidi w:val="0"/>
        <w:rPr>
          <w:color w:val="auto"/>
          <w:highlight w:val="none"/>
        </w:rPr>
      </w:pPr>
      <w:r>
        <w:rPr>
          <w:color w:val="auto"/>
          <w:sz w:val="24"/>
          <w:highlight w:val="none"/>
        </w:rPr>
        <w:t>从</w:t>
      </w:r>
      <w:r>
        <w:rPr>
          <w:rFonts w:hint="eastAsia"/>
          <w:color w:val="auto"/>
          <w:sz w:val="24"/>
          <w:highlight w:val="none"/>
          <w:lang w:eastAsia="zh-CN"/>
        </w:rPr>
        <w:t>上表</w:t>
      </w:r>
      <w:r>
        <w:rPr>
          <w:color w:val="auto"/>
          <w:sz w:val="24"/>
          <w:highlight w:val="none"/>
        </w:rPr>
        <w:t>看，本次监测数据表明监测点的地下水各项监测因子均满足《地下水质量标准》（GB/T 14848-2017）中的Ⅲ类标准的要求，地下水环境质量较好。</w:t>
      </w:r>
    </w:p>
    <w:p>
      <w:pPr>
        <w:pStyle w:val="6"/>
        <w:numPr>
          <w:ilvl w:val="2"/>
          <w:numId w:val="5"/>
        </w:numPr>
        <w:bidi w:val="0"/>
        <w:rPr>
          <w:color w:val="auto"/>
          <w:highlight w:val="none"/>
        </w:rPr>
      </w:pPr>
      <w:bookmarkStart w:id="203" w:name="3.2.3 土壤环境质量现状"/>
      <w:bookmarkEnd w:id="203"/>
      <w:bookmarkStart w:id="204" w:name="3.2.3 土壤环境质量现状"/>
      <w:bookmarkEnd w:id="204"/>
      <w:bookmarkStart w:id="205" w:name="_Toc16511"/>
      <w:bookmarkStart w:id="206" w:name="_Toc15574"/>
      <w:r>
        <w:rPr>
          <w:color w:val="auto"/>
          <w:highlight w:val="none"/>
        </w:rPr>
        <w:t>土壤环境质量现状</w:t>
      </w:r>
      <w:bookmarkEnd w:id="205"/>
      <w:bookmarkEnd w:id="206"/>
    </w:p>
    <w:p>
      <w:pPr>
        <w:bidi w:val="0"/>
        <w:rPr>
          <w:color w:val="auto"/>
          <w:highlight w:val="none"/>
        </w:rPr>
      </w:pPr>
      <w:r>
        <w:rPr>
          <w:color w:val="auto"/>
          <w:highlight w:val="none"/>
        </w:rPr>
        <w:t>为了解规划区环境质量现状，本次评价对规划区内的</w:t>
      </w:r>
      <w:r>
        <w:rPr>
          <w:rFonts w:hint="eastAsia"/>
          <w:color w:val="auto"/>
          <w:highlight w:val="none"/>
          <w:lang w:eastAsia="zh-CN"/>
        </w:rPr>
        <w:t>土壤</w:t>
      </w:r>
      <w:r>
        <w:rPr>
          <w:color w:val="auto"/>
          <w:highlight w:val="none"/>
        </w:rPr>
        <w:t>进行了现状监测</w:t>
      </w:r>
      <w:r>
        <w:rPr>
          <w:rFonts w:hint="eastAsia"/>
          <w:color w:val="auto"/>
          <w:highlight w:val="none"/>
          <w:lang w:eastAsia="zh-CN"/>
        </w:rPr>
        <w:t>。</w:t>
      </w:r>
    </w:p>
    <w:p>
      <w:pPr>
        <w:bidi w:val="0"/>
        <w:rPr>
          <w:color w:val="auto"/>
          <w:highlight w:val="none"/>
        </w:rPr>
      </w:pPr>
      <w:r>
        <w:rPr>
          <w:color w:val="auto"/>
          <w:highlight w:val="none"/>
        </w:rPr>
        <w:t>（1）监测布点</w:t>
      </w:r>
    </w:p>
    <w:p>
      <w:pPr>
        <w:bidi w:val="0"/>
        <w:rPr>
          <w:color w:val="auto"/>
          <w:highlight w:val="none"/>
        </w:rPr>
      </w:pPr>
      <w:r>
        <w:rPr>
          <w:color w:val="auto"/>
          <w:highlight w:val="none"/>
        </w:rPr>
        <w:t>根据区域用地现状并结合规划情况，在园区及周边共布设</w:t>
      </w:r>
      <w:r>
        <w:rPr>
          <w:rFonts w:hint="eastAsia"/>
          <w:color w:val="auto"/>
          <w:highlight w:val="none"/>
          <w:lang w:val="en-US" w:eastAsia="zh-CN"/>
        </w:rPr>
        <w:t>21</w:t>
      </w:r>
      <w:r>
        <w:rPr>
          <w:color w:val="auto"/>
          <w:highlight w:val="none"/>
        </w:rPr>
        <w:t>个土壤监测点，见下表及附图。</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3.2-8</w:t>
      </w:r>
      <w:r>
        <w:rPr>
          <w:rFonts w:hint="eastAsia"/>
          <w:color w:val="auto"/>
          <w:highlight w:val="none"/>
        </w:rPr>
        <w:t xml:space="preserve">  土壤监测布点</w:t>
      </w:r>
    </w:p>
    <w:tbl>
      <w:tblPr>
        <w:tblStyle w:val="17"/>
        <w:tblW w:w="83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346"/>
        <w:gridCol w:w="3701"/>
        <w:gridCol w:w="3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color w:val="auto"/>
                <w:highlight w:val="none"/>
              </w:rPr>
            </w:pPr>
            <w:r>
              <w:rPr>
                <w:color w:val="auto"/>
                <w:highlight w:val="none"/>
              </w:rPr>
              <w:t>断面号</w:t>
            </w:r>
          </w:p>
        </w:tc>
        <w:tc>
          <w:tcPr>
            <w:tcW w:w="3701" w:type="dxa"/>
            <w:vAlign w:val="center"/>
          </w:tcPr>
          <w:p>
            <w:pPr>
              <w:pStyle w:val="22"/>
              <w:bidi w:val="0"/>
              <w:rPr>
                <w:color w:val="auto"/>
                <w:highlight w:val="none"/>
              </w:rPr>
            </w:pPr>
            <w:r>
              <w:rPr>
                <w:color w:val="auto"/>
                <w:highlight w:val="none"/>
              </w:rPr>
              <w:t>监测点位</w:t>
            </w:r>
          </w:p>
        </w:tc>
        <w:tc>
          <w:tcPr>
            <w:tcW w:w="3342" w:type="dxa"/>
            <w:vAlign w:val="center"/>
          </w:tcPr>
          <w:p>
            <w:pPr>
              <w:pStyle w:val="22"/>
              <w:bidi w:val="0"/>
              <w:rPr>
                <w:color w:val="auto"/>
                <w:highlight w:val="none"/>
              </w:rPr>
            </w:pPr>
            <w:r>
              <w:rPr>
                <w:color w:val="auto"/>
                <w:highlight w:val="none"/>
              </w:rPr>
              <w:t>用地类型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柏林煤矿厂区</w:t>
            </w:r>
          </w:p>
        </w:tc>
        <w:tc>
          <w:tcPr>
            <w:tcW w:w="3342"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建设用地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大硐坪煤矿厂区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大河沟煤矿厂区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田坝煤矿厂区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黑滩煤矿厂区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新桥红星煤矿厂区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堡子煤矿矸石场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荣华煤矿矸石场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华家沟煤矿厂区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孔家沟煤矿矸石场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刘家沟煤矿厂区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牛郎沟煤矿矸石场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平桥煤矿厂区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14</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观音煤矿矸石场</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华蓥山北段矿区西侧杨家院子</w:t>
            </w:r>
          </w:p>
        </w:tc>
        <w:tc>
          <w:tcPr>
            <w:tcW w:w="3342"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农用地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16</w:t>
            </w:r>
          </w:p>
        </w:tc>
        <w:tc>
          <w:tcPr>
            <w:tcW w:w="3701" w:type="dxa"/>
            <w:vAlign w:val="center"/>
          </w:tcPr>
          <w:p>
            <w:pPr>
              <w:pStyle w:val="22"/>
              <w:bidi w:val="0"/>
              <w:rPr>
                <w:rFonts w:hint="eastAsia"/>
                <w:color w:val="auto"/>
                <w:highlight w:val="none"/>
              </w:rPr>
            </w:pPr>
            <w:r>
              <w:rPr>
                <w:rFonts w:hint="eastAsia"/>
                <w:color w:val="auto"/>
                <w:highlight w:val="none"/>
                <w:lang w:eastAsia="zh-CN"/>
              </w:rPr>
              <w:t>华蓥山北段矿区中部桂花村</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w:t>
            </w:r>
          </w:p>
        </w:tc>
        <w:tc>
          <w:tcPr>
            <w:tcW w:w="3701" w:type="dxa"/>
            <w:vAlign w:val="center"/>
          </w:tcPr>
          <w:p>
            <w:pPr>
              <w:pStyle w:val="22"/>
              <w:bidi w:val="0"/>
              <w:rPr>
                <w:rFonts w:hint="eastAsia"/>
                <w:color w:val="auto"/>
                <w:highlight w:val="none"/>
              </w:rPr>
            </w:pPr>
            <w:r>
              <w:rPr>
                <w:rFonts w:hint="eastAsia"/>
                <w:color w:val="auto"/>
                <w:highlight w:val="none"/>
                <w:lang w:eastAsia="zh-CN"/>
              </w:rPr>
              <w:t>华蓥山北段矿区南部何家村</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18</w:t>
            </w:r>
          </w:p>
        </w:tc>
        <w:tc>
          <w:tcPr>
            <w:tcW w:w="3701" w:type="dxa"/>
            <w:vAlign w:val="center"/>
          </w:tcPr>
          <w:p>
            <w:pPr>
              <w:pStyle w:val="22"/>
              <w:bidi w:val="0"/>
              <w:rPr>
                <w:rFonts w:hint="eastAsia"/>
                <w:color w:val="auto"/>
                <w:highlight w:val="none"/>
              </w:rPr>
            </w:pPr>
            <w:r>
              <w:rPr>
                <w:rFonts w:hint="eastAsia"/>
                <w:color w:val="auto"/>
                <w:highlight w:val="none"/>
                <w:lang w:eastAsia="zh-CN"/>
              </w:rPr>
              <w:t>华蓥山北段矿区南部赵家坝</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color w:val="auto"/>
                <w:highlight w:val="none"/>
                <w:lang w:val="en-US" w:eastAsia="zh-CN"/>
              </w:rPr>
            </w:pPr>
            <w:r>
              <w:rPr>
                <w:rFonts w:hint="eastAsia"/>
                <w:color w:val="auto"/>
                <w:highlight w:val="none"/>
                <w:lang w:val="en-US" w:eastAsia="zh-CN"/>
              </w:rPr>
              <w:t>19</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明月峡矿段北部倒流沟附近</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color w:val="auto"/>
                <w:highlight w:val="none"/>
                <w:lang w:val="en-US" w:eastAsia="zh-CN"/>
              </w:rPr>
            </w:pPr>
            <w:r>
              <w:rPr>
                <w:rFonts w:hint="eastAsia"/>
                <w:color w:val="auto"/>
                <w:highlight w:val="none"/>
                <w:lang w:val="en-US" w:eastAsia="zh-CN"/>
              </w:rPr>
              <w:t>20</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明月峡矿段南部刘家寨附近</w:t>
            </w:r>
          </w:p>
        </w:tc>
        <w:tc>
          <w:tcPr>
            <w:tcW w:w="3342"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1346" w:type="dxa"/>
            <w:vAlign w:val="center"/>
          </w:tcPr>
          <w:p>
            <w:pPr>
              <w:pStyle w:val="22"/>
              <w:bidi w:val="0"/>
              <w:rPr>
                <w:rFonts w:hint="default"/>
                <w:color w:val="auto"/>
                <w:highlight w:val="none"/>
                <w:lang w:val="en-US" w:eastAsia="zh-CN"/>
              </w:rPr>
            </w:pPr>
            <w:r>
              <w:rPr>
                <w:rFonts w:hint="eastAsia"/>
                <w:color w:val="auto"/>
                <w:highlight w:val="none"/>
                <w:lang w:val="en-US" w:eastAsia="zh-CN"/>
              </w:rPr>
              <w:t>21</w:t>
            </w:r>
          </w:p>
        </w:tc>
        <w:tc>
          <w:tcPr>
            <w:tcW w:w="3701" w:type="dxa"/>
            <w:vAlign w:val="center"/>
          </w:tcPr>
          <w:p>
            <w:pPr>
              <w:pStyle w:val="22"/>
              <w:bidi w:val="0"/>
              <w:rPr>
                <w:rFonts w:hint="eastAsia" w:eastAsia="宋体"/>
                <w:color w:val="auto"/>
                <w:highlight w:val="none"/>
                <w:lang w:eastAsia="zh-CN"/>
              </w:rPr>
            </w:pPr>
            <w:r>
              <w:rPr>
                <w:rFonts w:hint="eastAsia"/>
                <w:color w:val="auto"/>
                <w:highlight w:val="none"/>
                <w:lang w:eastAsia="zh-CN"/>
              </w:rPr>
              <w:t>中山矿段南部牛心村附近</w:t>
            </w:r>
          </w:p>
        </w:tc>
        <w:tc>
          <w:tcPr>
            <w:tcW w:w="3342" w:type="dxa"/>
            <w:vMerge w:val="continue"/>
            <w:vAlign w:val="center"/>
          </w:tcPr>
          <w:p>
            <w:pPr>
              <w:pStyle w:val="22"/>
              <w:bidi w:val="0"/>
              <w:rPr>
                <w:color w:val="auto"/>
                <w:highlight w:val="none"/>
              </w:rPr>
            </w:pPr>
          </w:p>
        </w:tc>
      </w:tr>
    </w:tbl>
    <w:p>
      <w:pPr>
        <w:adjustRightInd w:val="0"/>
        <w:snapToGrid w:val="0"/>
        <w:spacing w:line="360" w:lineRule="auto"/>
        <w:ind w:firstLine="480" w:firstLineChars="200"/>
        <w:rPr>
          <w:color w:val="auto"/>
          <w:sz w:val="24"/>
          <w:highlight w:val="none"/>
        </w:rPr>
      </w:pPr>
      <w:r>
        <w:rPr>
          <w:color w:val="auto"/>
          <w:sz w:val="24"/>
          <w:highlight w:val="none"/>
        </w:rPr>
        <w:t>（2）监测项目</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3.2-9</w:t>
      </w:r>
      <w:r>
        <w:rPr>
          <w:color w:val="auto"/>
          <w:highlight w:val="none"/>
          <w:lang w:val="zh-CN"/>
        </w:rPr>
        <w:t xml:space="preserve"> 土壤监测因子</w:t>
      </w:r>
    </w:p>
    <w:tbl>
      <w:tblPr>
        <w:tblStyle w:val="17"/>
        <w:tblW w:w="8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73"/>
        <w:gridCol w:w="5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3" w:type="dxa"/>
            <w:vAlign w:val="center"/>
          </w:tcPr>
          <w:p>
            <w:pPr>
              <w:pStyle w:val="22"/>
              <w:bidi w:val="0"/>
              <w:rPr>
                <w:color w:val="auto"/>
                <w:highlight w:val="none"/>
              </w:rPr>
            </w:pPr>
            <w:r>
              <w:rPr>
                <w:color w:val="auto"/>
                <w:highlight w:val="none"/>
              </w:rPr>
              <w:t>点位名称</w:t>
            </w:r>
          </w:p>
        </w:tc>
        <w:tc>
          <w:tcPr>
            <w:tcW w:w="5973" w:type="dxa"/>
            <w:vAlign w:val="center"/>
          </w:tcPr>
          <w:p>
            <w:pPr>
              <w:pStyle w:val="22"/>
              <w:bidi w:val="0"/>
              <w:rPr>
                <w:color w:val="auto"/>
                <w:highlight w:val="none"/>
              </w:rPr>
            </w:pPr>
            <w:r>
              <w:rPr>
                <w:color w:val="auto"/>
                <w:highlight w:val="none"/>
              </w:rPr>
              <w:t>监测因子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1~14#</w:t>
            </w:r>
          </w:p>
        </w:tc>
        <w:tc>
          <w:tcPr>
            <w:tcW w:w="5973" w:type="dxa"/>
            <w:vAlign w:val="center"/>
          </w:tcPr>
          <w:p>
            <w:pPr>
              <w:pStyle w:val="22"/>
              <w:bidi w:val="0"/>
              <w:rPr>
                <w:color w:val="auto"/>
                <w:highlight w:val="none"/>
              </w:rPr>
            </w:pPr>
            <w:r>
              <w:rPr>
                <w:color w:val="auto"/>
                <w:highlight w:val="none"/>
              </w:rPr>
              <w:t>《</w:t>
            </w:r>
            <w:r>
              <w:rPr>
                <w:rFonts w:hint="eastAsia"/>
                <w:color w:val="auto"/>
                <w:highlight w:val="none"/>
                <w:lang w:val="en-US" w:eastAsia="zh-CN"/>
              </w:rPr>
              <w:t>采集柱状样（0~0.5m，0.5~1.5m，1.5~3m），</w:t>
            </w:r>
            <w:r>
              <w:rPr>
                <w:rFonts w:hint="eastAsia"/>
                <w:color w:val="auto"/>
                <w:highlight w:val="none"/>
                <w:lang w:eastAsia="zh-CN"/>
              </w:rPr>
              <w:t>监测</w:t>
            </w:r>
            <w:r>
              <w:rPr>
                <w:color w:val="auto"/>
                <w:highlight w:val="none"/>
                <w:lang w:eastAsia="zh-CN"/>
              </w:rPr>
              <w:t>《土壤环境质量 建设用地土壤污染风险管控标准（试行）》（GB36600-2018）</w:t>
            </w:r>
            <w:r>
              <w:rPr>
                <w:rFonts w:hint="eastAsia"/>
                <w:color w:val="auto"/>
                <w:highlight w:val="none"/>
                <w:lang w:eastAsia="zh-CN"/>
              </w:rPr>
              <w:t>中的基本项目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15~21#</w:t>
            </w:r>
          </w:p>
        </w:tc>
        <w:tc>
          <w:tcPr>
            <w:tcW w:w="5973" w:type="dxa"/>
            <w:vAlign w:val="center"/>
          </w:tcPr>
          <w:p>
            <w:pPr>
              <w:pStyle w:val="22"/>
              <w:bidi w:val="0"/>
              <w:rPr>
                <w:color w:val="auto"/>
                <w:highlight w:val="none"/>
              </w:rPr>
            </w:pPr>
            <w:r>
              <w:rPr>
                <w:rFonts w:hint="eastAsia"/>
                <w:color w:val="auto"/>
                <w:highlight w:val="none"/>
                <w:lang w:val="en-US" w:eastAsia="zh-CN"/>
              </w:rPr>
              <w:t>监测</w:t>
            </w:r>
            <w:r>
              <w:rPr>
                <w:color w:val="auto"/>
                <w:highlight w:val="none"/>
                <w:lang w:eastAsia="zh-CN"/>
              </w:rPr>
              <w:t>《土壤环境质量 农用地土壤污染风险管控标准（试行）》（GB/15618-2018）中的</w:t>
            </w:r>
            <w:r>
              <w:rPr>
                <w:rFonts w:hint="eastAsia"/>
                <w:color w:val="auto"/>
                <w:highlight w:val="none"/>
                <w:lang w:eastAsia="zh-CN"/>
              </w:rPr>
              <w:t>基本项目</w:t>
            </w:r>
          </w:p>
        </w:tc>
      </w:tr>
    </w:tbl>
    <w:p>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）评价标准</w:t>
      </w:r>
    </w:p>
    <w:p>
      <w:pPr>
        <w:adjustRightInd w:val="0"/>
        <w:snapToGrid w:val="0"/>
        <w:spacing w:line="360" w:lineRule="auto"/>
        <w:ind w:firstLine="480" w:firstLineChars="200"/>
        <w:rPr>
          <w:color w:val="auto"/>
          <w:sz w:val="24"/>
          <w:highlight w:val="none"/>
        </w:rPr>
      </w:pPr>
      <w:r>
        <w:rPr>
          <w:color w:val="auto"/>
          <w:sz w:val="24"/>
          <w:highlight w:val="none"/>
        </w:rPr>
        <w:t>土壤环境质量评价执行《土壤环境质量 建设用地土壤污染风险管控标准（试行）》（GB36600-2018）中相应用地类型的风险筛选值限值以及《土壤环境质量 农用地土壤污染风险管控标准（试行）》（GB15618-2018）。</w:t>
      </w:r>
    </w:p>
    <w:p>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4</w:t>
      </w:r>
      <w:r>
        <w:rPr>
          <w:color w:val="auto"/>
          <w:sz w:val="24"/>
          <w:highlight w:val="none"/>
        </w:rPr>
        <w:t>）分析方法</w:t>
      </w:r>
    </w:p>
    <w:p>
      <w:pPr>
        <w:adjustRightInd w:val="0"/>
        <w:snapToGrid w:val="0"/>
        <w:spacing w:line="360" w:lineRule="auto"/>
        <w:ind w:firstLine="480" w:firstLineChars="200"/>
        <w:rPr>
          <w:color w:val="auto"/>
          <w:sz w:val="24"/>
          <w:highlight w:val="none"/>
        </w:rPr>
      </w:pPr>
      <w:r>
        <w:rPr>
          <w:color w:val="auto"/>
          <w:sz w:val="24"/>
          <w:highlight w:val="none"/>
        </w:rPr>
        <w:t>按照《土壤环境质量 建设用地土壤污染风险管控标准（试行）》（GB36600-2018）以及《土壤环境质量 农用地土壤污染风险管控标准（试行）》（GB15618-2018）中确定的方法进行。评价采用标准指数法，其模式如下：</w:t>
      </w:r>
    </w:p>
    <w:p>
      <w:pPr>
        <w:adjustRightInd w:val="0"/>
        <w:snapToGrid w:val="0"/>
        <w:spacing w:line="360" w:lineRule="auto"/>
        <w:ind w:firstLine="480" w:firstLineChars="200"/>
        <w:jc w:val="center"/>
        <w:rPr>
          <w:color w:val="auto"/>
          <w:sz w:val="24"/>
          <w:highlight w:val="none"/>
        </w:rPr>
      </w:pPr>
      <w:r>
        <w:rPr>
          <w:color w:val="auto"/>
          <w:sz w:val="24"/>
          <w:highlight w:val="none"/>
        </w:rPr>
        <w:t>P</w:t>
      </w:r>
      <w:r>
        <w:rPr>
          <w:color w:val="auto"/>
          <w:sz w:val="24"/>
          <w:highlight w:val="none"/>
          <w:vertAlign w:val="subscript"/>
        </w:rPr>
        <w:t>i</w:t>
      </w:r>
      <w:r>
        <w:rPr>
          <w:color w:val="auto"/>
          <w:sz w:val="24"/>
          <w:highlight w:val="none"/>
        </w:rPr>
        <w:t>=C</w:t>
      </w:r>
      <w:r>
        <w:rPr>
          <w:color w:val="auto"/>
          <w:sz w:val="24"/>
          <w:highlight w:val="none"/>
          <w:vertAlign w:val="subscript"/>
        </w:rPr>
        <w:t>i</w:t>
      </w:r>
      <w:r>
        <w:rPr>
          <w:color w:val="auto"/>
          <w:sz w:val="24"/>
          <w:highlight w:val="none"/>
        </w:rPr>
        <w:t>/S</w:t>
      </w:r>
      <w:r>
        <w:rPr>
          <w:color w:val="auto"/>
          <w:sz w:val="24"/>
          <w:highlight w:val="none"/>
          <w:vertAlign w:val="subscript"/>
        </w:rPr>
        <w:t>i</w:t>
      </w:r>
    </w:p>
    <w:p>
      <w:pPr>
        <w:adjustRightInd w:val="0"/>
        <w:snapToGrid w:val="0"/>
        <w:spacing w:line="360" w:lineRule="auto"/>
        <w:ind w:firstLine="480" w:firstLineChars="200"/>
        <w:rPr>
          <w:i/>
          <w:color w:val="auto"/>
          <w:highlight w:val="none"/>
        </w:rPr>
      </w:pPr>
      <w:r>
        <w:rPr>
          <w:color w:val="auto"/>
          <w:sz w:val="24"/>
          <w:highlight w:val="none"/>
        </w:rPr>
        <w:t xml:space="preserve">    </w:t>
      </w:r>
      <w:r>
        <w:rPr>
          <w:i/>
          <w:color w:val="auto"/>
          <w:highlight w:val="none"/>
        </w:rPr>
        <w:t>式中：P</w:t>
      </w:r>
      <w:r>
        <w:rPr>
          <w:i/>
          <w:color w:val="auto"/>
          <w:highlight w:val="none"/>
          <w:vertAlign w:val="subscript"/>
        </w:rPr>
        <w:t>i</w:t>
      </w:r>
      <w:r>
        <w:rPr>
          <w:i/>
          <w:color w:val="auto"/>
          <w:highlight w:val="none"/>
        </w:rPr>
        <w:t>——第i种污染物的实测浓度值（mg/kg）；</w:t>
      </w:r>
    </w:p>
    <w:p>
      <w:pPr>
        <w:adjustRightInd w:val="0"/>
        <w:snapToGrid w:val="0"/>
        <w:spacing w:line="360" w:lineRule="auto"/>
        <w:ind w:firstLine="480" w:firstLineChars="200"/>
        <w:rPr>
          <w:i/>
          <w:color w:val="auto"/>
          <w:highlight w:val="none"/>
        </w:rPr>
      </w:pPr>
      <w:r>
        <w:rPr>
          <w:i/>
          <w:color w:val="auto"/>
          <w:highlight w:val="none"/>
        </w:rPr>
        <w:t xml:space="preserve">          C</w:t>
      </w:r>
      <w:r>
        <w:rPr>
          <w:i/>
          <w:color w:val="auto"/>
          <w:highlight w:val="none"/>
          <w:vertAlign w:val="subscript"/>
        </w:rPr>
        <w:t>i</w:t>
      </w:r>
      <w:r>
        <w:rPr>
          <w:i/>
          <w:color w:val="auto"/>
          <w:highlight w:val="none"/>
        </w:rPr>
        <w:t>——第i种污染物的环境质量标准值（mg/kg）；</w:t>
      </w:r>
    </w:p>
    <w:p>
      <w:pPr>
        <w:adjustRightInd w:val="0"/>
        <w:snapToGrid w:val="0"/>
        <w:spacing w:line="360" w:lineRule="auto"/>
        <w:ind w:firstLine="480" w:firstLineChars="200"/>
        <w:rPr>
          <w:i/>
          <w:color w:val="auto"/>
          <w:highlight w:val="none"/>
        </w:rPr>
      </w:pPr>
      <w:r>
        <w:rPr>
          <w:i/>
          <w:color w:val="auto"/>
          <w:highlight w:val="none"/>
        </w:rPr>
        <w:t xml:space="preserve">          S</w:t>
      </w:r>
      <w:r>
        <w:rPr>
          <w:i/>
          <w:color w:val="auto"/>
          <w:highlight w:val="none"/>
          <w:vertAlign w:val="subscript"/>
        </w:rPr>
        <w:t>i</w:t>
      </w:r>
      <w:r>
        <w:rPr>
          <w:i/>
          <w:color w:val="auto"/>
          <w:highlight w:val="none"/>
        </w:rPr>
        <w:t>——第i种污染物的评价标准指标。</w:t>
      </w:r>
    </w:p>
    <w:p>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）监测及统计结果</w:t>
      </w:r>
    </w:p>
    <w:p>
      <w:pPr>
        <w:adjustRightInd w:val="0"/>
        <w:snapToGrid w:val="0"/>
        <w:spacing w:line="360" w:lineRule="auto"/>
        <w:ind w:firstLine="480" w:firstLineChars="200"/>
        <w:rPr>
          <w:color w:val="auto"/>
          <w:sz w:val="28"/>
          <w:szCs w:val="28"/>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r>
        <w:rPr>
          <w:color w:val="auto"/>
          <w:sz w:val="24"/>
          <w:highlight w:val="none"/>
        </w:rPr>
        <w:t>根据以上计算模式，结合监测结果和评价标准，土壤环境质量现状评价结果如</w:t>
      </w:r>
      <w:r>
        <w:rPr>
          <w:rFonts w:hint="eastAsia"/>
          <w:color w:val="auto"/>
          <w:sz w:val="24"/>
          <w:highlight w:val="none"/>
          <w:lang w:eastAsia="zh-CN"/>
        </w:rPr>
        <w:t>下表</w:t>
      </w:r>
      <w:r>
        <w:rPr>
          <w:color w:val="auto"/>
          <w:sz w:val="28"/>
          <w:szCs w:val="28"/>
          <w:highlight w:val="none"/>
        </w:rPr>
        <w:t>。</w:t>
      </w:r>
    </w:p>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3.2-8</w:t>
      </w:r>
      <w:r>
        <w:rPr>
          <w:color w:val="auto"/>
          <w:highlight w:val="none"/>
          <w:lang w:val="zh-CN"/>
        </w:rPr>
        <w:t xml:space="preserve">  </w:t>
      </w:r>
      <w:r>
        <w:rPr>
          <w:rFonts w:hint="eastAsia"/>
          <w:color w:val="auto"/>
          <w:highlight w:val="none"/>
          <w:lang w:val="zh-CN"/>
        </w:rPr>
        <w:t>土壤农用地</w:t>
      </w:r>
      <w:r>
        <w:rPr>
          <w:color w:val="auto"/>
          <w:highlight w:val="none"/>
          <w:lang w:val="zh-CN"/>
        </w:rPr>
        <w:t>环境质量评价结果</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3"/>
        <w:gridCol w:w="1047"/>
        <w:gridCol w:w="1099"/>
        <w:gridCol w:w="1100"/>
        <w:gridCol w:w="948"/>
        <w:gridCol w:w="958"/>
        <w:gridCol w:w="952"/>
        <w:gridCol w:w="952"/>
        <w:gridCol w:w="952"/>
        <w:gridCol w:w="952"/>
        <w:gridCol w:w="952"/>
        <w:gridCol w:w="952"/>
        <w:gridCol w:w="953"/>
        <w:gridCol w:w="953"/>
        <w:gridCol w:w="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973" w:type="dxa"/>
            <w:vAlign w:val="center"/>
          </w:tcPr>
          <w:p>
            <w:pPr>
              <w:pStyle w:val="22"/>
              <w:bidi w:val="0"/>
              <w:rPr>
                <w:color w:val="auto"/>
                <w:highlight w:val="none"/>
              </w:rPr>
            </w:pPr>
            <w:r>
              <w:rPr>
                <w:color w:val="auto"/>
                <w:highlight w:val="none"/>
              </w:rPr>
              <w:t>监测项目</w:t>
            </w:r>
          </w:p>
        </w:tc>
        <w:tc>
          <w:tcPr>
            <w:tcW w:w="1047"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1099"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1100"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948"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958"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952"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952"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952" w:type="dxa"/>
            <w:vAlign w:val="center"/>
          </w:tcPr>
          <w:p>
            <w:pPr>
              <w:pStyle w:val="22"/>
              <w:bidi w:val="0"/>
              <w:rPr>
                <w:rFonts w:hint="default"/>
                <w:color w:val="auto"/>
                <w:highlight w:val="none"/>
                <w:lang w:val="en-US" w:eastAsia="zh-CN"/>
              </w:rPr>
            </w:pPr>
            <w:r>
              <w:rPr>
                <w:rFonts w:hint="eastAsia"/>
                <w:color w:val="auto"/>
                <w:highlight w:val="none"/>
                <w:lang w:val="en-US" w:eastAsia="zh-CN"/>
              </w:rPr>
              <w:t>8</w:t>
            </w:r>
          </w:p>
        </w:tc>
        <w:tc>
          <w:tcPr>
            <w:tcW w:w="952" w:type="dxa"/>
            <w:vAlign w:val="center"/>
          </w:tcPr>
          <w:p>
            <w:pPr>
              <w:pStyle w:val="22"/>
              <w:bidi w:val="0"/>
              <w:rPr>
                <w:rFonts w:hint="default"/>
                <w:color w:val="auto"/>
                <w:highlight w:val="none"/>
                <w:lang w:val="en-US" w:eastAsia="zh-CN"/>
              </w:rPr>
            </w:pPr>
            <w:r>
              <w:rPr>
                <w:rFonts w:hint="eastAsia"/>
                <w:color w:val="auto"/>
                <w:highlight w:val="none"/>
                <w:lang w:val="en-US" w:eastAsia="zh-CN"/>
              </w:rPr>
              <w:t>9</w:t>
            </w:r>
          </w:p>
        </w:tc>
        <w:tc>
          <w:tcPr>
            <w:tcW w:w="952" w:type="dxa"/>
            <w:vAlign w:val="center"/>
          </w:tcPr>
          <w:p>
            <w:pPr>
              <w:pStyle w:val="22"/>
              <w:bidi w:val="0"/>
              <w:rPr>
                <w:rFonts w:hint="default"/>
                <w:color w:val="auto"/>
                <w:highlight w:val="none"/>
                <w:lang w:val="en-US" w:eastAsia="zh-CN"/>
              </w:rPr>
            </w:pPr>
            <w:r>
              <w:rPr>
                <w:rFonts w:hint="eastAsia"/>
                <w:color w:val="auto"/>
                <w:highlight w:val="none"/>
                <w:lang w:val="en-US" w:eastAsia="zh-CN"/>
              </w:rPr>
              <w:t>10</w:t>
            </w:r>
          </w:p>
        </w:tc>
        <w:tc>
          <w:tcPr>
            <w:tcW w:w="952" w:type="dxa"/>
            <w:vAlign w:val="center"/>
          </w:tcPr>
          <w:p>
            <w:pPr>
              <w:pStyle w:val="22"/>
              <w:bidi w:val="0"/>
              <w:rPr>
                <w:rFonts w:hint="default"/>
                <w:color w:val="auto"/>
                <w:highlight w:val="none"/>
                <w:lang w:val="en-US" w:eastAsia="zh-CN"/>
              </w:rPr>
            </w:pPr>
            <w:r>
              <w:rPr>
                <w:rFonts w:hint="eastAsia"/>
                <w:color w:val="auto"/>
                <w:highlight w:val="none"/>
                <w:lang w:val="en-US" w:eastAsia="zh-CN"/>
              </w:rPr>
              <w:t>11</w:t>
            </w:r>
          </w:p>
        </w:tc>
        <w:tc>
          <w:tcPr>
            <w:tcW w:w="953" w:type="dxa"/>
            <w:vAlign w:val="center"/>
          </w:tcPr>
          <w:p>
            <w:pPr>
              <w:pStyle w:val="22"/>
              <w:bidi w:val="0"/>
              <w:rPr>
                <w:rFonts w:hint="default"/>
                <w:color w:val="auto"/>
                <w:highlight w:val="none"/>
                <w:lang w:val="en-US" w:eastAsia="zh-CN"/>
              </w:rPr>
            </w:pPr>
            <w:r>
              <w:rPr>
                <w:rFonts w:hint="eastAsia"/>
                <w:color w:val="auto"/>
                <w:highlight w:val="none"/>
                <w:lang w:val="en-US" w:eastAsia="zh-CN"/>
              </w:rPr>
              <w:t>12</w:t>
            </w:r>
          </w:p>
        </w:tc>
        <w:tc>
          <w:tcPr>
            <w:tcW w:w="953" w:type="dxa"/>
            <w:vAlign w:val="center"/>
          </w:tcPr>
          <w:p>
            <w:pPr>
              <w:pStyle w:val="22"/>
              <w:bidi w:val="0"/>
              <w:rPr>
                <w:rFonts w:hint="default"/>
                <w:color w:val="auto"/>
                <w:highlight w:val="none"/>
                <w:lang w:val="en-US" w:eastAsia="zh-CN"/>
              </w:rPr>
            </w:pPr>
            <w:r>
              <w:rPr>
                <w:rFonts w:hint="eastAsia"/>
                <w:color w:val="auto"/>
                <w:highlight w:val="none"/>
                <w:lang w:val="en-US" w:eastAsia="zh-CN"/>
              </w:rPr>
              <w:t>13</w:t>
            </w:r>
          </w:p>
        </w:tc>
        <w:tc>
          <w:tcPr>
            <w:tcW w:w="953" w:type="dxa"/>
            <w:vAlign w:val="center"/>
          </w:tcPr>
          <w:p>
            <w:pPr>
              <w:pStyle w:val="22"/>
              <w:bidi w:val="0"/>
              <w:rPr>
                <w:rFonts w:hint="default"/>
                <w:color w:val="auto"/>
                <w:highlight w:val="none"/>
                <w:lang w:val="en-US" w:eastAsia="zh-CN"/>
              </w:rPr>
            </w:pPr>
            <w:r>
              <w:rPr>
                <w:rFonts w:hint="eastAsia"/>
                <w:color w:val="auto"/>
                <w:highlight w:val="none"/>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镉</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汞</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砷</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铅</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铬</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铜</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镍</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3"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锌</w:t>
            </w:r>
          </w:p>
        </w:tc>
        <w:tc>
          <w:tcPr>
            <w:tcW w:w="1047" w:type="dxa"/>
            <w:vAlign w:val="center"/>
          </w:tcPr>
          <w:p>
            <w:pPr>
              <w:pStyle w:val="22"/>
              <w:bidi w:val="0"/>
              <w:rPr>
                <w:color w:val="auto"/>
                <w:highlight w:val="none"/>
              </w:rPr>
            </w:pPr>
          </w:p>
        </w:tc>
        <w:tc>
          <w:tcPr>
            <w:tcW w:w="1099" w:type="dxa"/>
            <w:vAlign w:val="center"/>
          </w:tcPr>
          <w:p>
            <w:pPr>
              <w:pStyle w:val="22"/>
              <w:bidi w:val="0"/>
              <w:rPr>
                <w:color w:val="auto"/>
                <w:highlight w:val="none"/>
              </w:rPr>
            </w:pPr>
          </w:p>
        </w:tc>
        <w:tc>
          <w:tcPr>
            <w:tcW w:w="1100" w:type="dxa"/>
            <w:vAlign w:val="center"/>
          </w:tcPr>
          <w:p>
            <w:pPr>
              <w:pStyle w:val="22"/>
              <w:bidi w:val="0"/>
              <w:rPr>
                <w:color w:val="auto"/>
                <w:highlight w:val="none"/>
              </w:rPr>
            </w:pPr>
          </w:p>
        </w:tc>
        <w:tc>
          <w:tcPr>
            <w:tcW w:w="948" w:type="dxa"/>
            <w:vAlign w:val="center"/>
          </w:tcPr>
          <w:p>
            <w:pPr>
              <w:pStyle w:val="22"/>
              <w:bidi w:val="0"/>
              <w:rPr>
                <w:color w:val="auto"/>
                <w:highlight w:val="none"/>
              </w:rPr>
            </w:pPr>
          </w:p>
        </w:tc>
        <w:tc>
          <w:tcPr>
            <w:tcW w:w="958"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2"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c>
          <w:tcPr>
            <w:tcW w:w="953" w:type="dxa"/>
            <w:vAlign w:val="center"/>
          </w:tcPr>
          <w:p>
            <w:pPr>
              <w:pStyle w:val="22"/>
              <w:bidi w:val="0"/>
              <w:rPr>
                <w:color w:val="auto"/>
                <w:highlight w:val="none"/>
              </w:rPr>
            </w:pPr>
          </w:p>
        </w:tc>
      </w:tr>
    </w:tbl>
    <w:p>
      <w:pPr>
        <w:pStyle w:val="22"/>
        <w:bidi w:val="0"/>
        <w:rPr>
          <w:color w:val="auto"/>
          <w:highlight w:val="none"/>
          <w:lang w:val="zh-CN"/>
        </w:rPr>
      </w:pPr>
      <w:r>
        <w:rPr>
          <w:color w:val="auto"/>
          <w:highlight w:val="none"/>
          <w:lang w:val="zh-CN"/>
        </w:rPr>
        <w:t>表</w:t>
      </w:r>
      <w:r>
        <w:rPr>
          <w:rFonts w:hint="eastAsia"/>
          <w:color w:val="auto"/>
          <w:highlight w:val="none"/>
          <w:lang w:val="en-US" w:eastAsia="zh-CN"/>
        </w:rPr>
        <w:t>3.2-9</w:t>
      </w:r>
      <w:r>
        <w:rPr>
          <w:color w:val="auto"/>
          <w:highlight w:val="none"/>
          <w:lang w:val="zh-CN"/>
        </w:rPr>
        <w:t xml:space="preserve">  </w:t>
      </w:r>
      <w:r>
        <w:rPr>
          <w:rFonts w:hint="eastAsia"/>
          <w:color w:val="auto"/>
          <w:highlight w:val="none"/>
          <w:lang w:val="zh-CN"/>
        </w:rPr>
        <w:t>土壤建设用地</w:t>
      </w:r>
      <w:r>
        <w:rPr>
          <w:color w:val="auto"/>
          <w:highlight w:val="none"/>
          <w:lang w:val="zh-CN"/>
        </w:rPr>
        <w:t>环境质量评价结果</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5"/>
        <w:gridCol w:w="2172"/>
        <w:gridCol w:w="2011"/>
        <w:gridCol w:w="2013"/>
        <w:gridCol w:w="1735"/>
        <w:gridCol w:w="1754"/>
        <w:gridCol w:w="1743"/>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1525" w:type="dxa"/>
          </w:tcPr>
          <w:p>
            <w:pPr>
              <w:pStyle w:val="22"/>
              <w:bidi w:val="0"/>
              <w:rPr>
                <w:color w:val="auto"/>
                <w:highlight w:val="none"/>
              </w:rPr>
            </w:pPr>
            <w:r>
              <w:rPr>
                <w:color w:val="auto"/>
                <w:highlight w:val="none"/>
              </w:rPr>
              <w:t>监测项目</w:t>
            </w:r>
          </w:p>
        </w:tc>
        <w:tc>
          <w:tcPr>
            <w:tcW w:w="2172" w:type="dxa"/>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2011" w:type="dxa"/>
          </w:tcPr>
          <w:p>
            <w:pPr>
              <w:pStyle w:val="22"/>
              <w:bidi w:val="0"/>
              <w:rPr>
                <w:rFonts w:hint="default" w:eastAsia="宋体"/>
                <w:color w:val="auto"/>
                <w:highlight w:val="none"/>
                <w:lang w:val="en-US" w:eastAsia="zh-CN"/>
              </w:rPr>
            </w:pPr>
            <w:r>
              <w:rPr>
                <w:rFonts w:hint="eastAsia"/>
                <w:color w:val="auto"/>
                <w:highlight w:val="none"/>
                <w:lang w:val="en-US" w:eastAsia="zh-CN"/>
              </w:rPr>
              <w:t>16</w:t>
            </w:r>
          </w:p>
        </w:tc>
        <w:tc>
          <w:tcPr>
            <w:tcW w:w="2013" w:type="dxa"/>
            <w:vAlign w:val="top"/>
          </w:tcPr>
          <w:p>
            <w:pPr>
              <w:pStyle w:val="22"/>
              <w:bidi w:val="0"/>
              <w:rPr>
                <w:rFonts w:hint="default" w:eastAsia="宋体"/>
                <w:color w:val="auto"/>
                <w:highlight w:val="none"/>
                <w:lang w:val="en-US" w:eastAsia="zh-CN"/>
              </w:rPr>
            </w:pPr>
            <w:r>
              <w:rPr>
                <w:rFonts w:hint="eastAsia"/>
                <w:color w:val="auto"/>
                <w:highlight w:val="none"/>
                <w:lang w:val="en-US" w:eastAsia="zh-CN"/>
              </w:rPr>
              <w:t>17</w:t>
            </w:r>
          </w:p>
        </w:tc>
        <w:tc>
          <w:tcPr>
            <w:tcW w:w="1735" w:type="dxa"/>
          </w:tcPr>
          <w:p>
            <w:pPr>
              <w:pStyle w:val="22"/>
              <w:bidi w:val="0"/>
              <w:rPr>
                <w:rFonts w:hint="default" w:eastAsia="宋体"/>
                <w:color w:val="auto"/>
                <w:highlight w:val="none"/>
                <w:lang w:val="en-US" w:eastAsia="zh-CN"/>
              </w:rPr>
            </w:pPr>
            <w:r>
              <w:rPr>
                <w:rFonts w:hint="eastAsia"/>
                <w:color w:val="auto"/>
                <w:highlight w:val="none"/>
                <w:lang w:val="en-US" w:eastAsia="zh-CN"/>
              </w:rPr>
              <w:t>18</w:t>
            </w:r>
          </w:p>
        </w:tc>
        <w:tc>
          <w:tcPr>
            <w:tcW w:w="1754" w:type="dxa"/>
          </w:tcPr>
          <w:p>
            <w:pPr>
              <w:pStyle w:val="22"/>
              <w:bidi w:val="0"/>
              <w:rPr>
                <w:rFonts w:hint="default" w:eastAsia="宋体"/>
                <w:color w:val="auto"/>
                <w:highlight w:val="none"/>
                <w:lang w:val="en-US" w:eastAsia="zh-CN"/>
              </w:rPr>
            </w:pPr>
            <w:r>
              <w:rPr>
                <w:rFonts w:hint="eastAsia"/>
                <w:color w:val="auto"/>
                <w:highlight w:val="none"/>
                <w:lang w:val="en-US" w:eastAsia="zh-CN"/>
              </w:rPr>
              <w:t>19</w:t>
            </w:r>
          </w:p>
        </w:tc>
        <w:tc>
          <w:tcPr>
            <w:tcW w:w="1743" w:type="dxa"/>
          </w:tcPr>
          <w:p>
            <w:pPr>
              <w:pStyle w:val="22"/>
              <w:bidi w:val="0"/>
              <w:rPr>
                <w:rFonts w:hint="default" w:eastAsia="宋体"/>
                <w:color w:val="auto"/>
                <w:highlight w:val="none"/>
                <w:lang w:val="en-US" w:eastAsia="zh-CN"/>
              </w:rPr>
            </w:pPr>
            <w:r>
              <w:rPr>
                <w:rFonts w:hint="eastAsia"/>
                <w:color w:val="auto"/>
                <w:highlight w:val="none"/>
                <w:lang w:val="en-US" w:eastAsia="zh-CN"/>
              </w:rPr>
              <w:t>20</w:t>
            </w:r>
          </w:p>
        </w:tc>
        <w:tc>
          <w:tcPr>
            <w:tcW w:w="1743" w:type="dxa"/>
          </w:tcPr>
          <w:p>
            <w:pPr>
              <w:pStyle w:val="22"/>
              <w:bidi w:val="0"/>
              <w:rPr>
                <w:rFonts w:hint="default" w:eastAsia="宋体"/>
                <w:color w:val="auto"/>
                <w:highlight w:val="none"/>
                <w:lang w:val="en-US" w:eastAsia="zh-CN"/>
              </w:rPr>
            </w:pPr>
            <w:r>
              <w:rPr>
                <w:rFonts w:hint="eastAsia"/>
                <w:color w:val="auto"/>
                <w:highlight w:val="none"/>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sz w:val="21"/>
                <w:szCs w:val="21"/>
                <w:highlight w:val="none"/>
                <w:lang w:val="en-US" w:eastAsia="zh-CN"/>
              </w:rPr>
              <w:t>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sz w:val="21"/>
                <w:szCs w:val="21"/>
                <w:highlight w:val="none"/>
                <w:lang w:val="en-US" w:eastAsia="zh-CN"/>
              </w:rPr>
              <w:t>镉</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Times New Roman"/>
                <w:color w:val="auto"/>
                <w:spacing w:val="-2"/>
                <w:kern w:val="2"/>
                <w:sz w:val="21"/>
                <w:szCs w:val="21"/>
                <w:highlight w:val="none"/>
                <w:lang w:eastAsia="zh-CN"/>
              </w:rPr>
              <w:t>六价铬</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sz w:val="21"/>
                <w:szCs w:val="21"/>
                <w:highlight w:val="none"/>
                <w:lang w:val="en-US" w:eastAsia="zh-CN"/>
              </w:rPr>
              <w:t>铜</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sz w:val="21"/>
                <w:szCs w:val="21"/>
                <w:highlight w:val="none"/>
                <w:lang w:val="en-US" w:eastAsia="zh-CN"/>
              </w:rPr>
              <w:t>铅</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sz w:val="21"/>
                <w:szCs w:val="21"/>
                <w:highlight w:val="none"/>
                <w:lang w:val="en-US" w:eastAsia="zh-CN"/>
              </w:rPr>
              <w:t>汞</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sz w:val="21"/>
                <w:szCs w:val="21"/>
                <w:highlight w:val="none"/>
                <w:lang w:val="en-US" w:eastAsia="zh-CN"/>
              </w:rPr>
              <w:t>镍</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甲苯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乙苯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间&amp;对-二甲苯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邻-二甲苯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1,2-二氯丙烷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1,1-二氯乙烯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二氯甲烷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反-1,2-二氯乙烯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1,1-二氯乙烷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顺-1,2-二氯乙烯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1,1,1-三氯乙烷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四氯化碳</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1,2-二氯乙烷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三氯乙烯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1,1,2-三氯乙烷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四氯乙烯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1,1,1,2-四氯乙烷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1,1,2,2-四氯乙烷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1,2,3-三氯丙烷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氯苯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1,4-二氯苯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1,2-二氯苯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氯仿</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氯甲烷</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2-氯酚</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萘</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苯并（a）蒽</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䓛</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苯并（b）荧蒽</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苯并（k）荧蒽</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苯并（a）芘</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茚并（1,2,3-cd）芘</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二苯并（a,h）蒽</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硝基苯</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vAlign w:val="center"/>
          </w:tcPr>
          <w:p>
            <w:pPr>
              <w:pStyle w:val="22"/>
              <w:bidi w:val="0"/>
              <w:rPr>
                <w:rFonts w:hint="default"/>
                <w:color w:val="auto"/>
                <w:highlight w:val="none"/>
                <w:lang w:val="en-US" w:eastAsia="zh-CN"/>
              </w:rPr>
            </w:pPr>
            <w:r>
              <w:rPr>
                <w:color w:val="auto"/>
                <w:highlight w:val="none"/>
              </w:rPr>
              <w:t>苯胺</w:t>
            </w:r>
          </w:p>
        </w:tc>
        <w:tc>
          <w:tcPr>
            <w:tcW w:w="2172" w:type="dxa"/>
          </w:tcPr>
          <w:p>
            <w:pPr>
              <w:pStyle w:val="22"/>
              <w:bidi w:val="0"/>
              <w:rPr>
                <w:color w:val="auto"/>
                <w:highlight w:val="none"/>
              </w:rPr>
            </w:pPr>
          </w:p>
        </w:tc>
        <w:tc>
          <w:tcPr>
            <w:tcW w:w="2011" w:type="dxa"/>
          </w:tcPr>
          <w:p>
            <w:pPr>
              <w:pStyle w:val="22"/>
              <w:bidi w:val="0"/>
              <w:rPr>
                <w:color w:val="auto"/>
                <w:highlight w:val="none"/>
              </w:rPr>
            </w:pPr>
          </w:p>
        </w:tc>
        <w:tc>
          <w:tcPr>
            <w:tcW w:w="2013" w:type="dxa"/>
          </w:tcPr>
          <w:p>
            <w:pPr>
              <w:pStyle w:val="22"/>
              <w:bidi w:val="0"/>
              <w:rPr>
                <w:color w:val="auto"/>
                <w:highlight w:val="none"/>
              </w:rPr>
            </w:pPr>
          </w:p>
        </w:tc>
        <w:tc>
          <w:tcPr>
            <w:tcW w:w="1735" w:type="dxa"/>
          </w:tcPr>
          <w:p>
            <w:pPr>
              <w:pStyle w:val="22"/>
              <w:bidi w:val="0"/>
              <w:rPr>
                <w:color w:val="auto"/>
                <w:highlight w:val="none"/>
              </w:rPr>
            </w:pPr>
          </w:p>
        </w:tc>
        <w:tc>
          <w:tcPr>
            <w:tcW w:w="1754" w:type="dxa"/>
          </w:tcPr>
          <w:p>
            <w:pPr>
              <w:pStyle w:val="22"/>
              <w:bidi w:val="0"/>
              <w:rPr>
                <w:color w:val="auto"/>
                <w:highlight w:val="none"/>
              </w:rPr>
            </w:pPr>
          </w:p>
        </w:tc>
        <w:tc>
          <w:tcPr>
            <w:tcW w:w="1743" w:type="dxa"/>
          </w:tcPr>
          <w:p>
            <w:pPr>
              <w:pStyle w:val="22"/>
              <w:bidi w:val="0"/>
              <w:rPr>
                <w:color w:val="auto"/>
                <w:highlight w:val="none"/>
              </w:rPr>
            </w:pPr>
          </w:p>
        </w:tc>
        <w:tc>
          <w:tcPr>
            <w:tcW w:w="1743" w:type="dxa"/>
          </w:tcPr>
          <w:p>
            <w:pPr>
              <w:pStyle w:val="22"/>
              <w:bidi w:val="0"/>
              <w:rPr>
                <w:color w:val="auto"/>
                <w:highlight w:val="none"/>
              </w:rPr>
            </w:pPr>
          </w:p>
        </w:tc>
      </w:tr>
    </w:tbl>
    <w:p>
      <w:pPr>
        <w:pStyle w:val="10"/>
        <w:rPr>
          <w:color w:val="auto"/>
          <w:highlight w:val="none"/>
        </w:rPr>
      </w:pPr>
    </w:p>
    <w:p>
      <w:pPr>
        <w:rPr>
          <w:color w:val="auto"/>
          <w:highlight w:val="none"/>
        </w:rPr>
        <w:sectPr>
          <w:pgSz w:w="16840" w:h="11910" w:orient="landscape"/>
          <w:pgMar w:top="1260" w:right="1360" w:bottom="1240" w:left="1000" w:header="902" w:footer="804" w:gutter="0"/>
          <w:pgBorders>
            <w:top w:val="none" w:sz="0" w:space="0"/>
            <w:left w:val="none" w:sz="0" w:space="0"/>
            <w:bottom w:val="none" w:sz="0" w:space="0"/>
            <w:right w:val="none" w:sz="0" w:space="0"/>
          </w:pgBorders>
          <w:pgNumType w:fmt="decimal"/>
          <w:cols w:space="720" w:num="1"/>
        </w:sectPr>
      </w:pPr>
    </w:p>
    <w:p>
      <w:pPr>
        <w:bidi w:val="0"/>
        <w:rPr>
          <w:color w:val="auto"/>
          <w:highlight w:val="none"/>
        </w:rPr>
      </w:pPr>
      <w:r>
        <w:rPr>
          <w:color w:val="auto"/>
          <w:sz w:val="24"/>
          <w:highlight w:val="none"/>
        </w:rPr>
        <w:t>由上表可见，</w:t>
      </w:r>
      <w:r>
        <w:rPr>
          <w:rFonts w:hint="eastAsia"/>
          <w:color w:val="auto"/>
          <w:sz w:val="24"/>
          <w:highlight w:val="none"/>
          <w:lang w:eastAsia="zh-CN"/>
        </w:rPr>
        <w:t>规划区</w:t>
      </w:r>
      <w:r>
        <w:rPr>
          <w:color w:val="auto"/>
          <w:sz w:val="24"/>
          <w:highlight w:val="none"/>
        </w:rPr>
        <w:t>内</w:t>
      </w:r>
      <w:r>
        <w:rPr>
          <w:rFonts w:hint="eastAsia"/>
          <w:color w:val="auto"/>
          <w:sz w:val="24"/>
          <w:highlight w:val="none"/>
          <w:lang w:eastAsia="zh-CN"/>
        </w:rPr>
        <w:t>建设用地</w:t>
      </w:r>
      <w:r>
        <w:rPr>
          <w:color w:val="auto"/>
          <w:sz w:val="24"/>
          <w:highlight w:val="none"/>
        </w:rPr>
        <w:t>各监测点位的各项监测指标均满足《土壤环境质量 建设用地土壤污染风险管控标准（试行）》（GB36600-2018）中第二类用地筛选值的要求，土壤环境未受到污染；农用地</w:t>
      </w:r>
      <w:r>
        <w:rPr>
          <w:rFonts w:hint="eastAsia"/>
          <w:color w:val="auto"/>
          <w:sz w:val="24"/>
          <w:highlight w:val="none"/>
          <w:lang w:eastAsia="zh-CN"/>
        </w:rPr>
        <w:t>各指</w:t>
      </w:r>
      <w:r>
        <w:rPr>
          <w:color w:val="auto"/>
          <w:sz w:val="24"/>
          <w:highlight w:val="none"/>
        </w:rPr>
        <w:t>标均满足《土壤环境质量 农用地土壤污染风险管控标准（试行）》（GB15618-2018）。总体来说，园区土壤环境较好。</w:t>
      </w:r>
    </w:p>
    <w:p>
      <w:pPr>
        <w:pStyle w:val="6"/>
        <w:numPr>
          <w:ilvl w:val="2"/>
          <w:numId w:val="5"/>
        </w:numPr>
        <w:bidi w:val="0"/>
        <w:rPr>
          <w:color w:val="auto"/>
          <w:highlight w:val="none"/>
        </w:rPr>
      </w:pPr>
      <w:bookmarkStart w:id="207" w:name="3.2.4 声环境质量现状"/>
      <w:bookmarkEnd w:id="207"/>
      <w:bookmarkStart w:id="208" w:name="3.2.4 声环境质量现状"/>
      <w:bookmarkEnd w:id="208"/>
      <w:bookmarkStart w:id="209" w:name="_Toc29264"/>
      <w:bookmarkStart w:id="210" w:name="_Toc17118"/>
      <w:r>
        <w:rPr>
          <w:color w:val="auto"/>
          <w:highlight w:val="none"/>
        </w:rPr>
        <w:t>声环境质量现状</w:t>
      </w:r>
      <w:bookmarkEnd w:id="209"/>
      <w:bookmarkEnd w:id="210"/>
    </w:p>
    <w:p>
      <w:pPr>
        <w:rPr>
          <w:rFonts w:hint="eastAsia"/>
          <w:color w:val="auto"/>
          <w:highlight w:val="none"/>
          <w:lang w:eastAsia="zh-CN"/>
        </w:rPr>
      </w:pPr>
      <w:r>
        <w:rPr>
          <w:color w:val="auto"/>
          <w:highlight w:val="none"/>
        </w:rPr>
        <w:t>为了解规划区环境质量现状，本次评价对规划区内的</w:t>
      </w:r>
      <w:r>
        <w:rPr>
          <w:rFonts w:hint="eastAsia"/>
          <w:color w:val="auto"/>
          <w:highlight w:val="none"/>
          <w:lang w:eastAsia="zh-CN"/>
        </w:rPr>
        <w:t>噪声</w:t>
      </w:r>
      <w:r>
        <w:rPr>
          <w:color w:val="auto"/>
          <w:highlight w:val="none"/>
        </w:rPr>
        <w:t>进行了现状监测</w:t>
      </w:r>
      <w:r>
        <w:rPr>
          <w:rFonts w:hint="eastAsia"/>
          <w:color w:val="auto"/>
          <w:highlight w:val="none"/>
          <w:lang w:eastAsia="zh-CN"/>
        </w:rPr>
        <w:t>。</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监测点布设</w:t>
      </w:r>
    </w:p>
    <w:p>
      <w:pPr>
        <w:adjustRightInd w:val="0"/>
        <w:snapToGrid w:val="0"/>
        <w:spacing w:line="360" w:lineRule="auto"/>
        <w:ind w:firstLine="480" w:firstLineChars="200"/>
        <w:textAlignment w:val="baseline"/>
        <w:rPr>
          <w:color w:val="auto"/>
          <w:sz w:val="24"/>
          <w:highlight w:val="none"/>
        </w:rPr>
      </w:pPr>
      <w:r>
        <w:rPr>
          <w:color w:val="auto"/>
          <w:sz w:val="24"/>
          <w:highlight w:val="none"/>
        </w:rPr>
        <w:t>本</w:t>
      </w:r>
      <w:r>
        <w:rPr>
          <w:rFonts w:hint="eastAsia"/>
          <w:color w:val="auto"/>
          <w:sz w:val="24"/>
          <w:highlight w:val="none"/>
          <w:lang w:eastAsia="zh-CN"/>
        </w:rPr>
        <w:t>次</w:t>
      </w:r>
      <w:r>
        <w:rPr>
          <w:color w:val="auto"/>
          <w:sz w:val="24"/>
          <w:highlight w:val="none"/>
        </w:rPr>
        <w:t>共设</w:t>
      </w:r>
      <w:r>
        <w:rPr>
          <w:rFonts w:hint="eastAsia"/>
          <w:color w:val="auto"/>
          <w:sz w:val="24"/>
          <w:highlight w:val="none"/>
          <w:lang w:val="en-US" w:eastAsia="zh-CN"/>
        </w:rPr>
        <w:t>15</w:t>
      </w:r>
      <w:r>
        <w:rPr>
          <w:color w:val="auto"/>
          <w:sz w:val="24"/>
          <w:highlight w:val="none"/>
        </w:rPr>
        <w:t>个噪声监测点。</w:t>
      </w:r>
    </w:p>
    <w:p>
      <w:pPr>
        <w:pStyle w:val="22"/>
        <w:bidi w:val="0"/>
        <w:rPr>
          <w:color w:val="auto"/>
          <w:highlight w:val="none"/>
          <w:lang w:val="zh-CN"/>
        </w:rPr>
      </w:pPr>
      <w:r>
        <w:rPr>
          <w:rFonts w:hint="eastAsia"/>
          <w:color w:val="auto"/>
          <w:highlight w:val="none"/>
          <w:lang w:eastAsia="zh-CN"/>
        </w:rPr>
        <w:t>表</w:t>
      </w:r>
      <w:r>
        <w:rPr>
          <w:rFonts w:hint="eastAsia"/>
          <w:color w:val="auto"/>
          <w:highlight w:val="none"/>
          <w:lang w:val="en-US" w:eastAsia="zh-CN"/>
        </w:rPr>
        <w:t xml:space="preserve">3.2-10  </w:t>
      </w:r>
      <w:r>
        <w:rPr>
          <w:color w:val="auto"/>
          <w:highlight w:val="none"/>
          <w:lang w:val="zh-CN"/>
        </w:rPr>
        <w:t xml:space="preserve"> 噪声监测布点</w:t>
      </w:r>
    </w:p>
    <w:tbl>
      <w:tblPr>
        <w:tblStyle w:val="17"/>
        <w:tblW w:w="8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1"/>
        <w:gridCol w:w="6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color w:val="auto"/>
                <w:highlight w:val="none"/>
              </w:rPr>
            </w:pPr>
            <w:r>
              <w:rPr>
                <w:color w:val="auto"/>
                <w:highlight w:val="none"/>
              </w:rPr>
              <w:t>监测点号</w:t>
            </w:r>
          </w:p>
        </w:tc>
        <w:tc>
          <w:tcPr>
            <w:tcW w:w="6825" w:type="dxa"/>
            <w:vAlign w:val="center"/>
          </w:tcPr>
          <w:p>
            <w:pPr>
              <w:pStyle w:val="22"/>
              <w:bidi w:val="0"/>
              <w:rPr>
                <w:color w:val="auto"/>
                <w:highlight w:val="none"/>
              </w:rPr>
            </w:pPr>
            <w:r>
              <w:rPr>
                <w:color w:val="auto"/>
                <w:highlight w:val="none"/>
              </w:rPr>
              <w:t>监测点位置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6825"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柏林煤矿工业场地四周边界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6825"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6825"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6825"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华蓥山北段矿区北部柏林镇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华蓥山北段矿区东南角庙坝镇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矿区中部桂花村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矿区南部何家村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矿区南部赵家坝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观音煤矿西侧高河村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牛郎沟煤矿厂区东侧肖家湾附近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平桥煤矿东侧清凉村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平桥煤矿西侧中和场社区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14</w:t>
            </w:r>
          </w:p>
        </w:tc>
        <w:tc>
          <w:tcPr>
            <w:tcW w:w="6825" w:type="dxa"/>
          </w:tcPr>
          <w:p>
            <w:pPr>
              <w:pStyle w:val="22"/>
              <w:bidi w:val="0"/>
              <w:rPr>
                <w:color w:val="auto"/>
                <w:highlight w:val="none"/>
              </w:rPr>
            </w:pPr>
            <w:r>
              <w:rPr>
                <w:rFonts w:hint="eastAsia"/>
                <w:color w:val="auto"/>
                <w:highlight w:val="none"/>
                <w:lang w:eastAsia="zh-CN"/>
              </w:rPr>
              <w:t>明月峡段西侧八渡乡华兴村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6825" w:type="dxa"/>
          </w:tcPr>
          <w:p>
            <w:pPr>
              <w:pStyle w:val="22"/>
              <w:bidi w:val="0"/>
              <w:rPr>
                <w:rFonts w:hint="eastAsia" w:eastAsia="宋体"/>
                <w:color w:val="auto"/>
                <w:highlight w:val="none"/>
                <w:lang w:eastAsia="zh-CN"/>
              </w:rPr>
            </w:pPr>
            <w:r>
              <w:rPr>
                <w:rFonts w:hint="eastAsia"/>
                <w:color w:val="auto"/>
                <w:highlight w:val="none"/>
                <w:lang w:eastAsia="zh-CN"/>
              </w:rPr>
              <w:t>达州市百岛湖职业技术学校</w:t>
            </w:r>
          </w:p>
        </w:tc>
      </w:tr>
    </w:tbl>
    <w:p>
      <w:pPr>
        <w:adjustRightInd w:val="0"/>
        <w:snapToGrid w:val="0"/>
        <w:spacing w:line="348" w:lineRule="auto"/>
        <w:ind w:firstLine="480" w:firstLineChars="200"/>
        <w:rPr>
          <w:color w:val="auto"/>
          <w:sz w:val="24"/>
          <w:highlight w:val="none"/>
        </w:rPr>
      </w:pPr>
      <w:r>
        <w:rPr>
          <w:color w:val="auto"/>
          <w:sz w:val="24"/>
          <w:highlight w:val="none"/>
        </w:rPr>
        <w:t>监测采样</w:t>
      </w:r>
      <w:r>
        <w:rPr>
          <w:rFonts w:hint="eastAsia"/>
          <w:color w:val="auto"/>
          <w:sz w:val="24"/>
          <w:highlight w:val="none"/>
          <w:lang w:eastAsia="zh-CN"/>
        </w:rPr>
        <w:t>于</w:t>
      </w:r>
      <w:r>
        <w:rPr>
          <w:color w:val="auto"/>
          <w:sz w:val="24"/>
          <w:highlight w:val="none"/>
        </w:rPr>
        <w:t>2020年10月11日~14日完成。</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color w:val="auto"/>
          <w:sz w:val="24"/>
          <w:highlight w:val="none"/>
        </w:rPr>
        <w:t>监测及评价结果</w:t>
      </w:r>
    </w:p>
    <w:p>
      <w:pPr>
        <w:adjustRightInd w:val="0"/>
        <w:snapToGrid w:val="0"/>
        <w:spacing w:line="348" w:lineRule="auto"/>
        <w:ind w:firstLine="480" w:firstLineChars="200"/>
        <w:rPr>
          <w:color w:val="auto"/>
          <w:sz w:val="24"/>
          <w:highlight w:val="none"/>
        </w:rPr>
      </w:pPr>
      <w:r>
        <w:rPr>
          <w:color w:val="auto"/>
          <w:sz w:val="24"/>
          <w:highlight w:val="none"/>
        </w:rPr>
        <w:t>监测结果见</w:t>
      </w:r>
      <w:r>
        <w:rPr>
          <w:rFonts w:hint="eastAsia"/>
          <w:color w:val="auto"/>
          <w:sz w:val="24"/>
          <w:highlight w:val="none"/>
          <w:lang w:eastAsia="zh-CN"/>
        </w:rPr>
        <w:t>下表</w:t>
      </w:r>
      <w:r>
        <w:rPr>
          <w:color w:val="auto"/>
          <w:sz w:val="24"/>
          <w:highlight w:val="none"/>
        </w:rPr>
        <w:t>。</w:t>
      </w:r>
    </w:p>
    <w:p>
      <w:pPr>
        <w:pStyle w:val="22"/>
        <w:bidi w:val="0"/>
        <w:rPr>
          <w:color w:val="auto"/>
          <w:highlight w:val="none"/>
          <w:lang w:val="zh-CN"/>
        </w:rPr>
      </w:pPr>
      <w:r>
        <w:rPr>
          <w:color w:val="auto"/>
          <w:highlight w:val="none"/>
          <w:lang w:val="zh-CN"/>
        </w:rPr>
        <w:t>表</w:t>
      </w:r>
      <w:r>
        <w:rPr>
          <w:rFonts w:hint="eastAsia"/>
          <w:color w:val="auto"/>
          <w:highlight w:val="none"/>
        </w:rPr>
        <w:t xml:space="preserve">4.5-18 </w:t>
      </w:r>
      <w:r>
        <w:rPr>
          <w:color w:val="auto"/>
          <w:highlight w:val="none"/>
          <w:lang w:val="zh-CN"/>
        </w:rPr>
        <w:t>环境噪声监测结果与标准比较表dB(A)</w:t>
      </w:r>
    </w:p>
    <w:tbl>
      <w:tblPr>
        <w:tblStyle w:val="17"/>
        <w:tblW w:w="8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1451"/>
        <w:gridCol w:w="1443"/>
        <w:gridCol w:w="1437"/>
        <w:gridCol w:w="1596"/>
        <w:gridCol w:w="20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85" w:type="dxa"/>
            <w:vMerge w:val="restart"/>
            <w:vAlign w:val="center"/>
          </w:tcPr>
          <w:p>
            <w:pPr>
              <w:pStyle w:val="22"/>
              <w:bidi w:val="0"/>
              <w:rPr>
                <w:color w:val="auto"/>
                <w:highlight w:val="none"/>
              </w:rPr>
            </w:pPr>
            <w:r>
              <w:rPr>
                <w:color w:val="auto"/>
                <w:highlight w:val="none"/>
              </w:rPr>
              <w:t>点位</w:t>
            </w:r>
          </w:p>
        </w:tc>
        <w:tc>
          <w:tcPr>
            <w:tcW w:w="2894" w:type="dxa"/>
            <w:gridSpan w:val="2"/>
            <w:vAlign w:val="center"/>
          </w:tcPr>
          <w:p>
            <w:pPr>
              <w:pStyle w:val="22"/>
              <w:bidi w:val="0"/>
              <w:rPr>
                <w:color w:val="auto"/>
                <w:highlight w:val="none"/>
              </w:rPr>
            </w:pPr>
            <w:r>
              <w:rPr>
                <w:color w:val="auto"/>
                <w:highlight w:val="none"/>
              </w:rPr>
              <w:t>2020.10.11、10.13</w:t>
            </w:r>
          </w:p>
        </w:tc>
        <w:tc>
          <w:tcPr>
            <w:tcW w:w="3033" w:type="dxa"/>
            <w:gridSpan w:val="2"/>
            <w:vAlign w:val="center"/>
          </w:tcPr>
          <w:p>
            <w:pPr>
              <w:pStyle w:val="22"/>
              <w:bidi w:val="0"/>
              <w:rPr>
                <w:color w:val="auto"/>
                <w:highlight w:val="none"/>
              </w:rPr>
            </w:pPr>
            <w:r>
              <w:rPr>
                <w:color w:val="auto"/>
                <w:highlight w:val="none"/>
              </w:rPr>
              <w:t>2020.10.12、10.14</w:t>
            </w:r>
          </w:p>
        </w:tc>
        <w:tc>
          <w:tcPr>
            <w:tcW w:w="2034" w:type="dxa"/>
            <w:vMerge w:val="restart"/>
            <w:vAlign w:val="center"/>
          </w:tcPr>
          <w:p>
            <w:pPr>
              <w:pStyle w:val="22"/>
              <w:bidi w:val="0"/>
              <w:rPr>
                <w:color w:val="auto"/>
                <w:highlight w:val="none"/>
              </w:rPr>
            </w:pPr>
            <w:r>
              <w:rPr>
                <w:color w:val="auto"/>
                <w:highlight w:val="none"/>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85" w:type="dxa"/>
            <w:vMerge w:val="continue"/>
            <w:vAlign w:val="center"/>
          </w:tcPr>
          <w:p>
            <w:pPr>
              <w:pStyle w:val="22"/>
              <w:bidi w:val="0"/>
              <w:rPr>
                <w:color w:val="auto"/>
                <w:highlight w:val="none"/>
              </w:rPr>
            </w:pPr>
          </w:p>
        </w:tc>
        <w:tc>
          <w:tcPr>
            <w:tcW w:w="1451" w:type="dxa"/>
            <w:vAlign w:val="center"/>
          </w:tcPr>
          <w:p>
            <w:pPr>
              <w:pStyle w:val="22"/>
              <w:bidi w:val="0"/>
              <w:rPr>
                <w:color w:val="auto"/>
                <w:highlight w:val="none"/>
              </w:rPr>
            </w:pPr>
            <w:r>
              <w:rPr>
                <w:color w:val="auto"/>
                <w:highlight w:val="none"/>
              </w:rPr>
              <w:t>昼间</w:t>
            </w:r>
          </w:p>
        </w:tc>
        <w:tc>
          <w:tcPr>
            <w:tcW w:w="1443" w:type="dxa"/>
            <w:vAlign w:val="center"/>
          </w:tcPr>
          <w:p>
            <w:pPr>
              <w:pStyle w:val="22"/>
              <w:bidi w:val="0"/>
              <w:rPr>
                <w:color w:val="auto"/>
                <w:highlight w:val="none"/>
              </w:rPr>
            </w:pPr>
            <w:r>
              <w:rPr>
                <w:color w:val="auto"/>
                <w:highlight w:val="none"/>
              </w:rPr>
              <w:t>夜间</w:t>
            </w:r>
          </w:p>
        </w:tc>
        <w:tc>
          <w:tcPr>
            <w:tcW w:w="1437" w:type="dxa"/>
            <w:vAlign w:val="center"/>
          </w:tcPr>
          <w:p>
            <w:pPr>
              <w:pStyle w:val="22"/>
              <w:bidi w:val="0"/>
              <w:rPr>
                <w:color w:val="auto"/>
                <w:highlight w:val="none"/>
              </w:rPr>
            </w:pPr>
            <w:r>
              <w:rPr>
                <w:color w:val="auto"/>
                <w:highlight w:val="none"/>
              </w:rPr>
              <w:t>昼间</w:t>
            </w:r>
          </w:p>
        </w:tc>
        <w:tc>
          <w:tcPr>
            <w:tcW w:w="1596" w:type="dxa"/>
            <w:vAlign w:val="center"/>
          </w:tcPr>
          <w:p>
            <w:pPr>
              <w:pStyle w:val="22"/>
              <w:bidi w:val="0"/>
              <w:rPr>
                <w:color w:val="auto"/>
                <w:highlight w:val="none"/>
              </w:rPr>
            </w:pPr>
            <w:r>
              <w:rPr>
                <w:color w:val="auto"/>
                <w:highlight w:val="none"/>
              </w:rPr>
              <w:t>夜间</w:t>
            </w: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1</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restart"/>
            <w:vAlign w:val="center"/>
          </w:tcPr>
          <w:p>
            <w:pPr>
              <w:pStyle w:val="22"/>
              <w:bidi w:val="0"/>
              <w:rPr>
                <w:color w:val="auto"/>
                <w:highlight w:val="none"/>
              </w:rPr>
            </w:pPr>
            <w:r>
              <w:rPr>
                <w:color w:val="auto"/>
                <w:highlight w:val="none"/>
              </w:rPr>
              <w:t>《声环境质量标准》（GB3096-2008）相应标准值</w:t>
            </w:r>
          </w:p>
          <w:p>
            <w:pPr>
              <w:pStyle w:val="22"/>
              <w:bidi w:val="0"/>
              <w:rPr>
                <w:color w:val="auto"/>
                <w:highlight w:val="none"/>
              </w:rPr>
            </w:pPr>
            <w:r>
              <w:rPr>
                <w:color w:val="auto"/>
                <w:highlight w:val="none"/>
              </w:rPr>
              <w:t>2类：昼间60，夜间50</w:t>
            </w:r>
          </w:p>
          <w:p>
            <w:pPr>
              <w:pStyle w:val="22"/>
              <w:bidi w:val="0"/>
              <w:rPr>
                <w:color w:val="auto"/>
                <w:highlight w:val="none"/>
              </w:rPr>
            </w:pPr>
            <w:r>
              <w:rPr>
                <w:color w:val="auto"/>
                <w:highlight w:val="none"/>
              </w:rPr>
              <w:t>4a类：昼间70，夜间55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2</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6</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14</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1451" w:type="dxa"/>
            <w:vAlign w:val="center"/>
          </w:tcPr>
          <w:p>
            <w:pPr>
              <w:pStyle w:val="22"/>
              <w:bidi w:val="0"/>
              <w:rPr>
                <w:color w:val="auto"/>
                <w:highlight w:val="none"/>
              </w:rPr>
            </w:pPr>
          </w:p>
        </w:tc>
        <w:tc>
          <w:tcPr>
            <w:tcW w:w="1443" w:type="dxa"/>
            <w:vAlign w:val="center"/>
          </w:tcPr>
          <w:p>
            <w:pPr>
              <w:pStyle w:val="22"/>
              <w:bidi w:val="0"/>
              <w:rPr>
                <w:color w:val="auto"/>
                <w:highlight w:val="none"/>
              </w:rPr>
            </w:pPr>
          </w:p>
        </w:tc>
        <w:tc>
          <w:tcPr>
            <w:tcW w:w="1437" w:type="dxa"/>
            <w:vAlign w:val="center"/>
          </w:tcPr>
          <w:p>
            <w:pPr>
              <w:pStyle w:val="22"/>
              <w:bidi w:val="0"/>
              <w:rPr>
                <w:color w:val="auto"/>
                <w:highlight w:val="none"/>
              </w:rPr>
            </w:pPr>
          </w:p>
        </w:tc>
        <w:tc>
          <w:tcPr>
            <w:tcW w:w="1596" w:type="dxa"/>
            <w:vAlign w:val="center"/>
          </w:tcPr>
          <w:p>
            <w:pPr>
              <w:pStyle w:val="22"/>
              <w:bidi w:val="0"/>
              <w:rPr>
                <w:color w:val="auto"/>
                <w:highlight w:val="none"/>
              </w:rPr>
            </w:pPr>
          </w:p>
        </w:tc>
        <w:tc>
          <w:tcPr>
            <w:tcW w:w="2034" w:type="dxa"/>
            <w:vMerge w:val="continue"/>
            <w:vAlign w:val="center"/>
          </w:tcPr>
          <w:p>
            <w:pPr>
              <w:pStyle w:val="22"/>
              <w:bidi w:val="0"/>
              <w:rPr>
                <w:color w:val="auto"/>
                <w:highlight w:val="none"/>
              </w:rPr>
            </w:pPr>
          </w:p>
        </w:tc>
      </w:tr>
    </w:tbl>
    <w:p>
      <w:pPr>
        <w:adjustRightInd w:val="0"/>
        <w:snapToGrid w:val="0"/>
        <w:spacing w:line="360" w:lineRule="auto"/>
        <w:ind w:firstLine="480" w:firstLineChars="200"/>
        <w:rPr>
          <w:color w:val="auto"/>
          <w:sz w:val="24"/>
          <w:highlight w:val="none"/>
        </w:rPr>
      </w:pPr>
    </w:p>
    <w:p>
      <w:pPr>
        <w:rPr>
          <w:rFonts w:hint="eastAsia"/>
          <w:color w:val="auto"/>
          <w:highlight w:val="none"/>
          <w:lang w:eastAsia="zh-CN"/>
        </w:rPr>
      </w:pPr>
      <w:r>
        <w:rPr>
          <w:color w:val="auto"/>
          <w:sz w:val="24"/>
          <w:highlight w:val="none"/>
        </w:rPr>
        <w:t>由</w:t>
      </w:r>
      <w:r>
        <w:rPr>
          <w:rFonts w:hint="eastAsia"/>
          <w:color w:val="auto"/>
          <w:sz w:val="24"/>
          <w:highlight w:val="none"/>
          <w:lang w:eastAsia="zh-CN"/>
        </w:rPr>
        <w:t>上表</w:t>
      </w:r>
      <w:r>
        <w:rPr>
          <w:color w:val="auto"/>
          <w:sz w:val="24"/>
          <w:highlight w:val="none"/>
        </w:rPr>
        <w:t>可以看出，各监测点均符合《声环境质量标准》（GB 3096-2008）中相应标准的要求。总的来说，评价区域声学环境较良好。</w:t>
      </w:r>
    </w:p>
    <w:p>
      <w:pPr>
        <w:pStyle w:val="6"/>
        <w:numPr>
          <w:ilvl w:val="2"/>
          <w:numId w:val="5"/>
        </w:numPr>
        <w:bidi w:val="0"/>
        <w:rPr>
          <w:color w:val="auto"/>
          <w:highlight w:val="none"/>
        </w:rPr>
      </w:pPr>
      <w:bookmarkStart w:id="211" w:name="3.2.5 生态环境现状"/>
      <w:bookmarkEnd w:id="211"/>
      <w:bookmarkStart w:id="212" w:name="3.2.5 生态环境现状"/>
      <w:bookmarkEnd w:id="212"/>
      <w:bookmarkStart w:id="213" w:name="_Toc24807"/>
      <w:bookmarkStart w:id="214" w:name="_Toc5196"/>
      <w:r>
        <w:rPr>
          <w:color w:val="auto"/>
          <w:highlight w:val="none"/>
        </w:rPr>
        <w:t>生态环境现状</w:t>
      </w:r>
      <w:bookmarkEnd w:id="213"/>
      <w:bookmarkEnd w:id="214"/>
    </w:p>
    <w:p>
      <w:pPr>
        <w:pStyle w:val="7"/>
        <w:bidi w:val="0"/>
        <w:rPr>
          <w:color w:val="auto"/>
          <w:highlight w:val="none"/>
        </w:rPr>
      </w:pPr>
      <w:r>
        <w:rPr>
          <w:rFonts w:hint="eastAsia"/>
          <w:color w:val="auto"/>
          <w:highlight w:val="none"/>
          <w:lang w:val="en-US" w:eastAsia="zh-CN"/>
        </w:rPr>
        <w:t xml:space="preserve">3.2.6.1 </w:t>
      </w:r>
      <w:r>
        <w:rPr>
          <w:rFonts w:hint="eastAsia"/>
          <w:color w:val="auto"/>
          <w:highlight w:val="none"/>
          <w:lang w:eastAsia="zh-CN"/>
        </w:rPr>
        <w:t>土地利用现状及类型</w:t>
      </w:r>
    </w:p>
    <w:p>
      <w:pPr>
        <w:bidi w:val="0"/>
        <w:rPr>
          <w:rFonts w:eastAsia="华文仿宋"/>
          <w:color w:val="auto"/>
          <w:highlight w:val="none"/>
          <w:lang w:val="zh-CN"/>
        </w:rPr>
      </w:pPr>
      <w:r>
        <w:rPr>
          <w:color w:val="auto"/>
          <w:highlight w:val="none"/>
          <w:lang w:val="zh-CN"/>
        </w:rPr>
        <w:t>结合卫星图片解译结果，</w:t>
      </w:r>
      <w:r>
        <w:rPr>
          <w:rFonts w:hint="eastAsia"/>
          <w:color w:val="auto"/>
          <w:highlight w:val="none"/>
          <w:lang w:val="zh-CN"/>
        </w:rPr>
        <w:t>大竹县</w:t>
      </w:r>
      <w:r>
        <w:rPr>
          <w:color w:val="auto"/>
          <w:highlight w:val="none"/>
        </w:rPr>
        <w:t>煤炭矿区总体规划项目</w:t>
      </w:r>
      <w:r>
        <w:rPr>
          <w:rFonts w:hint="eastAsia"/>
          <w:color w:val="auto"/>
          <w:highlight w:val="none"/>
        </w:rPr>
        <w:t>评价区</w:t>
      </w:r>
      <w:r>
        <w:rPr>
          <w:color w:val="auto"/>
          <w:highlight w:val="none"/>
        </w:rPr>
        <w:t>面积</w:t>
      </w:r>
      <w:r>
        <w:rPr>
          <w:rFonts w:hint="eastAsia"/>
          <w:color w:val="auto"/>
          <w:highlight w:val="none"/>
          <w:lang w:val="en-US" w:eastAsia="zh-CN"/>
        </w:rPr>
        <w:t>279.70</w:t>
      </w:r>
      <w:r>
        <w:rPr>
          <w:color w:val="auto"/>
          <w:highlight w:val="none"/>
        </w:rPr>
        <w:t>km</w:t>
      </w:r>
      <w:r>
        <w:rPr>
          <w:color w:val="auto"/>
          <w:highlight w:val="none"/>
          <w:vertAlign w:val="superscript"/>
        </w:rPr>
        <w:t>2</w:t>
      </w:r>
      <w:r>
        <w:rPr>
          <w:color w:val="auto"/>
          <w:highlight w:val="none"/>
        </w:rPr>
        <w:t>，</w:t>
      </w:r>
      <w:r>
        <w:rPr>
          <w:color w:val="auto"/>
          <w:highlight w:val="none"/>
          <w:lang w:val="zh-CN"/>
        </w:rPr>
        <w:t>根据《土地利用现状分类》（GB/T 21010-2017）标准对评价区进行面积统计见表</w:t>
      </w:r>
      <w:r>
        <w:rPr>
          <w:color w:val="auto"/>
          <w:highlight w:val="none"/>
        </w:rPr>
        <w:t>4</w:t>
      </w:r>
      <w:r>
        <w:rPr>
          <w:color w:val="auto"/>
          <w:highlight w:val="none"/>
          <w:lang w:val="zh-CN"/>
        </w:rPr>
        <w:t>-1。</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项目规划区</w:t>
      </w:r>
      <w:r>
        <w:rPr>
          <w:color w:val="auto"/>
          <w:highlight w:val="none"/>
        </w:rPr>
        <w:t>土地</w:t>
      </w:r>
      <w:r>
        <w:rPr>
          <w:rFonts w:hint="eastAsia"/>
          <w:color w:val="auto"/>
          <w:highlight w:val="none"/>
        </w:rPr>
        <w:t>利用现状及类型</w:t>
      </w:r>
      <w:r>
        <w:rPr>
          <w:color w:val="auto"/>
          <w:highlight w:val="none"/>
        </w:rPr>
        <w:t>统计表</w:t>
      </w:r>
    </w:p>
    <w:tbl>
      <w:tblPr>
        <w:tblStyle w:val="17"/>
        <w:tblW w:w="4830" w:type="pct"/>
        <w:jc w:val="center"/>
        <w:tblLayout w:type="autofit"/>
        <w:tblCellMar>
          <w:top w:w="0" w:type="dxa"/>
          <w:left w:w="108" w:type="dxa"/>
          <w:bottom w:w="0" w:type="dxa"/>
          <w:right w:w="108" w:type="dxa"/>
        </w:tblCellMar>
      </w:tblPr>
      <w:tblGrid>
        <w:gridCol w:w="1360"/>
        <w:gridCol w:w="2959"/>
        <w:gridCol w:w="1906"/>
        <w:gridCol w:w="3074"/>
      </w:tblGrid>
      <w:tr>
        <w:tblPrEx>
          <w:tblCellMar>
            <w:top w:w="0" w:type="dxa"/>
            <w:left w:w="108" w:type="dxa"/>
            <w:bottom w:w="0" w:type="dxa"/>
            <w:right w:w="108" w:type="dxa"/>
          </w:tblCellMar>
        </w:tblPrEx>
        <w:trPr>
          <w:trHeight w:val="425" w:hRule="atLeast"/>
          <w:jc w:val="center"/>
        </w:trPr>
        <w:tc>
          <w:tcPr>
            <w:tcW w:w="73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序号</w:t>
            </w:r>
          </w:p>
        </w:tc>
        <w:tc>
          <w:tcPr>
            <w:tcW w:w="1591"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地类名</w:t>
            </w:r>
          </w:p>
        </w:tc>
        <w:tc>
          <w:tcPr>
            <w:tcW w:w="1025"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面积（</w:t>
            </w:r>
            <w:r>
              <w:rPr>
                <w:rFonts w:hint="eastAsia"/>
                <w:color w:val="auto"/>
                <w:highlight w:val="none"/>
              </w:rPr>
              <w:t>km</w:t>
            </w:r>
            <w:r>
              <w:rPr>
                <w:color w:val="auto"/>
                <w:highlight w:val="none"/>
                <w:vertAlign w:val="superscript"/>
              </w:rPr>
              <w:t>2</w:t>
            </w:r>
            <w:r>
              <w:rPr>
                <w:color w:val="auto"/>
                <w:highlight w:val="none"/>
              </w:rPr>
              <w:t>）</w:t>
            </w:r>
          </w:p>
        </w:tc>
        <w:tc>
          <w:tcPr>
            <w:tcW w:w="165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占</w:t>
            </w:r>
            <w:r>
              <w:rPr>
                <w:rFonts w:hint="eastAsia"/>
                <w:color w:val="auto"/>
                <w:highlight w:val="none"/>
              </w:rPr>
              <w:t>评价区总</w:t>
            </w:r>
            <w:r>
              <w:rPr>
                <w:color w:val="auto"/>
                <w:highlight w:val="none"/>
              </w:rPr>
              <w:t>面积比例（%）</w:t>
            </w:r>
          </w:p>
        </w:tc>
      </w:tr>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bookmarkStart w:id="215" w:name="_Hlk89208075"/>
            <w:r>
              <w:rPr>
                <w:color w:val="auto"/>
                <w:highlight w:val="none"/>
              </w:rPr>
              <w:t>1</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有林地</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139.79</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49.98%</w:t>
            </w:r>
          </w:p>
        </w:tc>
      </w:tr>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2</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灌木林地</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53.90</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19.27%</w:t>
            </w:r>
          </w:p>
        </w:tc>
      </w:tr>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3</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耕地</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65.45</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23.40%</w:t>
            </w:r>
          </w:p>
        </w:tc>
      </w:tr>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4</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城乡居民及工矿用地</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17.09</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6.11%</w:t>
            </w:r>
          </w:p>
        </w:tc>
      </w:tr>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5</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交通运输用地</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2.94</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1.05%</w:t>
            </w:r>
          </w:p>
        </w:tc>
      </w:tr>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6</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水域</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0.54</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0.19%</w:t>
            </w:r>
          </w:p>
        </w:tc>
      </w:tr>
      <w:bookmarkEnd w:id="215"/>
      <w:tr>
        <w:tblPrEx>
          <w:tblCellMar>
            <w:top w:w="0" w:type="dxa"/>
            <w:left w:w="108" w:type="dxa"/>
            <w:bottom w:w="0" w:type="dxa"/>
            <w:right w:w="108" w:type="dxa"/>
          </w:tblCellMar>
        </w:tblPrEx>
        <w:trPr>
          <w:trHeight w:val="42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7</w:t>
            </w:r>
          </w:p>
        </w:tc>
        <w:tc>
          <w:tcPr>
            <w:tcW w:w="159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合计</w:t>
            </w:r>
          </w:p>
        </w:tc>
        <w:tc>
          <w:tcPr>
            <w:tcW w:w="1906"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279.70</w:t>
            </w:r>
          </w:p>
        </w:tc>
        <w:tc>
          <w:tcPr>
            <w:tcW w:w="3074" w:type="dxa"/>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100.0</w:t>
            </w:r>
            <w:r>
              <w:rPr>
                <w:rFonts w:hint="eastAsia"/>
                <w:color w:val="auto"/>
                <w:highlight w:val="none"/>
              </w:rPr>
              <w:t>%</w:t>
            </w:r>
          </w:p>
        </w:tc>
      </w:tr>
    </w:tbl>
    <w:p>
      <w:pPr>
        <w:bidi w:val="0"/>
        <w:rPr>
          <w:color w:val="auto"/>
          <w:highlight w:val="none"/>
        </w:rPr>
      </w:pPr>
      <w:r>
        <w:rPr>
          <w:color w:val="auto"/>
          <w:highlight w:val="none"/>
        </w:rPr>
        <w:t>上表可见，</w:t>
      </w:r>
      <w:r>
        <w:rPr>
          <w:rFonts w:hint="eastAsia"/>
          <w:color w:val="auto"/>
          <w:highlight w:val="none"/>
        </w:rPr>
        <w:t>大竹县</w:t>
      </w:r>
      <w:r>
        <w:rPr>
          <w:color w:val="auto"/>
          <w:highlight w:val="none"/>
        </w:rPr>
        <w:t>煤炭矿区总体规划项目</w:t>
      </w:r>
      <w:r>
        <w:rPr>
          <w:rFonts w:hint="eastAsia"/>
          <w:color w:val="auto"/>
          <w:highlight w:val="none"/>
        </w:rPr>
        <w:t>评价区</w:t>
      </w:r>
      <w:r>
        <w:rPr>
          <w:color w:val="auto"/>
          <w:highlight w:val="none"/>
        </w:rPr>
        <w:t>内土地利用现状由</w:t>
      </w:r>
      <w:r>
        <w:rPr>
          <w:rFonts w:hint="eastAsia"/>
          <w:color w:val="auto"/>
          <w:highlight w:val="none"/>
        </w:rPr>
        <w:t>有林地、灌木林地</w:t>
      </w:r>
      <w:r>
        <w:rPr>
          <w:color w:val="auto"/>
          <w:highlight w:val="none"/>
        </w:rPr>
        <w:t>、耕地、交通运输用地等6种类型构成，地类组成相对简单。从面积构成来看，</w:t>
      </w:r>
      <w:r>
        <w:rPr>
          <w:rFonts w:hint="eastAsia"/>
          <w:color w:val="auto"/>
          <w:highlight w:val="none"/>
        </w:rPr>
        <w:t>有</w:t>
      </w:r>
      <w:r>
        <w:rPr>
          <w:color w:val="auto"/>
          <w:highlight w:val="none"/>
        </w:rPr>
        <w:t>林地分布广泛（面积139.79</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w:t>
      </w:r>
      <w:r>
        <w:rPr>
          <w:rFonts w:hint="eastAsia"/>
          <w:color w:val="auto"/>
          <w:highlight w:val="none"/>
        </w:rPr>
        <w:t>规划评价区</w:t>
      </w:r>
      <w:r>
        <w:rPr>
          <w:color w:val="auto"/>
          <w:highlight w:val="none"/>
        </w:rPr>
        <w:t>总面积的49.98%，主要是</w:t>
      </w:r>
      <w:r>
        <w:rPr>
          <w:rFonts w:hint="eastAsia"/>
          <w:color w:val="auto"/>
          <w:highlight w:val="none"/>
        </w:rPr>
        <w:t>柏木林、马尾松林、青冈林、竹林</w:t>
      </w:r>
      <w:r>
        <w:rPr>
          <w:color w:val="auto"/>
          <w:highlight w:val="none"/>
        </w:rPr>
        <w:t>等组成；其次为耕地（面积65.47</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w:t>
      </w:r>
      <w:r>
        <w:rPr>
          <w:rFonts w:hint="eastAsia"/>
          <w:color w:val="auto"/>
          <w:highlight w:val="none"/>
        </w:rPr>
        <w:t>评价区</w:t>
      </w:r>
      <w:r>
        <w:rPr>
          <w:color w:val="auto"/>
          <w:highlight w:val="none"/>
        </w:rPr>
        <w:t>总面积的23.40%；</w:t>
      </w:r>
      <w:r>
        <w:rPr>
          <w:rFonts w:hint="eastAsia"/>
          <w:color w:val="auto"/>
          <w:highlight w:val="none"/>
        </w:rPr>
        <w:t>灌木林地面积</w:t>
      </w:r>
      <w:r>
        <w:rPr>
          <w:color w:val="auto"/>
          <w:highlight w:val="none"/>
        </w:rPr>
        <w:t>53.90</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w:t>
      </w:r>
      <w:r>
        <w:rPr>
          <w:rFonts w:hint="eastAsia"/>
          <w:color w:val="auto"/>
          <w:highlight w:val="none"/>
        </w:rPr>
        <w:t>评价区</w:t>
      </w:r>
      <w:r>
        <w:rPr>
          <w:color w:val="auto"/>
          <w:highlight w:val="none"/>
        </w:rPr>
        <w:t>面积的19.27%</w:t>
      </w:r>
      <w:r>
        <w:rPr>
          <w:rFonts w:hint="eastAsia"/>
          <w:color w:val="auto"/>
          <w:highlight w:val="none"/>
        </w:rPr>
        <w:t>；其他占地类型面积较小，所占比例较小</w:t>
      </w:r>
      <w:r>
        <w:rPr>
          <w:color w:val="auto"/>
          <w:highlight w:val="none"/>
        </w:rPr>
        <w:t>。可见，</w:t>
      </w:r>
      <w:r>
        <w:rPr>
          <w:rFonts w:hint="eastAsia"/>
          <w:color w:val="auto"/>
          <w:highlight w:val="none"/>
        </w:rPr>
        <w:t>有</w:t>
      </w:r>
      <w:r>
        <w:rPr>
          <w:color w:val="auto"/>
          <w:highlight w:val="none"/>
        </w:rPr>
        <w:t>林地面积占评价区总面积的</w:t>
      </w:r>
      <w:r>
        <w:rPr>
          <w:rFonts w:hint="eastAsia"/>
          <w:color w:val="auto"/>
          <w:highlight w:val="none"/>
        </w:rPr>
        <w:t>4</w:t>
      </w:r>
      <w:r>
        <w:rPr>
          <w:color w:val="auto"/>
          <w:highlight w:val="none"/>
        </w:rPr>
        <w:t>9.98%，基本反映了</w:t>
      </w:r>
      <w:r>
        <w:rPr>
          <w:rFonts w:hint="eastAsia"/>
          <w:color w:val="auto"/>
          <w:highlight w:val="none"/>
        </w:rPr>
        <w:t>项目</w:t>
      </w:r>
      <w:r>
        <w:rPr>
          <w:color w:val="auto"/>
          <w:highlight w:val="none"/>
        </w:rPr>
        <w:t>评价区</w:t>
      </w:r>
      <w:r>
        <w:rPr>
          <w:rFonts w:hint="eastAsia"/>
          <w:color w:val="auto"/>
          <w:highlight w:val="none"/>
        </w:rPr>
        <w:t>内</w:t>
      </w:r>
      <w:r>
        <w:rPr>
          <w:color w:val="auto"/>
          <w:highlight w:val="none"/>
        </w:rPr>
        <w:t>的土地利用格局，乔木林地、灌木林地及疏林地、</w:t>
      </w:r>
      <w:r>
        <w:rPr>
          <w:rFonts w:hint="eastAsia"/>
          <w:color w:val="auto"/>
          <w:highlight w:val="none"/>
        </w:rPr>
        <w:t>耕地</w:t>
      </w:r>
      <w:r>
        <w:rPr>
          <w:color w:val="auto"/>
          <w:highlight w:val="none"/>
        </w:rPr>
        <w:t>是评价区内土地利用现状的基本特征。</w:t>
      </w:r>
    </w:p>
    <w:p>
      <w:pPr>
        <w:pStyle w:val="7"/>
        <w:numPr>
          <w:ilvl w:val="0"/>
          <w:numId w:val="0"/>
        </w:numPr>
        <w:bidi w:val="0"/>
        <w:ind w:leftChars="0" w:right="0" w:rightChars="0"/>
        <w:rPr>
          <w:color w:val="auto"/>
          <w:highlight w:val="none"/>
        </w:rPr>
      </w:pPr>
      <w:bookmarkStart w:id="216" w:name="3.3 区域环境发展趋势分析"/>
      <w:bookmarkEnd w:id="216"/>
      <w:bookmarkStart w:id="217" w:name="_bookmark17"/>
      <w:bookmarkEnd w:id="217"/>
      <w:r>
        <w:rPr>
          <w:rFonts w:hint="eastAsia"/>
          <w:color w:val="auto"/>
          <w:highlight w:val="none"/>
          <w:lang w:val="en-US" w:eastAsia="zh-CN"/>
        </w:rPr>
        <w:t>3.2.6.2 评价区植物现状及多样性分析</w:t>
      </w:r>
    </w:p>
    <w:p>
      <w:pPr>
        <w:bidi w:val="0"/>
        <w:rPr>
          <w:rFonts w:hint="eastAsia"/>
          <w:color w:val="auto"/>
          <w:highlight w:val="none"/>
          <w:lang w:eastAsia="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）植物物种组成及统计</w:t>
      </w:r>
    </w:p>
    <w:p>
      <w:pPr>
        <w:bidi w:val="0"/>
        <w:rPr>
          <w:color w:val="auto"/>
          <w:highlight w:val="none"/>
        </w:rPr>
      </w:pPr>
      <w:r>
        <w:rPr>
          <w:color w:val="auto"/>
          <w:highlight w:val="none"/>
        </w:rPr>
        <w:t>根据野外调查及参阅相关资料记载，</w:t>
      </w:r>
      <w:r>
        <w:rPr>
          <w:rFonts w:hint="eastAsia"/>
          <w:color w:val="auto"/>
          <w:highlight w:val="none"/>
        </w:rPr>
        <w:t>大竹县</w:t>
      </w:r>
      <w:r>
        <w:rPr>
          <w:color w:val="auto"/>
          <w:highlight w:val="none"/>
        </w:rPr>
        <w:t>煤炭矿区总体规划项目生态影响评价区不完全统计有维管植物133科473属792种，其中，蕨类植物17科27属48种、裸子植物5科10属14种、被子植111科436属730种（其中：单子叶植物16科80属130种，双子叶植物95科356属600种），具体如表4-2所示。植物物种以</w:t>
      </w:r>
      <w:r>
        <w:rPr>
          <w:rFonts w:hint="eastAsia"/>
          <w:color w:val="auto"/>
          <w:highlight w:val="none"/>
        </w:rPr>
        <w:t>菊科(</w:t>
      </w:r>
      <w:r>
        <w:rPr>
          <w:rFonts w:hint="eastAsia"/>
          <w:i/>
          <w:iCs/>
          <w:color w:val="auto"/>
          <w:highlight w:val="none"/>
        </w:rPr>
        <w:t>Compositae</w:t>
      </w:r>
      <w:r>
        <w:rPr>
          <w:rFonts w:hint="eastAsia"/>
          <w:color w:val="auto"/>
          <w:highlight w:val="none"/>
        </w:rPr>
        <w:t>)、禾本科(</w:t>
      </w:r>
      <w:r>
        <w:rPr>
          <w:rFonts w:hint="eastAsia"/>
          <w:i/>
          <w:iCs/>
          <w:color w:val="auto"/>
          <w:highlight w:val="none"/>
        </w:rPr>
        <w:t>Gramineae</w:t>
      </w:r>
      <w:r>
        <w:rPr>
          <w:rFonts w:hint="eastAsia"/>
          <w:color w:val="auto"/>
          <w:highlight w:val="none"/>
        </w:rPr>
        <w:t>)、蔷薇科(</w:t>
      </w:r>
      <w:r>
        <w:rPr>
          <w:rFonts w:hint="eastAsia"/>
          <w:i/>
          <w:iCs/>
          <w:color w:val="auto"/>
          <w:highlight w:val="none"/>
        </w:rPr>
        <w:t>Rosaceae</w:t>
      </w:r>
      <w:r>
        <w:rPr>
          <w:rFonts w:hint="eastAsia"/>
          <w:color w:val="auto"/>
          <w:highlight w:val="none"/>
        </w:rPr>
        <w:t>)、豆科(</w:t>
      </w:r>
      <w:r>
        <w:rPr>
          <w:rFonts w:hint="eastAsia"/>
          <w:i/>
          <w:iCs/>
          <w:color w:val="auto"/>
          <w:highlight w:val="none"/>
        </w:rPr>
        <w:t>Leguminosae</w:t>
      </w:r>
      <w:r>
        <w:rPr>
          <w:rFonts w:hint="eastAsia"/>
          <w:color w:val="auto"/>
          <w:highlight w:val="none"/>
        </w:rPr>
        <w:t>)、唇形科(</w:t>
      </w:r>
      <w:r>
        <w:rPr>
          <w:rFonts w:hint="eastAsia"/>
          <w:i/>
          <w:iCs/>
          <w:color w:val="auto"/>
          <w:highlight w:val="none"/>
        </w:rPr>
        <w:t>Labiatae</w:t>
      </w:r>
      <w:r>
        <w:rPr>
          <w:rFonts w:hint="eastAsia"/>
          <w:color w:val="auto"/>
          <w:highlight w:val="none"/>
        </w:rPr>
        <w:t>)、十字花科(</w:t>
      </w:r>
      <w:r>
        <w:rPr>
          <w:rFonts w:hint="eastAsia"/>
          <w:i/>
          <w:iCs/>
          <w:color w:val="auto"/>
          <w:highlight w:val="none"/>
        </w:rPr>
        <w:t>Cruciferae</w:t>
      </w:r>
      <w:r>
        <w:rPr>
          <w:rFonts w:hint="eastAsia"/>
          <w:color w:val="auto"/>
          <w:highlight w:val="none"/>
        </w:rPr>
        <w:t>)等</w:t>
      </w:r>
      <w:r>
        <w:rPr>
          <w:color w:val="auto"/>
          <w:highlight w:val="none"/>
        </w:rPr>
        <w:t>为主，菊科植物物种包括苣荬菜（</w:t>
      </w:r>
      <w:r>
        <w:rPr>
          <w:i/>
          <w:iCs/>
          <w:color w:val="auto"/>
          <w:highlight w:val="none"/>
        </w:rPr>
        <w:t>Sonchus wightianus</w:t>
      </w:r>
      <w:r>
        <w:rPr>
          <w:color w:val="auto"/>
          <w:highlight w:val="none"/>
        </w:rPr>
        <w:t>）、三叶鬼针草（</w:t>
      </w:r>
      <w:r>
        <w:rPr>
          <w:i/>
          <w:iCs/>
          <w:color w:val="auto"/>
          <w:highlight w:val="none"/>
        </w:rPr>
        <w:t>B.pilosa</w:t>
      </w:r>
      <w:r>
        <w:rPr>
          <w:color w:val="auto"/>
          <w:highlight w:val="none"/>
        </w:rPr>
        <w:t>）、野菊花（</w:t>
      </w:r>
      <w:r>
        <w:rPr>
          <w:i/>
          <w:iCs/>
          <w:color w:val="auto"/>
          <w:highlight w:val="none"/>
        </w:rPr>
        <w:t>Dendranthema  idicum</w:t>
      </w:r>
      <w:r>
        <w:rPr>
          <w:color w:val="auto"/>
          <w:highlight w:val="none"/>
        </w:rPr>
        <w:t>）、鼠曲草（</w:t>
      </w:r>
      <w:r>
        <w:rPr>
          <w:i/>
          <w:iCs/>
          <w:color w:val="auto"/>
          <w:highlight w:val="none"/>
        </w:rPr>
        <w:t>Gnaphalium affine</w:t>
      </w:r>
      <w:r>
        <w:rPr>
          <w:color w:val="auto"/>
          <w:highlight w:val="none"/>
        </w:rPr>
        <w:t>）、风毛菊（</w:t>
      </w:r>
      <w:r>
        <w:rPr>
          <w:i/>
          <w:iCs/>
          <w:color w:val="auto"/>
          <w:highlight w:val="none"/>
        </w:rPr>
        <w:t>S. japonica</w:t>
      </w:r>
      <w:r>
        <w:rPr>
          <w:color w:val="auto"/>
          <w:highlight w:val="none"/>
        </w:rPr>
        <w:t>）、千里光（</w:t>
      </w:r>
      <w:r>
        <w:rPr>
          <w:i/>
          <w:iCs/>
          <w:color w:val="auto"/>
          <w:highlight w:val="none"/>
        </w:rPr>
        <w:t>S. scandens</w:t>
      </w:r>
      <w:r>
        <w:rPr>
          <w:color w:val="auto"/>
          <w:highlight w:val="none"/>
        </w:rPr>
        <w:t>）等，禾本科植物种类包括看麦娘（</w:t>
      </w:r>
      <w:r>
        <w:rPr>
          <w:i/>
          <w:iCs/>
          <w:color w:val="auto"/>
          <w:highlight w:val="none"/>
        </w:rPr>
        <w:t>Alopecurus aequalis</w:t>
      </w:r>
      <w:r>
        <w:rPr>
          <w:color w:val="auto"/>
          <w:highlight w:val="none"/>
        </w:rPr>
        <w:t>）、野燕麦（</w:t>
      </w:r>
      <w:r>
        <w:rPr>
          <w:i/>
          <w:iCs/>
          <w:color w:val="auto"/>
          <w:highlight w:val="none"/>
        </w:rPr>
        <w:t>Avena fatua</w:t>
      </w:r>
      <w:r>
        <w:rPr>
          <w:color w:val="auto"/>
          <w:highlight w:val="none"/>
        </w:rPr>
        <w:t>）、狗尾巴草（</w:t>
      </w:r>
      <w:r>
        <w:rPr>
          <w:i/>
          <w:iCs/>
          <w:color w:val="auto"/>
          <w:highlight w:val="none"/>
        </w:rPr>
        <w:t>Setaria viridis</w:t>
      </w:r>
      <w:r>
        <w:rPr>
          <w:color w:val="auto"/>
          <w:highlight w:val="none"/>
        </w:rPr>
        <w:t>）</w:t>
      </w:r>
      <w:r>
        <w:rPr>
          <w:rFonts w:hint="eastAsia"/>
          <w:color w:val="auto"/>
          <w:highlight w:val="none"/>
        </w:rPr>
        <w:t>淡竹叶（</w:t>
      </w:r>
      <w:r>
        <w:rPr>
          <w:rFonts w:hint="eastAsia"/>
          <w:i/>
          <w:iCs/>
          <w:color w:val="auto"/>
          <w:highlight w:val="none"/>
        </w:rPr>
        <w:t>Lophatherum gracile</w:t>
      </w:r>
      <w:r>
        <w:rPr>
          <w:rFonts w:hint="eastAsia"/>
          <w:color w:val="auto"/>
          <w:highlight w:val="none"/>
        </w:rPr>
        <w:t>）、马唐（</w:t>
      </w:r>
      <w:r>
        <w:rPr>
          <w:rFonts w:hint="eastAsia"/>
          <w:i/>
          <w:iCs/>
          <w:color w:val="auto"/>
          <w:highlight w:val="none"/>
        </w:rPr>
        <w:t>Digitaria saguinalis</w:t>
      </w:r>
      <w:r>
        <w:rPr>
          <w:rFonts w:hint="eastAsia"/>
          <w:color w:val="auto"/>
          <w:highlight w:val="none"/>
        </w:rPr>
        <w:t>）、光头稗（</w:t>
      </w:r>
      <w:r>
        <w:rPr>
          <w:rFonts w:hint="eastAsia"/>
          <w:i/>
          <w:iCs/>
          <w:color w:val="auto"/>
          <w:highlight w:val="none"/>
        </w:rPr>
        <w:t>Echinochloa colonum</w:t>
      </w:r>
      <w:r>
        <w:rPr>
          <w:rFonts w:hint="eastAsia"/>
          <w:color w:val="auto"/>
          <w:highlight w:val="none"/>
        </w:rPr>
        <w:t>）、稗（</w:t>
      </w:r>
      <w:r>
        <w:rPr>
          <w:rFonts w:hint="eastAsia"/>
          <w:i/>
          <w:iCs/>
          <w:color w:val="auto"/>
          <w:highlight w:val="none"/>
        </w:rPr>
        <w:t>Echinochloa crusgalli</w:t>
      </w:r>
      <w:r>
        <w:rPr>
          <w:rFonts w:hint="eastAsia"/>
          <w:color w:val="auto"/>
          <w:highlight w:val="none"/>
        </w:rPr>
        <w:t>）</w:t>
      </w:r>
      <w:r>
        <w:rPr>
          <w:color w:val="auto"/>
          <w:highlight w:val="none"/>
        </w:rPr>
        <w:t>等。</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大竹县</w:t>
      </w:r>
      <w:r>
        <w:rPr>
          <w:color w:val="auto"/>
          <w:highlight w:val="none"/>
        </w:rPr>
        <w:t>煤炭矿区总体规划评价区域内植物物种组成</w:t>
      </w:r>
    </w:p>
    <w:tbl>
      <w:tblPr>
        <w:tblStyle w:val="17"/>
        <w:tblW w:w="4997" w:type="pct"/>
        <w:jc w:val="center"/>
        <w:tblLayout w:type="autofit"/>
        <w:tblCellMar>
          <w:top w:w="0" w:type="dxa"/>
          <w:left w:w="108" w:type="dxa"/>
          <w:bottom w:w="0" w:type="dxa"/>
          <w:right w:w="108" w:type="dxa"/>
        </w:tblCellMar>
      </w:tblPr>
      <w:tblGrid>
        <w:gridCol w:w="2158"/>
        <w:gridCol w:w="1245"/>
        <w:gridCol w:w="1245"/>
        <w:gridCol w:w="1245"/>
        <w:gridCol w:w="1243"/>
        <w:gridCol w:w="1243"/>
        <w:gridCol w:w="1241"/>
      </w:tblGrid>
      <w:tr>
        <w:tblPrEx>
          <w:tblCellMar>
            <w:top w:w="0" w:type="dxa"/>
            <w:left w:w="108" w:type="dxa"/>
            <w:bottom w:w="0" w:type="dxa"/>
            <w:right w:w="108" w:type="dxa"/>
          </w:tblCellMar>
        </w:tblPrEx>
        <w:trPr>
          <w:trHeight w:val="425" w:hRule="atLeast"/>
          <w:jc w:val="center"/>
        </w:trPr>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类别</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科</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比例</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属</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比例</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物种</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比例</w:t>
            </w:r>
          </w:p>
        </w:tc>
      </w:tr>
      <w:tr>
        <w:tblPrEx>
          <w:tblCellMar>
            <w:top w:w="0" w:type="dxa"/>
            <w:left w:w="108" w:type="dxa"/>
            <w:bottom w:w="0" w:type="dxa"/>
            <w:right w:w="108" w:type="dxa"/>
          </w:tblCellMar>
        </w:tblPrEx>
        <w:trPr>
          <w:trHeight w:val="425" w:hRule="atLeast"/>
          <w:jc w:val="center"/>
        </w:trPr>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蕨类植物</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12.78%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27</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5.71%</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48</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6.06%</w:t>
            </w:r>
          </w:p>
        </w:tc>
      </w:tr>
      <w:tr>
        <w:tblPrEx>
          <w:tblCellMar>
            <w:top w:w="0" w:type="dxa"/>
            <w:left w:w="108" w:type="dxa"/>
            <w:bottom w:w="0" w:type="dxa"/>
            <w:right w:w="108" w:type="dxa"/>
          </w:tblCellMar>
        </w:tblPrEx>
        <w:trPr>
          <w:trHeight w:val="425" w:hRule="atLeast"/>
          <w:jc w:val="center"/>
        </w:trPr>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裸子植物</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3.76%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2.11%</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14</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1.77%</w:t>
            </w:r>
          </w:p>
        </w:tc>
      </w:tr>
      <w:tr>
        <w:tblPrEx>
          <w:tblCellMar>
            <w:top w:w="0" w:type="dxa"/>
            <w:left w:w="108" w:type="dxa"/>
            <w:bottom w:w="0" w:type="dxa"/>
            <w:right w:w="108" w:type="dxa"/>
          </w:tblCellMar>
        </w:tblPrEx>
        <w:trPr>
          <w:trHeight w:val="425" w:hRule="atLeast"/>
          <w:jc w:val="center"/>
        </w:trPr>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双子叶植物</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95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71.43%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356</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75.26%</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600</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75.76%</w:t>
            </w:r>
          </w:p>
        </w:tc>
      </w:tr>
      <w:tr>
        <w:tblPrEx>
          <w:tblCellMar>
            <w:top w:w="0" w:type="dxa"/>
            <w:left w:w="108" w:type="dxa"/>
            <w:bottom w:w="0" w:type="dxa"/>
            <w:right w:w="108" w:type="dxa"/>
          </w:tblCellMar>
        </w:tblPrEx>
        <w:trPr>
          <w:trHeight w:val="425" w:hRule="atLeast"/>
          <w:jc w:val="center"/>
        </w:trPr>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单子叶植物</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12.03%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80</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16.91%</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130</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16.41%</w:t>
            </w:r>
          </w:p>
        </w:tc>
      </w:tr>
      <w:tr>
        <w:tblPrEx>
          <w:tblCellMar>
            <w:top w:w="0" w:type="dxa"/>
            <w:left w:w="108" w:type="dxa"/>
            <w:bottom w:w="0" w:type="dxa"/>
            <w:right w:w="108" w:type="dxa"/>
          </w:tblCellMar>
        </w:tblPrEx>
        <w:trPr>
          <w:trHeight w:val="425" w:hRule="atLeast"/>
          <w:jc w:val="center"/>
        </w:trPr>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合计</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133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100.00%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473</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100.00%</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792</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100.00%</w:t>
            </w:r>
          </w:p>
        </w:tc>
      </w:tr>
    </w:tbl>
    <w:p>
      <w:pPr>
        <w:bidi w:val="0"/>
        <w:rPr>
          <w:rFonts w:eastAsia="华文仿宋"/>
          <w:color w:val="auto"/>
          <w:highlight w:val="none"/>
        </w:rPr>
      </w:pPr>
      <w:r>
        <w:rPr>
          <w:rFonts w:hint="eastAsia"/>
          <w:color w:val="auto"/>
          <w:highlight w:val="none"/>
        </w:rPr>
        <w:t>大竹县</w:t>
      </w:r>
      <w:r>
        <w:rPr>
          <w:color w:val="auto"/>
          <w:highlight w:val="none"/>
        </w:rPr>
        <w:t>煤炭矿区总体规划评价区内的植物组成中，主要以</w:t>
      </w:r>
      <w:r>
        <w:rPr>
          <w:rFonts w:hint="eastAsia"/>
          <w:color w:val="auto"/>
          <w:highlight w:val="none"/>
        </w:rPr>
        <w:t>菊科(Compositae/35属64种)、禾本科(Gramineae/38属58种)、蔷薇科(Rosaceae/22属49种)、豆科(Leguminosae/19属25种)、唇形科(Labiatae/14属21种)、十字花科(Cruciferae/10属20种)、百合科(Liliaceae/10属19种)、莎草科(Cyperaceae/8属18种)、蓼科(Polygonaceae/5属17种)、毛茛科(Ranunculaceae/6属15种)、葫芦科(Cucurbitaceae/10属14种)、茜草科(Rubiaceae/8属14种)、茄科(Solanaceae/9属14种)、壳斗科(Fagaceae/5属13种)、玄参科(Scrophulariaceae/7属13种)、荨麻科(Urticaceae/6属13种)</w:t>
      </w:r>
      <w:r>
        <w:rPr>
          <w:color w:val="auto"/>
          <w:highlight w:val="none"/>
        </w:rPr>
        <w:t>等为主，所含物种数占调查区内植物种数的比例较高。</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项目调查区维管束</w:t>
      </w:r>
      <w:r>
        <w:rPr>
          <w:color w:val="auto"/>
          <w:highlight w:val="none"/>
        </w:rPr>
        <w:t>植物</w:t>
      </w:r>
      <w:r>
        <w:rPr>
          <w:rFonts w:hint="eastAsia"/>
          <w:color w:val="auto"/>
          <w:highlight w:val="none"/>
        </w:rPr>
        <w:t>科</w:t>
      </w:r>
      <w:r>
        <w:rPr>
          <w:color w:val="auto"/>
          <w:highlight w:val="none"/>
        </w:rPr>
        <w:t>、属数量统计表</w:t>
      </w:r>
    </w:p>
    <w:tbl>
      <w:tblPr>
        <w:tblStyle w:val="17"/>
        <w:tblW w:w="4995" w:type="pct"/>
        <w:tblInd w:w="0" w:type="dxa"/>
        <w:tblLayout w:type="fixed"/>
        <w:tblCellMar>
          <w:top w:w="0" w:type="dxa"/>
          <w:left w:w="108" w:type="dxa"/>
          <w:bottom w:w="0" w:type="dxa"/>
          <w:right w:w="108" w:type="dxa"/>
        </w:tblCellMar>
      </w:tblPr>
      <w:tblGrid>
        <w:gridCol w:w="786"/>
        <w:gridCol w:w="2194"/>
        <w:gridCol w:w="952"/>
        <w:gridCol w:w="1137"/>
        <w:gridCol w:w="1137"/>
        <w:gridCol w:w="1137"/>
        <w:gridCol w:w="1137"/>
        <w:gridCol w:w="1137"/>
      </w:tblGrid>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序号</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类别</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科数</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科比例</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属数</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属比例</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种数</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种比例</w:t>
            </w:r>
          </w:p>
        </w:tc>
      </w:tr>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1</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（大科）≥20种</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6</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4.51%</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138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29.18%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237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29.92%</w:t>
            </w:r>
          </w:p>
        </w:tc>
      </w:tr>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2</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（中等科）10-19种</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9.02%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88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18.60%</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174</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21.97%</w:t>
            </w:r>
          </w:p>
        </w:tc>
      </w:tr>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3</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（少种科）6-9种</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21</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15.79%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92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19.45%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152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19.19%</w:t>
            </w:r>
          </w:p>
        </w:tc>
      </w:tr>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4</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（寡种科）2-5种</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69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51.88%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130</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27.48%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204</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25.76%</w:t>
            </w:r>
          </w:p>
        </w:tc>
      </w:tr>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5</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单种科</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18.80%</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5.29%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25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3.16%</w:t>
            </w:r>
          </w:p>
        </w:tc>
      </w:tr>
      <w:tr>
        <w:tblPrEx>
          <w:tblCellMar>
            <w:top w:w="0" w:type="dxa"/>
            <w:left w:w="108" w:type="dxa"/>
            <w:bottom w:w="0" w:type="dxa"/>
            <w:right w:w="108" w:type="dxa"/>
          </w:tblCellMar>
        </w:tblPrEx>
        <w:trPr>
          <w:trHeight w:val="425"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color w:val="auto"/>
                <w:highlight w:val="none"/>
              </w:rPr>
            </w:pPr>
            <w:r>
              <w:rPr>
                <w:color w:val="auto"/>
                <w:highlight w:val="none"/>
              </w:rPr>
              <w:t>6</w:t>
            </w:r>
          </w:p>
        </w:tc>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合计</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133</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100.00%</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473</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100.00%</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792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color w:val="auto"/>
                <w:highlight w:val="none"/>
              </w:rPr>
            </w:pPr>
            <w:r>
              <w:rPr>
                <w:color w:val="auto"/>
                <w:highlight w:val="none"/>
              </w:rPr>
              <w:t>100.00%</w:t>
            </w:r>
          </w:p>
        </w:tc>
      </w:tr>
    </w:tbl>
    <w:p>
      <w:pPr>
        <w:bidi w:val="0"/>
        <w:rPr>
          <w:rFonts w:eastAsia="华文仿宋"/>
          <w:color w:val="auto"/>
          <w:kern w:val="0"/>
          <w:highlight w:val="none"/>
        </w:rPr>
      </w:pPr>
      <w:r>
        <w:rPr>
          <w:color w:val="auto"/>
          <w:highlight w:val="none"/>
        </w:rPr>
        <w:t>从属的分类及比例可以看出（表4-4），项目评价区内植物每属所含的种数</w:t>
      </w:r>
      <w:r>
        <w:rPr>
          <w:rFonts w:hint="eastAsia"/>
          <w:color w:val="auto"/>
          <w:highlight w:val="none"/>
        </w:rPr>
        <w:t>相对较</w:t>
      </w:r>
      <w:r>
        <w:rPr>
          <w:color w:val="auto"/>
          <w:highlight w:val="none"/>
        </w:rPr>
        <w:t>少，含种数最多的为</w:t>
      </w:r>
      <w:r>
        <w:rPr>
          <w:rFonts w:hint="eastAsia"/>
          <w:color w:val="auto"/>
          <w:highlight w:val="none"/>
        </w:rPr>
        <w:t>悬钩子属(Rubus/16种)、蓼属(Polygonum/11种)、芸薹属(Brassica/10种)、栎属(Quercus/8种)、蒿属(Artemisia/7种)、木贼属(Equisetum/7种)、刚竹属(Phyllostachys/6种)、婆婆纳属(Veronica/6种)、茄属(Solanum/6种)、忍冬属(Lonicera/6种)、榕属(Ficus/6种)</w:t>
      </w:r>
      <w:r>
        <w:rPr>
          <w:color w:val="auto"/>
          <w:highlight w:val="none"/>
        </w:rPr>
        <w:t>等；</w:t>
      </w:r>
      <w:r>
        <w:rPr>
          <w:rFonts w:hint="eastAsia"/>
          <w:color w:val="auto"/>
          <w:highlight w:val="none"/>
        </w:rPr>
        <w:t>所含物种的层次上，寡种属</w:t>
      </w:r>
      <w:r>
        <w:rPr>
          <w:color w:val="auto"/>
          <w:highlight w:val="none"/>
        </w:rPr>
        <w:t>占绝对优势，占总属数的34.04%、占总种数的50.76%。</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项目评价区内</w:t>
      </w:r>
      <w:r>
        <w:rPr>
          <w:color w:val="auto"/>
          <w:highlight w:val="none"/>
        </w:rPr>
        <w:t>植物属的数量统计</w:t>
      </w:r>
    </w:p>
    <w:tbl>
      <w:tblPr>
        <w:tblStyle w:val="17"/>
        <w:tblW w:w="5000" w:type="pct"/>
        <w:tblInd w:w="0" w:type="dxa"/>
        <w:tblLayout w:type="autofit"/>
        <w:tblCellMar>
          <w:top w:w="0" w:type="dxa"/>
          <w:left w:w="108" w:type="dxa"/>
          <w:bottom w:w="0" w:type="dxa"/>
          <w:right w:w="108" w:type="dxa"/>
        </w:tblCellMar>
      </w:tblPr>
      <w:tblGrid>
        <w:gridCol w:w="2794"/>
        <w:gridCol w:w="932"/>
        <w:gridCol w:w="2484"/>
        <w:gridCol w:w="932"/>
        <w:gridCol w:w="2484"/>
      </w:tblGrid>
      <w:tr>
        <w:tblPrEx>
          <w:tblCellMar>
            <w:top w:w="0" w:type="dxa"/>
            <w:left w:w="108" w:type="dxa"/>
            <w:bottom w:w="0" w:type="dxa"/>
            <w:right w:w="108" w:type="dxa"/>
          </w:tblCellMar>
        </w:tblPrEx>
        <w:trPr>
          <w:trHeight w:val="425" w:hRule="atLeast"/>
        </w:trPr>
        <w:tc>
          <w:tcPr>
            <w:tcW w:w="145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类型</w:t>
            </w:r>
          </w:p>
        </w:tc>
        <w:tc>
          <w:tcPr>
            <w:tcW w:w="484"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属数</w:t>
            </w:r>
          </w:p>
        </w:tc>
        <w:tc>
          <w:tcPr>
            <w:tcW w:w="1290"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占总属数比例%</w:t>
            </w:r>
          </w:p>
        </w:tc>
        <w:tc>
          <w:tcPr>
            <w:tcW w:w="484"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种数</w:t>
            </w:r>
          </w:p>
        </w:tc>
        <w:tc>
          <w:tcPr>
            <w:tcW w:w="1290"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占总种数比例%</w:t>
            </w:r>
          </w:p>
        </w:tc>
      </w:tr>
      <w:tr>
        <w:tblPrEx>
          <w:tblCellMar>
            <w:top w:w="0" w:type="dxa"/>
            <w:left w:w="108" w:type="dxa"/>
            <w:bottom w:w="0" w:type="dxa"/>
            <w:right w:w="108" w:type="dxa"/>
          </w:tblCellMar>
        </w:tblPrEx>
        <w:trPr>
          <w:trHeight w:val="425" w:hRule="atLeast"/>
        </w:trPr>
        <w:tc>
          <w:tcPr>
            <w:tcW w:w="14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多种属（≥10种）</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0.63%</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37</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4.67%</w:t>
            </w:r>
          </w:p>
        </w:tc>
      </w:tr>
      <w:tr>
        <w:tblPrEx>
          <w:tblCellMar>
            <w:top w:w="0" w:type="dxa"/>
            <w:left w:w="108" w:type="dxa"/>
            <w:bottom w:w="0" w:type="dxa"/>
            <w:right w:w="108" w:type="dxa"/>
          </w:tblCellMar>
        </w:tblPrEx>
        <w:trPr>
          <w:trHeight w:val="425" w:hRule="atLeast"/>
        </w:trPr>
        <w:tc>
          <w:tcPr>
            <w:tcW w:w="14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中等属（6-9种）</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8</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1.69%</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52</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6.57%</w:t>
            </w:r>
          </w:p>
        </w:tc>
      </w:tr>
      <w:tr>
        <w:tblPrEx>
          <w:tblCellMar>
            <w:top w:w="0" w:type="dxa"/>
            <w:left w:w="108" w:type="dxa"/>
            <w:bottom w:w="0" w:type="dxa"/>
            <w:right w:w="108" w:type="dxa"/>
          </w:tblCellMar>
        </w:tblPrEx>
        <w:trPr>
          <w:trHeight w:val="425" w:hRule="atLeast"/>
        </w:trPr>
        <w:tc>
          <w:tcPr>
            <w:tcW w:w="14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寡种属（2-5种）</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161</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34.04%</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402</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50.76%</w:t>
            </w:r>
          </w:p>
        </w:tc>
      </w:tr>
      <w:tr>
        <w:tblPrEx>
          <w:tblCellMar>
            <w:top w:w="0" w:type="dxa"/>
            <w:left w:w="108" w:type="dxa"/>
            <w:bottom w:w="0" w:type="dxa"/>
            <w:right w:w="108" w:type="dxa"/>
          </w:tblCellMar>
        </w:tblPrEx>
        <w:trPr>
          <w:trHeight w:val="425" w:hRule="atLeast"/>
        </w:trPr>
        <w:tc>
          <w:tcPr>
            <w:tcW w:w="14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单种属</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301</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63.64%</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301</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38.01%</w:t>
            </w:r>
          </w:p>
        </w:tc>
      </w:tr>
      <w:tr>
        <w:tblPrEx>
          <w:tblCellMar>
            <w:top w:w="0" w:type="dxa"/>
            <w:left w:w="108" w:type="dxa"/>
            <w:bottom w:w="0" w:type="dxa"/>
            <w:right w:w="108" w:type="dxa"/>
          </w:tblCellMar>
        </w:tblPrEx>
        <w:trPr>
          <w:trHeight w:val="425" w:hRule="atLeast"/>
        </w:trPr>
        <w:tc>
          <w:tcPr>
            <w:tcW w:w="14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总计</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473</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100.00%</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792</w:t>
            </w:r>
          </w:p>
        </w:tc>
        <w:tc>
          <w:tcPr>
            <w:tcW w:w="129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100.00%</w:t>
            </w:r>
          </w:p>
        </w:tc>
      </w:tr>
    </w:tbl>
    <w:p>
      <w:pPr>
        <w:bidi w:val="0"/>
        <w:rPr>
          <w:rFonts w:hint="eastAsia"/>
          <w:color w:val="auto"/>
          <w:highlight w:val="none"/>
          <w:lang w:eastAsia="zh-CN"/>
        </w:rPr>
      </w:pPr>
      <w:r>
        <w:rPr>
          <w:color w:val="auto"/>
          <w:highlight w:val="none"/>
        </w:rPr>
        <w:t>综上所述，项目评价区内植物多样性特点可归纳为“科、属相对较多，但每属含物种数少”，整体上，以</w:t>
      </w:r>
      <w:r>
        <w:rPr>
          <w:rFonts w:hint="eastAsia"/>
          <w:color w:val="auto"/>
          <w:highlight w:val="none"/>
        </w:rPr>
        <w:t>大</w:t>
      </w:r>
      <w:r>
        <w:rPr>
          <w:color w:val="auto"/>
          <w:highlight w:val="none"/>
        </w:rPr>
        <w:t>科、寡种科，单种属、寡种属为主。</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）植物多样性分析</w:t>
      </w:r>
    </w:p>
    <w:p>
      <w:pPr>
        <w:bidi w:val="0"/>
        <w:rPr>
          <w:rFonts w:hint="eastAsia"/>
          <w:color w:val="auto"/>
          <w:highlight w:val="none"/>
          <w:lang w:eastAsia="zh-CN"/>
        </w:rPr>
      </w:pPr>
      <w:r>
        <w:rPr>
          <w:rFonts w:hint="eastAsia"/>
          <w:color w:val="auto"/>
          <w:highlight w:val="none"/>
          <w:lang w:eastAsia="zh-CN"/>
        </w:rPr>
        <w:t>①蕨类植物组成及多样性分析</w:t>
      </w:r>
    </w:p>
    <w:p>
      <w:pPr>
        <w:bidi w:val="0"/>
        <w:rPr>
          <w:color w:val="auto"/>
          <w:highlight w:val="none"/>
        </w:rPr>
      </w:pPr>
      <w:r>
        <w:rPr>
          <w:color w:val="auto"/>
          <w:highlight w:val="none"/>
        </w:rPr>
        <w:t>蕨类植物是维管束植物中最原始和古老的一类植物。据调查结果统计，</w:t>
      </w:r>
      <w:r>
        <w:rPr>
          <w:rFonts w:hint="eastAsia"/>
          <w:color w:val="auto"/>
          <w:highlight w:val="none"/>
        </w:rPr>
        <w:t>大竹县</w:t>
      </w:r>
      <w:r>
        <w:rPr>
          <w:color w:val="auto"/>
          <w:highlight w:val="none"/>
        </w:rPr>
        <w:t>煤炭矿区总体规划评价区内蕨类植物由17科27属48种组成</w:t>
      </w:r>
      <w:r>
        <w:rPr>
          <w:rFonts w:hint="eastAsia"/>
          <w:color w:val="auto"/>
          <w:highlight w:val="none"/>
        </w:rPr>
        <w:t>，其科属组成及统计分析见表4</w:t>
      </w:r>
      <w:r>
        <w:rPr>
          <w:color w:val="auto"/>
          <w:highlight w:val="none"/>
        </w:rPr>
        <w:t>-5</w:t>
      </w:r>
      <w:r>
        <w:rPr>
          <w:rFonts w:hint="eastAsia"/>
          <w:color w:val="auto"/>
          <w:highlight w:val="none"/>
        </w:rPr>
        <w:t>。</w:t>
      </w:r>
    </w:p>
    <w:p>
      <w:pPr>
        <w:bidi w:val="0"/>
        <w:rPr>
          <w:color w:val="auto"/>
          <w:highlight w:val="none"/>
        </w:rPr>
      </w:pPr>
      <w:r>
        <w:rPr>
          <w:rFonts w:hint="eastAsia"/>
          <w:color w:val="auto"/>
          <w:highlight w:val="none"/>
        </w:rPr>
        <w:t>含</w:t>
      </w:r>
      <w:r>
        <w:rPr>
          <w:color w:val="auto"/>
          <w:highlight w:val="none"/>
        </w:rPr>
        <w:t>6~9种的</w:t>
      </w:r>
      <w:r>
        <w:rPr>
          <w:rFonts w:hint="eastAsia"/>
          <w:color w:val="auto"/>
          <w:highlight w:val="none"/>
        </w:rPr>
        <w:t>少</w:t>
      </w:r>
      <w:r>
        <w:rPr>
          <w:color w:val="auto"/>
          <w:highlight w:val="none"/>
        </w:rPr>
        <w:t>种科2科</w:t>
      </w:r>
      <w:r>
        <w:rPr>
          <w:rFonts w:hint="eastAsia"/>
          <w:color w:val="auto"/>
          <w:highlight w:val="none"/>
        </w:rPr>
        <w:t>，分别是水龙骨科(Polypodiaceae/3属6种)和木贼科(Equisetaceae/1属7种)；</w:t>
      </w:r>
      <w:r>
        <w:rPr>
          <w:color w:val="auto"/>
          <w:highlight w:val="none"/>
        </w:rPr>
        <w:t>含2~5种的寡种科10科，分别</w:t>
      </w:r>
      <w:r>
        <w:rPr>
          <w:rFonts w:hint="eastAsia"/>
          <w:color w:val="auto"/>
          <w:highlight w:val="none"/>
        </w:rPr>
        <w:t>蕨科(Pteridiaceae/1属2种)、乌毛蕨科(Blechnaceae/1属2种)、凤尾蕨科(Pteridaceae/1属3种)、金星蕨科(Thelypteridaceae/2属3种)、蹄盖蕨科(Athyriaceae/3属4种)、鳞毛蕨科(Dryopteridaceae/3属4种)等</w:t>
      </w:r>
      <w:r>
        <w:rPr>
          <w:color w:val="auto"/>
          <w:highlight w:val="none"/>
        </w:rPr>
        <w:t>；调查区域内的蕨类植物含单种科5科，分别为紫萁科（Osmundaceae）、海金沙科（Lygodiaceae）铁线蕨科（Adiantaceae）槲蕨科（Drynariaceae）</w:t>
      </w:r>
      <w:r>
        <w:rPr>
          <w:rFonts w:hint="eastAsia"/>
          <w:color w:val="auto"/>
          <w:highlight w:val="none"/>
        </w:rPr>
        <w:t>和苹科（Marsileaceae）</w:t>
      </w:r>
      <w:r>
        <w:rPr>
          <w:color w:val="auto"/>
          <w:highlight w:val="none"/>
        </w:rPr>
        <w:t>。</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大竹县</w:t>
      </w:r>
      <w:r>
        <w:rPr>
          <w:color w:val="auto"/>
          <w:highlight w:val="none"/>
        </w:rPr>
        <w:t>煤炭矿区总体规划评价区域蕨类植物科属种组成和统计</w:t>
      </w:r>
    </w:p>
    <w:tbl>
      <w:tblPr>
        <w:tblStyle w:val="17"/>
        <w:tblW w:w="5000" w:type="pct"/>
        <w:tblInd w:w="0" w:type="dxa"/>
        <w:tblLayout w:type="autofit"/>
        <w:tblCellMar>
          <w:top w:w="0" w:type="dxa"/>
          <w:left w:w="108" w:type="dxa"/>
          <w:bottom w:w="0" w:type="dxa"/>
          <w:right w:w="108" w:type="dxa"/>
        </w:tblCellMar>
      </w:tblPr>
      <w:tblGrid>
        <w:gridCol w:w="856"/>
        <w:gridCol w:w="857"/>
        <w:gridCol w:w="1419"/>
        <w:gridCol w:w="2233"/>
        <w:gridCol w:w="1421"/>
        <w:gridCol w:w="1421"/>
        <w:gridCol w:w="1419"/>
      </w:tblGrid>
      <w:tr>
        <w:tblPrEx>
          <w:tblCellMar>
            <w:top w:w="0" w:type="dxa"/>
            <w:left w:w="108" w:type="dxa"/>
            <w:bottom w:w="0" w:type="dxa"/>
            <w:right w:w="108" w:type="dxa"/>
          </w:tblCellMar>
        </w:tblPrEx>
        <w:trPr>
          <w:trHeight w:val="425" w:hRule="atLeast"/>
          <w:tblHeader/>
        </w:trPr>
        <w:tc>
          <w:tcPr>
            <w:tcW w:w="445" w:type="pct"/>
            <w:tcBorders>
              <w:top w:val="single" w:color="auto" w:sz="4" w:space="0"/>
              <w:left w:val="single" w:color="auto" w:sz="4" w:space="0"/>
              <w:bottom w:val="single" w:color="auto" w:sz="4" w:space="0"/>
              <w:right w:val="single" w:color="auto" w:sz="4" w:space="0"/>
            </w:tcBorders>
            <w:shd w:val="clear" w:color="000000" w:fill="FFFFFF"/>
            <w:vAlign w:val="center"/>
          </w:tcPr>
          <w:p>
            <w:pPr>
              <w:pStyle w:val="22"/>
              <w:bidi w:val="0"/>
              <w:rPr>
                <w:color w:val="auto"/>
                <w:highlight w:val="none"/>
              </w:rPr>
            </w:pPr>
            <w:r>
              <w:rPr>
                <w:color w:val="auto"/>
                <w:highlight w:val="none"/>
              </w:rPr>
              <w:t>序号</w:t>
            </w:r>
          </w:p>
        </w:tc>
        <w:tc>
          <w:tcPr>
            <w:tcW w:w="445" w:type="pct"/>
            <w:tcBorders>
              <w:top w:val="single" w:color="auto" w:sz="4" w:space="0"/>
              <w:left w:val="nil"/>
              <w:bottom w:val="single" w:color="auto" w:sz="4" w:space="0"/>
              <w:right w:val="single" w:color="auto" w:sz="4" w:space="0"/>
            </w:tcBorders>
            <w:shd w:val="clear" w:color="000000" w:fill="FFFFFF"/>
            <w:noWrap/>
            <w:vAlign w:val="center"/>
          </w:tcPr>
          <w:p>
            <w:pPr>
              <w:pStyle w:val="22"/>
              <w:bidi w:val="0"/>
              <w:rPr>
                <w:color w:val="auto"/>
                <w:highlight w:val="none"/>
              </w:rPr>
            </w:pPr>
            <w:r>
              <w:rPr>
                <w:color w:val="auto"/>
                <w:highlight w:val="none"/>
              </w:rPr>
              <w:t>科名</w:t>
            </w:r>
          </w:p>
        </w:tc>
        <w:tc>
          <w:tcPr>
            <w:tcW w:w="737" w:type="pct"/>
            <w:tcBorders>
              <w:top w:val="single" w:color="auto" w:sz="4" w:space="0"/>
              <w:left w:val="nil"/>
              <w:bottom w:val="single" w:color="auto" w:sz="4" w:space="0"/>
              <w:right w:val="single" w:color="auto" w:sz="4" w:space="0"/>
            </w:tcBorders>
            <w:shd w:val="clear" w:color="000000" w:fill="FFFFFF"/>
            <w:vAlign w:val="center"/>
          </w:tcPr>
          <w:p>
            <w:pPr>
              <w:pStyle w:val="22"/>
              <w:bidi w:val="0"/>
              <w:rPr>
                <w:color w:val="auto"/>
                <w:highlight w:val="none"/>
              </w:rPr>
            </w:pPr>
            <w:r>
              <w:rPr>
                <w:color w:val="auto"/>
                <w:highlight w:val="none"/>
              </w:rPr>
              <w:t>科名</w:t>
            </w:r>
          </w:p>
        </w:tc>
        <w:tc>
          <w:tcPr>
            <w:tcW w:w="1160" w:type="pct"/>
            <w:tcBorders>
              <w:top w:val="single" w:color="auto" w:sz="4" w:space="0"/>
              <w:left w:val="nil"/>
              <w:bottom w:val="single" w:color="auto" w:sz="4" w:space="0"/>
              <w:right w:val="single" w:color="auto" w:sz="4" w:space="0"/>
            </w:tcBorders>
            <w:shd w:val="clear" w:color="000000" w:fill="FFFFFF"/>
            <w:noWrap/>
            <w:vAlign w:val="center"/>
          </w:tcPr>
          <w:p>
            <w:pPr>
              <w:pStyle w:val="22"/>
              <w:bidi w:val="0"/>
              <w:rPr>
                <w:color w:val="auto"/>
                <w:highlight w:val="none"/>
              </w:rPr>
            </w:pPr>
            <w:r>
              <w:rPr>
                <w:color w:val="auto"/>
                <w:highlight w:val="none"/>
              </w:rPr>
              <w:t>科拉丁名</w:t>
            </w:r>
          </w:p>
        </w:tc>
        <w:tc>
          <w:tcPr>
            <w:tcW w:w="738" w:type="pct"/>
            <w:tcBorders>
              <w:top w:val="single" w:color="auto" w:sz="4" w:space="0"/>
              <w:left w:val="nil"/>
              <w:bottom w:val="single" w:color="auto" w:sz="4" w:space="0"/>
              <w:right w:val="single" w:color="auto" w:sz="4" w:space="0"/>
            </w:tcBorders>
            <w:shd w:val="clear" w:color="000000" w:fill="FFFFFF"/>
            <w:noWrap/>
            <w:vAlign w:val="center"/>
          </w:tcPr>
          <w:p>
            <w:pPr>
              <w:pStyle w:val="22"/>
              <w:bidi w:val="0"/>
              <w:rPr>
                <w:color w:val="auto"/>
                <w:highlight w:val="none"/>
              </w:rPr>
            </w:pPr>
            <w:r>
              <w:rPr>
                <w:color w:val="auto"/>
                <w:highlight w:val="none"/>
              </w:rPr>
              <w:t>科内属数</w:t>
            </w:r>
          </w:p>
        </w:tc>
        <w:tc>
          <w:tcPr>
            <w:tcW w:w="738" w:type="pct"/>
            <w:tcBorders>
              <w:top w:val="single" w:color="auto" w:sz="4" w:space="0"/>
              <w:left w:val="nil"/>
              <w:bottom w:val="single" w:color="auto" w:sz="4" w:space="0"/>
              <w:right w:val="single" w:color="auto" w:sz="4" w:space="0"/>
            </w:tcBorders>
            <w:shd w:val="clear" w:color="000000" w:fill="FFFFFF"/>
            <w:noWrap/>
            <w:vAlign w:val="center"/>
          </w:tcPr>
          <w:p>
            <w:pPr>
              <w:pStyle w:val="22"/>
              <w:bidi w:val="0"/>
              <w:rPr>
                <w:color w:val="auto"/>
                <w:highlight w:val="none"/>
              </w:rPr>
            </w:pPr>
            <w:r>
              <w:rPr>
                <w:color w:val="auto"/>
                <w:highlight w:val="none"/>
              </w:rPr>
              <w:t>科内种数</w:t>
            </w:r>
          </w:p>
        </w:tc>
        <w:tc>
          <w:tcPr>
            <w:tcW w:w="738" w:type="pct"/>
            <w:tcBorders>
              <w:top w:val="single" w:color="auto" w:sz="4" w:space="0"/>
              <w:left w:val="nil"/>
              <w:bottom w:val="single" w:color="auto" w:sz="4" w:space="0"/>
              <w:right w:val="single" w:color="auto" w:sz="4" w:space="0"/>
            </w:tcBorders>
            <w:shd w:val="clear" w:color="000000" w:fill="FFFFFF"/>
            <w:vAlign w:val="center"/>
          </w:tcPr>
          <w:p>
            <w:pPr>
              <w:pStyle w:val="22"/>
              <w:bidi w:val="0"/>
              <w:rPr>
                <w:color w:val="auto"/>
                <w:highlight w:val="none"/>
              </w:rPr>
            </w:pPr>
            <w:r>
              <w:rPr>
                <w:color w:val="auto"/>
                <w:highlight w:val="none"/>
              </w:rPr>
              <w:t>物种比例</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445"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单种科</w:t>
            </w: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紫萁科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Osmundaceae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2.08%</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海金沙科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Lygodiaceae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2.08%</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铁线蕨科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Adiantaceae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2.08%</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槲蕨科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Drynariaceae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2.08%</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bookmarkStart w:id="218" w:name="_Hlk88289563"/>
            <w:r>
              <w:rPr>
                <w:color w:val="auto"/>
                <w:highlight w:val="none"/>
              </w:rPr>
              <w:t>5</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苹科</w:t>
            </w:r>
          </w:p>
        </w:tc>
        <w:tc>
          <w:tcPr>
            <w:tcW w:w="116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Marsileaceae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2.08%</w:t>
            </w:r>
          </w:p>
        </w:tc>
      </w:tr>
      <w:bookmarkEnd w:id="218"/>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w:t>
            </w:r>
          </w:p>
        </w:tc>
        <w:tc>
          <w:tcPr>
            <w:tcW w:w="445"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寡种科</w:t>
            </w: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石松科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Lycopodiaceae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4.17%</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7</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里白科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Gleicheniaceae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4.17%</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8</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Pteridiaceae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4.17%</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9</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乌毛蕨科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Blechnaceae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4.17%</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凤尾蕨科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Pteridaceae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6.25%</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金星蕨科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Thelypteridaceae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6.25%</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12</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卷柏科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Selaginellaceae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8.33%</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13</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中国蕨科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Sinopteridaceae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8.33%</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14</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蹄盖蕨科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Athyriaceae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8.33%</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15</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鳞毛蕨科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Dryopteridaceae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8.33%</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16</w:t>
            </w:r>
          </w:p>
        </w:tc>
        <w:tc>
          <w:tcPr>
            <w:tcW w:w="445"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少种科</w:t>
            </w: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水龙骨科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Polypodiaceae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12.50%</w:t>
            </w:r>
          </w:p>
        </w:tc>
      </w:tr>
      <w:tr>
        <w:tblPrEx>
          <w:tblCellMar>
            <w:top w:w="0" w:type="dxa"/>
            <w:left w:w="108" w:type="dxa"/>
            <w:bottom w:w="0" w:type="dxa"/>
            <w:right w:w="108" w:type="dxa"/>
          </w:tblCellMar>
        </w:tblPrEx>
        <w:trPr>
          <w:trHeight w:val="425" w:hRule="atLeast"/>
        </w:trPr>
        <w:tc>
          <w:tcPr>
            <w:tcW w:w="445"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17</w:t>
            </w:r>
          </w:p>
        </w:tc>
        <w:tc>
          <w:tcPr>
            <w:tcW w:w="445"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37"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木贼科</w:t>
            </w:r>
          </w:p>
        </w:tc>
        <w:tc>
          <w:tcPr>
            <w:tcW w:w="11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Equisetaceae</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7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w:t>
            </w:r>
          </w:p>
        </w:tc>
        <w:tc>
          <w:tcPr>
            <w:tcW w:w="73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14.58%</w:t>
            </w:r>
          </w:p>
        </w:tc>
      </w:tr>
    </w:tbl>
    <w:p>
      <w:pPr>
        <w:bidi w:val="0"/>
        <w:rPr>
          <w:color w:val="auto"/>
          <w:highlight w:val="none"/>
        </w:rPr>
      </w:pPr>
      <w:r>
        <w:rPr>
          <w:rFonts w:hint="eastAsia"/>
          <w:color w:val="auto"/>
          <w:highlight w:val="none"/>
          <w:lang w:eastAsia="zh-CN"/>
        </w:rPr>
        <w:t>②</w:t>
      </w:r>
      <w:r>
        <w:rPr>
          <w:rFonts w:hint="eastAsia"/>
          <w:color w:val="auto"/>
          <w:highlight w:val="none"/>
        </w:rPr>
        <w:t>种子</w:t>
      </w:r>
      <w:r>
        <w:rPr>
          <w:color w:val="auto"/>
          <w:highlight w:val="none"/>
        </w:rPr>
        <w:t>植物</w:t>
      </w:r>
      <w:r>
        <w:rPr>
          <w:rFonts w:hint="eastAsia"/>
          <w:color w:val="auto"/>
          <w:highlight w:val="none"/>
        </w:rPr>
        <w:t>组成及多样性</w:t>
      </w:r>
      <w:r>
        <w:rPr>
          <w:color w:val="auto"/>
          <w:highlight w:val="none"/>
        </w:rPr>
        <w:t>分析</w:t>
      </w:r>
    </w:p>
    <w:p>
      <w:pPr>
        <w:bidi w:val="0"/>
        <w:rPr>
          <w:color w:val="auto"/>
          <w:highlight w:val="none"/>
        </w:rPr>
      </w:pPr>
      <w:r>
        <w:rPr>
          <w:rFonts w:hint="eastAsia"/>
          <w:color w:val="auto"/>
          <w:highlight w:val="none"/>
        </w:rPr>
        <w:t>科的数量统计：</w:t>
      </w:r>
      <w:r>
        <w:rPr>
          <w:color w:val="auto"/>
          <w:highlight w:val="none"/>
        </w:rPr>
        <w:t>科是植物分类学中最大的自然单位，在植物区系中占有重要的位置。从进化角度看，同一个科、属、种的分化，很大程度上反应了其生境的变化。但各科一般具有十分明显的结构特征，进而与其他科相区别，表明它们可能有共同的起源。科作为较高级的分类单位反映了物种间较广泛的亲缘关系，同时在植物区系地理中，科作为高级分类指标，可以提供一定区系特征的总概念、与其他区系的联系和区系起源的线索等。</w:t>
      </w:r>
    </w:p>
    <w:p>
      <w:pPr>
        <w:bidi w:val="0"/>
        <w:rPr>
          <w:color w:val="auto"/>
          <w:highlight w:val="none"/>
        </w:rPr>
      </w:pPr>
      <w:r>
        <w:rPr>
          <w:rFonts w:hint="eastAsia"/>
          <w:color w:val="auto"/>
          <w:highlight w:val="none"/>
        </w:rPr>
        <w:t>大竹县</w:t>
      </w:r>
      <w:r>
        <w:rPr>
          <w:color w:val="auto"/>
          <w:highlight w:val="none"/>
        </w:rPr>
        <w:t>煤炭矿区总体规划评价区内种子植物共计116科446属744种。其中含20种以上的较大科有6个，即</w:t>
      </w:r>
      <w:r>
        <w:rPr>
          <w:rFonts w:hint="eastAsia"/>
          <w:color w:val="auto"/>
          <w:highlight w:val="none"/>
        </w:rPr>
        <w:t>菊科(Compositae/35属64种)、禾本科(Gramineae/38属58种)、蔷薇科(Rosaceae/22属49种)、豆科(Leguminosae/19属25种)、唇形科(Labiatae/14属21种)、十字花科(Cruciferae/10属20种)</w:t>
      </w:r>
      <w:r>
        <w:rPr>
          <w:color w:val="auto"/>
          <w:highlight w:val="none"/>
        </w:rPr>
        <w:t>，共138属237种，分别占调查区域内种子植物总科数的5.17%、总属数的30.94%、总种数的31.85%。</w:t>
      </w:r>
    </w:p>
    <w:p>
      <w:pPr>
        <w:bidi w:val="0"/>
        <w:rPr>
          <w:color w:val="auto"/>
          <w:highlight w:val="none"/>
        </w:rPr>
      </w:pPr>
      <w:r>
        <w:rPr>
          <w:color w:val="auto"/>
          <w:highlight w:val="none"/>
        </w:rPr>
        <w:t>含10~19种的中等科12个，共88属174种，分别占调查区种子植物总科数的</w:t>
      </w:r>
      <w:r>
        <w:rPr>
          <w:rFonts w:hint="eastAsia"/>
          <w:color w:val="auto"/>
          <w:highlight w:val="none"/>
        </w:rPr>
        <w:t>1</w:t>
      </w:r>
      <w:r>
        <w:rPr>
          <w:color w:val="auto"/>
          <w:highlight w:val="none"/>
        </w:rPr>
        <w:t>0.34%、总属数的19.73%、总种数的23.39%，包括</w:t>
      </w:r>
      <w:r>
        <w:rPr>
          <w:rFonts w:hint="eastAsia"/>
          <w:color w:val="auto"/>
          <w:highlight w:val="none"/>
        </w:rPr>
        <w:t>百合科(Liliaceae/10属19种)、莎草科(Cyperaceae/8属18种)、蓼科(Polygonaceae/5属17种)、毛茛科(Ranunculaceae/6属15种)、茄科(Solanaceae/9属14种)、茜草科(Rubiaceae/8属14种)、葫芦科(Cucurbitaceae/10属14种)、壳斗科(Fagaceae/5属13种)、荨麻科(Urticaceae/6属13种)、玄参科(Scrophulariaceae/7属13种)、伞形科(Umbelliferae/10属12种)和忍冬科(Caprifoliaceae/4属12种)</w:t>
      </w:r>
      <w:r>
        <w:rPr>
          <w:color w:val="auto"/>
          <w:highlight w:val="none"/>
        </w:rPr>
        <w:t>。</w:t>
      </w:r>
    </w:p>
    <w:p>
      <w:pPr>
        <w:bidi w:val="0"/>
        <w:rPr>
          <w:color w:val="auto"/>
          <w:highlight w:val="none"/>
        </w:rPr>
      </w:pPr>
      <w:r>
        <w:rPr>
          <w:color w:val="auto"/>
          <w:highlight w:val="none"/>
        </w:rPr>
        <w:t>含6~9种的少种科19个，共88属139种，分别占调查区种子植物总科数的16.38%、总属数的19.73%、总种数的18.68%，有</w:t>
      </w:r>
      <w:r>
        <w:rPr>
          <w:rFonts w:hint="eastAsia"/>
          <w:color w:val="auto"/>
          <w:highlight w:val="none"/>
        </w:rPr>
        <w:t>桑科(Moraceae/4属9种)、大戟科(Euphorbiaceae/8属9种)、鼠李科(Rhamnaceae/5属9种)、天南星科(Araceae/7属9种)、石竹科(Caryophyllaceae/6属8种)、小檗科(Berberidaceae/4属8种)、芸香科(Rutaceae/4属8种)、旋花科(Convolvulaceae/5属8种)、紫草科(Boraginaceae/6属8种)、苋科(Amaranthaceae/4属7种)、虎耳草科(Saxifragaceae/5属7种)、五加科(Araliaceae/4属7种)、杨柳科(Salicaceae/2属6种)、藜科(Chenopodiaceae/3属6种)</w:t>
      </w:r>
      <w:r>
        <w:rPr>
          <w:color w:val="auto"/>
          <w:highlight w:val="none"/>
        </w:rPr>
        <w:t>等。</w:t>
      </w:r>
    </w:p>
    <w:p>
      <w:pPr>
        <w:bidi w:val="0"/>
        <w:rPr>
          <w:color w:val="auto"/>
          <w:highlight w:val="none"/>
        </w:rPr>
      </w:pPr>
      <w:r>
        <w:rPr>
          <w:color w:val="auto"/>
          <w:highlight w:val="none"/>
        </w:rPr>
        <w:t>含2~5种的寡种科59个，共112属174种，分别占调查区域内种子植物总科数的</w:t>
      </w:r>
      <w:r>
        <w:rPr>
          <w:rFonts w:hint="eastAsia"/>
          <w:color w:val="auto"/>
          <w:highlight w:val="none"/>
        </w:rPr>
        <w:t>5</w:t>
      </w:r>
      <w:r>
        <w:rPr>
          <w:color w:val="auto"/>
          <w:highlight w:val="none"/>
        </w:rPr>
        <w:t>0.86%、总属数的25.11%、总种数的23.39%，包括</w:t>
      </w:r>
      <w:r>
        <w:rPr>
          <w:rFonts w:hint="eastAsia"/>
          <w:color w:val="auto"/>
          <w:highlight w:val="none"/>
        </w:rPr>
        <w:t>松科(Pinaceae/2属5种)、胡桃科(Juglandaceae/4属5种)、锦葵科(Malvaceae/4属5种)、兰科(Orchidaceae/3属5种)、木兰科(Magnoliaceae/1属4种)、北马兜铃科(Aristolochiaceae/2属4种)、卫矛科(Celastraceae/1属4种)、猕猴桃科(Actinidiaceae/1属4种)、胡颓子科(Elaeagnaceae/1属4种)、千屈菜科(Lythraceae/4属4种)、柳叶菜科(Onagraceae/3属4种)、山茱萸科(Cornaceae/3属4种)、报春花科(Primulaceae/2属4种)、龙胆科(Gentianaceae/2属4种)、马鞭草科(Verbenaceae/3属4种)、石蒜科(Amaryllidaceae/2属4种)</w:t>
      </w:r>
      <w:r>
        <w:rPr>
          <w:color w:val="auto"/>
          <w:highlight w:val="none"/>
        </w:rPr>
        <w:t>等。</w:t>
      </w:r>
    </w:p>
    <w:p>
      <w:pPr>
        <w:bidi w:val="0"/>
        <w:rPr>
          <w:color w:val="auto"/>
          <w:highlight w:val="none"/>
        </w:rPr>
      </w:pPr>
      <w:r>
        <w:rPr>
          <w:color w:val="auto"/>
          <w:highlight w:val="none"/>
        </w:rPr>
        <w:t>单种科20个，即</w:t>
      </w:r>
      <w:r>
        <w:rPr>
          <w:rFonts w:hint="eastAsia"/>
          <w:color w:val="auto"/>
          <w:highlight w:val="none"/>
        </w:rPr>
        <w:t>紫茉莉科(Nyctaginaceae/1属1种)、领春木科(Eupteleaceae/1属1种)、、腊梅科(Calycanthaceae/1属1种)、粟米草科(Molluginaceae/1属1种)、海桐花科(Pittosporaceae/1属1种)、杜仲科(Eucommiaceae/1属1种)、亚麻科(Linaceae/1属1种)、黄杨科(Buxaceae/1属1种)、无患子科(Sapindaceae/1属1种)、连香树科(Cercidiphyllaceae/1属1种) 、马桑科(Coriariaceae/1属1种)八角枫科(Alangiaceae/1属1种)、夹竹桃科(Apocynaceae/1属1种)、爵床科(Acanthaceae/1属1种)等</w:t>
      </w:r>
      <w:r>
        <w:rPr>
          <w:color w:val="auto"/>
          <w:highlight w:val="none"/>
        </w:rPr>
        <w:t>。</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大竹县</w:t>
      </w:r>
      <w:r>
        <w:rPr>
          <w:color w:val="auto"/>
          <w:highlight w:val="none"/>
        </w:rPr>
        <w:t>煤炭矿区总体规划评价区内种子植物科属种数量统计</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243"/>
        <w:gridCol w:w="891"/>
        <w:gridCol w:w="1267"/>
        <w:gridCol w:w="891"/>
        <w:gridCol w:w="1269"/>
        <w:gridCol w:w="891"/>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序号</w:t>
            </w:r>
          </w:p>
        </w:tc>
        <w:tc>
          <w:tcPr>
            <w:tcW w:w="1165" w:type="pct"/>
            <w:shd w:val="clear" w:color="auto" w:fill="auto"/>
            <w:noWrap/>
            <w:vAlign w:val="center"/>
          </w:tcPr>
          <w:p>
            <w:pPr>
              <w:pStyle w:val="22"/>
              <w:bidi w:val="0"/>
              <w:rPr>
                <w:color w:val="auto"/>
                <w:highlight w:val="none"/>
              </w:rPr>
            </w:pPr>
            <w:r>
              <w:rPr>
                <w:color w:val="auto"/>
                <w:highlight w:val="none"/>
              </w:rPr>
              <w:t>类别</w:t>
            </w:r>
          </w:p>
        </w:tc>
        <w:tc>
          <w:tcPr>
            <w:tcW w:w="463" w:type="pct"/>
            <w:shd w:val="clear" w:color="auto" w:fill="auto"/>
            <w:noWrap/>
            <w:vAlign w:val="center"/>
          </w:tcPr>
          <w:p>
            <w:pPr>
              <w:pStyle w:val="22"/>
              <w:bidi w:val="0"/>
              <w:rPr>
                <w:color w:val="auto"/>
                <w:highlight w:val="none"/>
              </w:rPr>
            </w:pPr>
            <w:r>
              <w:rPr>
                <w:color w:val="auto"/>
                <w:highlight w:val="none"/>
              </w:rPr>
              <w:t>科数</w:t>
            </w:r>
          </w:p>
        </w:tc>
        <w:tc>
          <w:tcPr>
            <w:tcW w:w="658" w:type="pct"/>
            <w:shd w:val="clear" w:color="auto" w:fill="auto"/>
            <w:noWrap/>
            <w:vAlign w:val="center"/>
          </w:tcPr>
          <w:p>
            <w:pPr>
              <w:pStyle w:val="22"/>
              <w:bidi w:val="0"/>
              <w:rPr>
                <w:color w:val="auto"/>
                <w:highlight w:val="none"/>
              </w:rPr>
            </w:pPr>
            <w:r>
              <w:rPr>
                <w:color w:val="auto"/>
                <w:highlight w:val="none"/>
              </w:rPr>
              <w:t>科比例</w:t>
            </w:r>
          </w:p>
        </w:tc>
        <w:tc>
          <w:tcPr>
            <w:tcW w:w="463" w:type="pct"/>
            <w:shd w:val="clear" w:color="auto" w:fill="auto"/>
            <w:noWrap/>
            <w:vAlign w:val="center"/>
          </w:tcPr>
          <w:p>
            <w:pPr>
              <w:pStyle w:val="22"/>
              <w:bidi w:val="0"/>
              <w:rPr>
                <w:color w:val="auto"/>
                <w:highlight w:val="none"/>
              </w:rPr>
            </w:pPr>
            <w:r>
              <w:rPr>
                <w:color w:val="auto"/>
                <w:highlight w:val="none"/>
              </w:rPr>
              <w:t>属数</w:t>
            </w:r>
          </w:p>
        </w:tc>
        <w:tc>
          <w:tcPr>
            <w:tcW w:w="659" w:type="pct"/>
            <w:shd w:val="clear" w:color="auto" w:fill="auto"/>
            <w:noWrap/>
            <w:vAlign w:val="center"/>
          </w:tcPr>
          <w:p>
            <w:pPr>
              <w:pStyle w:val="22"/>
              <w:bidi w:val="0"/>
              <w:rPr>
                <w:color w:val="auto"/>
                <w:highlight w:val="none"/>
              </w:rPr>
            </w:pPr>
            <w:r>
              <w:rPr>
                <w:color w:val="auto"/>
                <w:highlight w:val="none"/>
              </w:rPr>
              <w:t>属比例</w:t>
            </w:r>
          </w:p>
        </w:tc>
        <w:tc>
          <w:tcPr>
            <w:tcW w:w="463" w:type="pct"/>
            <w:shd w:val="clear" w:color="auto" w:fill="auto"/>
            <w:noWrap/>
            <w:vAlign w:val="center"/>
          </w:tcPr>
          <w:p>
            <w:pPr>
              <w:pStyle w:val="22"/>
              <w:bidi w:val="0"/>
              <w:rPr>
                <w:color w:val="auto"/>
                <w:highlight w:val="none"/>
              </w:rPr>
            </w:pPr>
            <w:r>
              <w:rPr>
                <w:color w:val="auto"/>
                <w:highlight w:val="none"/>
              </w:rPr>
              <w:t>种数</w:t>
            </w:r>
          </w:p>
        </w:tc>
        <w:tc>
          <w:tcPr>
            <w:tcW w:w="666" w:type="pct"/>
            <w:shd w:val="clear" w:color="auto" w:fill="auto"/>
            <w:noWrap/>
            <w:vAlign w:val="center"/>
          </w:tcPr>
          <w:p>
            <w:pPr>
              <w:pStyle w:val="22"/>
              <w:bidi w:val="0"/>
              <w:rPr>
                <w:color w:val="auto"/>
                <w:highlight w:val="none"/>
              </w:rPr>
            </w:pPr>
            <w:r>
              <w:rPr>
                <w:color w:val="auto"/>
                <w:highlight w:val="none"/>
              </w:rPr>
              <w:t>种比例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1</w:t>
            </w:r>
          </w:p>
        </w:tc>
        <w:tc>
          <w:tcPr>
            <w:tcW w:w="1165" w:type="pct"/>
            <w:shd w:val="clear" w:color="auto" w:fill="auto"/>
            <w:noWrap/>
            <w:vAlign w:val="center"/>
          </w:tcPr>
          <w:p>
            <w:pPr>
              <w:pStyle w:val="22"/>
              <w:bidi w:val="0"/>
              <w:rPr>
                <w:color w:val="auto"/>
                <w:highlight w:val="none"/>
              </w:rPr>
            </w:pPr>
            <w:r>
              <w:rPr>
                <w:color w:val="auto"/>
                <w:highlight w:val="none"/>
              </w:rPr>
              <w:t>（大科）≥20种</w:t>
            </w:r>
          </w:p>
        </w:tc>
        <w:tc>
          <w:tcPr>
            <w:tcW w:w="463" w:type="pct"/>
            <w:shd w:val="clear" w:color="auto" w:fill="auto"/>
            <w:noWrap/>
            <w:vAlign w:val="center"/>
          </w:tcPr>
          <w:p>
            <w:pPr>
              <w:pStyle w:val="22"/>
              <w:bidi w:val="0"/>
              <w:rPr>
                <w:color w:val="auto"/>
                <w:highlight w:val="none"/>
              </w:rPr>
            </w:pPr>
            <w:r>
              <w:rPr>
                <w:color w:val="auto"/>
                <w:highlight w:val="none"/>
              </w:rPr>
              <w:t>6</w:t>
            </w:r>
          </w:p>
        </w:tc>
        <w:tc>
          <w:tcPr>
            <w:tcW w:w="658" w:type="pct"/>
            <w:shd w:val="clear" w:color="auto" w:fill="auto"/>
            <w:noWrap/>
            <w:vAlign w:val="center"/>
          </w:tcPr>
          <w:p>
            <w:pPr>
              <w:pStyle w:val="22"/>
              <w:bidi w:val="0"/>
              <w:rPr>
                <w:color w:val="auto"/>
                <w:highlight w:val="none"/>
              </w:rPr>
            </w:pPr>
            <w:r>
              <w:rPr>
                <w:color w:val="auto"/>
                <w:highlight w:val="none"/>
              </w:rPr>
              <w:t>5.17%</w:t>
            </w:r>
          </w:p>
        </w:tc>
        <w:tc>
          <w:tcPr>
            <w:tcW w:w="463" w:type="pct"/>
            <w:shd w:val="clear" w:color="auto" w:fill="auto"/>
            <w:noWrap/>
            <w:vAlign w:val="center"/>
          </w:tcPr>
          <w:p>
            <w:pPr>
              <w:pStyle w:val="22"/>
              <w:bidi w:val="0"/>
              <w:rPr>
                <w:color w:val="auto"/>
                <w:highlight w:val="none"/>
              </w:rPr>
            </w:pPr>
            <w:r>
              <w:rPr>
                <w:color w:val="auto"/>
                <w:highlight w:val="none"/>
              </w:rPr>
              <w:t>138</w:t>
            </w:r>
          </w:p>
        </w:tc>
        <w:tc>
          <w:tcPr>
            <w:tcW w:w="659" w:type="pct"/>
            <w:shd w:val="clear" w:color="auto" w:fill="auto"/>
            <w:noWrap/>
            <w:vAlign w:val="center"/>
          </w:tcPr>
          <w:p>
            <w:pPr>
              <w:pStyle w:val="22"/>
              <w:bidi w:val="0"/>
              <w:rPr>
                <w:color w:val="auto"/>
                <w:highlight w:val="none"/>
              </w:rPr>
            </w:pPr>
            <w:r>
              <w:rPr>
                <w:color w:val="auto"/>
                <w:highlight w:val="none"/>
              </w:rPr>
              <w:t>30.94%</w:t>
            </w:r>
          </w:p>
        </w:tc>
        <w:tc>
          <w:tcPr>
            <w:tcW w:w="463" w:type="pct"/>
            <w:shd w:val="clear" w:color="auto" w:fill="auto"/>
            <w:noWrap/>
            <w:vAlign w:val="center"/>
          </w:tcPr>
          <w:p>
            <w:pPr>
              <w:pStyle w:val="22"/>
              <w:bidi w:val="0"/>
              <w:rPr>
                <w:color w:val="auto"/>
                <w:highlight w:val="none"/>
              </w:rPr>
            </w:pPr>
            <w:r>
              <w:rPr>
                <w:color w:val="auto"/>
                <w:highlight w:val="none"/>
              </w:rPr>
              <w:t>237</w:t>
            </w:r>
          </w:p>
        </w:tc>
        <w:tc>
          <w:tcPr>
            <w:tcW w:w="666" w:type="pct"/>
            <w:shd w:val="clear" w:color="auto" w:fill="auto"/>
            <w:noWrap/>
            <w:vAlign w:val="center"/>
          </w:tcPr>
          <w:p>
            <w:pPr>
              <w:pStyle w:val="22"/>
              <w:bidi w:val="0"/>
              <w:rPr>
                <w:color w:val="auto"/>
                <w:highlight w:val="none"/>
              </w:rPr>
            </w:pPr>
            <w:r>
              <w:rPr>
                <w:color w:val="auto"/>
                <w:highlight w:val="none"/>
              </w:rPr>
              <w:t>31.85%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2</w:t>
            </w:r>
          </w:p>
        </w:tc>
        <w:tc>
          <w:tcPr>
            <w:tcW w:w="1165" w:type="pct"/>
            <w:shd w:val="clear" w:color="auto" w:fill="auto"/>
            <w:noWrap/>
            <w:vAlign w:val="center"/>
          </w:tcPr>
          <w:p>
            <w:pPr>
              <w:pStyle w:val="22"/>
              <w:bidi w:val="0"/>
              <w:rPr>
                <w:color w:val="auto"/>
                <w:highlight w:val="none"/>
              </w:rPr>
            </w:pPr>
            <w:r>
              <w:rPr>
                <w:color w:val="auto"/>
                <w:highlight w:val="none"/>
              </w:rPr>
              <w:t>（中等科）10-19种</w:t>
            </w:r>
          </w:p>
        </w:tc>
        <w:tc>
          <w:tcPr>
            <w:tcW w:w="463" w:type="pct"/>
            <w:shd w:val="clear" w:color="auto" w:fill="auto"/>
            <w:noWrap/>
            <w:vAlign w:val="center"/>
          </w:tcPr>
          <w:p>
            <w:pPr>
              <w:pStyle w:val="22"/>
              <w:bidi w:val="0"/>
              <w:rPr>
                <w:color w:val="auto"/>
                <w:highlight w:val="none"/>
              </w:rPr>
            </w:pPr>
            <w:r>
              <w:rPr>
                <w:color w:val="auto"/>
                <w:highlight w:val="none"/>
              </w:rPr>
              <w:t>12</w:t>
            </w:r>
          </w:p>
        </w:tc>
        <w:tc>
          <w:tcPr>
            <w:tcW w:w="658" w:type="pct"/>
            <w:shd w:val="clear" w:color="auto" w:fill="auto"/>
            <w:noWrap/>
            <w:vAlign w:val="center"/>
          </w:tcPr>
          <w:p>
            <w:pPr>
              <w:pStyle w:val="22"/>
              <w:bidi w:val="0"/>
              <w:rPr>
                <w:color w:val="auto"/>
                <w:highlight w:val="none"/>
              </w:rPr>
            </w:pPr>
            <w:r>
              <w:rPr>
                <w:color w:val="auto"/>
                <w:highlight w:val="none"/>
              </w:rPr>
              <w:t>10.34%</w:t>
            </w:r>
          </w:p>
        </w:tc>
        <w:tc>
          <w:tcPr>
            <w:tcW w:w="463" w:type="pct"/>
            <w:shd w:val="clear" w:color="auto" w:fill="auto"/>
            <w:noWrap/>
            <w:vAlign w:val="center"/>
          </w:tcPr>
          <w:p>
            <w:pPr>
              <w:pStyle w:val="22"/>
              <w:bidi w:val="0"/>
              <w:rPr>
                <w:color w:val="auto"/>
                <w:highlight w:val="none"/>
              </w:rPr>
            </w:pPr>
            <w:r>
              <w:rPr>
                <w:color w:val="auto"/>
                <w:highlight w:val="none"/>
              </w:rPr>
              <w:t>88</w:t>
            </w:r>
          </w:p>
        </w:tc>
        <w:tc>
          <w:tcPr>
            <w:tcW w:w="659" w:type="pct"/>
            <w:shd w:val="clear" w:color="auto" w:fill="auto"/>
            <w:noWrap/>
            <w:vAlign w:val="center"/>
          </w:tcPr>
          <w:p>
            <w:pPr>
              <w:pStyle w:val="22"/>
              <w:bidi w:val="0"/>
              <w:rPr>
                <w:color w:val="auto"/>
                <w:highlight w:val="none"/>
              </w:rPr>
            </w:pPr>
            <w:r>
              <w:rPr>
                <w:color w:val="auto"/>
                <w:highlight w:val="none"/>
              </w:rPr>
              <w:t>19.73%</w:t>
            </w:r>
          </w:p>
        </w:tc>
        <w:tc>
          <w:tcPr>
            <w:tcW w:w="463" w:type="pct"/>
            <w:shd w:val="clear" w:color="auto" w:fill="auto"/>
            <w:noWrap/>
            <w:vAlign w:val="center"/>
          </w:tcPr>
          <w:p>
            <w:pPr>
              <w:pStyle w:val="22"/>
              <w:bidi w:val="0"/>
              <w:rPr>
                <w:color w:val="auto"/>
                <w:highlight w:val="none"/>
              </w:rPr>
            </w:pPr>
            <w:r>
              <w:rPr>
                <w:color w:val="auto"/>
                <w:highlight w:val="none"/>
              </w:rPr>
              <w:t>174</w:t>
            </w:r>
          </w:p>
        </w:tc>
        <w:tc>
          <w:tcPr>
            <w:tcW w:w="666" w:type="pct"/>
            <w:shd w:val="clear" w:color="auto" w:fill="auto"/>
            <w:noWrap/>
            <w:vAlign w:val="center"/>
          </w:tcPr>
          <w:p>
            <w:pPr>
              <w:pStyle w:val="22"/>
              <w:bidi w:val="0"/>
              <w:rPr>
                <w:color w:val="auto"/>
                <w:highlight w:val="none"/>
              </w:rPr>
            </w:pPr>
            <w:r>
              <w:rPr>
                <w:color w:val="auto"/>
                <w:highlight w:val="none"/>
              </w:rPr>
              <w:t>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3</w:t>
            </w:r>
          </w:p>
        </w:tc>
        <w:tc>
          <w:tcPr>
            <w:tcW w:w="1165" w:type="pct"/>
            <w:shd w:val="clear" w:color="auto" w:fill="auto"/>
            <w:noWrap/>
            <w:vAlign w:val="center"/>
          </w:tcPr>
          <w:p>
            <w:pPr>
              <w:pStyle w:val="22"/>
              <w:bidi w:val="0"/>
              <w:rPr>
                <w:color w:val="auto"/>
                <w:highlight w:val="none"/>
              </w:rPr>
            </w:pPr>
            <w:r>
              <w:rPr>
                <w:color w:val="auto"/>
                <w:highlight w:val="none"/>
              </w:rPr>
              <w:t>（少种科）6-9种</w:t>
            </w:r>
          </w:p>
        </w:tc>
        <w:tc>
          <w:tcPr>
            <w:tcW w:w="463" w:type="pct"/>
            <w:shd w:val="clear" w:color="auto" w:fill="auto"/>
            <w:noWrap/>
            <w:vAlign w:val="center"/>
          </w:tcPr>
          <w:p>
            <w:pPr>
              <w:pStyle w:val="22"/>
              <w:bidi w:val="0"/>
              <w:rPr>
                <w:color w:val="auto"/>
                <w:highlight w:val="none"/>
              </w:rPr>
            </w:pPr>
            <w:r>
              <w:rPr>
                <w:color w:val="auto"/>
                <w:highlight w:val="none"/>
              </w:rPr>
              <w:t>19</w:t>
            </w:r>
          </w:p>
        </w:tc>
        <w:tc>
          <w:tcPr>
            <w:tcW w:w="658" w:type="pct"/>
            <w:shd w:val="clear" w:color="auto" w:fill="auto"/>
            <w:noWrap/>
            <w:vAlign w:val="center"/>
          </w:tcPr>
          <w:p>
            <w:pPr>
              <w:pStyle w:val="22"/>
              <w:bidi w:val="0"/>
              <w:rPr>
                <w:color w:val="auto"/>
                <w:highlight w:val="none"/>
              </w:rPr>
            </w:pPr>
            <w:r>
              <w:rPr>
                <w:color w:val="auto"/>
                <w:highlight w:val="none"/>
              </w:rPr>
              <w:t>16.38%</w:t>
            </w:r>
          </w:p>
        </w:tc>
        <w:tc>
          <w:tcPr>
            <w:tcW w:w="463" w:type="pct"/>
            <w:shd w:val="clear" w:color="auto" w:fill="auto"/>
            <w:noWrap/>
            <w:vAlign w:val="center"/>
          </w:tcPr>
          <w:p>
            <w:pPr>
              <w:pStyle w:val="22"/>
              <w:bidi w:val="0"/>
              <w:rPr>
                <w:color w:val="auto"/>
                <w:highlight w:val="none"/>
              </w:rPr>
            </w:pPr>
            <w:r>
              <w:rPr>
                <w:color w:val="auto"/>
                <w:highlight w:val="none"/>
              </w:rPr>
              <w:t>88</w:t>
            </w:r>
          </w:p>
        </w:tc>
        <w:tc>
          <w:tcPr>
            <w:tcW w:w="659" w:type="pct"/>
            <w:shd w:val="clear" w:color="auto" w:fill="auto"/>
            <w:noWrap/>
            <w:vAlign w:val="center"/>
          </w:tcPr>
          <w:p>
            <w:pPr>
              <w:pStyle w:val="22"/>
              <w:bidi w:val="0"/>
              <w:rPr>
                <w:color w:val="auto"/>
                <w:highlight w:val="none"/>
              </w:rPr>
            </w:pPr>
            <w:r>
              <w:rPr>
                <w:color w:val="auto"/>
                <w:highlight w:val="none"/>
              </w:rPr>
              <w:t>19.73%</w:t>
            </w:r>
          </w:p>
        </w:tc>
        <w:tc>
          <w:tcPr>
            <w:tcW w:w="463" w:type="pct"/>
            <w:shd w:val="clear" w:color="auto" w:fill="auto"/>
            <w:noWrap/>
            <w:vAlign w:val="center"/>
          </w:tcPr>
          <w:p>
            <w:pPr>
              <w:pStyle w:val="22"/>
              <w:bidi w:val="0"/>
              <w:rPr>
                <w:color w:val="auto"/>
                <w:highlight w:val="none"/>
              </w:rPr>
            </w:pPr>
            <w:r>
              <w:rPr>
                <w:color w:val="auto"/>
                <w:highlight w:val="none"/>
              </w:rPr>
              <w:t>139</w:t>
            </w:r>
          </w:p>
        </w:tc>
        <w:tc>
          <w:tcPr>
            <w:tcW w:w="666" w:type="pct"/>
            <w:shd w:val="clear" w:color="auto" w:fill="auto"/>
            <w:noWrap/>
            <w:vAlign w:val="center"/>
          </w:tcPr>
          <w:p>
            <w:pPr>
              <w:pStyle w:val="22"/>
              <w:bidi w:val="0"/>
              <w:rPr>
                <w:color w:val="auto"/>
                <w:highlight w:val="none"/>
              </w:rPr>
            </w:pPr>
            <w:r>
              <w:rPr>
                <w:color w:val="auto"/>
                <w:highlight w:val="none"/>
              </w:rPr>
              <w:t>18.68%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4</w:t>
            </w:r>
          </w:p>
        </w:tc>
        <w:tc>
          <w:tcPr>
            <w:tcW w:w="1165" w:type="pct"/>
            <w:shd w:val="clear" w:color="auto" w:fill="auto"/>
            <w:noWrap/>
            <w:vAlign w:val="center"/>
          </w:tcPr>
          <w:p>
            <w:pPr>
              <w:pStyle w:val="22"/>
              <w:bidi w:val="0"/>
              <w:rPr>
                <w:color w:val="auto"/>
                <w:highlight w:val="none"/>
              </w:rPr>
            </w:pPr>
            <w:r>
              <w:rPr>
                <w:color w:val="auto"/>
                <w:highlight w:val="none"/>
              </w:rPr>
              <w:t>（寡种科）2-5种</w:t>
            </w:r>
          </w:p>
        </w:tc>
        <w:tc>
          <w:tcPr>
            <w:tcW w:w="463" w:type="pct"/>
            <w:shd w:val="clear" w:color="auto" w:fill="auto"/>
            <w:noWrap/>
            <w:vAlign w:val="center"/>
          </w:tcPr>
          <w:p>
            <w:pPr>
              <w:pStyle w:val="22"/>
              <w:bidi w:val="0"/>
              <w:rPr>
                <w:color w:val="auto"/>
                <w:highlight w:val="none"/>
              </w:rPr>
            </w:pPr>
            <w:r>
              <w:rPr>
                <w:color w:val="auto"/>
                <w:highlight w:val="none"/>
              </w:rPr>
              <w:t>59</w:t>
            </w:r>
          </w:p>
        </w:tc>
        <w:tc>
          <w:tcPr>
            <w:tcW w:w="658" w:type="pct"/>
            <w:shd w:val="clear" w:color="auto" w:fill="auto"/>
            <w:noWrap/>
            <w:vAlign w:val="center"/>
          </w:tcPr>
          <w:p>
            <w:pPr>
              <w:pStyle w:val="22"/>
              <w:bidi w:val="0"/>
              <w:rPr>
                <w:color w:val="auto"/>
                <w:highlight w:val="none"/>
              </w:rPr>
            </w:pPr>
            <w:r>
              <w:rPr>
                <w:color w:val="auto"/>
                <w:highlight w:val="none"/>
              </w:rPr>
              <w:t>50.86%</w:t>
            </w:r>
          </w:p>
        </w:tc>
        <w:tc>
          <w:tcPr>
            <w:tcW w:w="463" w:type="pct"/>
            <w:shd w:val="clear" w:color="auto" w:fill="auto"/>
            <w:noWrap/>
            <w:vAlign w:val="center"/>
          </w:tcPr>
          <w:p>
            <w:pPr>
              <w:pStyle w:val="22"/>
              <w:bidi w:val="0"/>
              <w:rPr>
                <w:color w:val="auto"/>
                <w:highlight w:val="none"/>
              </w:rPr>
            </w:pPr>
            <w:r>
              <w:rPr>
                <w:color w:val="auto"/>
                <w:highlight w:val="none"/>
              </w:rPr>
              <w:t>112</w:t>
            </w:r>
          </w:p>
        </w:tc>
        <w:tc>
          <w:tcPr>
            <w:tcW w:w="659" w:type="pct"/>
            <w:shd w:val="clear" w:color="auto" w:fill="auto"/>
            <w:noWrap/>
            <w:vAlign w:val="center"/>
          </w:tcPr>
          <w:p>
            <w:pPr>
              <w:pStyle w:val="22"/>
              <w:bidi w:val="0"/>
              <w:rPr>
                <w:color w:val="auto"/>
                <w:highlight w:val="none"/>
              </w:rPr>
            </w:pPr>
            <w:r>
              <w:rPr>
                <w:color w:val="auto"/>
                <w:highlight w:val="none"/>
              </w:rPr>
              <w:t>25.11%</w:t>
            </w:r>
          </w:p>
        </w:tc>
        <w:tc>
          <w:tcPr>
            <w:tcW w:w="463" w:type="pct"/>
            <w:shd w:val="clear" w:color="auto" w:fill="auto"/>
            <w:noWrap/>
            <w:vAlign w:val="center"/>
          </w:tcPr>
          <w:p>
            <w:pPr>
              <w:pStyle w:val="22"/>
              <w:bidi w:val="0"/>
              <w:rPr>
                <w:color w:val="auto"/>
                <w:highlight w:val="none"/>
              </w:rPr>
            </w:pPr>
            <w:r>
              <w:rPr>
                <w:color w:val="auto"/>
                <w:highlight w:val="none"/>
              </w:rPr>
              <w:t>174</w:t>
            </w:r>
          </w:p>
        </w:tc>
        <w:tc>
          <w:tcPr>
            <w:tcW w:w="666" w:type="pct"/>
            <w:shd w:val="clear" w:color="auto" w:fill="auto"/>
            <w:noWrap/>
            <w:vAlign w:val="center"/>
          </w:tcPr>
          <w:p>
            <w:pPr>
              <w:pStyle w:val="22"/>
              <w:bidi w:val="0"/>
              <w:rPr>
                <w:color w:val="auto"/>
                <w:highlight w:val="none"/>
              </w:rPr>
            </w:pPr>
            <w:r>
              <w:rPr>
                <w:color w:val="auto"/>
                <w:highlight w:val="none"/>
              </w:rPr>
              <w:t>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5</w:t>
            </w:r>
          </w:p>
        </w:tc>
        <w:tc>
          <w:tcPr>
            <w:tcW w:w="1165" w:type="pct"/>
            <w:shd w:val="clear" w:color="auto" w:fill="auto"/>
            <w:noWrap/>
            <w:vAlign w:val="center"/>
          </w:tcPr>
          <w:p>
            <w:pPr>
              <w:pStyle w:val="22"/>
              <w:bidi w:val="0"/>
              <w:rPr>
                <w:color w:val="auto"/>
                <w:highlight w:val="none"/>
              </w:rPr>
            </w:pPr>
            <w:r>
              <w:rPr>
                <w:color w:val="auto"/>
                <w:highlight w:val="none"/>
              </w:rPr>
              <w:t>单种科</w:t>
            </w:r>
          </w:p>
        </w:tc>
        <w:tc>
          <w:tcPr>
            <w:tcW w:w="463" w:type="pct"/>
            <w:shd w:val="clear" w:color="auto" w:fill="auto"/>
            <w:noWrap/>
            <w:vAlign w:val="center"/>
          </w:tcPr>
          <w:p>
            <w:pPr>
              <w:pStyle w:val="22"/>
              <w:bidi w:val="0"/>
              <w:rPr>
                <w:color w:val="auto"/>
                <w:highlight w:val="none"/>
              </w:rPr>
            </w:pPr>
            <w:r>
              <w:rPr>
                <w:color w:val="auto"/>
                <w:highlight w:val="none"/>
              </w:rPr>
              <w:t>20</w:t>
            </w:r>
          </w:p>
        </w:tc>
        <w:tc>
          <w:tcPr>
            <w:tcW w:w="658" w:type="pct"/>
            <w:shd w:val="clear" w:color="auto" w:fill="auto"/>
            <w:noWrap/>
            <w:vAlign w:val="center"/>
          </w:tcPr>
          <w:p>
            <w:pPr>
              <w:pStyle w:val="22"/>
              <w:bidi w:val="0"/>
              <w:rPr>
                <w:color w:val="auto"/>
                <w:highlight w:val="none"/>
              </w:rPr>
            </w:pPr>
            <w:r>
              <w:rPr>
                <w:color w:val="auto"/>
                <w:highlight w:val="none"/>
              </w:rPr>
              <w:t>17.24%</w:t>
            </w:r>
          </w:p>
        </w:tc>
        <w:tc>
          <w:tcPr>
            <w:tcW w:w="463" w:type="pct"/>
            <w:shd w:val="clear" w:color="auto" w:fill="auto"/>
            <w:noWrap/>
            <w:vAlign w:val="center"/>
          </w:tcPr>
          <w:p>
            <w:pPr>
              <w:pStyle w:val="22"/>
              <w:bidi w:val="0"/>
              <w:rPr>
                <w:color w:val="auto"/>
                <w:highlight w:val="none"/>
              </w:rPr>
            </w:pPr>
            <w:r>
              <w:rPr>
                <w:color w:val="auto"/>
                <w:highlight w:val="none"/>
              </w:rPr>
              <w:t>20</w:t>
            </w:r>
          </w:p>
        </w:tc>
        <w:tc>
          <w:tcPr>
            <w:tcW w:w="659" w:type="pct"/>
            <w:shd w:val="clear" w:color="auto" w:fill="auto"/>
            <w:noWrap/>
            <w:vAlign w:val="center"/>
          </w:tcPr>
          <w:p>
            <w:pPr>
              <w:pStyle w:val="22"/>
              <w:bidi w:val="0"/>
              <w:rPr>
                <w:color w:val="auto"/>
                <w:highlight w:val="none"/>
              </w:rPr>
            </w:pPr>
            <w:r>
              <w:rPr>
                <w:color w:val="auto"/>
                <w:highlight w:val="none"/>
              </w:rPr>
              <w:t>4.48%</w:t>
            </w:r>
          </w:p>
        </w:tc>
        <w:tc>
          <w:tcPr>
            <w:tcW w:w="463" w:type="pct"/>
            <w:shd w:val="clear" w:color="auto" w:fill="auto"/>
            <w:noWrap/>
            <w:vAlign w:val="center"/>
          </w:tcPr>
          <w:p>
            <w:pPr>
              <w:pStyle w:val="22"/>
              <w:bidi w:val="0"/>
              <w:rPr>
                <w:color w:val="auto"/>
                <w:highlight w:val="none"/>
              </w:rPr>
            </w:pPr>
            <w:r>
              <w:rPr>
                <w:color w:val="auto"/>
                <w:highlight w:val="none"/>
              </w:rPr>
              <w:t>20</w:t>
            </w:r>
          </w:p>
        </w:tc>
        <w:tc>
          <w:tcPr>
            <w:tcW w:w="666" w:type="pct"/>
            <w:shd w:val="clear" w:color="auto" w:fill="auto"/>
            <w:noWrap/>
            <w:vAlign w:val="center"/>
          </w:tcPr>
          <w:p>
            <w:pPr>
              <w:pStyle w:val="22"/>
              <w:bidi w:val="0"/>
              <w:rPr>
                <w:color w:val="auto"/>
                <w:highlight w:val="none"/>
              </w:rPr>
            </w:pPr>
            <w:r>
              <w:rPr>
                <w:color w:val="auto"/>
                <w:highlight w:val="none"/>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3" w:type="pct"/>
            <w:shd w:val="clear" w:color="auto" w:fill="auto"/>
            <w:noWrap/>
            <w:vAlign w:val="center"/>
          </w:tcPr>
          <w:p>
            <w:pPr>
              <w:pStyle w:val="22"/>
              <w:bidi w:val="0"/>
              <w:rPr>
                <w:color w:val="auto"/>
                <w:highlight w:val="none"/>
              </w:rPr>
            </w:pPr>
            <w:r>
              <w:rPr>
                <w:color w:val="auto"/>
                <w:highlight w:val="none"/>
              </w:rPr>
              <w:t>6</w:t>
            </w:r>
          </w:p>
        </w:tc>
        <w:tc>
          <w:tcPr>
            <w:tcW w:w="1165" w:type="pct"/>
            <w:shd w:val="clear" w:color="auto" w:fill="auto"/>
            <w:noWrap/>
            <w:vAlign w:val="center"/>
          </w:tcPr>
          <w:p>
            <w:pPr>
              <w:pStyle w:val="22"/>
              <w:bidi w:val="0"/>
              <w:rPr>
                <w:color w:val="auto"/>
                <w:highlight w:val="none"/>
              </w:rPr>
            </w:pPr>
            <w:r>
              <w:rPr>
                <w:color w:val="auto"/>
                <w:highlight w:val="none"/>
              </w:rPr>
              <w:t>合计</w:t>
            </w:r>
          </w:p>
        </w:tc>
        <w:tc>
          <w:tcPr>
            <w:tcW w:w="463" w:type="pct"/>
            <w:shd w:val="clear" w:color="auto" w:fill="auto"/>
            <w:noWrap/>
            <w:vAlign w:val="center"/>
          </w:tcPr>
          <w:p>
            <w:pPr>
              <w:pStyle w:val="22"/>
              <w:bidi w:val="0"/>
              <w:rPr>
                <w:color w:val="auto"/>
                <w:highlight w:val="none"/>
              </w:rPr>
            </w:pPr>
            <w:r>
              <w:rPr>
                <w:color w:val="auto"/>
                <w:highlight w:val="none"/>
              </w:rPr>
              <w:t>116</w:t>
            </w:r>
          </w:p>
        </w:tc>
        <w:tc>
          <w:tcPr>
            <w:tcW w:w="658" w:type="pct"/>
            <w:shd w:val="clear" w:color="auto" w:fill="auto"/>
            <w:noWrap/>
            <w:vAlign w:val="center"/>
          </w:tcPr>
          <w:p>
            <w:pPr>
              <w:pStyle w:val="22"/>
              <w:bidi w:val="0"/>
              <w:rPr>
                <w:color w:val="auto"/>
                <w:highlight w:val="none"/>
              </w:rPr>
            </w:pPr>
            <w:r>
              <w:rPr>
                <w:color w:val="auto"/>
                <w:highlight w:val="none"/>
              </w:rPr>
              <w:t>100.00%</w:t>
            </w:r>
          </w:p>
        </w:tc>
        <w:tc>
          <w:tcPr>
            <w:tcW w:w="463" w:type="pct"/>
            <w:shd w:val="clear" w:color="auto" w:fill="auto"/>
            <w:noWrap/>
            <w:vAlign w:val="center"/>
          </w:tcPr>
          <w:p>
            <w:pPr>
              <w:pStyle w:val="22"/>
              <w:bidi w:val="0"/>
              <w:rPr>
                <w:color w:val="auto"/>
                <w:highlight w:val="none"/>
              </w:rPr>
            </w:pPr>
            <w:r>
              <w:rPr>
                <w:color w:val="auto"/>
                <w:highlight w:val="none"/>
              </w:rPr>
              <w:t>446</w:t>
            </w:r>
          </w:p>
        </w:tc>
        <w:tc>
          <w:tcPr>
            <w:tcW w:w="659" w:type="pct"/>
            <w:shd w:val="clear" w:color="auto" w:fill="auto"/>
            <w:noWrap/>
            <w:vAlign w:val="center"/>
          </w:tcPr>
          <w:p>
            <w:pPr>
              <w:pStyle w:val="22"/>
              <w:bidi w:val="0"/>
              <w:rPr>
                <w:color w:val="auto"/>
                <w:highlight w:val="none"/>
              </w:rPr>
            </w:pPr>
            <w:r>
              <w:rPr>
                <w:color w:val="auto"/>
                <w:highlight w:val="none"/>
              </w:rPr>
              <w:t>100.00%</w:t>
            </w:r>
          </w:p>
        </w:tc>
        <w:tc>
          <w:tcPr>
            <w:tcW w:w="463" w:type="pct"/>
            <w:shd w:val="clear" w:color="auto" w:fill="auto"/>
            <w:noWrap/>
            <w:vAlign w:val="center"/>
          </w:tcPr>
          <w:p>
            <w:pPr>
              <w:pStyle w:val="22"/>
              <w:bidi w:val="0"/>
              <w:rPr>
                <w:color w:val="auto"/>
                <w:highlight w:val="none"/>
              </w:rPr>
            </w:pPr>
            <w:r>
              <w:rPr>
                <w:color w:val="auto"/>
                <w:highlight w:val="none"/>
              </w:rPr>
              <w:t>744</w:t>
            </w:r>
          </w:p>
        </w:tc>
        <w:tc>
          <w:tcPr>
            <w:tcW w:w="666" w:type="pct"/>
            <w:shd w:val="clear" w:color="auto" w:fill="auto"/>
            <w:noWrap/>
            <w:vAlign w:val="center"/>
          </w:tcPr>
          <w:p>
            <w:pPr>
              <w:pStyle w:val="22"/>
              <w:bidi w:val="0"/>
              <w:rPr>
                <w:color w:val="auto"/>
                <w:highlight w:val="none"/>
              </w:rPr>
            </w:pPr>
            <w:r>
              <w:rPr>
                <w:color w:val="auto"/>
                <w:highlight w:val="none"/>
              </w:rPr>
              <w:t>100.00%</w:t>
            </w:r>
          </w:p>
        </w:tc>
      </w:tr>
    </w:tbl>
    <w:p>
      <w:pPr>
        <w:bidi w:val="0"/>
        <w:rPr>
          <w:color w:val="auto"/>
          <w:highlight w:val="none"/>
        </w:rPr>
      </w:pPr>
      <w:r>
        <w:rPr>
          <w:color w:val="auto"/>
          <w:highlight w:val="none"/>
        </w:rPr>
        <w:t>综上所述，</w:t>
      </w:r>
      <w:r>
        <w:rPr>
          <w:rFonts w:hint="eastAsia"/>
          <w:color w:val="auto"/>
          <w:highlight w:val="none"/>
        </w:rPr>
        <w:t>大竹县</w:t>
      </w:r>
      <w:r>
        <w:rPr>
          <w:color w:val="auto"/>
          <w:highlight w:val="none"/>
        </w:rPr>
        <w:t>煤炭矿区总体规划评价区内，寡种科在科总数上占比例较大</w:t>
      </w:r>
      <w:r>
        <w:rPr>
          <w:rFonts w:hint="eastAsia"/>
          <w:color w:val="auto"/>
          <w:highlight w:val="none"/>
        </w:rPr>
        <w:t>（5</w:t>
      </w:r>
      <w:r>
        <w:rPr>
          <w:color w:val="auto"/>
          <w:highlight w:val="none"/>
        </w:rPr>
        <w:t>0.86</w:t>
      </w:r>
      <w:r>
        <w:rPr>
          <w:rFonts w:hint="eastAsia"/>
          <w:color w:val="auto"/>
          <w:highlight w:val="none"/>
        </w:rPr>
        <w:t>%）</w:t>
      </w:r>
      <w:r>
        <w:rPr>
          <w:color w:val="auto"/>
          <w:highlight w:val="none"/>
        </w:rPr>
        <w:t>，大科和寡种科在属上占比例很高</w:t>
      </w:r>
      <w:r>
        <w:rPr>
          <w:rFonts w:hint="eastAsia"/>
          <w:color w:val="auto"/>
          <w:highlight w:val="none"/>
        </w:rPr>
        <w:t>（分别为3</w:t>
      </w:r>
      <w:r>
        <w:rPr>
          <w:color w:val="auto"/>
          <w:highlight w:val="none"/>
        </w:rPr>
        <w:t>0.94</w:t>
      </w:r>
      <w:r>
        <w:rPr>
          <w:rFonts w:hint="eastAsia"/>
          <w:color w:val="auto"/>
          <w:highlight w:val="none"/>
        </w:rPr>
        <w:t>%、2</w:t>
      </w:r>
      <w:r>
        <w:rPr>
          <w:color w:val="auto"/>
          <w:highlight w:val="none"/>
        </w:rPr>
        <w:t>5.11</w:t>
      </w:r>
      <w:r>
        <w:rPr>
          <w:rFonts w:hint="eastAsia"/>
          <w:color w:val="auto"/>
          <w:highlight w:val="none"/>
        </w:rPr>
        <w:t>%）</w:t>
      </w:r>
      <w:r>
        <w:rPr>
          <w:color w:val="auto"/>
          <w:highlight w:val="none"/>
        </w:rPr>
        <w:t>，大科和寡种科在种总数上占较大比例</w:t>
      </w:r>
      <w:r>
        <w:rPr>
          <w:rFonts w:hint="eastAsia"/>
          <w:color w:val="auto"/>
          <w:highlight w:val="none"/>
        </w:rPr>
        <w:t>（分别为3</w:t>
      </w:r>
      <w:r>
        <w:rPr>
          <w:color w:val="auto"/>
          <w:highlight w:val="none"/>
        </w:rPr>
        <w:t>1.85</w:t>
      </w:r>
      <w:r>
        <w:rPr>
          <w:rFonts w:hint="eastAsia"/>
          <w:color w:val="auto"/>
          <w:highlight w:val="none"/>
        </w:rPr>
        <w:t>%、2</w:t>
      </w:r>
      <w:r>
        <w:rPr>
          <w:color w:val="auto"/>
          <w:highlight w:val="none"/>
        </w:rPr>
        <w:t>3.39</w:t>
      </w:r>
      <w:r>
        <w:rPr>
          <w:rFonts w:hint="eastAsia"/>
          <w:color w:val="auto"/>
          <w:highlight w:val="none"/>
        </w:rPr>
        <w:t>%）</w:t>
      </w:r>
      <w:r>
        <w:rPr>
          <w:color w:val="auto"/>
          <w:highlight w:val="none"/>
        </w:rPr>
        <w:t>。</w:t>
      </w:r>
    </w:p>
    <w:p>
      <w:pPr>
        <w:bidi w:val="0"/>
        <w:rPr>
          <w:color w:val="auto"/>
          <w:highlight w:val="none"/>
        </w:rPr>
      </w:pPr>
      <w:r>
        <w:rPr>
          <w:color w:val="auto"/>
          <w:highlight w:val="none"/>
        </w:rPr>
        <w:t>属的数量统计：</w:t>
      </w:r>
      <w:r>
        <w:rPr>
          <w:rFonts w:hint="eastAsia"/>
          <w:color w:val="auto"/>
          <w:highlight w:val="none"/>
        </w:rPr>
        <w:t>大竹县</w:t>
      </w:r>
      <w:r>
        <w:rPr>
          <w:color w:val="auto"/>
          <w:highlight w:val="none"/>
        </w:rPr>
        <w:t>煤炭矿区总体规划评价区内种子植物共计446属744种，通过对每个植物属所含物种数的统计分析，从属的分类及比例可以看出，评价区内植物每属所含的种数少，含种数</w:t>
      </w:r>
      <w:r>
        <w:rPr>
          <w:rFonts w:hint="eastAsia"/>
          <w:color w:val="auto"/>
          <w:highlight w:val="none"/>
        </w:rPr>
        <w:t>（≥1</w:t>
      </w:r>
      <w:r>
        <w:rPr>
          <w:color w:val="auto"/>
          <w:highlight w:val="none"/>
        </w:rPr>
        <w:t>0</w:t>
      </w:r>
      <w:r>
        <w:rPr>
          <w:rFonts w:hint="eastAsia"/>
          <w:color w:val="auto"/>
          <w:highlight w:val="none"/>
        </w:rPr>
        <w:t>种）较</w:t>
      </w:r>
      <w:r>
        <w:rPr>
          <w:color w:val="auto"/>
          <w:highlight w:val="none"/>
        </w:rPr>
        <w:t>多的为</w:t>
      </w:r>
      <w:r>
        <w:rPr>
          <w:rFonts w:hint="eastAsia"/>
          <w:color w:val="auto"/>
          <w:highlight w:val="none"/>
        </w:rPr>
        <w:t>悬钩子属(Rubus/16种)、蓼属(Polygonum/11种)、芸薹属(Brassica/10种)</w:t>
      </w:r>
      <w:r>
        <w:rPr>
          <w:color w:val="auto"/>
          <w:highlight w:val="none"/>
        </w:rPr>
        <w:t>，是该区域的多种属占4.97%</w:t>
      </w:r>
      <w:r>
        <w:rPr>
          <w:rFonts w:hint="eastAsia"/>
          <w:color w:val="auto"/>
          <w:highlight w:val="none"/>
        </w:rPr>
        <w:t>。</w:t>
      </w:r>
    </w:p>
    <w:p>
      <w:pPr>
        <w:bidi w:val="0"/>
        <w:rPr>
          <w:color w:val="auto"/>
          <w:highlight w:val="none"/>
        </w:rPr>
      </w:pPr>
      <w:r>
        <w:rPr>
          <w:rFonts w:hint="eastAsia"/>
          <w:color w:val="auto"/>
          <w:highlight w:val="none"/>
        </w:rPr>
        <w:t>含物种数6～</w:t>
      </w:r>
      <w:r>
        <w:rPr>
          <w:color w:val="auto"/>
          <w:highlight w:val="none"/>
        </w:rPr>
        <w:t>9</w:t>
      </w:r>
      <w:r>
        <w:rPr>
          <w:rFonts w:hint="eastAsia"/>
          <w:color w:val="auto"/>
          <w:highlight w:val="none"/>
        </w:rPr>
        <w:t>种的</w:t>
      </w:r>
      <w:r>
        <w:rPr>
          <w:color w:val="auto"/>
          <w:highlight w:val="none"/>
        </w:rPr>
        <w:t>中等属</w:t>
      </w:r>
      <w:r>
        <w:rPr>
          <w:rFonts w:hint="eastAsia"/>
          <w:color w:val="auto"/>
          <w:highlight w:val="none"/>
        </w:rPr>
        <w:t>共计7属</w:t>
      </w:r>
      <w:r>
        <w:rPr>
          <w:color w:val="auto"/>
          <w:highlight w:val="none"/>
        </w:rPr>
        <w:t>45</w:t>
      </w:r>
      <w:r>
        <w:rPr>
          <w:rFonts w:hint="eastAsia"/>
          <w:color w:val="auto"/>
          <w:highlight w:val="none"/>
        </w:rPr>
        <w:t>种</w:t>
      </w:r>
      <w:r>
        <w:rPr>
          <w:color w:val="auto"/>
          <w:highlight w:val="none"/>
        </w:rPr>
        <w:t>，占该区域总</w:t>
      </w:r>
      <w:r>
        <w:rPr>
          <w:rFonts w:hint="eastAsia"/>
          <w:color w:val="auto"/>
          <w:highlight w:val="none"/>
        </w:rPr>
        <w:t>物种</w:t>
      </w:r>
      <w:r>
        <w:rPr>
          <w:color w:val="auto"/>
          <w:highlight w:val="none"/>
        </w:rPr>
        <w:t>数的6.05%</w:t>
      </w:r>
      <w:r>
        <w:rPr>
          <w:rFonts w:hint="eastAsia"/>
          <w:color w:val="auto"/>
          <w:highlight w:val="none"/>
        </w:rPr>
        <w:t>，分别是栎属(Quercus/8种)、蒿属(Artemisia/7种)、榕属(Ficus/6种)、茄属(Solanum/6种)、婆婆纳属(Veronica/6种)、忍冬属(Lonicera/6种)、刚竹属(Phyllostachys/6种)。</w:t>
      </w:r>
    </w:p>
    <w:p>
      <w:pPr>
        <w:bidi w:val="0"/>
        <w:rPr>
          <w:color w:val="auto"/>
          <w:highlight w:val="none"/>
        </w:rPr>
      </w:pPr>
      <w:r>
        <w:rPr>
          <w:rFonts w:hint="eastAsia"/>
          <w:color w:val="auto"/>
          <w:highlight w:val="none"/>
        </w:rPr>
        <w:t>含物种数2～</w:t>
      </w:r>
      <w:r>
        <w:rPr>
          <w:color w:val="auto"/>
          <w:highlight w:val="none"/>
        </w:rPr>
        <w:t>5</w:t>
      </w:r>
      <w:r>
        <w:rPr>
          <w:rFonts w:hint="eastAsia"/>
          <w:color w:val="auto"/>
          <w:highlight w:val="none"/>
        </w:rPr>
        <w:t>种的寡种属共计1</w:t>
      </w:r>
      <w:r>
        <w:rPr>
          <w:color w:val="auto"/>
          <w:highlight w:val="none"/>
        </w:rPr>
        <w:t>50</w:t>
      </w:r>
      <w:r>
        <w:rPr>
          <w:rFonts w:hint="eastAsia"/>
          <w:color w:val="auto"/>
          <w:highlight w:val="none"/>
        </w:rPr>
        <w:t>属3</w:t>
      </w:r>
      <w:r>
        <w:rPr>
          <w:color w:val="auto"/>
          <w:highlight w:val="none"/>
        </w:rPr>
        <w:t>76</w:t>
      </w:r>
      <w:r>
        <w:rPr>
          <w:rFonts w:hint="eastAsia"/>
          <w:color w:val="auto"/>
          <w:highlight w:val="none"/>
        </w:rPr>
        <w:t>种，占总属数的3</w:t>
      </w:r>
      <w:r>
        <w:rPr>
          <w:color w:val="auto"/>
          <w:highlight w:val="none"/>
        </w:rPr>
        <w:t>3.63</w:t>
      </w:r>
      <w:r>
        <w:rPr>
          <w:rFonts w:hint="eastAsia"/>
          <w:color w:val="auto"/>
          <w:highlight w:val="none"/>
        </w:rPr>
        <w:t>%，占总物种数的5</w:t>
      </w:r>
      <w:r>
        <w:rPr>
          <w:color w:val="auto"/>
          <w:highlight w:val="none"/>
        </w:rPr>
        <w:t>0.54</w:t>
      </w:r>
      <w:r>
        <w:rPr>
          <w:rFonts w:hint="eastAsia"/>
          <w:color w:val="auto"/>
          <w:highlight w:val="none"/>
        </w:rPr>
        <w:t>%，包含有薹草属(Carex/5种)、葱属(Alliaceae/5种)、松属(Pinus/4种)、杨属(Populus/4种)、苎麻属(Boehmeria/4种)、藜属(Chenopodium/4种)、铁线莲属(Clematis/4种)、毛茛属(Ranunculus/4种)、小檗属(Berberis/4种)、木兰属(Magnolia/4种)、委陵菜属(Potentilla/4种)、蔷薇属(Rose/4种)、野豌豆属(Vicia/4种)、卫矛属(Euonymus/4种)、猕猴桃属(Actinidia/4种)、胡颓子属(Elaeagnus/4种)等。</w:t>
      </w:r>
    </w:p>
    <w:p>
      <w:pPr>
        <w:bidi w:val="0"/>
        <w:rPr>
          <w:rFonts w:eastAsia="华文仿宋"/>
          <w:color w:val="auto"/>
          <w:highlight w:val="none"/>
        </w:rPr>
      </w:pPr>
      <w:r>
        <w:rPr>
          <w:color w:val="auto"/>
          <w:highlight w:val="none"/>
        </w:rPr>
        <w:t>单种属在属数上占绝对优势</w:t>
      </w:r>
      <w:r>
        <w:rPr>
          <w:rFonts w:hint="eastAsia"/>
          <w:color w:val="auto"/>
          <w:highlight w:val="none"/>
        </w:rPr>
        <w:t>（2</w:t>
      </w:r>
      <w:r>
        <w:rPr>
          <w:color w:val="auto"/>
          <w:highlight w:val="none"/>
        </w:rPr>
        <w:t>86</w:t>
      </w:r>
      <w:r>
        <w:rPr>
          <w:rFonts w:hint="eastAsia"/>
          <w:color w:val="auto"/>
          <w:highlight w:val="none"/>
        </w:rPr>
        <w:t>属）</w:t>
      </w:r>
      <w:r>
        <w:rPr>
          <w:color w:val="auto"/>
          <w:highlight w:val="none"/>
        </w:rPr>
        <w:t>，占总属数的64.13%；在种数上优势</w:t>
      </w:r>
      <w:r>
        <w:rPr>
          <w:rFonts w:hint="eastAsia"/>
          <w:color w:val="auto"/>
          <w:highlight w:val="none"/>
        </w:rPr>
        <w:t>较大</w:t>
      </w:r>
      <w:r>
        <w:rPr>
          <w:color w:val="auto"/>
          <w:highlight w:val="none"/>
        </w:rPr>
        <w:t>，占总种数的38.44%</w:t>
      </w:r>
      <w:r>
        <w:rPr>
          <w:rFonts w:hint="eastAsia"/>
          <w:color w:val="auto"/>
          <w:highlight w:val="none"/>
        </w:rPr>
        <w:t>，包含有银杏属(Ginkgo )、云杉属(Picea)、杉木属(Cunninghamia)、柳杉属(Cryptomeria)、水杉属(Metasequoia)、柏木属(Cupressus)、侧柏属(Platycladus)、圆柏属(Sabina)、蕺菜属(Houttuynia)、三白草属(Saururus)、化香树属(Platycarya )、桤木属(Alnus)等。</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项目调查</w:t>
      </w:r>
      <w:r>
        <w:rPr>
          <w:color w:val="auto"/>
          <w:highlight w:val="none"/>
        </w:rPr>
        <w:t>内</w:t>
      </w:r>
      <w:r>
        <w:rPr>
          <w:rFonts w:hint="eastAsia"/>
          <w:color w:val="auto"/>
          <w:highlight w:val="none"/>
        </w:rPr>
        <w:t>种子</w:t>
      </w:r>
      <w:r>
        <w:rPr>
          <w:color w:val="auto"/>
          <w:highlight w:val="none"/>
        </w:rPr>
        <w:t>植物属的数量统计</w:t>
      </w:r>
    </w:p>
    <w:tbl>
      <w:tblPr>
        <w:tblStyle w:val="17"/>
        <w:tblW w:w="5000" w:type="pct"/>
        <w:tblInd w:w="0" w:type="dxa"/>
        <w:tblLayout w:type="autofit"/>
        <w:tblCellMar>
          <w:top w:w="0" w:type="dxa"/>
          <w:left w:w="108" w:type="dxa"/>
          <w:bottom w:w="0" w:type="dxa"/>
          <w:right w:w="108" w:type="dxa"/>
        </w:tblCellMar>
      </w:tblPr>
      <w:tblGrid>
        <w:gridCol w:w="2776"/>
        <w:gridCol w:w="953"/>
        <w:gridCol w:w="2472"/>
        <w:gridCol w:w="953"/>
        <w:gridCol w:w="2472"/>
      </w:tblGrid>
      <w:tr>
        <w:tblPrEx>
          <w:tblCellMar>
            <w:top w:w="0" w:type="dxa"/>
            <w:left w:w="108" w:type="dxa"/>
            <w:bottom w:w="0" w:type="dxa"/>
            <w:right w:w="108" w:type="dxa"/>
          </w:tblCellMar>
        </w:tblPrEx>
        <w:trPr>
          <w:trHeight w:val="425" w:hRule="atLeast"/>
        </w:trPr>
        <w:tc>
          <w:tcPr>
            <w:tcW w:w="144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类型</w:t>
            </w:r>
          </w:p>
        </w:tc>
        <w:tc>
          <w:tcPr>
            <w:tcW w:w="495"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属数</w:t>
            </w:r>
          </w:p>
        </w:tc>
        <w:tc>
          <w:tcPr>
            <w:tcW w:w="1284"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占总属数比例%</w:t>
            </w:r>
          </w:p>
        </w:tc>
        <w:tc>
          <w:tcPr>
            <w:tcW w:w="495"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种数</w:t>
            </w:r>
          </w:p>
        </w:tc>
        <w:tc>
          <w:tcPr>
            <w:tcW w:w="1284"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占总种数比例%</w:t>
            </w:r>
          </w:p>
        </w:tc>
      </w:tr>
      <w:tr>
        <w:tblPrEx>
          <w:tblCellMar>
            <w:top w:w="0" w:type="dxa"/>
            <w:left w:w="108" w:type="dxa"/>
            <w:bottom w:w="0" w:type="dxa"/>
            <w:right w:w="108" w:type="dxa"/>
          </w:tblCellMar>
        </w:tblPrEx>
        <w:trPr>
          <w:trHeight w:val="425" w:hRule="atLeast"/>
        </w:trPr>
        <w:tc>
          <w:tcPr>
            <w:tcW w:w="144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多种属（≥10种）</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0.67%</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37</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4.97%</w:t>
            </w:r>
          </w:p>
        </w:tc>
      </w:tr>
      <w:tr>
        <w:tblPrEx>
          <w:tblCellMar>
            <w:top w:w="0" w:type="dxa"/>
            <w:left w:w="108" w:type="dxa"/>
            <w:bottom w:w="0" w:type="dxa"/>
            <w:right w:w="108" w:type="dxa"/>
          </w:tblCellMar>
        </w:tblPrEx>
        <w:trPr>
          <w:trHeight w:val="425" w:hRule="atLeast"/>
        </w:trPr>
        <w:tc>
          <w:tcPr>
            <w:tcW w:w="144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中等属（6-9种）</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1.57%</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45</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6.05%</w:t>
            </w:r>
          </w:p>
        </w:tc>
      </w:tr>
      <w:tr>
        <w:tblPrEx>
          <w:tblCellMar>
            <w:top w:w="0" w:type="dxa"/>
            <w:left w:w="108" w:type="dxa"/>
            <w:bottom w:w="0" w:type="dxa"/>
            <w:right w:w="108" w:type="dxa"/>
          </w:tblCellMar>
        </w:tblPrEx>
        <w:trPr>
          <w:trHeight w:val="425" w:hRule="atLeast"/>
        </w:trPr>
        <w:tc>
          <w:tcPr>
            <w:tcW w:w="144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寡种属（2-5种）</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150</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33.63%</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376</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50.54%</w:t>
            </w:r>
          </w:p>
        </w:tc>
      </w:tr>
      <w:tr>
        <w:tblPrEx>
          <w:tblCellMar>
            <w:top w:w="0" w:type="dxa"/>
            <w:left w:w="108" w:type="dxa"/>
            <w:bottom w:w="0" w:type="dxa"/>
            <w:right w:w="108" w:type="dxa"/>
          </w:tblCellMar>
        </w:tblPrEx>
        <w:trPr>
          <w:trHeight w:val="425" w:hRule="atLeast"/>
        </w:trPr>
        <w:tc>
          <w:tcPr>
            <w:tcW w:w="144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单种属</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286</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64.13%</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286</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38.44%</w:t>
            </w:r>
          </w:p>
        </w:tc>
      </w:tr>
      <w:tr>
        <w:tblPrEx>
          <w:tblCellMar>
            <w:top w:w="0" w:type="dxa"/>
            <w:left w:w="108" w:type="dxa"/>
            <w:bottom w:w="0" w:type="dxa"/>
            <w:right w:w="108" w:type="dxa"/>
          </w:tblCellMar>
        </w:tblPrEx>
        <w:trPr>
          <w:trHeight w:val="425" w:hRule="atLeast"/>
        </w:trPr>
        <w:tc>
          <w:tcPr>
            <w:tcW w:w="144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总计</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446</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100.00%</w:t>
            </w:r>
          </w:p>
        </w:tc>
        <w:tc>
          <w:tcPr>
            <w:tcW w:w="49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744</w:t>
            </w:r>
          </w:p>
        </w:tc>
        <w:tc>
          <w:tcPr>
            <w:tcW w:w="12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100.00%</w:t>
            </w:r>
          </w:p>
        </w:tc>
      </w:tr>
    </w:tbl>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）国家重点保护及珍稀濒危植物</w:t>
      </w:r>
    </w:p>
    <w:p>
      <w:pPr>
        <w:bidi w:val="0"/>
        <w:rPr>
          <w:color w:val="auto"/>
          <w:highlight w:val="none"/>
        </w:rPr>
      </w:pPr>
      <w:r>
        <w:rPr>
          <w:color w:val="auto"/>
          <w:highlight w:val="none"/>
        </w:rPr>
        <w:t>依据</w:t>
      </w:r>
      <w:r>
        <w:rPr>
          <w:rFonts w:hint="eastAsia"/>
          <w:color w:val="auto"/>
          <w:highlight w:val="none"/>
        </w:rPr>
        <w:t>《国家重点保护野生植物名录》国家林业和草原局、农业农村部公告</w:t>
      </w:r>
      <w:r>
        <w:rPr>
          <w:color w:val="auto"/>
          <w:highlight w:val="none"/>
        </w:rPr>
        <w:t>(2021</w:t>
      </w:r>
      <w:r>
        <w:rPr>
          <w:rFonts w:hint="eastAsia"/>
          <w:color w:val="auto"/>
          <w:highlight w:val="none"/>
        </w:rPr>
        <w:t>年第</w:t>
      </w:r>
      <w:r>
        <w:rPr>
          <w:color w:val="auto"/>
          <w:highlight w:val="none"/>
        </w:rPr>
        <w:t>15</w:t>
      </w:r>
      <w:r>
        <w:rPr>
          <w:rFonts w:hint="eastAsia"/>
          <w:color w:val="auto"/>
          <w:highlight w:val="none"/>
        </w:rPr>
        <w:t>号</w:t>
      </w:r>
      <w:r>
        <w:rPr>
          <w:color w:val="auto"/>
          <w:highlight w:val="none"/>
        </w:rPr>
        <w:t>)，通过实地调查统计及资料查阅，</w:t>
      </w:r>
      <w:r>
        <w:rPr>
          <w:rFonts w:hint="eastAsia"/>
          <w:color w:val="auto"/>
          <w:highlight w:val="none"/>
        </w:rPr>
        <w:t>大竹县</w:t>
      </w:r>
      <w:r>
        <w:rPr>
          <w:color w:val="auto"/>
          <w:highlight w:val="none"/>
        </w:rPr>
        <w:t>煤炭矿区总体规划评价区内分布有保护植物11种，其中，国家Ⅰ级保护植物2种，为</w:t>
      </w:r>
      <w:r>
        <w:rPr>
          <w:rFonts w:hint="eastAsia"/>
          <w:color w:val="auto"/>
          <w:highlight w:val="none"/>
        </w:rPr>
        <w:t>水杉（Metasequoia glyptostroboides）及银杏（Ginkgo biloba L.）</w:t>
      </w:r>
      <w:r>
        <w:rPr>
          <w:color w:val="auto"/>
          <w:highlight w:val="none"/>
        </w:rPr>
        <w:t>，国家Ⅱ级保护植物9种，有连香树（Cercidiphyllum japonicum）、厚朴（Magnolia officinalis）、川黄檗（Phellodendron chinense）、白芨（Bletilla striata）等。</w:t>
      </w:r>
      <w:r>
        <w:rPr>
          <w:rFonts w:hint="eastAsia"/>
          <w:color w:val="auto"/>
          <w:highlight w:val="none"/>
        </w:rPr>
        <w:t>其中，银杏、水杉及厚朴为栽培种。</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项目调查区内保护植物统计一览表</w:t>
      </w:r>
    </w:p>
    <w:tbl>
      <w:tblPr>
        <w:tblStyle w:val="17"/>
        <w:tblW w:w="5000" w:type="pct"/>
        <w:tblInd w:w="0" w:type="dxa"/>
        <w:tblLayout w:type="autofit"/>
        <w:tblCellMar>
          <w:top w:w="0" w:type="dxa"/>
          <w:left w:w="108" w:type="dxa"/>
          <w:bottom w:w="0" w:type="dxa"/>
          <w:right w:w="108" w:type="dxa"/>
        </w:tblCellMar>
      </w:tblPr>
      <w:tblGrid>
        <w:gridCol w:w="677"/>
        <w:gridCol w:w="1115"/>
        <w:gridCol w:w="1819"/>
        <w:gridCol w:w="1332"/>
        <w:gridCol w:w="2886"/>
        <w:gridCol w:w="678"/>
        <w:gridCol w:w="1119"/>
      </w:tblGrid>
      <w:tr>
        <w:tblPrEx>
          <w:tblCellMar>
            <w:top w:w="0" w:type="dxa"/>
            <w:left w:w="108" w:type="dxa"/>
            <w:bottom w:w="0" w:type="dxa"/>
            <w:right w:w="108" w:type="dxa"/>
          </w:tblCellMar>
        </w:tblPrEx>
        <w:trPr>
          <w:trHeight w:val="425" w:hRule="atLeast"/>
          <w:tblHead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序号</w:t>
            </w:r>
          </w:p>
        </w:tc>
        <w:tc>
          <w:tcPr>
            <w:tcW w:w="579"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科名</w:t>
            </w:r>
          </w:p>
        </w:tc>
        <w:tc>
          <w:tcPr>
            <w:tcW w:w="945"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科拉丁名</w:t>
            </w:r>
          </w:p>
        </w:tc>
        <w:tc>
          <w:tcPr>
            <w:tcW w:w="692"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中文名</w:t>
            </w:r>
          </w:p>
        </w:tc>
        <w:tc>
          <w:tcPr>
            <w:tcW w:w="1499"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352"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备注</w:t>
            </w:r>
          </w:p>
        </w:tc>
        <w:tc>
          <w:tcPr>
            <w:tcW w:w="581"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保护级别</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bookmarkStart w:id="219" w:name="_Hlk88381396"/>
            <w:r>
              <w:rPr>
                <w:rFonts w:hint="eastAsia"/>
                <w:color w:val="auto"/>
                <w:highlight w:val="none"/>
              </w:rPr>
              <w:t>1</w:t>
            </w:r>
          </w:p>
        </w:tc>
        <w:tc>
          <w:tcPr>
            <w:tcW w:w="579"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银杏科</w:t>
            </w:r>
          </w:p>
        </w:tc>
        <w:tc>
          <w:tcPr>
            <w:tcW w:w="94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Ginkgoaceae</w:t>
            </w:r>
          </w:p>
        </w:tc>
        <w:tc>
          <w:tcPr>
            <w:tcW w:w="692"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银杏</w:t>
            </w:r>
          </w:p>
        </w:tc>
        <w:tc>
          <w:tcPr>
            <w:tcW w:w="1499"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Ginkgo biloba L.</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栽培</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Ⅰ</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2</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杉科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Taxodiaceae</w:t>
            </w:r>
          </w:p>
        </w:tc>
        <w:tc>
          <w:tcPr>
            <w:tcW w:w="692"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水杉</w:t>
            </w:r>
          </w:p>
        </w:tc>
        <w:tc>
          <w:tcPr>
            <w:tcW w:w="1499"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 xml:space="preserve">Metasequoia glyptostroboides </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栽培</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Ⅰ</w:t>
            </w:r>
          </w:p>
        </w:tc>
      </w:tr>
      <w:bookmarkEnd w:id="219"/>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3</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连香树科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Cercidiphyllaceae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连香树</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Cercidiphyllum japonicum</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4</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木兰科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Magnoliaceae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厚朴</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Magnolia officinalis</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栽培</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5</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樟科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Lauraceae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楠木</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Phoebe zhennan</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芸香科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Rutaceae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黄檗</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Phellodendron amurense</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7</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芸香科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Rutaceae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川黄檗</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Phellodendron   chinense</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8</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猕猴桃科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Actinidiaceae</w:t>
            </w:r>
          </w:p>
        </w:tc>
        <w:tc>
          <w:tcPr>
            <w:tcW w:w="692"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中华猕猴桃</w:t>
            </w:r>
          </w:p>
        </w:tc>
        <w:tc>
          <w:tcPr>
            <w:tcW w:w="1499"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Actinidia chinensis Planch.</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9</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兰科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Orchidaceae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白芨</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Bletilla striata</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1</w:t>
            </w:r>
            <w:r>
              <w:rPr>
                <w:color w:val="auto"/>
                <w:highlight w:val="none"/>
              </w:rPr>
              <w:t>0</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兰科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Orchidaceae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黄花白及</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Bletilla ochracea</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Ⅱ</w:t>
            </w:r>
          </w:p>
        </w:tc>
      </w:tr>
      <w:tr>
        <w:tblPrEx>
          <w:tblCellMar>
            <w:top w:w="0" w:type="dxa"/>
            <w:left w:w="108" w:type="dxa"/>
            <w:bottom w:w="0" w:type="dxa"/>
            <w:right w:w="108" w:type="dxa"/>
          </w:tblCellMar>
        </w:tblPrEx>
        <w:trPr>
          <w:trHeight w:val="425" w:hRule="atLeast"/>
        </w:trPr>
        <w:tc>
          <w:tcPr>
            <w:tcW w:w="352"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1</w:t>
            </w:r>
            <w:r>
              <w:rPr>
                <w:color w:val="auto"/>
                <w:highlight w:val="none"/>
              </w:rPr>
              <w:t>1</w:t>
            </w:r>
          </w:p>
        </w:tc>
        <w:tc>
          <w:tcPr>
            <w:tcW w:w="57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兰科</w:t>
            </w:r>
          </w:p>
        </w:tc>
        <w:tc>
          <w:tcPr>
            <w:tcW w:w="94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Orchidaceae</w:t>
            </w:r>
          </w:p>
        </w:tc>
        <w:tc>
          <w:tcPr>
            <w:tcW w:w="69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春兰</w:t>
            </w:r>
          </w:p>
        </w:tc>
        <w:tc>
          <w:tcPr>
            <w:tcW w:w="149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Cymbidium goeringii</w:t>
            </w:r>
          </w:p>
        </w:tc>
        <w:tc>
          <w:tcPr>
            <w:tcW w:w="35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Ⅱ</w:t>
            </w:r>
          </w:p>
        </w:tc>
      </w:tr>
    </w:tbl>
    <w:p>
      <w:pPr>
        <w:pStyle w:val="7"/>
        <w:numPr>
          <w:ilvl w:val="0"/>
          <w:numId w:val="0"/>
        </w:numPr>
        <w:bidi w:val="0"/>
        <w:ind w:leftChars="0" w:right="0" w:rightChars="0"/>
        <w:rPr>
          <w:color w:val="auto"/>
          <w:highlight w:val="none"/>
        </w:rPr>
      </w:pPr>
      <w:r>
        <w:rPr>
          <w:rFonts w:hint="eastAsia"/>
          <w:color w:val="auto"/>
          <w:highlight w:val="none"/>
          <w:lang w:val="en-US" w:eastAsia="zh-CN"/>
        </w:rPr>
        <w:t>3.2.6.3 调查区植被现状</w:t>
      </w:r>
    </w:p>
    <w:p>
      <w:pPr>
        <w:bidi w:val="0"/>
        <w:rPr>
          <w:rFonts w:hint="eastAsia"/>
          <w:color w:val="auto"/>
          <w:highlight w:val="none"/>
          <w:lang w:eastAsia="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）区域植被分区</w:t>
      </w:r>
    </w:p>
    <w:p>
      <w:pPr>
        <w:bidi w:val="0"/>
        <w:rPr>
          <w:color w:val="auto"/>
          <w:highlight w:val="none"/>
        </w:rPr>
      </w:pPr>
      <w:r>
        <w:rPr>
          <w:rFonts w:hint="eastAsia"/>
          <w:color w:val="auto"/>
          <w:highlight w:val="none"/>
        </w:rPr>
        <w:t>大竹县</w:t>
      </w:r>
      <w:r>
        <w:rPr>
          <w:color w:val="auto"/>
          <w:highlight w:val="none"/>
        </w:rPr>
        <w:t>煤炭矿区总体规划评价区位于</w:t>
      </w:r>
      <w:r>
        <w:rPr>
          <w:rFonts w:hint="eastAsia"/>
          <w:color w:val="auto"/>
          <w:highlight w:val="none"/>
        </w:rPr>
        <w:t>大竹县境内</w:t>
      </w:r>
      <w:r>
        <w:rPr>
          <w:color w:val="auto"/>
          <w:highlight w:val="none"/>
        </w:rPr>
        <w:t>。按照《四川植被》的区划属于：I川东盆地及川西南山地常绿阔叶林带</w:t>
      </w:r>
      <w:r>
        <w:rPr>
          <w:rFonts w:hint="eastAsia"/>
          <w:color w:val="auto"/>
          <w:highlight w:val="none"/>
        </w:rPr>
        <w:t>；</w:t>
      </w:r>
      <w:r>
        <w:rPr>
          <w:color w:val="auto"/>
          <w:highlight w:val="none"/>
        </w:rPr>
        <w:t>IA川东盆地偏湿性常绿阔叶林亚带</w:t>
      </w:r>
      <w:r>
        <w:rPr>
          <w:rFonts w:hint="eastAsia"/>
          <w:color w:val="auto"/>
          <w:highlight w:val="none"/>
        </w:rPr>
        <w:t>；</w:t>
      </w:r>
      <w:r>
        <w:rPr>
          <w:color w:val="auto"/>
          <w:highlight w:val="none"/>
        </w:rPr>
        <w:t>IA</w:t>
      </w:r>
      <w:r>
        <w:rPr>
          <w:color w:val="auto"/>
          <w:highlight w:val="none"/>
          <w:vertAlign w:val="subscript"/>
        </w:rPr>
        <w:t>5</w:t>
      </w:r>
      <w:r>
        <w:rPr>
          <w:color w:val="auto"/>
          <w:highlight w:val="none"/>
        </w:rPr>
        <w:t>盆边北部中山植被地区</w:t>
      </w:r>
      <w:r>
        <w:rPr>
          <w:rFonts w:hint="eastAsia"/>
          <w:color w:val="auto"/>
          <w:highlight w:val="none"/>
        </w:rPr>
        <w:t>；</w:t>
      </w:r>
      <w:r>
        <w:rPr>
          <w:color w:val="auto"/>
          <w:highlight w:val="none"/>
        </w:rPr>
        <w:t>IA</w:t>
      </w:r>
      <w:r>
        <w:rPr>
          <w:color w:val="auto"/>
          <w:highlight w:val="none"/>
          <w:vertAlign w:val="subscript"/>
        </w:rPr>
        <w:t>5(1)</w:t>
      </w:r>
      <w:r>
        <w:rPr>
          <w:color w:val="auto"/>
          <w:highlight w:val="none"/>
        </w:rPr>
        <w:t>大巴山植被小区</w:t>
      </w:r>
      <w:r>
        <w:rPr>
          <w:rFonts w:hint="eastAsia"/>
          <w:color w:val="auto"/>
          <w:highlight w:val="none"/>
        </w:rPr>
        <w:t>。</w:t>
      </w:r>
    </w:p>
    <w:p>
      <w:pPr>
        <w:bidi w:val="0"/>
        <w:rPr>
          <w:rFonts w:hint="eastAsia"/>
          <w:color w:val="auto"/>
          <w:highlight w:val="none"/>
          <w:lang w:eastAsia="zh-CN"/>
        </w:rPr>
      </w:pPr>
      <w:r>
        <w:rPr>
          <w:color w:val="auto"/>
          <w:highlight w:val="none"/>
        </w:rPr>
        <w:t>大巴山植被小区位于大巴山东部，其东端以长江为界，西端以万源明月河为界，包括巫溪、巫山、奉节、城口等县和万源县部分地区。西有海拔2000~2500米的大巴山，东有海拔2000米的巫山，地势北高南低，境内石灰岩分布较广，岩溶地貌颇为发育，由于河流深切，因此地形破碎，谷坡陡峭。本区自然植被主要特征是包石栎、青柄、小叶青郴(Cyclobalanopsis myrsinaefolia)组成的常绿阔叶林，林中混有华木荷、小花木街、八角、小果润楠(Machilus micro-carpa)、黑壳楠(Lindera megaphylla) 等湿润性常绿阔叶树种。在常绿与落叶阔叶混交林中，普遍分布着漆树、青桐以及一些樟科植物。巴山冷杉组成的亚高山常绿针叶林分布在海拔2200米以上的山地灰棕壤上。海拔1500米以下地区普遍分布着马尾松林、巴山松林、杉木林和柏木林，海拔2000米以上分布有次生亚高山草甸。裁培植被中作物以旱作的玉米、红苕和马铃薯为主。玉米可分布至海拔1800米。水稻分布在浅丘平坝地区，面积不大。城口大漆和茶叶为本区重要经济林木。森林资源也铰丰富。</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）调查区植被类型</w:t>
      </w:r>
    </w:p>
    <w:p>
      <w:pPr>
        <w:bidi w:val="0"/>
        <w:rPr>
          <w:color w:val="auto"/>
          <w:highlight w:val="none"/>
          <w:lang w:val="zh-CN"/>
        </w:rPr>
      </w:pPr>
      <w:r>
        <w:rPr>
          <w:color w:val="auto"/>
          <w:highlight w:val="none"/>
        </w:rPr>
        <w:t>按照《中国植被》的分类原则，结合实地调查结果，选取植被型、群系组和群系三级分类体系并结合野外调查、整理出的样方和样线资料对评价区植被组成进行分类、描述。凡建群种生活型相近，群落外貌相似的植物群落联合的建群植物，对水热条件、生态关系组成一致的植物群落联合成为植被型（Vegetation type），是分类系统中的高级单位，用I、II、III、…… 符号表示；根据需要把植被亚型用一、二、三……符号表示；凡建群种和共建种相同的植被群落联合为群系（Formation），是分类系统中的中级单位，用1、2、3……符号表示。</w:t>
      </w:r>
    </w:p>
    <w:p>
      <w:pPr>
        <w:bidi w:val="0"/>
        <w:rPr>
          <w:color w:val="auto"/>
          <w:highlight w:val="none"/>
        </w:rPr>
      </w:pPr>
      <w:r>
        <w:rPr>
          <w:color w:val="auto"/>
          <w:highlight w:val="none"/>
        </w:rPr>
        <w:t>按上述分类原则，</w:t>
      </w:r>
      <w:r>
        <w:rPr>
          <w:rFonts w:hint="eastAsia"/>
          <w:color w:val="auto"/>
          <w:highlight w:val="none"/>
        </w:rPr>
        <w:t>大竹县</w:t>
      </w:r>
      <w:r>
        <w:rPr>
          <w:color w:val="auto"/>
          <w:highlight w:val="none"/>
        </w:rPr>
        <w:t>煤炭矿区总体规划评价区内自然植被可以分为</w:t>
      </w:r>
      <w:bookmarkStart w:id="220" w:name="_Hlk43151922"/>
      <w:r>
        <w:rPr>
          <w:color w:val="auto"/>
          <w:highlight w:val="none"/>
        </w:rPr>
        <w:t>6个植被型、6个植被亚型、10个群系，主要有马尾松林、杉木林、柏木林、</w:t>
      </w:r>
      <w:r>
        <w:rPr>
          <w:rFonts w:hint="eastAsia"/>
          <w:color w:val="auto"/>
          <w:highlight w:val="none"/>
        </w:rPr>
        <w:t>竹林、黄荆-马桑</w:t>
      </w:r>
      <w:r>
        <w:rPr>
          <w:color w:val="auto"/>
          <w:highlight w:val="none"/>
        </w:rPr>
        <w:t>灌丛、</w:t>
      </w:r>
      <w:r>
        <w:rPr>
          <w:rFonts w:hint="eastAsia"/>
          <w:color w:val="auto"/>
          <w:highlight w:val="none"/>
        </w:rPr>
        <w:t>丝茅</w:t>
      </w:r>
      <w:r>
        <w:rPr>
          <w:color w:val="auto"/>
          <w:highlight w:val="none"/>
        </w:rPr>
        <w:t>灌草丛等</w:t>
      </w:r>
      <w:r>
        <w:rPr>
          <w:rFonts w:hint="eastAsia"/>
          <w:color w:val="auto"/>
          <w:highlight w:val="none"/>
        </w:rPr>
        <w:t>，植被类型中以柏木林、马尾松林及竹林为主</w:t>
      </w:r>
      <w:r>
        <w:rPr>
          <w:color w:val="auto"/>
          <w:highlight w:val="none"/>
        </w:rPr>
        <w:t>。</w:t>
      </w:r>
      <w:bookmarkEnd w:id="220"/>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项目调查区自然植被分类组成表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2768"/>
        <w:gridCol w:w="2896"/>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006" w:type="pct"/>
            <w:vAlign w:val="center"/>
          </w:tcPr>
          <w:p>
            <w:pPr>
              <w:pStyle w:val="22"/>
              <w:bidi w:val="0"/>
              <w:rPr>
                <w:color w:val="auto"/>
                <w:highlight w:val="none"/>
              </w:rPr>
            </w:pPr>
            <w:r>
              <w:rPr>
                <w:color w:val="auto"/>
                <w:highlight w:val="none"/>
              </w:rPr>
              <w:t>植被型</w:t>
            </w:r>
          </w:p>
        </w:tc>
        <w:tc>
          <w:tcPr>
            <w:tcW w:w="1438" w:type="pct"/>
            <w:vAlign w:val="center"/>
          </w:tcPr>
          <w:p>
            <w:pPr>
              <w:pStyle w:val="22"/>
              <w:bidi w:val="0"/>
              <w:rPr>
                <w:color w:val="auto"/>
                <w:highlight w:val="none"/>
              </w:rPr>
            </w:pPr>
            <w:r>
              <w:rPr>
                <w:color w:val="auto"/>
                <w:highlight w:val="none"/>
              </w:rPr>
              <w:t>植被亚型</w:t>
            </w:r>
          </w:p>
        </w:tc>
        <w:tc>
          <w:tcPr>
            <w:tcW w:w="1504" w:type="pct"/>
            <w:vAlign w:val="center"/>
          </w:tcPr>
          <w:p>
            <w:pPr>
              <w:pStyle w:val="22"/>
              <w:bidi w:val="0"/>
              <w:rPr>
                <w:color w:val="auto"/>
                <w:highlight w:val="none"/>
              </w:rPr>
            </w:pPr>
            <w:r>
              <w:rPr>
                <w:color w:val="auto"/>
                <w:highlight w:val="none"/>
              </w:rPr>
              <w:t>群系组</w:t>
            </w:r>
          </w:p>
        </w:tc>
        <w:tc>
          <w:tcPr>
            <w:tcW w:w="1052" w:type="pct"/>
            <w:vAlign w:val="center"/>
          </w:tcPr>
          <w:p>
            <w:pPr>
              <w:pStyle w:val="22"/>
              <w:bidi w:val="0"/>
              <w:rPr>
                <w:color w:val="auto"/>
                <w:highlight w:val="none"/>
              </w:rPr>
            </w:pPr>
            <w:r>
              <w:rPr>
                <w:color w:val="auto"/>
                <w:highlight w:val="none"/>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restart"/>
            <w:vAlign w:val="center"/>
          </w:tcPr>
          <w:p>
            <w:pPr>
              <w:pStyle w:val="22"/>
              <w:bidi w:val="0"/>
              <w:rPr>
                <w:color w:val="auto"/>
                <w:highlight w:val="none"/>
              </w:rPr>
            </w:pPr>
            <w:r>
              <w:rPr>
                <w:color w:val="auto"/>
                <w:highlight w:val="none"/>
              </w:rPr>
              <w:t>Ⅰ.暖性针叶林</w:t>
            </w:r>
          </w:p>
        </w:tc>
        <w:tc>
          <w:tcPr>
            <w:tcW w:w="1438" w:type="pct"/>
            <w:vMerge w:val="restart"/>
            <w:vAlign w:val="center"/>
          </w:tcPr>
          <w:p>
            <w:pPr>
              <w:pStyle w:val="22"/>
              <w:bidi w:val="0"/>
              <w:rPr>
                <w:color w:val="auto"/>
                <w:highlight w:val="none"/>
              </w:rPr>
            </w:pPr>
            <w:r>
              <w:rPr>
                <w:color w:val="auto"/>
                <w:highlight w:val="none"/>
              </w:rPr>
              <w:t>一、暖性常绿针叶林</w:t>
            </w:r>
          </w:p>
        </w:tc>
        <w:tc>
          <w:tcPr>
            <w:tcW w:w="1504" w:type="pct"/>
            <w:vAlign w:val="center"/>
          </w:tcPr>
          <w:p>
            <w:pPr>
              <w:pStyle w:val="22"/>
              <w:bidi w:val="0"/>
              <w:rPr>
                <w:color w:val="auto"/>
                <w:highlight w:val="none"/>
              </w:rPr>
            </w:pPr>
            <w:r>
              <w:rPr>
                <w:color w:val="auto"/>
                <w:highlight w:val="none"/>
              </w:rPr>
              <w:t>（1）暖性松林</w:t>
            </w:r>
          </w:p>
        </w:tc>
        <w:tc>
          <w:tcPr>
            <w:tcW w:w="1052" w:type="pct"/>
            <w:vAlign w:val="center"/>
          </w:tcPr>
          <w:p>
            <w:pPr>
              <w:pStyle w:val="22"/>
              <w:bidi w:val="0"/>
              <w:rPr>
                <w:color w:val="auto"/>
                <w:highlight w:val="none"/>
              </w:rPr>
            </w:pPr>
            <w:r>
              <w:rPr>
                <w:color w:val="auto"/>
                <w:highlight w:val="none"/>
              </w:rPr>
              <w:t>1.马尾松林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continue"/>
            <w:vAlign w:val="center"/>
          </w:tcPr>
          <w:p>
            <w:pPr>
              <w:pStyle w:val="22"/>
              <w:bidi w:val="0"/>
              <w:rPr>
                <w:color w:val="auto"/>
                <w:highlight w:val="none"/>
              </w:rPr>
            </w:pPr>
          </w:p>
        </w:tc>
        <w:tc>
          <w:tcPr>
            <w:tcW w:w="1438" w:type="pct"/>
            <w:vMerge w:val="continue"/>
            <w:vAlign w:val="center"/>
          </w:tcPr>
          <w:p>
            <w:pPr>
              <w:pStyle w:val="22"/>
              <w:bidi w:val="0"/>
              <w:rPr>
                <w:color w:val="auto"/>
                <w:highlight w:val="none"/>
              </w:rPr>
            </w:pPr>
          </w:p>
        </w:tc>
        <w:tc>
          <w:tcPr>
            <w:tcW w:w="1504" w:type="pct"/>
            <w:vAlign w:val="center"/>
          </w:tcPr>
          <w:p>
            <w:pPr>
              <w:pStyle w:val="22"/>
              <w:bidi w:val="0"/>
              <w:rPr>
                <w:color w:val="auto"/>
                <w:highlight w:val="none"/>
              </w:rPr>
            </w:pPr>
            <w:r>
              <w:rPr>
                <w:color w:val="auto"/>
                <w:highlight w:val="none"/>
              </w:rPr>
              <w:t>（2）杉木林</w:t>
            </w:r>
          </w:p>
        </w:tc>
        <w:tc>
          <w:tcPr>
            <w:tcW w:w="1052" w:type="pct"/>
            <w:vAlign w:val="center"/>
          </w:tcPr>
          <w:p>
            <w:pPr>
              <w:pStyle w:val="22"/>
              <w:bidi w:val="0"/>
              <w:rPr>
                <w:color w:val="auto"/>
                <w:highlight w:val="none"/>
              </w:rPr>
            </w:pPr>
            <w:r>
              <w:rPr>
                <w:color w:val="auto"/>
                <w:highlight w:val="none"/>
              </w:rPr>
              <w:t>2.杉木林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continue"/>
            <w:vAlign w:val="center"/>
          </w:tcPr>
          <w:p>
            <w:pPr>
              <w:pStyle w:val="22"/>
              <w:bidi w:val="0"/>
              <w:rPr>
                <w:color w:val="auto"/>
                <w:highlight w:val="none"/>
              </w:rPr>
            </w:pPr>
          </w:p>
        </w:tc>
        <w:tc>
          <w:tcPr>
            <w:tcW w:w="1438" w:type="pct"/>
            <w:vMerge w:val="continue"/>
            <w:vAlign w:val="center"/>
          </w:tcPr>
          <w:p>
            <w:pPr>
              <w:pStyle w:val="22"/>
              <w:bidi w:val="0"/>
              <w:rPr>
                <w:color w:val="auto"/>
                <w:highlight w:val="none"/>
              </w:rPr>
            </w:pPr>
          </w:p>
        </w:tc>
        <w:tc>
          <w:tcPr>
            <w:tcW w:w="1504" w:type="pct"/>
            <w:vAlign w:val="center"/>
          </w:tcPr>
          <w:p>
            <w:pPr>
              <w:pStyle w:val="22"/>
              <w:bidi w:val="0"/>
              <w:rPr>
                <w:color w:val="auto"/>
                <w:highlight w:val="none"/>
              </w:rPr>
            </w:pPr>
            <w:r>
              <w:rPr>
                <w:color w:val="auto"/>
                <w:highlight w:val="none"/>
              </w:rPr>
              <w:t>（3）柏木林</w:t>
            </w:r>
          </w:p>
        </w:tc>
        <w:tc>
          <w:tcPr>
            <w:tcW w:w="1052" w:type="pct"/>
            <w:vAlign w:val="center"/>
          </w:tcPr>
          <w:p>
            <w:pPr>
              <w:pStyle w:val="22"/>
              <w:bidi w:val="0"/>
              <w:rPr>
                <w:color w:val="auto"/>
                <w:highlight w:val="none"/>
              </w:rPr>
            </w:pPr>
            <w:r>
              <w:rPr>
                <w:color w:val="auto"/>
                <w:highlight w:val="none"/>
              </w:rPr>
              <w:t>3.柏木林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Align w:val="center"/>
          </w:tcPr>
          <w:p>
            <w:pPr>
              <w:pStyle w:val="22"/>
              <w:bidi w:val="0"/>
              <w:rPr>
                <w:color w:val="auto"/>
                <w:highlight w:val="none"/>
              </w:rPr>
            </w:pPr>
            <w:r>
              <w:rPr>
                <w:color w:val="auto"/>
                <w:highlight w:val="none"/>
              </w:rPr>
              <w:t>Ⅱ.落叶阔叶林</w:t>
            </w:r>
          </w:p>
        </w:tc>
        <w:tc>
          <w:tcPr>
            <w:tcW w:w="1438" w:type="pct"/>
            <w:vAlign w:val="center"/>
          </w:tcPr>
          <w:p>
            <w:pPr>
              <w:pStyle w:val="22"/>
              <w:bidi w:val="0"/>
              <w:rPr>
                <w:color w:val="auto"/>
                <w:highlight w:val="none"/>
              </w:rPr>
            </w:pPr>
            <w:r>
              <w:rPr>
                <w:rFonts w:hint="eastAsia"/>
                <w:color w:val="auto"/>
                <w:highlight w:val="none"/>
              </w:rPr>
              <w:t>二</w:t>
            </w:r>
            <w:r>
              <w:rPr>
                <w:color w:val="auto"/>
                <w:highlight w:val="none"/>
              </w:rPr>
              <w:t>、山地落叶阔叶林</w:t>
            </w:r>
          </w:p>
        </w:tc>
        <w:tc>
          <w:tcPr>
            <w:tcW w:w="1504" w:type="pct"/>
            <w:vAlign w:val="center"/>
          </w:tcPr>
          <w:p>
            <w:pPr>
              <w:pStyle w:val="22"/>
              <w:bidi w:val="0"/>
              <w:rPr>
                <w:color w:val="auto"/>
                <w:highlight w:val="none"/>
              </w:rPr>
            </w:pPr>
            <w:r>
              <w:rPr>
                <w:color w:val="auto"/>
                <w:highlight w:val="none"/>
              </w:rPr>
              <w:t>（4）化香林</w:t>
            </w:r>
          </w:p>
        </w:tc>
        <w:tc>
          <w:tcPr>
            <w:tcW w:w="1052" w:type="pct"/>
            <w:vAlign w:val="center"/>
          </w:tcPr>
          <w:p>
            <w:pPr>
              <w:pStyle w:val="22"/>
              <w:bidi w:val="0"/>
              <w:rPr>
                <w:color w:val="auto"/>
                <w:highlight w:val="none"/>
              </w:rPr>
            </w:pPr>
            <w:r>
              <w:rPr>
                <w:color w:val="auto"/>
                <w:highlight w:val="none"/>
              </w:rPr>
              <w:t>4.化香树林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Align w:val="center"/>
          </w:tcPr>
          <w:p>
            <w:pPr>
              <w:pStyle w:val="22"/>
              <w:bidi w:val="0"/>
              <w:rPr>
                <w:color w:val="auto"/>
                <w:highlight w:val="none"/>
              </w:rPr>
            </w:pPr>
            <w:r>
              <w:rPr>
                <w:color w:val="auto"/>
                <w:highlight w:val="none"/>
              </w:rPr>
              <w:t>Ⅲ.常绿阔叶林</w:t>
            </w:r>
          </w:p>
        </w:tc>
        <w:tc>
          <w:tcPr>
            <w:tcW w:w="1438" w:type="pct"/>
            <w:vAlign w:val="center"/>
          </w:tcPr>
          <w:p>
            <w:pPr>
              <w:pStyle w:val="22"/>
              <w:bidi w:val="0"/>
              <w:rPr>
                <w:color w:val="auto"/>
                <w:highlight w:val="none"/>
              </w:rPr>
            </w:pPr>
            <w:r>
              <w:rPr>
                <w:rFonts w:hint="eastAsia"/>
                <w:color w:val="auto"/>
                <w:highlight w:val="none"/>
              </w:rPr>
              <w:t>三</w:t>
            </w:r>
            <w:r>
              <w:rPr>
                <w:color w:val="auto"/>
                <w:highlight w:val="none"/>
              </w:rPr>
              <w:t>、典型常绿阔叶林</w:t>
            </w:r>
          </w:p>
        </w:tc>
        <w:tc>
          <w:tcPr>
            <w:tcW w:w="1504" w:type="pct"/>
            <w:vAlign w:val="center"/>
          </w:tcPr>
          <w:p>
            <w:pPr>
              <w:pStyle w:val="22"/>
              <w:bidi w:val="0"/>
              <w:rPr>
                <w:color w:val="auto"/>
                <w:highlight w:val="none"/>
              </w:rPr>
            </w:pPr>
            <w:r>
              <w:rPr>
                <w:color w:val="auto"/>
                <w:highlight w:val="none"/>
              </w:rPr>
              <w:t>（5）青冈林</w:t>
            </w:r>
          </w:p>
        </w:tc>
        <w:tc>
          <w:tcPr>
            <w:tcW w:w="1052" w:type="pct"/>
            <w:vAlign w:val="center"/>
          </w:tcPr>
          <w:p>
            <w:pPr>
              <w:pStyle w:val="22"/>
              <w:bidi w:val="0"/>
              <w:rPr>
                <w:color w:val="auto"/>
                <w:highlight w:val="none"/>
              </w:rPr>
            </w:pPr>
            <w:r>
              <w:rPr>
                <w:color w:val="auto"/>
                <w:highlight w:val="none"/>
              </w:rPr>
              <w:t>5.青冈林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Align w:val="center"/>
          </w:tcPr>
          <w:p>
            <w:pPr>
              <w:pStyle w:val="22"/>
              <w:bidi w:val="0"/>
              <w:rPr>
                <w:color w:val="auto"/>
                <w:highlight w:val="none"/>
              </w:rPr>
            </w:pPr>
            <w:r>
              <w:rPr>
                <w:color w:val="auto"/>
                <w:highlight w:val="none"/>
              </w:rPr>
              <w:t>Ⅳ竹林</w:t>
            </w:r>
          </w:p>
        </w:tc>
        <w:tc>
          <w:tcPr>
            <w:tcW w:w="1438" w:type="pct"/>
            <w:vAlign w:val="center"/>
          </w:tcPr>
          <w:p>
            <w:pPr>
              <w:pStyle w:val="22"/>
              <w:bidi w:val="0"/>
              <w:rPr>
                <w:color w:val="auto"/>
                <w:highlight w:val="none"/>
              </w:rPr>
            </w:pPr>
            <w:r>
              <w:rPr>
                <w:rFonts w:hint="eastAsia"/>
                <w:color w:val="auto"/>
                <w:highlight w:val="none"/>
              </w:rPr>
              <w:t>四</w:t>
            </w:r>
            <w:r>
              <w:rPr>
                <w:color w:val="auto"/>
                <w:highlight w:val="none"/>
              </w:rPr>
              <w:t>、暖性竹林</w:t>
            </w:r>
          </w:p>
        </w:tc>
        <w:tc>
          <w:tcPr>
            <w:tcW w:w="1504" w:type="pct"/>
            <w:vAlign w:val="center"/>
          </w:tcPr>
          <w:p>
            <w:pPr>
              <w:pStyle w:val="22"/>
              <w:bidi w:val="0"/>
              <w:rPr>
                <w:color w:val="auto"/>
                <w:highlight w:val="none"/>
              </w:rPr>
            </w:pPr>
            <w:r>
              <w:rPr>
                <w:color w:val="auto"/>
                <w:highlight w:val="none"/>
              </w:rPr>
              <w:t>（6）丘陵山地竹林</w:t>
            </w:r>
          </w:p>
        </w:tc>
        <w:tc>
          <w:tcPr>
            <w:tcW w:w="1052" w:type="pct"/>
            <w:vAlign w:val="center"/>
          </w:tcPr>
          <w:p>
            <w:pPr>
              <w:pStyle w:val="22"/>
              <w:bidi w:val="0"/>
              <w:rPr>
                <w:color w:val="auto"/>
                <w:highlight w:val="none"/>
              </w:rPr>
            </w:pPr>
            <w:r>
              <w:rPr>
                <w:color w:val="auto"/>
                <w:highlight w:val="none"/>
              </w:rPr>
              <w:t>6.竹林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restart"/>
            <w:vAlign w:val="center"/>
          </w:tcPr>
          <w:p>
            <w:pPr>
              <w:pStyle w:val="22"/>
              <w:bidi w:val="0"/>
              <w:rPr>
                <w:color w:val="auto"/>
                <w:highlight w:val="none"/>
              </w:rPr>
            </w:pPr>
            <w:r>
              <w:rPr>
                <w:color w:val="auto"/>
                <w:highlight w:val="none"/>
              </w:rPr>
              <w:t>Ⅴ落叶阔叶灌丛</w:t>
            </w:r>
          </w:p>
        </w:tc>
        <w:tc>
          <w:tcPr>
            <w:tcW w:w="1438" w:type="pct"/>
            <w:vMerge w:val="restart"/>
            <w:vAlign w:val="center"/>
          </w:tcPr>
          <w:p>
            <w:pPr>
              <w:pStyle w:val="22"/>
              <w:bidi w:val="0"/>
              <w:rPr>
                <w:color w:val="auto"/>
                <w:highlight w:val="none"/>
              </w:rPr>
            </w:pPr>
            <w:r>
              <w:rPr>
                <w:rFonts w:hint="eastAsia"/>
                <w:color w:val="auto"/>
                <w:highlight w:val="none"/>
              </w:rPr>
              <w:t>五</w:t>
            </w:r>
            <w:r>
              <w:rPr>
                <w:color w:val="auto"/>
                <w:highlight w:val="none"/>
              </w:rPr>
              <w:t>、暖性落叶阔叶灌丛</w:t>
            </w:r>
          </w:p>
        </w:tc>
        <w:tc>
          <w:tcPr>
            <w:tcW w:w="1504" w:type="pct"/>
            <w:vMerge w:val="restart"/>
            <w:vAlign w:val="center"/>
          </w:tcPr>
          <w:p>
            <w:pPr>
              <w:pStyle w:val="22"/>
              <w:bidi w:val="0"/>
              <w:rPr>
                <w:color w:val="auto"/>
                <w:highlight w:val="none"/>
              </w:rPr>
            </w:pPr>
            <w:r>
              <w:rPr>
                <w:color w:val="auto"/>
                <w:highlight w:val="none"/>
              </w:rPr>
              <w:t>（7）山地落叶阔叶灌丛</w:t>
            </w:r>
          </w:p>
        </w:tc>
        <w:tc>
          <w:tcPr>
            <w:tcW w:w="1052" w:type="pct"/>
            <w:vAlign w:val="center"/>
          </w:tcPr>
          <w:p>
            <w:pPr>
              <w:pStyle w:val="22"/>
              <w:bidi w:val="0"/>
              <w:rPr>
                <w:color w:val="auto"/>
                <w:highlight w:val="none"/>
              </w:rPr>
            </w:pPr>
            <w:r>
              <w:rPr>
                <w:color w:val="auto"/>
                <w:highlight w:val="none"/>
              </w:rPr>
              <w:t>7.</w:t>
            </w:r>
            <w:r>
              <w:rPr>
                <w:rFonts w:hint="eastAsia"/>
                <w:color w:val="auto"/>
                <w:highlight w:val="none"/>
              </w:rPr>
              <w:t>黄荆-</w:t>
            </w:r>
            <w:r>
              <w:rPr>
                <w:color w:val="auto"/>
                <w:highlight w:val="none"/>
              </w:rPr>
              <w:t>马桑灌丛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continue"/>
            <w:vAlign w:val="center"/>
          </w:tcPr>
          <w:p>
            <w:pPr>
              <w:pStyle w:val="22"/>
              <w:bidi w:val="0"/>
              <w:rPr>
                <w:color w:val="auto"/>
                <w:highlight w:val="none"/>
              </w:rPr>
            </w:pPr>
          </w:p>
        </w:tc>
        <w:tc>
          <w:tcPr>
            <w:tcW w:w="1438" w:type="pct"/>
            <w:vMerge w:val="continue"/>
            <w:vAlign w:val="center"/>
          </w:tcPr>
          <w:p>
            <w:pPr>
              <w:pStyle w:val="22"/>
              <w:bidi w:val="0"/>
              <w:rPr>
                <w:color w:val="auto"/>
                <w:highlight w:val="none"/>
              </w:rPr>
            </w:pPr>
          </w:p>
        </w:tc>
        <w:tc>
          <w:tcPr>
            <w:tcW w:w="1504" w:type="pct"/>
            <w:vMerge w:val="continue"/>
            <w:vAlign w:val="center"/>
          </w:tcPr>
          <w:p>
            <w:pPr>
              <w:pStyle w:val="22"/>
              <w:bidi w:val="0"/>
              <w:rPr>
                <w:color w:val="auto"/>
                <w:highlight w:val="none"/>
              </w:rPr>
            </w:pPr>
          </w:p>
        </w:tc>
        <w:tc>
          <w:tcPr>
            <w:tcW w:w="1052" w:type="pct"/>
            <w:vAlign w:val="center"/>
          </w:tcPr>
          <w:p>
            <w:pPr>
              <w:pStyle w:val="22"/>
              <w:bidi w:val="0"/>
              <w:rPr>
                <w:color w:val="auto"/>
                <w:highlight w:val="none"/>
              </w:rPr>
            </w:pPr>
            <w:r>
              <w:rPr>
                <w:color w:val="auto"/>
                <w:highlight w:val="none"/>
              </w:rPr>
              <w:t>8.蔷薇灌丛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restart"/>
            <w:vAlign w:val="center"/>
          </w:tcPr>
          <w:p>
            <w:pPr>
              <w:pStyle w:val="22"/>
              <w:bidi w:val="0"/>
              <w:rPr>
                <w:color w:val="auto"/>
                <w:highlight w:val="none"/>
              </w:rPr>
            </w:pPr>
            <w:r>
              <w:rPr>
                <w:color w:val="auto"/>
                <w:highlight w:val="none"/>
              </w:rPr>
              <w:t>Ⅵ.灌草丛</w:t>
            </w:r>
          </w:p>
        </w:tc>
        <w:tc>
          <w:tcPr>
            <w:tcW w:w="1438" w:type="pct"/>
            <w:vMerge w:val="restart"/>
            <w:vAlign w:val="center"/>
          </w:tcPr>
          <w:p>
            <w:pPr>
              <w:pStyle w:val="22"/>
              <w:bidi w:val="0"/>
              <w:rPr>
                <w:color w:val="auto"/>
                <w:highlight w:val="none"/>
              </w:rPr>
            </w:pPr>
            <w:r>
              <w:rPr>
                <w:rFonts w:hint="eastAsia"/>
                <w:color w:val="auto"/>
                <w:highlight w:val="none"/>
              </w:rPr>
              <w:t>六</w:t>
            </w:r>
            <w:r>
              <w:rPr>
                <w:color w:val="auto"/>
                <w:highlight w:val="none"/>
              </w:rPr>
              <w:t>、暖性灌草丛</w:t>
            </w:r>
          </w:p>
        </w:tc>
        <w:tc>
          <w:tcPr>
            <w:tcW w:w="1504" w:type="pct"/>
            <w:vAlign w:val="center"/>
          </w:tcPr>
          <w:p>
            <w:pPr>
              <w:pStyle w:val="22"/>
              <w:bidi w:val="0"/>
              <w:rPr>
                <w:color w:val="auto"/>
                <w:highlight w:val="none"/>
              </w:rPr>
            </w:pPr>
            <w:r>
              <w:rPr>
                <w:color w:val="auto"/>
                <w:highlight w:val="none"/>
              </w:rPr>
              <w:t>（8）禾草灌草丛</w:t>
            </w:r>
          </w:p>
        </w:tc>
        <w:tc>
          <w:tcPr>
            <w:tcW w:w="1052" w:type="pct"/>
            <w:vAlign w:val="center"/>
          </w:tcPr>
          <w:p>
            <w:pPr>
              <w:pStyle w:val="22"/>
              <w:bidi w:val="0"/>
              <w:rPr>
                <w:color w:val="auto"/>
                <w:highlight w:val="none"/>
              </w:rPr>
            </w:pPr>
            <w:r>
              <w:rPr>
                <w:color w:val="auto"/>
                <w:highlight w:val="none"/>
              </w:rPr>
              <w:t>9.丝茅灌草丛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06" w:type="pct"/>
            <w:vMerge w:val="continue"/>
            <w:vAlign w:val="center"/>
          </w:tcPr>
          <w:p>
            <w:pPr>
              <w:pStyle w:val="22"/>
              <w:bidi w:val="0"/>
              <w:rPr>
                <w:color w:val="auto"/>
                <w:highlight w:val="none"/>
              </w:rPr>
            </w:pPr>
          </w:p>
        </w:tc>
        <w:tc>
          <w:tcPr>
            <w:tcW w:w="1438" w:type="pct"/>
            <w:vMerge w:val="continue"/>
            <w:vAlign w:val="center"/>
          </w:tcPr>
          <w:p>
            <w:pPr>
              <w:pStyle w:val="22"/>
              <w:bidi w:val="0"/>
              <w:rPr>
                <w:color w:val="auto"/>
                <w:highlight w:val="none"/>
              </w:rPr>
            </w:pPr>
          </w:p>
        </w:tc>
        <w:tc>
          <w:tcPr>
            <w:tcW w:w="1504" w:type="pct"/>
            <w:vAlign w:val="center"/>
          </w:tcPr>
          <w:p>
            <w:pPr>
              <w:pStyle w:val="22"/>
              <w:bidi w:val="0"/>
              <w:rPr>
                <w:color w:val="auto"/>
                <w:highlight w:val="none"/>
              </w:rPr>
            </w:pPr>
            <w:r>
              <w:rPr>
                <w:color w:val="auto"/>
                <w:highlight w:val="none"/>
              </w:rPr>
              <w:t>（9）蕨类灌草丛</w:t>
            </w:r>
          </w:p>
        </w:tc>
        <w:tc>
          <w:tcPr>
            <w:tcW w:w="1052" w:type="pct"/>
            <w:vAlign w:val="center"/>
          </w:tcPr>
          <w:p>
            <w:pPr>
              <w:pStyle w:val="22"/>
              <w:bidi w:val="0"/>
              <w:rPr>
                <w:color w:val="auto"/>
                <w:highlight w:val="none"/>
              </w:rPr>
            </w:pPr>
            <w:r>
              <w:rPr>
                <w:color w:val="auto"/>
                <w:highlight w:val="none"/>
              </w:rPr>
              <w:t>10.蕨草丛</w:t>
            </w:r>
          </w:p>
        </w:tc>
      </w:tr>
    </w:tbl>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）只要植被类型特征</w:t>
      </w:r>
    </w:p>
    <w:p>
      <w:pPr>
        <w:bidi w:val="0"/>
        <w:rPr>
          <w:color w:val="auto"/>
          <w:highlight w:val="none"/>
        </w:rPr>
      </w:pPr>
      <w:r>
        <w:rPr>
          <w:rFonts w:hint="eastAsia"/>
          <w:color w:val="auto"/>
          <w:highlight w:val="none"/>
          <w:lang w:eastAsia="zh-CN"/>
        </w:rPr>
        <w:t>①</w:t>
      </w:r>
      <w:r>
        <w:rPr>
          <w:color w:val="auto"/>
          <w:highlight w:val="none"/>
        </w:rPr>
        <w:t>马尾松林(Form. Pinus massoniana)</w:t>
      </w:r>
    </w:p>
    <w:p>
      <w:pPr>
        <w:bidi w:val="0"/>
        <w:rPr>
          <w:color w:val="auto"/>
          <w:highlight w:val="none"/>
        </w:rPr>
      </w:pPr>
      <w:r>
        <w:rPr>
          <w:color w:val="auto"/>
          <w:highlight w:val="none"/>
        </w:rPr>
        <w:t>评价区内马尾松林分布范围大，区内马尾松纯林分布较多，林相十分整齐。群落中乔木层高度一般较矮，约10m左右，林内除以马尾松（Pinus massoniana）占优势外，在阳坡山脊、山顶等地段常与华山松（Pinus armandi）组成混交针叶林类型，此外马尾松乔木层还常有槲栎（Quercus aliena）、栓皮栎（Quercus variabilis）等混生其中。灌木层种类中盐肤木（Rhus chinensis）、宜昌荚蒾、檵木、山胡椒（Lindera glauca)、火棘（Pyracantha fortuneana）占优势地位，其他还有山莓（Rubus corchorifolius）、野鸦椿等。草本层以芒萁（Dicranopteris pedata）、狗脊占优势，另外草本成中还有丝茅（</w:t>
      </w:r>
      <w:bookmarkStart w:id="221" w:name="OLE_LINK455"/>
      <w:r>
        <w:rPr>
          <w:color w:val="auto"/>
          <w:highlight w:val="none"/>
        </w:rPr>
        <w:t>Imperata koenigii</w:t>
      </w:r>
      <w:bookmarkEnd w:id="221"/>
      <w:r>
        <w:rPr>
          <w:color w:val="auto"/>
          <w:highlight w:val="none"/>
        </w:rPr>
        <w:t>）、五节芒（Miscanthus floridulus）等物种。</w:t>
      </w:r>
    </w:p>
    <w:p>
      <w:pPr>
        <w:bidi w:val="0"/>
        <w:rPr>
          <w:color w:val="auto"/>
          <w:highlight w:val="none"/>
        </w:rPr>
      </w:pPr>
      <w:r>
        <w:rPr>
          <w:rFonts w:hint="eastAsia"/>
          <w:color w:val="auto"/>
          <w:highlight w:val="none"/>
          <w:lang w:eastAsia="zh-CN"/>
        </w:rPr>
        <w:t>②</w:t>
      </w:r>
      <w:r>
        <w:rPr>
          <w:color w:val="auto"/>
          <w:highlight w:val="none"/>
        </w:rPr>
        <w:t>柏木林（Form. Cupressus funebris）</w:t>
      </w:r>
    </w:p>
    <w:p>
      <w:pPr>
        <w:bidi w:val="0"/>
        <w:rPr>
          <w:color w:val="auto"/>
          <w:highlight w:val="none"/>
        </w:rPr>
      </w:pPr>
      <w:r>
        <w:rPr>
          <w:color w:val="auto"/>
          <w:highlight w:val="none"/>
        </w:rPr>
        <w:t>柏木林是四川盆地东部地区主要的森林植被类型之一，评价区内柏木林分布较</w:t>
      </w:r>
      <w:r>
        <w:rPr>
          <w:rFonts w:hint="eastAsia"/>
          <w:color w:val="auto"/>
          <w:highlight w:val="none"/>
        </w:rPr>
        <w:t>多。</w:t>
      </w:r>
      <w:r>
        <w:rPr>
          <w:color w:val="auto"/>
          <w:highlight w:val="none"/>
        </w:rPr>
        <w:t>群落外貌苍翠，林冠整齐，群落结构简单，层次分明。群落高度一般在15m左右，乔木层盖度0.5-0.7，种类组成和群落结构随生境的变化和人为因素的影响而异。乔木层一般以柏木（Cupressus funebris）为主要优势种，其他还有马尾松（Pinus massoniana）、化香树（Platycarya strobilacea）、野漆（Toxicodendron succedaneum）等，灌木层种类较多，主要有马桑（Coriaria nepalensis）、火棘（Pyracantha fortuneana）、黄荆（Vitex negundo）等。草本层盖度较高，一般在0.5左右，主要种类有薹草（Carex cruciata）、金星蕨（Parathelypteris nipponica）、蜈蚣草（Pteris vittata）等。</w:t>
      </w:r>
    </w:p>
    <w:p>
      <w:pPr>
        <w:bidi w:val="0"/>
        <w:rPr>
          <w:color w:val="auto"/>
          <w:highlight w:val="none"/>
        </w:rPr>
      </w:pPr>
      <w:r>
        <w:rPr>
          <w:rFonts w:hint="eastAsia"/>
          <w:color w:val="auto"/>
          <w:highlight w:val="none"/>
          <w:lang w:eastAsia="zh-CN"/>
        </w:rPr>
        <w:t>③</w:t>
      </w:r>
      <w:r>
        <w:rPr>
          <w:color w:val="auto"/>
          <w:highlight w:val="none"/>
        </w:rPr>
        <w:t>青冈林（Form. Cyclobalanopsis multinervis）</w:t>
      </w:r>
    </w:p>
    <w:p>
      <w:pPr>
        <w:bidi w:val="0"/>
        <w:rPr>
          <w:color w:val="auto"/>
          <w:highlight w:val="none"/>
        </w:rPr>
      </w:pPr>
      <w:r>
        <w:rPr>
          <w:color w:val="auto"/>
          <w:highlight w:val="none"/>
        </w:rPr>
        <w:t>评价区内多脉青冈林呈小斑块状分布，群落外貌绿色，林冠波浪形，但由于分布区地形陡峭，林相不齐。群落乔木层、灌木层、草本层分层明显，层间植物不发达。乔木层乔木层郁闭度0.5-0.7，以多脉青冈（Cyclobalanopsis multinervis）为主，此外小叶青冈（Cyclobalanopsis myrsinaefolia）、香叶树（Lindera fragrans）等常绿树种亦是重要的组成成分，海拔段较高或生境较为干燥的区域零星分布有短柄枹栎（Quercus serrata. var. brevipetiolata）、槲栎（Quercus aliena）、枫香（Liquidambar formosana）等落叶阔叶林树种。</w:t>
      </w:r>
    </w:p>
    <w:p>
      <w:pPr>
        <w:bidi w:val="0"/>
        <w:rPr>
          <w:color w:val="auto"/>
          <w:highlight w:val="none"/>
        </w:rPr>
      </w:pPr>
      <w:r>
        <w:rPr>
          <w:color w:val="auto"/>
          <w:highlight w:val="none"/>
        </w:rPr>
        <w:t>灌木层物种在生境较好的区域组成较为丰富，在坡度较陡，岩石较多，土壤层较薄的区域物种较少，多以多脉青冈（Cyclobalanopsis multinervis）等的幼树为主，另有阔叶十大功劳（Mahonia bealei）、宜昌荚蒾（Viburnum erosum）、胡颓子（Elaeagnus pungens）等物种参与组成。草本层盖度在30-60%，以狗脊蕨（Woodwardia japonica）、顶芽狗脊蕨（Woodwardia unigemmata）为主，另有贯众（Cyrtomium fortunei）、柔毛路边青（Geum japonicum var. chinense）</w:t>
      </w:r>
      <w:r>
        <w:rPr>
          <w:rFonts w:hint="eastAsia"/>
          <w:color w:val="auto"/>
          <w:highlight w:val="none"/>
        </w:rPr>
        <w:t>、金发草、荩草、丝茅</w:t>
      </w:r>
      <w:r>
        <w:rPr>
          <w:color w:val="auto"/>
          <w:highlight w:val="none"/>
        </w:rPr>
        <w:t>等。</w:t>
      </w:r>
    </w:p>
    <w:p>
      <w:pPr>
        <w:bidi w:val="0"/>
        <w:rPr>
          <w:color w:val="auto"/>
          <w:highlight w:val="none"/>
        </w:rPr>
      </w:pPr>
      <w:r>
        <w:rPr>
          <w:rFonts w:hint="eastAsia"/>
          <w:color w:val="auto"/>
          <w:highlight w:val="none"/>
          <w:lang w:eastAsia="zh-CN"/>
        </w:rPr>
        <w:t>④</w:t>
      </w:r>
      <w:r>
        <w:rPr>
          <w:color w:val="auto"/>
          <w:highlight w:val="none"/>
        </w:rPr>
        <w:t>竹林（Form. Phyllostachys Viridis）</w:t>
      </w:r>
    </w:p>
    <w:p>
      <w:pPr>
        <w:bidi w:val="0"/>
        <w:rPr>
          <w:color w:val="auto"/>
          <w:highlight w:val="none"/>
        </w:rPr>
      </w:pPr>
      <w:r>
        <w:rPr>
          <w:color w:val="auto"/>
          <w:highlight w:val="none"/>
        </w:rPr>
        <w:t>评价区内的竹林</w:t>
      </w:r>
      <w:r>
        <w:rPr>
          <w:rFonts w:hint="eastAsia"/>
          <w:color w:val="auto"/>
          <w:highlight w:val="none"/>
        </w:rPr>
        <w:t>分布面积较大，尤其在中山矿段有成片分布的竹林，以刚竹、水竹等为主</w:t>
      </w:r>
      <w:r>
        <w:rPr>
          <w:color w:val="auto"/>
          <w:highlight w:val="none"/>
        </w:rPr>
        <w:t>，竹林高度3-8m，径粗4-7cm，郁闭度0.5-0.9，林下灌木层草本层物种种类较少，一般以耐阴物种为主，包括竹叶草（Oplismenus compositus）、山姜（Alpinia japonica）、黄鹌菜（Youngia japonica）</w:t>
      </w:r>
      <w:r>
        <w:rPr>
          <w:rFonts w:hint="eastAsia"/>
          <w:color w:val="auto"/>
          <w:highlight w:val="none"/>
        </w:rPr>
        <w:t>、楼梯草、狗脊</w:t>
      </w:r>
      <w:r>
        <w:rPr>
          <w:color w:val="auto"/>
          <w:highlight w:val="none"/>
        </w:rPr>
        <w:t>等物种。</w:t>
      </w:r>
    </w:p>
    <w:p>
      <w:pPr>
        <w:bidi w:val="0"/>
        <w:rPr>
          <w:color w:val="auto"/>
          <w:highlight w:val="none"/>
        </w:rPr>
      </w:pPr>
      <w:r>
        <w:rPr>
          <w:rFonts w:hint="eastAsia"/>
          <w:color w:val="auto"/>
          <w:highlight w:val="none"/>
          <w:lang w:eastAsia="zh-CN"/>
        </w:rPr>
        <w:t>⑤</w:t>
      </w:r>
      <w:r>
        <w:rPr>
          <w:color w:val="auto"/>
          <w:highlight w:val="none"/>
        </w:rPr>
        <w:t>黄荆-马桑灌丛（Form. Vitex negundo +Coriaria nepalensis）</w:t>
      </w:r>
    </w:p>
    <w:p>
      <w:pPr>
        <w:bidi w:val="0"/>
        <w:rPr>
          <w:color w:val="auto"/>
          <w:highlight w:val="none"/>
        </w:rPr>
      </w:pPr>
      <w:r>
        <w:rPr>
          <w:color w:val="auto"/>
          <w:highlight w:val="none"/>
        </w:rPr>
        <w:t>评价区内黄荆-马桑灌丛呈丛状分布，参差不齐。灌木层盖度0.3-0.6，生境较好的地段甚至可以形成0.8左右的盖度，灌木层除马桑</w:t>
      </w:r>
      <w:r>
        <w:rPr>
          <w:rFonts w:hint="eastAsia"/>
          <w:color w:val="auto"/>
          <w:highlight w:val="none"/>
        </w:rPr>
        <w:t>、黄荆</w:t>
      </w:r>
      <w:r>
        <w:rPr>
          <w:color w:val="auto"/>
          <w:highlight w:val="none"/>
        </w:rPr>
        <w:t>外，其他如火棘（Pyracantha fortuneana）、小果蔷薇（Rosa cymosa）</w:t>
      </w:r>
      <w:r>
        <w:rPr>
          <w:rFonts w:hint="eastAsia"/>
          <w:color w:val="auto"/>
          <w:highlight w:val="none"/>
        </w:rPr>
        <w:t>、盐肤木</w:t>
      </w:r>
      <w:r>
        <w:rPr>
          <w:color w:val="auto"/>
          <w:highlight w:val="none"/>
        </w:rPr>
        <w:t>等亦是主要组成成分，群落内常见的还有醉鱼草（Buddleja lindleyana）、匍匐栒子（Cotoneaster adpressus）、短序荚蒾（Viburnum brachybotryum）、马甲子（Paliurus ramosissimus）、盐肤木（Rhus chinensis）等物种，草本层盖度约0.3-0.5左右，以丝茅(Imperata koenigii)、茅、细柄草（Capillipedium parviflorum）、金发草（Pogonatherum paniceum）、丛毛羊胡子草（Eriophorum comosum）、黄茅（Heteropogon contortus）等为主，层外植物与水麻灌丛组成类似。</w:t>
      </w:r>
    </w:p>
    <w:p>
      <w:pPr>
        <w:bidi w:val="0"/>
        <w:rPr>
          <w:color w:val="auto"/>
          <w:highlight w:val="none"/>
        </w:rPr>
      </w:pPr>
      <w:r>
        <w:rPr>
          <w:rFonts w:hint="eastAsia"/>
          <w:color w:val="auto"/>
          <w:highlight w:val="none"/>
          <w:lang w:eastAsia="zh-CN"/>
        </w:rPr>
        <w:t>⑥</w:t>
      </w:r>
      <w:r>
        <w:rPr>
          <w:color w:val="auto"/>
          <w:highlight w:val="none"/>
        </w:rPr>
        <w:t>丝茅草丛（Form. Imperata koenigii）</w:t>
      </w:r>
    </w:p>
    <w:p>
      <w:pPr>
        <w:bidi w:val="0"/>
        <w:rPr>
          <w:color w:val="auto"/>
          <w:highlight w:val="none"/>
        </w:rPr>
      </w:pPr>
      <w:r>
        <w:rPr>
          <w:color w:val="auto"/>
          <w:highlight w:val="none"/>
        </w:rPr>
        <w:t>评价区内白茅草丛分布较广，分布于阳坡地段，此草丛主要是由于人为干扰较大形成的次生性草丛，在路边、弃耕地等地段十分常见。群落无明显层次，总盖度在0.5以上，草本层平均高度0.5-1.2m，以丝茅(Imperata koenigii)为绝对优势物种，其他如香青（Anaphalis sinica）、风轮菜（Clinopodium chinense）、鱼腥草（Houttuynia cordata）、三脉紫菀（Aster ageratoides）、龙牙草（Agrimonia pilosa）、荩草（Arthraxon hispidus）等亦是常见成分，其他物种如苦荬菜（Ixeris polycephala）、败酱（Patrinia scabiosaefolia）、蒲公英（Taraxacum mongolicum）等也常伴生其中，层外植物如茜草（Rubia cordifolia）、海金沙（Lygodium japonicum）、中华栝楼（Trichosanthes rosthornii）等常见于该群落。</w:t>
      </w:r>
    </w:p>
    <w:p>
      <w:pPr>
        <w:bidi w:val="0"/>
        <w:rPr>
          <w:color w:val="auto"/>
          <w:highlight w:val="none"/>
        </w:rPr>
      </w:pPr>
      <w:r>
        <w:rPr>
          <w:rFonts w:hint="eastAsia"/>
          <w:color w:val="auto"/>
          <w:highlight w:val="none"/>
          <w:lang w:eastAsia="zh-CN"/>
        </w:rPr>
        <w:t>⑦</w:t>
      </w:r>
      <w:r>
        <w:rPr>
          <w:color w:val="auto"/>
          <w:highlight w:val="none"/>
        </w:rPr>
        <w:t>蕨草丛（Form. Pteridium aquilinum）</w:t>
      </w:r>
    </w:p>
    <w:p>
      <w:pPr>
        <w:bidi w:val="0"/>
        <w:rPr>
          <w:color w:val="auto"/>
          <w:highlight w:val="none"/>
        </w:rPr>
      </w:pPr>
      <w:r>
        <w:rPr>
          <w:color w:val="auto"/>
          <w:highlight w:val="none"/>
        </w:rPr>
        <w:t>蕨草丛在评价区内主要分布于阴湿沟谷，常常是由弃耕地发展而来，群落外貌整齐，生长均匀，草本层盖度一般在0.5-0.8，高度0.3-0.5m以下，物种组成丰富，以金星蕨（Parathelypteris glanduligera）、悬铃叶苎麻（Boehmeria tricuspis ）、冷水花（Pilea notata）、小蓟（Cirsium setosum）、斑花败酱（Patrinia  punctiflora）、香青（Anaphalis sinica）、细风轮菜（Clinopodium gracile）、早熟禾（Poa annua）等物种为主，偶见龙牙草（Agrimonia pilosa）、柔毛路边青（Geum japonicum var. chinense）、垂盆草（Sedum sarmentosum）、蒲公英（Taraxacum mongolicum）等物种。</w:t>
      </w:r>
    </w:p>
    <w:p>
      <w:pPr>
        <w:bidi w:val="0"/>
        <w:rPr>
          <w:color w:val="auto"/>
          <w:highlight w:val="none"/>
        </w:rPr>
      </w:pPr>
      <w:r>
        <w:rPr>
          <w:rFonts w:hint="eastAsia"/>
          <w:color w:val="auto"/>
          <w:highlight w:val="none"/>
          <w:lang w:eastAsia="zh-CN"/>
        </w:rPr>
        <w:t>⑧</w:t>
      </w:r>
      <w:r>
        <w:rPr>
          <w:rFonts w:hint="eastAsia"/>
          <w:color w:val="auto"/>
          <w:highlight w:val="none"/>
        </w:rPr>
        <w:t>栽培植被</w:t>
      </w:r>
    </w:p>
    <w:p>
      <w:pPr>
        <w:bidi w:val="0"/>
        <w:rPr>
          <w:rFonts w:hint="eastAsia"/>
          <w:color w:val="auto"/>
          <w:highlight w:val="none"/>
          <w:lang w:eastAsia="zh-CN"/>
        </w:rPr>
      </w:pPr>
      <w:r>
        <w:rPr>
          <w:rFonts w:hint="eastAsia"/>
          <w:color w:val="auto"/>
          <w:highlight w:val="none"/>
        </w:rPr>
        <w:t>项目</w:t>
      </w:r>
      <w:r>
        <w:rPr>
          <w:color w:val="auto"/>
          <w:highlight w:val="none"/>
        </w:rPr>
        <w:t>评价区地处四川盆地边缘，以丘陵、山地为主，农耕地类型包括水田和旱地，水田仅分布于海拔较低，面积极少。在中山及</w:t>
      </w:r>
      <w:r>
        <w:rPr>
          <w:rFonts w:hint="eastAsia"/>
          <w:color w:val="auto"/>
          <w:highlight w:val="none"/>
        </w:rPr>
        <w:t>丘陵</w:t>
      </w:r>
      <w:r>
        <w:rPr>
          <w:color w:val="auto"/>
          <w:highlight w:val="none"/>
        </w:rPr>
        <w:t>的区域以旱地为主。</w:t>
      </w:r>
      <w:r>
        <w:rPr>
          <w:rFonts w:hint="eastAsia"/>
          <w:color w:val="auto"/>
          <w:highlight w:val="none"/>
        </w:rPr>
        <w:t>项目区域耕作强度不大，</w:t>
      </w:r>
      <w:r>
        <w:rPr>
          <w:color w:val="auto"/>
          <w:highlight w:val="none"/>
        </w:rPr>
        <w:t>除满足日常生活需要所种植的粮食、蔬菜作物外，粮食作物以旱生的玉米、马铃薯、冬小麦为主，蔬菜以瓜类、茄类、豆类等中生性物种为主要栽培对象；经济果园和经济林发挥山地优势，主要种植</w:t>
      </w:r>
      <w:r>
        <w:rPr>
          <w:rFonts w:hint="eastAsia"/>
          <w:color w:val="auto"/>
          <w:highlight w:val="none"/>
        </w:rPr>
        <w:t>桃、李子</w:t>
      </w:r>
      <w:r>
        <w:rPr>
          <w:color w:val="auto"/>
          <w:highlight w:val="none"/>
        </w:rPr>
        <w:t>等树种</w:t>
      </w:r>
      <w:r>
        <w:rPr>
          <w:rFonts w:hint="eastAsia"/>
          <w:color w:val="auto"/>
          <w:highlight w:val="none"/>
        </w:rPr>
        <w:t>；充分发挥山地优势。经访问，项目评价区内人类耕作强度不大，经济果园及中草药种植并不突出。</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）主要植被群落生物量</w:t>
      </w:r>
    </w:p>
    <w:p>
      <w:pPr>
        <w:bidi w:val="0"/>
        <w:rPr>
          <w:color w:val="auto"/>
          <w:highlight w:val="none"/>
        </w:rPr>
      </w:pPr>
      <w:r>
        <w:rPr>
          <w:color w:val="auto"/>
          <w:highlight w:val="none"/>
        </w:rPr>
        <w:t>植被生物量生产力代表一个地区主要植被类型年内的生长现状和潜力，是评价植被资源特征的主要指标之一。对森林群落生物量的测定，参考同等类型林分所测定的生物量的文献资料，估算调查区内自然林和人工林群落的生物量。采用的资料包括《中国森林生态系统的生物量和生产力》和《四川森林》、冯宗炜等著《中国森林生态系统的生物量和生产力》等调查报告或权威专著，并参考相应的学术论文与专著所推荐的方法作类比分析，引用相应的学术论文报道中各树种的生长关系式来估算调查区内主要植被类型的生物量生产力。</w:t>
      </w:r>
    </w:p>
    <w:p>
      <w:pPr>
        <w:bidi w:val="0"/>
        <w:rPr>
          <w:rFonts w:eastAsia="华文仿宋"/>
          <w:color w:val="auto"/>
          <w:highlight w:val="none"/>
        </w:rPr>
      </w:pPr>
      <w:r>
        <w:rPr>
          <w:color w:val="auto"/>
          <w:highlight w:val="none"/>
        </w:rPr>
        <w:t>根据调查区内的主要植被类型及组成情况，结合实地调查结果，调查区内植被生物量测算分析结果如下：</w:t>
      </w:r>
    </w:p>
    <w:p>
      <w:pPr>
        <w:pStyle w:val="22"/>
        <w:bidi w:val="0"/>
        <w:rPr>
          <w:color w:val="auto"/>
          <w:highlight w:val="none"/>
        </w:rPr>
      </w:pPr>
      <w:r>
        <w:rPr>
          <w:rFonts w:hint="eastAsia"/>
          <w:color w:val="auto"/>
          <w:highlight w:val="none"/>
        </w:rPr>
        <w:t>表</w:t>
      </w:r>
      <w:r>
        <w:rPr>
          <w:rFonts w:hint="eastAsia"/>
          <w:color w:val="auto"/>
          <w:highlight w:val="none"/>
          <w:lang w:val="en-US" w:eastAsia="zh-CN"/>
        </w:rPr>
        <w:t xml:space="preserve">3.2-  </w:t>
      </w:r>
      <w:r>
        <w:rPr>
          <w:rFonts w:hint="eastAsia"/>
          <w:color w:val="auto"/>
          <w:highlight w:val="none"/>
        </w:rPr>
        <w:t>调查区内主要植被类型生物量一览表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2574"/>
        <w:gridCol w:w="3150"/>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540" w:type="pct"/>
            <w:shd w:val="clear" w:color="auto" w:fill="auto"/>
            <w:vAlign w:val="center"/>
          </w:tcPr>
          <w:p>
            <w:pPr>
              <w:pStyle w:val="22"/>
              <w:bidi w:val="0"/>
              <w:rPr>
                <w:color w:val="auto"/>
                <w:highlight w:val="none"/>
              </w:rPr>
            </w:pPr>
            <w:r>
              <w:rPr>
                <w:color w:val="auto"/>
                <w:highlight w:val="none"/>
              </w:rPr>
              <w:t>序号</w:t>
            </w:r>
          </w:p>
        </w:tc>
        <w:tc>
          <w:tcPr>
            <w:tcW w:w="1337" w:type="pct"/>
            <w:shd w:val="clear" w:color="auto" w:fill="auto"/>
            <w:vAlign w:val="center"/>
          </w:tcPr>
          <w:p>
            <w:pPr>
              <w:pStyle w:val="22"/>
              <w:bidi w:val="0"/>
              <w:rPr>
                <w:color w:val="auto"/>
                <w:highlight w:val="none"/>
              </w:rPr>
            </w:pPr>
            <w:r>
              <w:rPr>
                <w:color w:val="auto"/>
                <w:highlight w:val="none"/>
              </w:rPr>
              <w:t>植被类型</w:t>
            </w:r>
          </w:p>
        </w:tc>
        <w:tc>
          <w:tcPr>
            <w:tcW w:w="1636" w:type="pct"/>
            <w:shd w:val="clear" w:color="auto" w:fill="auto"/>
            <w:vAlign w:val="center"/>
          </w:tcPr>
          <w:p>
            <w:pPr>
              <w:pStyle w:val="22"/>
              <w:bidi w:val="0"/>
              <w:rPr>
                <w:color w:val="auto"/>
                <w:highlight w:val="none"/>
              </w:rPr>
            </w:pPr>
            <w:r>
              <w:rPr>
                <w:color w:val="auto"/>
                <w:highlight w:val="none"/>
              </w:rPr>
              <w:t>蓄积量（m</w:t>
            </w:r>
            <w:r>
              <w:rPr>
                <w:color w:val="auto"/>
                <w:highlight w:val="none"/>
                <w:vertAlign w:val="superscript"/>
              </w:rPr>
              <w:t>3</w:t>
            </w:r>
            <w:r>
              <w:rPr>
                <w:color w:val="auto"/>
                <w:highlight w:val="none"/>
              </w:rPr>
              <w:t>/hm</w:t>
            </w:r>
            <w:r>
              <w:rPr>
                <w:color w:val="auto"/>
                <w:highlight w:val="none"/>
                <w:vertAlign w:val="superscript"/>
              </w:rPr>
              <w:t>2</w:t>
            </w:r>
            <w:r>
              <w:rPr>
                <w:color w:val="auto"/>
                <w:highlight w:val="none"/>
              </w:rPr>
              <w:t>）</w:t>
            </w:r>
          </w:p>
        </w:tc>
        <w:tc>
          <w:tcPr>
            <w:tcW w:w="1487" w:type="pct"/>
            <w:shd w:val="clear" w:color="auto" w:fill="auto"/>
            <w:vAlign w:val="center"/>
          </w:tcPr>
          <w:p>
            <w:pPr>
              <w:pStyle w:val="22"/>
              <w:bidi w:val="0"/>
              <w:rPr>
                <w:color w:val="auto"/>
                <w:highlight w:val="none"/>
              </w:rPr>
            </w:pPr>
            <w:r>
              <w:rPr>
                <w:color w:val="auto"/>
                <w:highlight w:val="none"/>
              </w:rPr>
              <w:t>生物量（t/hm</w:t>
            </w:r>
            <w:r>
              <w:rPr>
                <w:color w:val="auto"/>
                <w:highlight w:val="none"/>
                <w:vertAlign w:val="superscript"/>
              </w:rPr>
              <w:t>2</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color w:val="auto"/>
                <w:highlight w:val="none"/>
              </w:rPr>
              <w:t>1</w:t>
            </w:r>
          </w:p>
        </w:tc>
        <w:tc>
          <w:tcPr>
            <w:tcW w:w="1337" w:type="pct"/>
            <w:shd w:val="clear" w:color="auto" w:fill="auto"/>
            <w:vAlign w:val="center"/>
          </w:tcPr>
          <w:p>
            <w:pPr>
              <w:pStyle w:val="22"/>
              <w:bidi w:val="0"/>
              <w:rPr>
                <w:color w:val="auto"/>
                <w:highlight w:val="none"/>
              </w:rPr>
            </w:pPr>
            <w:r>
              <w:rPr>
                <w:color w:val="auto"/>
                <w:highlight w:val="none"/>
              </w:rPr>
              <w:t>马尾松林</w:t>
            </w:r>
          </w:p>
        </w:tc>
        <w:tc>
          <w:tcPr>
            <w:tcW w:w="1636" w:type="pct"/>
            <w:shd w:val="clear" w:color="auto" w:fill="auto"/>
            <w:vAlign w:val="center"/>
          </w:tcPr>
          <w:p>
            <w:pPr>
              <w:pStyle w:val="22"/>
              <w:bidi w:val="0"/>
              <w:rPr>
                <w:color w:val="auto"/>
                <w:highlight w:val="none"/>
              </w:rPr>
            </w:pPr>
            <w:r>
              <w:rPr>
                <w:color w:val="auto"/>
                <w:highlight w:val="none"/>
              </w:rPr>
              <w:t>296.4</w:t>
            </w:r>
          </w:p>
        </w:tc>
        <w:tc>
          <w:tcPr>
            <w:tcW w:w="1487" w:type="pct"/>
            <w:shd w:val="clear" w:color="auto" w:fill="auto"/>
            <w:vAlign w:val="center"/>
          </w:tcPr>
          <w:p>
            <w:pPr>
              <w:pStyle w:val="22"/>
              <w:bidi w:val="0"/>
              <w:rPr>
                <w:color w:val="auto"/>
                <w:highlight w:val="none"/>
              </w:rPr>
            </w:pPr>
            <w:r>
              <w:rPr>
                <w:color w:val="auto"/>
                <w:highlight w:val="none"/>
              </w:rPr>
              <w:t>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color w:val="auto"/>
                <w:highlight w:val="none"/>
              </w:rPr>
              <w:t>2</w:t>
            </w:r>
          </w:p>
        </w:tc>
        <w:tc>
          <w:tcPr>
            <w:tcW w:w="1337" w:type="pct"/>
            <w:shd w:val="clear" w:color="auto" w:fill="auto"/>
            <w:vAlign w:val="center"/>
          </w:tcPr>
          <w:p>
            <w:pPr>
              <w:pStyle w:val="22"/>
              <w:bidi w:val="0"/>
              <w:rPr>
                <w:color w:val="auto"/>
                <w:highlight w:val="none"/>
              </w:rPr>
            </w:pPr>
            <w:r>
              <w:rPr>
                <w:color w:val="auto"/>
                <w:highlight w:val="none"/>
              </w:rPr>
              <w:t>柏木林</w:t>
            </w:r>
          </w:p>
        </w:tc>
        <w:tc>
          <w:tcPr>
            <w:tcW w:w="1636" w:type="pct"/>
            <w:shd w:val="clear" w:color="auto" w:fill="auto"/>
            <w:vAlign w:val="center"/>
          </w:tcPr>
          <w:p>
            <w:pPr>
              <w:pStyle w:val="22"/>
              <w:bidi w:val="0"/>
              <w:rPr>
                <w:color w:val="auto"/>
                <w:highlight w:val="none"/>
              </w:rPr>
            </w:pPr>
            <w:r>
              <w:rPr>
                <w:color w:val="auto"/>
                <w:highlight w:val="none"/>
              </w:rPr>
              <w:t>240.4</w:t>
            </w:r>
          </w:p>
        </w:tc>
        <w:tc>
          <w:tcPr>
            <w:tcW w:w="1487" w:type="pct"/>
            <w:shd w:val="clear" w:color="auto" w:fill="auto"/>
            <w:vAlign w:val="center"/>
          </w:tcPr>
          <w:p>
            <w:pPr>
              <w:pStyle w:val="22"/>
              <w:bidi w:val="0"/>
              <w:rPr>
                <w:color w:val="auto"/>
                <w:highlight w:val="none"/>
              </w:rPr>
            </w:pPr>
            <w:r>
              <w:rPr>
                <w:color w:val="auto"/>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color w:val="auto"/>
                <w:highlight w:val="none"/>
              </w:rPr>
              <w:t>3</w:t>
            </w:r>
          </w:p>
        </w:tc>
        <w:tc>
          <w:tcPr>
            <w:tcW w:w="1337" w:type="pct"/>
            <w:shd w:val="clear" w:color="auto" w:fill="auto"/>
            <w:vAlign w:val="center"/>
          </w:tcPr>
          <w:p>
            <w:pPr>
              <w:pStyle w:val="22"/>
              <w:bidi w:val="0"/>
              <w:rPr>
                <w:color w:val="auto"/>
                <w:highlight w:val="none"/>
              </w:rPr>
            </w:pPr>
            <w:r>
              <w:rPr>
                <w:color w:val="auto"/>
                <w:highlight w:val="none"/>
              </w:rPr>
              <w:t>杉木林</w:t>
            </w:r>
          </w:p>
        </w:tc>
        <w:tc>
          <w:tcPr>
            <w:tcW w:w="1636" w:type="pct"/>
            <w:shd w:val="clear" w:color="auto" w:fill="auto"/>
            <w:vAlign w:val="center"/>
          </w:tcPr>
          <w:p>
            <w:pPr>
              <w:pStyle w:val="22"/>
              <w:bidi w:val="0"/>
              <w:rPr>
                <w:color w:val="auto"/>
                <w:highlight w:val="none"/>
              </w:rPr>
            </w:pPr>
            <w:r>
              <w:rPr>
                <w:color w:val="auto"/>
                <w:highlight w:val="none"/>
              </w:rPr>
              <w:t>260.5</w:t>
            </w:r>
          </w:p>
        </w:tc>
        <w:tc>
          <w:tcPr>
            <w:tcW w:w="1487" w:type="pct"/>
            <w:shd w:val="clear" w:color="auto" w:fill="auto"/>
            <w:vAlign w:val="center"/>
          </w:tcPr>
          <w:p>
            <w:pPr>
              <w:pStyle w:val="22"/>
              <w:bidi w:val="0"/>
              <w:rPr>
                <w:color w:val="auto"/>
                <w:highlight w:val="none"/>
              </w:rPr>
            </w:pPr>
            <w:r>
              <w:rPr>
                <w:color w:val="auto"/>
                <w:highlight w:val="none"/>
              </w:rPr>
              <w:t>148.5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4</w:t>
            </w:r>
          </w:p>
        </w:tc>
        <w:tc>
          <w:tcPr>
            <w:tcW w:w="1337" w:type="pct"/>
            <w:shd w:val="clear" w:color="auto" w:fill="auto"/>
            <w:vAlign w:val="center"/>
          </w:tcPr>
          <w:p>
            <w:pPr>
              <w:pStyle w:val="22"/>
              <w:bidi w:val="0"/>
              <w:rPr>
                <w:color w:val="auto"/>
                <w:highlight w:val="none"/>
              </w:rPr>
            </w:pPr>
            <w:r>
              <w:rPr>
                <w:color w:val="auto"/>
                <w:highlight w:val="none"/>
              </w:rPr>
              <w:t>化香树林</w:t>
            </w:r>
          </w:p>
        </w:tc>
        <w:tc>
          <w:tcPr>
            <w:tcW w:w="1636" w:type="pct"/>
            <w:shd w:val="clear" w:color="auto" w:fill="auto"/>
            <w:vAlign w:val="center"/>
          </w:tcPr>
          <w:p>
            <w:pPr>
              <w:pStyle w:val="22"/>
              <w:bidi w:val="0"/>
              <w:rPr>
                <w:color w:val="auto"/>
                <w:highlight w:val="none"/>
              </w:rPr>
            </w:pPr>
            <w:r>
              <w:rPr>
                <w:color w:val="auto"/>
                <w:highlight w:val="none"/>
              </w:rPr>
              <w:t>120</w:t>
            </w:r>
          </w:p>
        </w:tc>
        <w:tc>
          <w:tcPr>
            <w:tcW w:w="1487" w:type="pct"/>
            <w:shd w:val="clear" w:color="auto" w:fill="auto"/>
            <w:vAlign w:val="center"/>
          </w:tcPr>
          <w:p>
            <w:pPr>
              <w:pStyle w:val="22"/>
              <w:bidi w:val="0"/>
              <w:rPr>
                <w:color w:val="auto"/>
                <w:highlight w:val="none"/>
              </w:rPr>
            </w:pPr>
            <w:r>
              <w:rPr>
                <w:color w:val="auto"/>
                <w:highlight w:val="none"/>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5</w:t>
            </w:r>
          </w:p>
        </w:tc>
        <w:tc>
          <w:tcPr>
            <w:tcW w:w="1337" w:type="pct"/>
            <w:shd w:val="clear" w:color="auto" w:fill="auto"/>
            <w:vAlign w:val="center"/>
          </w:tcPr>
          <w:p>
            <w:pPr>
              <w:pStyle w:val="22"/>
              <w:bidi w:val="0"/>
              <w:rPr>
                <w:color w:val="auto"/>
                <w:highlight w:val="none"/>
              </w:rPr>
            </w:pPr>
            <w:r>
              <w:rPr>
                <w:color w:val="auto"/>
                <w:highlight w:val="none"/>
              </w:rPr>
              <w:t>青冈林</w:t>
            </w:r>
          </w:p>
        </w:tc>
        <w:tc>
          <w:tcPr>
            <w:tcW w:w="1636" w:type="pct"/>
            <w:shd w:val="clear" w:color="auto" w:fill="auto"/>
            <w:vAlign w:val="center"/>
          </w:tcPr>
          <w:p>
            <w:pPr>
              <w:pStyle w:val="22"/>
              <w:bidi w:val="0"/>
              <w:rPr>
                <w:color w:val="auto"/>
                <w:highlight w:val="none"/>
              </w:rPr>
            </w:pPr>
            <w:r>
              <w:rPr>
                <w:color w:val="auto"/>
                <w:highlight w:val="none"/>
              </w:rPr>
              <w:t>180.4</w:t>
            </w:r>
          </w:p>
        </w:tc>
        <w:tc>
          <w:tcPr>
            <w:tcW w:w="1487" w:type="pct"/>
            <w:shd w:val="clear" w:color="auto" w:fill="auto"/>
            <w:vAlign w:val="center"/>
          </w:tcPr>
          <w:p>
            <w:pPr>
              <w:pStyle w:val="22"/>
              <w:bidi w:val="0"/>
              <w:rPr>
                <w:color w:val="auto"/>
                <w:highlight w:val="none"/>
              </w:rPr>
            </w:pPr>
            <w:r>
              <w:rPr>
                <w:rFonts w:hint="eastAsia"/>
                <w:color w:val="auto"/>
                <w:highlight w:val="none"/>
              </w:rPr>
              <w:t>9</w:t>
            </w:r>
            <w:r>
              <w:rPr>
                <w:color w:val="auto"/>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6</w:t>
            </w:r>
          </w:p>
        </w:tc>
        <w:tc>
          <w:tcPr>
            <w:tcW w:w="1337" w:type="pct"/>
            <w:shd w:val="clear" w:color="auto" w:fill="auto"/>
            <w:vAlign w:val="center"/>
          </w:tcPr>
          <w:p>
            <w:pPr>
              <w:pStyle w:val="22"/>
              <w:bidi w:val="0"/>
              <w:rPr>
                <w:color w:val="auto"/>
                <w:highlight w:val="none"/>
              </w:rPr>
            </w:pPr>
            <w:r>
              <w:rPr>
                <w:color w:val="auto"/>
                <w:highlight w:val="none"/>
              </w:rPr>
              <w:t>竹林</w:t>
            </w:r>
          </w:p>
        </w:tc>
        <w:tc>
          <w:tcPr>
            <w:tcW w:w="1636" w:type="pct"/>
            <w:shd w:val="clear" w:color="auto" w:fill="auto"/>
            <w:vAlign w:val="center"/>
          </w:tcPr>
          <w:p>
            <w:pPr>
              <w:pStyle w:val="22"/>
              <w:bidi w:val="0"/>
              <w:rPr>
                <w:color w:val="auto"/>
                <w:highlight w:val="none"/>
              </w:rPr>
            </w:pPr>
            <w:r>
              <w:rPr>
                <w:color w:val="auto"/>
                <w:highlight w:val="none"/>
              </w:rPr>
              <w:t>　</w:t>
            </w:r>
          </w:p>
        </w:tc>
        <w:tc>
          <w:tcPr>
            <w:tcW w:w="1487" w:type="pct"/>
            <w:shd w:val="clear" w:color="auto" w:fill="auto"/>
            <w:vAlign w:val="center"/>
          </w:tcPr>
          <w:p>
            <w:pPr>
              <w:pStyle w:val="22"/>
              <w:bidi w:val="0"/>
              <w:rPr>
                <w:color w:val="auto"/>
                <w:highlight w:val="none"/>
              </w:rPr>
            </w:pPr>
            <w:r>
              <w:rPr>
                <w:color w:val="auto"/>
                <w:highlight w:val="none"/>
              </w:rPr>
              <w:t>170.4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7</w:t>
            </w:r>
          </w:p>
        </w:tc>
        <w:tc>
          <w:tcPr>
            <w:tcW w:w="1337" w:type="pct"/>
            <w:shd w:val="clear" w:color="auto" w:fill="auto"/>
            <w:vAlign w:val="center"/>
          </w:tcPr>
          <w:p>
            <w:pPr>
              <w:pStyle w:val="22"/>
              <w:bidi w:val="0"/>
              <w:rPr>
                <w:color w:val="auto"/>
                <w:highlight w:val="none"/>
              </w:rPr>
            </w:pPr>
            <w:r>
              <w:rPr>
                <w:color w:val="auto"/>
                <w:highlight w:val="none"/>
              </w:rPr>
              <w:t>蔷薇灌丛</w:t>
            </w:r>
          </w:p>
        </w:tc>
        <w:tc>
          <w:tcPr>
            <w:tcW w:w="1636" w:type="pct"/>
            <w:shd w:val="clear" w:color="auto" w:fill="auto"/>
            <w:vAlign w:val="center"/>
          </w:tcPr>
          <w:p>
            <w:pPr>
              <w:pStyle w:val="22"/>
              <w:bidi w:val="0"/>
              <w:rPr>
                <w:color w:val="auto"/>
                <w:highlight w:val="none"/>
              </w:rPr>
            </w:pPr>
            <w:r>
              <w:rPr>
                <w:color w:val="auto"/>
                <w:highlight w:val="none"/>
              </w:rPr>
              <w:t>　</w:t>
            </w:r>
          </w:p>
        </w:tc>
        <w:tc>
          <w:tcPr>
            <w:tcW w:w="1487" w:type="pct"/>
            <w:shd w:val="clear" w:color="auto" w:fill="auto"/>
            <w:vAlign w:val="center"/>
          </w:tcPr>
          <w:p>
            <w:pPr>
              <w:pStyle w:val="22"/>
              <w:bidi w:val="0"/>
              <w:rPr>
                <w:color w:val="auto"/>
                <w:highlight w:val="none"/>
              </w:rPr>
            </w:pPr>
            <w:r>
              <w:rPr>
                <w:color w:val="auto"/>
                <w:highlight w:val="none"/>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8</w:t>
            </w:r>
          </w:p>
        </w:tc>
        <w:tc>
          <w:tcPr>
            <w:tcW w:w="1337" w:type="pct"/>
            <w:shd w:val="clear" w:color="auto" w:fill="auto"/>
            <w:vAlign w:val="center"/>
          </w:tcPr>
          <w:p>
            <w:pPr>
              <w:pStyle w:val="22"/>
              <w:bidi w:val="0"/>
              <w:rPr>
                <w:color w:val="auto"/>
                <w:highlight w:val="none"/>
              </w:rPr>
            </w:pPr>
            <w:r>
              <w:rPr>
                <w:color w:val="auto"/>
                <w:highlight w:val="none"/>
              </w:rPr>
              <w:t>马桑-火棘灌丛</w:t>
            </w:r>
          </w:p>
        </w:tc>
        <w:tc>
          <w:tcPr>
            <w:tcW w:w="1636" w:type="pct"/>
            <w:shd w:val="clear" w:color="auto" w:fill="auto"/>
            <w:vAlign w:val="center"/>
          </w:tcPr>
          <w:p>
            <w:pPr>
              <w:pStyle w:val="22"/>
              <w:bidi w:val="0"/>
              <w:rPr>
                <w:color w:val="auto"/>
                <w:highlight w:val="none"/>
              </w:rPr>
            </w:pPr>
            <w:r>
              <w:rPr>
                <w:color w:val="auto"/>
                <w:highlight w:val="none"/>
              </w:rPr>
              <w:t>　</w:t>
            </w:r>
          </w:p>
        </w:tc>
        <w:tc>
          <w:tcPr>
            <w:tcW w:w="1487" w:type="pct"/>
            <w:shd w:val="clear" w:color="auto" w:fill="auto"/>
            <w:vAlign w:val="center"/>
          </w:tcPr>
          <w:p>
            <w:pPr>
              <w:pStyle w:val="22"/>
              <w:bidi w:val="0"/>
              <w:rPr>
                <w:color w:val="auto"/>
                <w:highlight w:val="none"/>
              </w:rPr>
            </w:pPr>
            <w:r>
              <w:rPr>
                <w:color w:val="auto"/>
                <w:highlight w:val="none"/>
              </w:rPr>
              <w:t>30.18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9</w:t>
            </w:r>
          </w:p>
        </w:tc>
        <w:tc>
          <w:tcPr>
            <w:tcW w:w="1337" w:type="pct"/>
            <w:shd w:val="clear" w:color="auto" w:fill="auto"/>
            <w:vAlign w:val="center"/>
          </w:tcPr>
          <w:p>
            <w:pPr>
              <w:pStyle w:val="22"/>
              <w:bidi w:val="0"/>
              <w:rPr>
                <w:color w:val="auto"/>
                <w:highlight w:val="none"/>
              </w:rPr>
            </w:pPr>
            <w:r>
              <w:rPr>
                <w:color w:val="auto"/>
                <w:highlight w:val="none"/>
              </w:rPr>
              <w:t>丝茅草丛</w:t>
            </w:r>
          </w:p>
        </w:tc>
        <w:tc>
          <w:tcPr>
            <w:tcW w:w="1636" w:type="pct"/>
            <w:shd w:val="clear" w:color="auto" w:fill="auto"/>
            <w:vAlign w:val="center"/>
          </w:tcPr>
          <w:p>
            <w:pPr>
              <w:pStyle w:val="22"/>
              <w:bidi w:val="0"/>
              <w:rPr>
                <w:color w:val="auto"/>
                <w:highlight w:val="none"/>
              </w:rPr>
            </w:pPr>
            <w:r>
              <w:rPr>
                <w:color w:val="auto"/>
                <w:highlight w:val="none"/>
              </w:rPr>
              <w:t>　</w:t>
            </w:r>
          </w:p>
        </w:tc>
        <w:tc>
          <w:tcPr>
            <w:tcW w:w="1487" w:type="pct"/>
            <w:shd w:val="clear" w:color="auto" w:fill="auto"/>
            <w:vAlign w:val="center"/>
          </w:tcPr>
          <w:p>
            <w:pPr>
              <w:pStyle w:val="22"/>
              <w:bidi w:val="0"/>
              <w:rPr>
                <w:color w:val="auto"/>
                <w:highlight w:val="none"/>
              </w:rPr>
            </w:pPr>
            <w:r>
              <w:rPr>
                <w:color w:val="auto"/>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0" w:type="pct"/>
            <w:shd w:val="clear" w:color="auto" w:fill="auto"/>
            <w:vAlign w:val="center"/>
          </w:tcPr>
          <w:p>
            <w:pPr>
              <w:pStyle w:val="22"/>
              <w:bidi w:val="0"/>
              <w:rPr>
                <w:color w:val="auto"/>
                <w:highlight w:val="none"/>
              </w:rPr>
            </w:pPr>
            <w:r>
              <w:rPr>
                <w:rFonts w:hint="eastAsia"/>
                <w:color w:val="auto"/>
                <w:highlight w:val="none"/>
              </w:rPr>
              <w:t>1</w:t>
            </w:r>
            <w:r>
              <w:rPr>
                <w:color w:val="auto"/>
                <w:highlight w:val="none"/>
              </w:rPr>
              <w:t>0</w:t>
            </w:r>
          </w:p>
        </w:tc>
        <w:tc>
          <w:tcPr>
            <w:tcW w:w="1337" w:type="pct"/>
            <w:shd w:val="clear" w:color="auto" w:fill="auto"/>
            <w:vAlign w:val="center"/>
          </w:tcPr>
          <w:p>
            <w:pPr>
              <w:pStyle w:val="22"/>
              <w:bidi w:val="0"/>
              <w:rPr>
                <w:color w:val="auto"/>
                <w:highlight w:val="none"/>
              </w:rPr>
            </w:pPr>
            <w:r>
              <w:rPr>
                <w:color w:val="auto"/>
                <w:highlight w:val="none"/>
              </w:rPr>
              <w:t>蕨草从</w:t>
            </w:r>
          </w:p>
        </w:tc>
        <w:tc>
          <w:tcPr>
            <w:tcW w:w="1636" w:type="pct"/>
            <w:shd w:val="clear" w:color="auto" w:fill="auto"/>
            <w:vAlign w:val="center"/>
          </w:tcPr>
          <w:p>
            <w:pPr>
              <w:pStyle w:val="22"/>
              <w:bidi w:val="0"/>
              <w:rPr>
                <w:color w:val="auto"/>
                <w:highlight w:val="none"/>
              </w:rPr>
            </w:pPr>
            <w:r>
              <w:rPr>
                <w:color w:val="auto"/>
                <w:highlight w:val="none"/>
              </w:rPr>
              <w:t>　</w:t>
            </w:r>
          </w:p>
        </w:tc>
        <w:tc>
          <w:tcPr>
            <w:tcW w:w="1487" w:type="pct"/>
            <w:shd w:val="clear" w:color="auto" w:fill="auto"/>
            <w:vAlign w:val="center"/>
          </w:tcPr>
          <w:p>
            <w:pPr>
              <w:pStyle w:val="22"/>
              <w:bidi w:val="0"/>
              <w:rPr>
                <w:color w:val="auto"/>
                <w:highlight w:val="none"/>
              </w:rPr>
            </w:pPr>
            <w:r>
              <w:rPr>
                <w:color w:val="auto"/>
                <w:highlight w:val="none"/>
              </w:rPr>
              <w:t>4.2</w:t>
            </w:r>
          </w:p>
        </w:tc>
      </w:tr>
    </w:tbl>
    <w:p>
      <w:pPr>
        <w:bidi w:val="0"/>
        <w:rPr>
          <w:rFonts w:hint="eastAsia"/>
          <w:color w:val="auto"/>
          <w:highlight w:val="none"/>
          <w:lang w:eastAsia="zh-CN"/>
        </w:rPr>
      </w:pPr>
    </w:p>
    <w:p>
      <w:pPr>
        <w:pStyle w:val="7"/>
        <w:numPr>
          <w:ilvl w:val="0"/>
          <w:numId w:val="0"/>
        </w:numPr>
        <w:bidi w:val="0"/>
        <w:ind w:leftChars="0" w:right="0" w:rightChars="0"/>
        <w:rPr>
          <w:color w:val="auto"/>
          <w:highlight w:val="none"/>
        </w:rPr>
      </w:pPr>
      <w:r>
        <w:rPr>
          <w:rFonts w:hint="eastAsia"/>
          <w:color w:val="auto"/>
          <w:highlight w:val="none"/>
          <w:lang w:val="en-US" w:eastAsia="zh-CN"/>
        </w:rPr>
        <w:t>3.2.6.4 评价区陆生脊椎动物多样性现状</w:t>
      </w:r>
    </w:p>
    <w:p>
      <w:pPr>
        <w:bidi w:val="0"/>
        <w:rPr>
          <w:rFonts w:hint="eastAsia"/>
          <w:color w:val="auto"/>
          <w:highlight w:val="none"/>
          <w:lang w:eastAsia="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）项目评价区动物种类组成</w:t>
      </w:r>
    </w:p>
    <w:p>
      <w:pPr>
        <w:bidi w:val="0"/>
        <w:rPr>
          <w:color w:val="auto"/>
          <w:highlight w:val="none"/>
        </w:rPr>
      </w:pPr>
      <w:r>
        <w:rPr>
          <w:color w:val="auto"/>
          <w:highlight w:val="none"/>
        </w:rPr>
        <w:t>经实地调查及访问，并检索现有文献资料，初步统计</w:t>
      </w:r>
      <w:r>
        <w:rPr>
          <w:rFonts w:hint="eastAsia"/>
          <w:color w:val="auto"/>
          <w:highlight w:val="none"/>
        </w:rPr>
        <w:t>大竹县</w:t>
      </w:r>
      <w:r>
        <w:rPr>
          <w:color w:val="auto"/>
          <w:highlight w:val="none"/>
        </w:rPr>
        <w:t>煤炭矿区总体规划评价区内</w:t>
      </w:r>
      <w:r>
        <w:rPr>
          <w:rFonts w:hint="eastAsia"/>
          <w:color w:val="auto"/>
          <w:highlight w:val="none"/>
        </w:rPr>
        <w:t>陆生</w:t>
      </w:r>
      <w:r>
        <w:rPr>
          <w:color w:val="auto"/>
          <w:highlight w:val="none"/>
        </w:rPr>
        <w:t>脊椎动物种数计129种，分属于4纲22目67科，其中：两栖类1目4科9种、爬行类2目6科13种，鸟类13目38科88种，兽类6目9科19种。</w:t>
      </w:r>
    </w:p>
    <w:p>
      <w:pPr>
        <w:pStyle w:val="22"/>
        <w:bidi w:val="0"/>
        <w:rPr>
          <w:color w:val="auto"/>
          <w:highlight w:val="none"/>
        </w:rPr>
      </w:pPr>
      <w:r>
        <w:rPr>
          <w:color w:val="auto"/>
          <w:highlight w:val="none"/>
        </w:rPr>
        <w:t>表</w:t>
      </w:r>
      <w:r>
        <w:rPr>
          <w:rFonts w:hint="eastAsia"/>
          <w:color w:val="auto"/>
          <w:highlight w:val="none"/>
          <w:lang w:val="en-US" w:eastAsia="zh-CN"/>
        </w:rPr>
        <w:t xml:space="preserve">3.2- </w:t>
      </w:r>
      <w:r>
        <w:rPr>
          <w:rFonts w:hint="eastAsia"/>
          <w:color w:val="auto"/>
          <w:highlight w:val="none"/>
        </w:rPr>
        <w:t>项目调查</w:t>
      </w:r>
      <w:r>
        <w:rPr>
          <w:color w:val="auto"/>
          <w:highlight w:val="none"/>
        </w:rPr>
        <w:t>评价区</w:t>
      </w:r>
      <w:r>
        <w:rPr>
          <w:rFonts w:hint="eastAsia"/>
          <w:color w:val="auto"/>
          <w:highlight w:val="none"/>
        </w:rPr>
        <w:t>陆生</w:t>
      </w:r>
      <w:r>
        <w:rPr>
          <w:color w:val="auto"/>
          <w:highlight w:val="none"/>
        </w:rPr>
        <w:t>脊椎动物种类统计表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733"/>
        <w:gridCol w:w="872"/>
        <w:gridCol w:w="872"/>
        <w:gridCol w:w="1900"/>
        <w:gridCol w:w="1047"/>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6" w:type="pct"/>
            <w:shd w:val="clear" w:color="auto" w:fill="auto"/>
            <w:noWrap/>
            <w:vAlign w:val="center"/>
          </w:tcPr>
          <w:p>
            <w:pPr>
              <w:pStyle w:val="22"/>
              <w:bidi w:val="0"/>
              <w:rPr>
                <w:color w:val="auto"/>
                <w:highlight w:val="none"/>
              </w:rPr>
            </w:pPr>
            <w:r>
              <w:rPr>
                <w:color w:val="auto"/>
                <w:highlight w:val="none"/>
              </w:rPr>
              <w:t>序号</w:t>
            </w:r>
          </w:p>
        </w:tc>
        <w:tc>
          <w:tcPr>
            <w:tcW w:w="900" w:type="pct"/>
            <w:shd w:val="clear" w:color="auto" w:fill="auto"/>
            <w:noWrap/>
            <w:vAlign w:val="center"/>
          </w:tcPr>
          <w:p>
            <w:pPr>
              <w:pStyle w:val="22"/>
              <w:bidi w:val="0"/>
              <w:rPr>
                <w:color w:val="auto"/>
                <w:highlight w:val="none"/>
              </w:rPr>
            </w:pPr>
            <w:r>
              <w:rPr>
                <w:color w:val="auto"/>
                <w:highlight w:val="none"/>
              </w:rPr>
              <w:t>类别</w:t>
            </w:r>
          </w:p>
        </w:tc>
        <w:tc>
          <w:tcPr>
            <w:tcW w:w="453" w:type="pct"/>
            <w:shd w:val="clear" w:color="auto" w:fill="auto"/>
            <w:noWrap/>
            <w:vAlign w:val="center"/>
          </w:tcPr>
          <w:p>
            <w:pPr>
              <w:pStyle w:val="22"/>
              <w:bidi w:val="0"/>
              <w:rPr>
                <w:color w:val="auto"/>
                <w:highlight w:val="none"/>
              </w:rPr>
            </w:pPr>
            <w:r>
              <w:rPr>
                <w:color w:val="auto"/>
                <w:highlight w:val="none"/>
              </w:rPr>
              <w:t>目</w:t>
            </w:r>
          </w:p>
        </w:tc>
        <w:tc>
          <w:tcPr>
            <w:tcW w:w="453" w:type="pct"/>
            <w:shd w:val="clear" w:color="auto" w:fill="auto"/>
            <w:noWrap/>
            <w:vAlign w:val="center"/>
          </w:tcPr>
          <w:p>
            <w:pPr>
              <w:pStyle w:val="22"/>
              <w:bidi w:val="0"/>
              <w:rPr>
                <w:color w:val="auto"/>
                <w:highlight w:val="none"/>
              </w:rPr>
            </w:pPr>
            <w:r>
              <w:rPr>
                <w:color w:val="auto"/>
                <w:highlight w:val="none"/>
              </w:rPr>
              <w:t>科</w:t>
            </w:r>
          </w:p>
        </w:tc>
        <w:tc>
          <w:tcPr>
            <w:tcW w:w="987" w:type="pct"/>
            <w:shd w:val="clear" w:color="auto" w:fill="auto"/>
            <w:noWrap/>
            <w:vAlign w:val="center"/>
          </w:tcPr>
          <w:p>
            <w:pPr>
              <w:pStyle w:val="22"/>
              <w:bidi w:val="0"/>
              <w:rPr>
                <w:color w:val="auto"/>
                <w:highlight w:val="none"/>
              </w:rPr>
            </w:pPr>
            <w:r>
              <w:rPr>
                <w:color w:val="auto"/>
                <w:highlight w:val="none"/>
              </w:rPr>
              <w:t>比例</w:t>
            </w:r>
          </w:p>
        </w:tc>
        <w:tc>
          <w:tcPr>
            <w:tcW w:w="544" w:type="pct"/>
            <w:shd w:val="clear" w:color="auto" w:fill="auto"/>
            <w:noWrap/>
            <w:vAlign w:val="center"/>
          </w:tcPr>
          <w:p>
            <w:pPr>
              <w:pStyle w:val="22"/>
              <w:bidi w:val="0"/>
              <w:rPr>
                <w:color w:val="auto"/>
                <w:highlight w:val="none"/>
              </w:rPr>
            </w:pPr>
            <w:r>
              <w:rPr>
                <w:color w:val="auto"/>
                <w:highlight w:val="none"/>
              </w:rPr>
              <w:t>种</w:t>
            </w:r>
          </w:p>
        </w:tc>
        <w:tc>
          <w:tcPr>
            <w:tcW w:w="987" w:type="pct"/>
            <w:shd w:val="clear" w:color="auto" w:fill="auto"/>
            <w:noWrap/>
            <w:vAlign w:val="center"/>
          </w:tcPr>
          <w:p>
            <w:pPr>
              <w:pStyle w:val="22"/>
              <w:bidi w:val="0"/>
              <w:rPr>
                <w:color w:val="auto"/>
                <w:highlight w:val="none"/>
              </w:rPr>
            </w:pPr>
            <w:r>
              <w:rPr>
                <w:color w:val="auto"/>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6" w:type="pct"/>
            <w:shd w:val="clear" w:color="auto" w:fill="auto"/>
            <w:noWrap/>
            <w:vAlign w:val="center"/>
          </w:tcPr>
          <w:p>
            <w:pPr>
              <w:pStyle w:val="22"/>
              <w:bidi w:val="0"/>
              <w:rPr>
                <w:color w:val="auto"/>
                <w:highlight w:val="none"/>
              </w:rPr>
            </w:pPr>
            <w:r>
              <w:rPr>
                <w:color w:val="auto"/>
                <w:highlight w:val="none"/>
              </w:rPr>
              <w:t>1</w:t>
            </w:r>
          </w:p>
        </w:tc>
        <w:tc>
          <w:tcPr>
            <w:tcW w:w="900" w:type="pct"/>
            <w:shd w:val="clear" w:color="auto" w:fill="auto"/>
            <w:noWrap/>
            <w:vAlign w:val="center"/>
          </w:tcPr>
          <w:p>
            <w:pPr>
              <w:pStyle w:val="22"/>
              <w:bidi w:val="0"/>
              <w:rPr>
                <w:color w:val="auto"/>
                <w:highlight w:val="none"/>
              </w:rPr>
            </w:pPr>
            <w:r>
              <w:rPr>
                <w:color w:val="auto"/>
                <w:highlight w:val="none"/>
              </w:rPr>
              <w:t>两栖类</w:t>
            </w:r>
          </w:p>
        </w:tc>
        <w:tc>
          <w:tcPr>
            <w:tcW w:w="453" w:type="pct"/>
            <w:shd w:val="clear" w:color="auto" w:fill="auto"/>
            <w:noWrap/>
            <w:vAlign w:val="center"/>
          </w:tcPr>
          <w:p>
            <w:pPr>
              <w:pStyle w:val="22"/>
              <w:bidi w:val="0"/>
              <w:rPr>
                <w:color w:val="auto"/>
                <w:highlight w:val="none"/>
              </w:rPr>
            </w:pPr>
            <w:r>
              <w:rPr>
                <w:color w:val="auto"/>
                <w:highlight w:val="none"/>
              </w:rPr>
              <w:t>1</w:t>
            </w:r>
          </w:p>
        </w:tc>
        <w:tc>
          <w:tcPr>
            <w:tcW w:w="453" w:type="pct"/>
            <w:shd w:val="clear" w:color="auto" w:fill="auto"/>
            <w:noWrap/>
            <w:vAlign w:val="center"/>
          </w:tcPr>
          <w:p>
            <w:pPr>
              <w:pStyle w:val="22"/>
              <w:bidi w:val="0"/>
              <w:rPr>
                <w:color w:val="auto"/>
                <w:highlight w:val="none"/>
              </w:rPr>
            </w:pPr>
            <w:r>
              <w:rPr>
                <w:rFonts w:hint="eastAsia"/>
                <w:color w:val="auto"/>
                <w:highlight w:val="none"/>
              </w:rPr>
              <w:t>4</w:t>
            </w:r>
          </w:p>
        </w:tc>
        <w:tc>
          <w:tcPr>
            <w:tcW w:w="987" w:type="pct"/>
            <w:shd w:val="clear" w:color="auto" w:fill="auto"/>
            <w:noWrap/>
            <w:vAlign w:val="center"/>
          </w:tcPr>
          <w:p>
            <w:pPr>
              <w:pStyle w:val="22"/>
              <w:bidi w:val="0"/>
              <w:rPr>
                <w:color w:val="auto"/>
                <w:highlight w:val="none"/>
              </w:rPr>
            </w:pPr>
            <w:r>
              <w:rPr>
                <w:rFonts w:hint="eastAsia"/>
                <w:color w:val="auto"/>
                <w:highlight w:val="none"/>
              </w:rPr>
              <w:t>7.02%</w:t>
            </w:r>
          </w:p>
        </w:tc>
        <w:tc>
          <w:tcPr>
            <w:tcW w:w="544" w:type="pct"/>
            <w:shd w:val="clear" w:color="auto" w:fill="auto"/>
            <w:noWrap/>
            <w:vAlign w:val="center"/>
          </w:tcPr>
          <w:p>
            <w:pPr>
              <w:pStyle w:val="22"/>
              <w:bidi w:val="0"/>
              <w:rPr>
                <w:color w:val="auto"/>
                <w:highlight w:val="none"/>
              </w:rPr>
            </w:pPr>
            <w:r>
              <w:rPr>
                <w:color w:val="auto"/>
                <w:highlight w:val="none"/>
              </w:rPr>
              <w:t>9</w:t>
            </w:r>
          </w:p>
        </w:tc>
        <w:tc>
          <w:tcPr>
            <w:tcW w:w="987" w:type="pct"/>
            <w:shd w:val="clear" w:color="auto" w:fill="auto"/>
            <w:noWrap/>
            <w:vAlign w:val="center"/>
          </w:tcPr>
          <w:p>
            <w:pPr>
              <w:pStyle w:val="22"/>
              <w:bidi w:val="0"/>
              <w:rPr>
                <w:color w:val="auto"/>
                <w:highlight w:val="none"/>
              </w:rPr>
            </w:pPr>
            <w:r>
              <w:rPr>
                <w:color w:val="auto"/>
                <w:highlight w:val="none"/>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6" w:type="pct"/>
            <w:shd w:val="clear" w:color="auto" w:fill="auto"/>
            <w:noWrap/>
            <w:vAlign w:val="center"/>
          </w:tcPr>
          <w:p>
            <w:pPr>
              <w:pStyle w:val="22"/>
              <w:bidi w:val="0"/>
              <w:rPr>
                <w:color w:val="auto"/>
                <w:highlight w:val="none"/>
              </w:rPr>
            </w:pPr>
            <w:r>
              <w:rPr>
                <w:color w:val="auto"/>
                <w:highlight w:val="none"/>
              </w:rPr>
              <w:t>2</w:t>
            </w:r>
          </w:p>
        </w:tc>
        <w:tc>
          <w:tcPr>
            <w:tcW w:w="900" w:type="pct"/>
            <w:shd w:val="clear" w:color="auto" w:fill="auto"/>
            <w:noWrap/>
            <w:vAlign w:val="center"/>
          </w:tcPr>
          <w:p>
            <w:pPr>
              <w:pStyle w:val="22"/>
              <w:bidi w:val="0"/>
              <w:rPr>
                <w:color w:val="auto"/>
                <w:highlight w:val="none"/>
              </w:rPr>
            </w:pPr>
            <w:r>
              <w:rPr>
                <w:color w:val="auto"/>
                <w:highlight w:val="none"/>
              </w:rPr>
              <w:t>爬行类</w:t>
            </w:r>
          </w:p>
        </w:tc>
        <w:tc>
          <w:tcPr>
            <w:tcW w:w="453" w:type="pct"/>
            <w:shd w:val="clear" w:color="auto" w:fill="auto"/>
            <w:noWrap/>
            <w:vAlign w:val="center"/>
          </w:tcPr>
          <w:p>
            <w:pPr>
              <w:pStyle w:val="22"/>
              <w:bidi w:val="0"/>
              <w:rPr>
                <w:color w:val="auto"/>
                <w:highlight w:val="none"/>
              </w:rPr>
            </w:pPr>
            <w:r>
              <w:rPr>
                <w:color w:val="auto"/>
                <w:highlight w:val="none"/>
              </w:rPr>
              <w:t>2</w:t>
            </w:r>
          </w:p>
        </w:tc>
        <w:tc>
          <w:tcPr>
            <w:tcW w:w="453" w:type="pct"/>
            <w:shd w:val="clear" w:color="auto" w:fill="auto"/>
            <w:noWrap/>
            <w:vAlign w:val="center"/>
          </w:tcPr>
          <w:p>
            <w:pPr>
              <w:pStyle w:val="22"/>
              <w:bidi w:val="0"/>
              <w:rPr>
                <w:color w:val="auto"/>
                <w:highlight w:val="none"/>
              </w:rPr>
            </w:pPr>
            <w:r>
              <w:rPr>
                <w:rFonts w:hint="eastAsia"/>
                <w:color w:val="auto"/>
                <w:highlight w:val="none"/>
              </w:rPr>
              <w:t>6</w:t>
            </w:r>
          </w:p>
        </w:tc>
        <w:tc>
          <w:tcPr>
            <w:tcW w:w="987" w:type="pct"/>
            <w:shd w:val="clear" w:color="auto" w:fill="auto"/>
            <w:noWrap/>
            <w:vAlign w:val="center"/>
          </w:tcPr>
          <w:p>
            <w:pPr>
              <w:pStyle w:val="22"/>
              <w:bidi w:val="0"/>
              <w:rPr>
                <w:color w:val="auto"/>
                <w:highlight w:val="none"/>
              </w:rPr>
            </w:pPr>
            <w:r>
              <w:rPr>
                <w:rFonts w:hint="eastAsia"/>
                <w:color w:val="auto"/>
                <w:highlight w:val="none"/>
              </w:rPr>
              <w:t>10.53%</w:t>
            </w:r>
          </w:p>
        </w:tc>
        <w:tc>
          <w:tcPr>
            <w:tcW w:w="544" w:type="pct"/>
            <w:shd w:val="clear" w:color="auto" w:fill="auto"/>
            <w:noWrap/>
            <w:vAlign w:val="center"/>
          </w:tcPr>
          <w:p>
            <w:pPr>
              <w:pStyle w:val="22"/>
              <w:bidi w:val="0"/>
              <w:rPr>
                <w:color w:val="auto"/>
                <w:highlight w:val="none"/>
              </w:rPr>
            </w:pPr>
            <w:r>
              <w:rPr>
                <w:color w:val="auto"/>
                <w:highlight w:val="none"/>
              </w:rPr>
              <w:t>13</w:t>
            </w:r>
          </w:p>
        </w:tc>
        <w:tc>
          <w:tcPr>
            <w:tcW w:w="987" w:type="pct"/>
            <w:shd w:val="clear" w:color="auto" w:fill="auto"/>
            <w:noWrap/>
            <w:vAlign w:val="center"/>
          </w:tcPr>
          <w:p>
            <w:pPr>
              <w:pStyle w:val="22"/>
              <w:bidi w:val="0"/>
              <w:rPr>
                <w:color w:val="auto"/>
                <w:highlight w:val="none"/>
              </w:rPr>
            </w:pPr>
            <w:r>
              <w:rPr>
                <w:color w:val="auto"/>
                <w:highlight w:val="none"/>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6" w:type="pct"/>
            <w:shd w:val="clear" w:color="auto" w:fill="auto"/>
            <w:noWrap/>
            <w:vAlign w:val="center"/>
          </w:tcPr>
          <w:p>
            <w:pPr>
              <w:pStyle w:val="22"/>
              <w:bidi w:val="0"/>
              <w:rPr>
                <w:color w:val="auto"/>
                <w:highlight w:val="none"/>
              </w:rPr>
            </w:pPr>
            <w:r>
              <w:rPr>
                <w:color w:val="auto"/>
                <w:highlight w:val="none"/>
              </w:rPr>
              <w:t>3</w:t>
            </w:r>
          </w:p>
        </w:tc>
        <w:tc>
          <w:tcPr>
            <w:tcW w:w="900" w:type="pct"/>
            <w:shd w:val="clear" w:color="auto" w:fill="auto"/>
            <w:noWrap/>
            <w:vAlign w:val="center"/>
          </w:tcPr>
          <w:p>
            <w:pPr>
              <w:pStyle w:val="22"/>
              <w:bidi w:val="0"/>
              <w:rPr>
                <w:color w:val="auto"/>
                <w:highlight w:val="none"/>
              </w:rPr>
            </w:pPr>
            <w:r>
              <w:rPr>
                <w:color w:val="auto"/>
                <w:highlight w:val="none"/>
              </w:rPr>
              <w:t>鸟类</w:t>
            </w:r>
          </w:p>
        </w:tc>
        <w:tc>
          <w:tcPr>
            <w:tcW w:w="453" w:type="pct"/>
            <w:shd w:val="clear" w:color="auto" w:fill="auto"/>
            <w:noWrap/>
            <w:vAlign w:val="center"/>
          </w:tcPr>
          <w:p>
            <w:pPr>
              <w:pStyle w:val="22"/>
              <w:bidi w:val="0"/>
              <w:rPr>
                <w:color w:val="auto"/>
                <w:highlight w:val="none"/>
              </w:rPr>
            </w:pPr>
            <w:r>
              <w:rPr>
                <w:color w:val="auto"/>
                <w:highlight w:val="none"/>
              </w:rPr>
              <w:t>13</w:t>
            </w:r>
          </w:p>
        </w:tc>
        <w:tc>
          <w:tcPr>
            <w:tcW w:w="453" w:type="pct"/>
            <w:shd w:val="clear" w:color="auto" w:fill="auto"/>
            <w:noWrap/>
            <w:vAlign w:val="center"/>
          </w:tcPr>
          <w:p>
            <w:pPr>
              <w:pStyle w:val="22"/>
              <w:bidi w:val="0"/>
              <w:rPr>
                <w:color w:val="auto"/>
                <w:highlight w:val="none"/>
              </w:rPr>
            </w:pPr>
            <w:r>
              <w:rPr>
                <w:rFonts w:hint="eastAsia"/>
                <w:color w:val="auto"/>
                <w:highlight w:val="none"/>
              </w:rPr>
              <w:t>38</w:t>
            </w:r>
          </w:p>
        </w:tc>
        <w:tc>
          <w:tcPr>
            <w:tcW w:w="987" w:type="pct"/>
            <w:shd w:val="clear" w:color="auto" w:fill="auto"/>
            <w:noWrap/>
            <w:vAlign w:val="center"/>
          </w:tcPr>
          <w:p>
            <w:pPr>
              <w:pStyle w:val="22"/>
              <w:bidi w:val="0"/>
              <w:rPr>
                <w:color w:val="auto"/>
                <w:highlight w:val="none"/>
              </w:rPr>
            </w:pPr>
            <w:r>
              <w:rPr>
                <w:rFonts w:hint="eastAsia"/>
                <w:color w:val="auto"/>
                <w:highlight w:val="none"/>
              </w:rPr>
              <w:t>66.67%</w:t>
            </w:r>
          </w:p>
        </w:tc>
        <w:tc>
          <w:tcPr>
            <w:tcW w:w="544" w:type="pct"/>
            <w:shd w:val="clear" w:color="auto" w:fill="auto"/>
            <w:noWrap/>
            <w:vAlign w:val="center"/>
          </w:tcPr>
          <w:p>
            <w:pPr>
              <w:pStyle w:val="22"/>
              <w:bidi w:val="0"/>
              <w:rPr>
                <w:color w:val="auto"/>
                <w:highlight w:val="none"/>
              </w:rPr>
            </w:pPr>
            <w:r>
              <w:rPr>
                <w:color w:val="auto"/>
                <w:highlight w:val="none"/>
              </w:rPr>
              <w:t>88</w:t>
            </w:r>
          </w:p>
        </w:tc>
        <w:tc>
          <w:tcPr>
            <w:tcW w:w="987" w:type="pct"/>
            <w:shd w:val="clear" w:color="auto" w:fill="auto"/>
            <w:noWrap/>
            <w:vAlign w:val="center"/>
          </w:tcPr>
          <w:p>
            <w:pPr>
              <w:pStyle w:val="22"/>
              <w:bidi w:val="0"/>
              <w:rPr>
                <w:color w:val="auto"/>
                <w:highlight w:val="none"/>
              </w:rPr>
            </w:pPr>
            <w:r>
              <w:rPr>
                <w:color w:val="auto"/>
                <w:highlight w:val="none"/>
              </w:rPr>
              <w:t>68.22%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6" w:type="pct"/>
            <w:shd w:val="clear" w:color="auto" w:fill="auto"/>
            <w:noWrap/>
            <w:vAlign w:val="center"/>
          </w:tcPr>
          <w:p>
            <w:pPr>
              <w:pStyle w:val="22"/>
              <w:bidi w:val="0"/>
              <w:rPr>
                <w:color w:val="auto"/>
                <w:highlight w:val="none"/>
              </w:rPr>
            </w:pPr>
            <w:r>
              <w:rPr>
                <w:color w:val="auto"/>
                <w:highlight w:val="none"/>
              </w:rPr>
              <w:t>4</w:t>
            </w:r>
          </w:p>
        </w:tc>
        <w:tc>
          <w:tcPr>
            <w:tcW w:w="900" w:type="pct"/>
            <w:shd w:val="clear" w:color="auto" w:fill="auto"/>
            <w:noWrap/>
            <w:vAlign w:val="center"/>
          </w:tcPr>
          <w:p>
            <w:pPr>
              <w:pStyle w:val="22"/>
              <w:bidi w:val="0"/>
              <w:rPr>
                <w:color w:val="auto"/>
                <w:highlight w:val="none"/>
              </w:rPr>
            </w:pPr>
            <w:r>
              <w:rPr>
                <w:color w:val="auto"/>
                <w:highlight w:val="none"/>
              </w:rPr>
              <w:t>兽类</w:t>
            </w:r>
          </w:p>
        </w:tc>
        <w:tc>
          <w:tcPr>
            <w:tcW w:w="453" w:type="pct"/>
            <w:shd w:val="clear" w:color="auto" w:fill="auto"/>
            <w:noWrap/>
            <w:vAlign w:val="center"/>
          </w:tcPr>
          <w:p>
            <w:pPr>
              <w:pStyle w:val="22"/>
              <w:bidi w:val="0"/>
              <w:rPr>
                <w:color w:val="auto"/>
                <w:highlight w:val="none"/>
              </w:rPr>
            </w:pPr>
            <w:r>
              <w:rPr>
                <w:color w:val="auto"/>
                <w:highlight w:val="none"/>
              </w:rPr>
              <w:t>6</w:t>
            </w:r>
          </w:p>
        </w:tc>
        <w:tc>
          <w:tcPr>
            <w:tcW w:w="453" w:type="pct"/>
            <w:shd w:val="clear" w:color="auto" w:fill="auto"/>
            <w:noWrap/>
            <w:vAlign w:val="center"/>
          </w:tcPr>
          <w:p>
            <w:pPr>
              <w:pStyle w:val="22"/>
              <w:bidi w:val="0"/>
              <w:rPr>
                <w:color w:val="auto"/>
                <w:highlight w:val="none"/>
              </w:rPr>
            </w:pPr>
            <w:r>
              <w:rPr>
                <w:rFonts w:hint="eastAsia"/>
                <w:color w:val="auto"/>
                <w:highlight w:val="none"/>
              </w:rPr>
              <w:t>9</w:t>
            </w:r>
          </w:p>
        </w:tc>
        <w:tc>
          <w:tcPr>
            <w:tcW w:w="987" w:type="pct"/>
            <w:shd w:val="clear" w:color="auto" w:fill="auto"/>
            <w:noWrap/>
            <w:vAlign w:val="center"/>
          </w:tcPr>
          <w:p>
            <w:pPr>
              <w:pStyle w:val="22"/>
              <w:bidi w:val="0"/>
              <w:rPr>
                <w:color w:val="auto"/>
                <w:highlight w:val="none"/>
              </w:rPr>
            </w:pPr>
            <w:r>
              <w:rPr>
                <w:rFonts w:hint="eastAsia"/>
                <w:color w:val="auto"/>
                <w:highlight w:val="none"/>
              </w:rPr>
              <w:t>15.79%</w:t>
            </w:r>
          </w:p>
        </w:tc>
        <w:tc>
          <w:tcPr>
            <w:tcW w:w="544" w:type="pct"/>
            <w:shd w:val="clear" w:color="auto" w:fill="auto"/>
            <w:noWrap/>
            <w:vAlign w:val="center"/>
          </w:tcPr>
          <w:p>
            <w:pPr>
              <w:pStyle w:val="22"/>
              <w:bidi w:val="0"/>
              <w:rPr>
                <w:color w:val="auto"/>
                <w:highlight w:val="none"/>
              </w:rPr>
            </w:pPr>
            <w:r>
              <w:rPr>
                <w:color w:val="auto"/>
                <w:highlight w:val="none"/>
              </w:rPr>
              <w:t>19</w:t>
            </w:r>
          </w:p>
        </w:tc>
        <w:tc>
          <w:tcPr>
            <w:tcW w:w="987" w:type="pct"/>
            <w:shd w:val="clear" w:color="auto" w:fill="auto"/>
            <w:noWrap/>
            <w:vAlign w:val="center"/>
          </w:tcPr>
          <w:p>
            <w:pPr>
              <w:pStyle w:val="22"/>
              <w:bidi w:val="0"/>
              <w:rPr>
                <w:color w:val="auto"/>
                <w:highlight w:val="none"/>
              </w:rPr>
            </w:pPr>
            <w:r>
              <w:rPr>
                <w:color w:val="auto"/>
                <w:highlight w:val="none"/>
              </w:rPr>
              <w:t>14.73%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6" w:type="pct"/>
            <w:shd w:val="clear" w:color="auto" w:fill="auto"/>
            <w:noWrap/>
            <w:vAlign w:val="center"/>
          </w:tcPr>
          <w:p>
            <w:pPr>
              <w:pStyle w:val="22"/>
              <w:bidi w:val="0"/>
              <w:rPr>
                <w:color w:val="auto"/>
                <w:highlight w:val="none"/>
              </w:rPr>
            </w:pPr>
            <w:r>
              <w:rPr>
                <w:color w:val="auto"/>
                <w:highlight w:val="none"/>
              </w:rPr>
              <w:t>5</w:t>
            </w:r>
          </w:p>
        </w:tc>
        <w:tc>
          <w:tcPr>
            <w:tcW w:w="900" w:type="pct"/>
            <w:shd w:val="clear" w:color="auto" w:fill="auto"/>
            <w:noWrap/>
            <w:vAlign w:val="center"/>
          </w:tcPr>
          <w:p>
            <w:pPr>
              <w:pStyle w:val="22"/>
              <w:bidi w:val="0"/>
              <w:rPr>
                <w:color w:val="auto"/>
                <w:highlight w:val="none"/>
              </w:rPr>
            </w:pPr>
            <w:r>
              <w:rPr>
                <w:color w:val="auto"/>
                <w:highlight w:val="none"/>
              </w:rPr>
              <w:t>合计</w:t>
            </w:r>
          </w:p>
        </w:tc>
        <w:tc>
          <w:tcPr>
            <w:tcW w:w="453" w:type="pct"/>
            <w:shd w:val="clear" w:color="auto" w:fill="auto"/>
            <w:noWrap/>
            <w:vAlign w:val="center"/>
          </w:tcPr>
          <w:p>
            <w:pPr>
              <w:pStyle w:val="22"/>
              <w:bidi w:val="0"/>
              <w:rPr>
                <w:color w:val="auto"/>
                <w:highlight w:val="none"/>
              </w:rPr>
            </w:pPr>
            <w:r>
              <w:rPr>
                <w:color w:val="auto"/>
                <w:highlight w:val="none"/>
              </w:rPr>
              <w:t>22</w:t>
            </w:r>
          </w:p>
        </w:tc>
        <w:tc>
          <w:tcPr>
            <w:tcW w:w="453" w:type="pct"/>
            <w:shd w:val="clear" w:color="auto" w:fill="auto"/>
            <w:noWrap/>
            <w:vAlign w:val="center"/>
          </w:tcPr>
          <w:p>
            <w:pPr>
              <w:pStyle w:val="22"/>
              <w:bidi w:val="0"/>
              <w:rPr>
                <w:color w:val="auto"/>
                <w:highlight w:val="none"/>
              </w:rPr>
            </w:pPr>
            <w:r>
              <w:rPr>
                <w:rFonts w:hint="eastAsia"/>
                <w:color w:val="auto"/>
                <w:highlight w:val="none"/>
              </w:rPr>
              <w:t>57</w:t>
            </w:r>
          </w:p>
        </w:tc>
        <w:tc>
          <w:tcPr>
            <w:tcW w:w="987" w:type="pct"/>
            <w:shd w:val="clear" w:color="auto" w:fill="auto"/>
            <w:noWrap/>
            <w:vAlign w:val="center"/>
          </w:tcPr>
          <w:p>
            <w:pPr>
              <w:pStyle w:val="22"/>
              <w:bidi w:val="0"/>
              <w:rPr>
                <w:color w:val="auto"/>
                <w:highlight w:val="none"/>
              </w:rPr>
            </w:pPr>
            <w:r>
              <w:rPr>
                <w:rFonts w:hint="eastAsia"/>
                <w:color w:val="auto"/>
                <w:highlight w:val="none"/>
              </w:rPr>
              <w:t>100.00%</w:t>
            </w:r>
          </w:p>
        </w:tc>
        <w:tc>
          <w:tcPr>
            <w:tcW w:w="544" w:type="pct"/>
            <w:shd w:val="clear" w:color="auto" w:fill="auto"/>
            <w:noWrap/>
            <w:vAlign w:val="center"/>
          </w:tcPr>
          <w:p>
            <w:pPr>
              <w:pStyle w:val="22"/>
              <w:bidi w:val="0"/>
              <w:rPr>
                <w:color w:val="auto"/>
                <w:highlight w:val="none"/>
              </w:rPr>
            </w:pPr>
            <w:r>
              <w:rPr>
                <w:color w:val="auto"/>
                <w:highlight w:val="none"/>
              </w:rPr>
              <w:t>129</w:t>
            </w:r>
          </w:p>
        </w:tc>
        <w:tc>
          <w:tcPr>
            <w:tcW w:w="987" w:type="pct"/>
            <w:shd w:val="clear" w:color="auto" w:fill="auto"/>
            <w:noWrap/>
            <w:vAlign w:val="center"/>
          </w:tcPr>
          <w:p>
            <w:pPr>
              <w:pStyle w:val="22"/>
              <w:bidi w:val="0"/>
              <w:rPr>
                <w:color w:val="auto"/>
                <w:highlight w:val="none"/>
              </w:rPr>
            </w:pPr>
            <w:r>
              <w:rPr>
                <w:color w:val="auto"/>
                <w:highlight w:val="none"/>
              </w:rPr>
              <w:t>100.00%</w:t>
            </w:r>
          </w:p>
        </w:tc>
      </w:tr>
    </w:tbl>
    <w:p>
      <w:pPr>
        <w:bidi w:val="0"/>
        <w:rPr>
          <w:color w:val="auto"/>
          <w:highlight w:val="none"/>
        </w:rPr>
      </w:pPr>
      <w:r>
        <w:rPr>
          <w:color w:val="auto"/>
          <w:highlight w:val="none"/>
        </w:rPr>
        <w:t>经调查及资料查阅、访问，</w:t>
      </w:r>
      <w:bookmarkStart w:id="222" w:name="_Hlk22561359"/>
      <w:r>
        <w:rPr>
          <w:rFonts w:hint="eastAsia"/>
          <w:color w:val="auto"/>
          <w:highlight w:val="none"/>
        </w:rPr>
        <w:t>大竹县</w:t>
      </w:r>
      <w:r>
        <w:rPr>
          <w:color w:val="auto"/>
          <w:highlight w:val="none"/>
        </w:rPr>
        <w:t>煤炭矿区总体规划项目评价区内</w:t>
      </w:r>
      <w:bookmarkEnd w:id="222"/>
      <w:r>
        <w:rPr>
          <w:color w:val="auto"/>
          <w:highlight w:val="none"/>
        </w:rPr>
        <w:t>分布的两栖类主要有华西蟾蜍（Bufo andrewsi）、峨眉林蛙（Rana omeinensis）、黑斑蛙（Rana dannrchina）、斑腿泛树蛙（Polypedates megacephalus）、饰纹姬蛙（Microhyla ormata）</w:t>
      </w:r>
      <w:r>
        <w:rPr>
          <w:rFonts w:hint="eastAsia"/>
          <w:color w:val="auto"/>
          <w:highlight w:val="none"/>
        </w:rPr>
        <w:t>、泽陆蛙（Fejervarya limnocharis）</w:t>
      </w:r>
      <w:r>
        <w:rPr>
          <w:color w:val="auto"/>
          <w:highlight w:val="none"/>
        </w:rPr>
        <w:t>等。其中蛙科的动物最多，达到了5种，占该区域两栖动物的55.56%，为该区域的优势物种。</w:t>
      </w:r>
    </w:p>
    <w:p>
      <w:pPr>
        <w:pStyle w:val="22"/>
        <w:bidi w:val="0"/>
        <w:rPr>
          <w:color w:val="auto"/>
          <w:highlight w:val="none"/>
        </w:rPr>
      </w:pPr>
      <w:r>
        <w:rPr>
          <w:rFonts w:hint="eastAsia"/>
          <w:color w:val="auto"/>
          <w:highlight w:val="none"/>
        </w:rPr>
        <w:t>表</w:t>
      </w:r>
      <w:r>
        <w:rPr>
          <w:rFonts w:hint="eastAsia"/>
          <w:color w:val="auto"/>
          <w:highlight w:val="none"/>
          <w:lang w:val="en-US" w:eastAsia="zh-CN"/>
        </w:rPr>
        <w:t xml:space="preserve">3.2-  </w:t>
      </w:r>
      <w:r>
        <w:rPr>
          <w:rFonts w:hint="eastAsia"/>
          <w:color w:val="auto"/>
          <w:highlight w:val="none"/>
        </w:rPr>
        <w:t>项目评价区</w:t>
      </w:r>
      <w:r>
        <w:rPr>
          <w:color w:val="auto"/>
          <w:highlight w:val="none"/>
        </w:rPr>
        <w:t>内</w:t>
      </w:r>
      <w:r>
        <w:rPr>
          <w:rFonts w:hint="eastAsia"/>
          <w:color w:val="auto"/>
          <w:highlight w:val="none"/>
        </w:rPr>
        <w:t>两栖</w:t>
      </w:r>
      <w:r>
        <w:rPr>
          <w:color w:val="auto"/>
          <w:highlight w:val="none"/>
        </w:rPr>
        <w:t>类动物组成及统计</w:t>
      </w:r>
    </w:p>
    <w:tbl>
      <w:tblPr>
        <w:tblStyle w:val="17"/>
        <w:tblW w:w="5000" w:type="pct"/>
        <w:tblInd w:w="0" w:type="dxa"/>
        <w:tblLayout w:type="autofit"/>
        <w:tblCellMar>
          <w:top w:w="0" w:type="dxa"/>
          <w:left w:w="108" w:type="dxa"/>
          <w:bottom w:w="0" w:type="dxa"/>
          <w:right w:w="108" w:type="dxa"/>
        </w:tblCellMar>
      </w:tblPr>
      <w:tblGrid>
        <w:gridCol w:w="999"/>
        <w:gridCol w:w="1319"/>
        <w:gridCol w:w="1500"/>
        <w:gridCol w:w="1319"/>
        <w:gridCol w:w="2307"/>
        <w:gridCol w:w="674"/>
        <w:gridCol w:w="1508"/>
      </w:tblGrid>
      <w:tr>
        <w:tblPrEx>
          <w:tblCellMar>
            <w:top w:w="0" w:type="dxa"/>
            <w:left w:w="108" w:type="dxa"/>
            <w:bottom w:w="0" w:type="dxa"/>
            <w:right w:w="108" w:type="dxa"/>
          </w:tblCellMar>
        </w:tblPrEx>
        <w:trPr>
          <w:trHeight w:val="425" w:hRule="atLeast"/>
        </w:trPr>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序号</w:t>
            </w:r>
          </w:p>
        </w:tc>
        <w:tc>
          <w:tcPr>
            <w:tcW w:w="685"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目</w:t>
            </w:r>
          </w:p>
        </w:tc>
        <w:tc>
          <w:tcPr>
            <w:tcW w:w="779"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685"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科</w:t>
            </w:r>
          </w:p>
        </w:tc>
        <w:tc>
          <w:tcPr>
            <w:tcW w:w="1198"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350"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种</w:t>
            </w:r>
          </w:p>
        </w:tc>
        <w:tc>
          <w:tcPr>
            <w:tcW w:w="783"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比例</w:t>
            </w:r>
          </w:p>
        </w:tc>
      </w:tr>
      <w:tr>
        <w:tblPrEx>
          <w:tblCellMar>
            <w:top w:w="0" w:type="dxa"/>
            <w:left w:w="108" w:type="dxa"/>
            <w:bottom w:w="0" w:type="dxa"/>
            <w:right w:w="108" w:type="dxa"/>
          </w:tblCellMar>
        </w:tblPrEx>
        <w:trPr>
          <w:trHeight w:val="425" w:hRule="atLeast"/>
        </w:trPr>
        <w:tc>
          <w:tcPr>
            <w:tcW w:w="519"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685" w:type="pct"/>
            <w:vMerge w:val="restar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无尾目</w:t>
            </w:r>
          </w:p>
        </w:tc>
        <w:tc>
          <w:tcPr>
            <w:tcW w:w="779" w:type="pct"/>
            <w:vMerge w:val="restar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ANURA</w:t>
            </w:r>
          </w:p>
        </w:tc>
        <w:tc>
          <w:tcPr>
            <w:tcW w:w="68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蟾蜍科</w:t>
            </w:r>
          </w:p>
        </w:tc>
        <w:tc>
          <w:tcPr>
            <w:tcW w:w="119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Bufonidae</w:t>
            </w:r>
          </w:p>
        </w:tc>
        <w:tc>
          <w:tcPr>
            <w:tcW w:w="35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78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22.22%</w:t>
            </w:r>
          </w:p>
        </w:tc>
      </w:tr>
      <w:tr>
        <w:tblPrEx>
          <w:tblCellMar>
            <w:top w:w="0" w:type="dxa"/>
            <w:left w:w="108" w:type="dxa"/>
            <w:bottom w:w="0" w:type="dxa"/>
            <w:right w:w="108" w:type="dxa"/>
          </w:tblCellMar>
        </w:tblPrEx>
        <w:trPr>
          <w:trHeight w:val="425" w:hRule="atLeast"/>
        </w:trPr>
        <w:tc>
          <w:tcPr>
            <w:tcW w:w="519"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685"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779"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68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蛙科</w:t>
            </w:r>
          </w:p>
        </w:tc>
        <w:tc>
          <w:tcPr>
            <w:tcW w:w="119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Ranidae</w:t>
            </w:r>
          </w:p>
        </w:tc>
        <w:tc>
          <w:tcPr>
            <w:tcW w:w="35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w:t>
            </w:r>
          </w:p>
        </w:tc>
        <w:tc>
          <w:tcPr>
            <w:tcW w:w="78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55.56%</w:t>
            </w:r>
          </w:p>
        </w:tc>
      </w:tr>
      <w:tr>
        <w:tblPrEx>
          <w:tblCellMar>
            <w:top w:w="0" w:type="dxa"/>
            <w:left w:w="108" w:type="dxa"/>
            <w:bottom w:w="0" w:type="dxa"/>
            <w:right w:w="108" w:type="dxa"/>
          </w:tblCellMar>
        </w:tblPrEx>
        <w:trPr>
          <w:trHeight w:val="425" w:hRule="atLeast"/>
        </w:trPr>
        <w:tc>
          <w:tcPr>
            <w:tcW w:w="519"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685"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779"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68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树蛙科</w:t>
            </w:r>
          </w:p>
        </w:tc>
        <w:tc>
          <w:tcPr>
            <w:tcW w:w="119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Rhacophoridae</w:t>
            </w:r>
          </w:p>
        </w:tc>
        <w:tc>
          <w:tcPr>
            <w:tcW w:w="35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78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11.11%</w:t>
            </w:r>
          </w:p>
        </w:tc>
      </w:tr>
      <w:tr>
        <w:tblPrEx>
          <w:tblCellMar>
            <w:top w:w="0" w:type="dxa"/>
            <w:left w:w="108" w:type="dxa"/>
            <w:bottom w:w="0" w:type="dxa"/>
            <w:right w:w="108" w:type="dxa"/>
          </w:tblCellMar>
        </w:tblPrEx>
        <w:trPr>
          <w:trHeight w:val="425" w:hRule="atLeast"/>
        </w:trPr>
        <w:tc>
          <w:tcPr>
            <w:tcW w:w="519"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685"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779"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685"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姬蛙科</w:t>
            </w:r>
          </w:p>
        </w:tc>
        <w:tc>
          <w:tcPr>
            <w:tcW w:w="119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Microhylidae</w:t>
            </w:r>
          </w:p>
        </w:tc>
        <w:tc>
          <w:tcPr>
            <w:tcW w:w="35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78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11.11%</w:t>
            </w:r>
          </w:p>
        </w:tc>
      </w:tr>
      <w:tr>
        <w:tblPrEx>
          <w:tblCellMar>
            <w:top w:w="0" w:type="dxa"/>
            <w:left w:w="108" w:type="dxa"/>
            <w:bottom w:w="0" w:type="dxa"/>
            <w:right w:w="108" w:type="dxa"/>
          </w:tblCellMar>
        </w:tblPrEx>
        <w:trPr>
          <w:trHeight w:val="425" w:hRule="atLeast"/>
        </w:trPr>
        <w:tc>
          <w:tcPr>
            <w:tcW w:w="519"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1464" w:type="pct"/>
            <w:gridSpan w:val="2"/>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1目</w:t>
            </w:r>
          </w:p>
        </w:tc>
        <w:tc>
          <w:tcPr>
            <w:tcW w:w="1883" w:type="pct"/>
            <w:gridSpan w:val="2"/>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4科</w:t>
            </w:r>
          </w:p>
        </w:tc>
        <w:tc>
          <w:tcPr>
            <w:tcW w:w="35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9</w:t>
            </w:r>
          </w:p>
        </w:tc>
        <w:tc>
          <w:tcPr>
            <w:tcW w:w="78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100.00%</w:t>
            </w:r>
          </w:p>
        </w:tc>
      </w:tr>
    </w:tbl>
    <w:p>
      <w:pPr>
        <w:bidi w:val="0"/>
        <w:rPr>
          <w:rFonts w:eastAsia="华文仿宋"/>
          <w:color w:val="auto"/>
          <w:highlight w:val="none"/>
        </w:rPr>
      </w:pPr>
      <w:r>
        <w:rPr>
          <w:color w:val="auto"/>
          <w:highlight w:val="none"/>
        </w:rPr>
        <w:t>调查发现</w:t>
      </w:r>
      <w:r>
        <w:rPr>
          <w:rFonts w:hint="eastAsia"/>
          <w:color w:val="auto"/>
          <w:highlight w:val="none"/>
        </w:rPr>
        <w:t>大竹县</w:t>
      </w:r>
      <w:r>
        <w:rPr>
          <w:color w:val="auto"/>
          <w:highlight w:val="none"/>
        </w:rPr>
        <w:t>煤炭矿区总体规划项目</w:t>
      </w:r>
      <w:r>
        <w:rPr>
          <w:rFonts w:hint="eastAsia"/>
          <w:color w:val="auto"/>
          <w:highlight w:val="none"/>
        </w:rPr>
        <w:t>生态影响</w:t>
      </w:r>
      <w:r>
        <w:rPr>
          <w:color w:val="auto"/>
          <w:highlight w:val="none"/>
        </w:rPr>
        <w:t>评价区内分布的爬行类主要中华鳖（Pelodiscus sinensis）、趾蹼壁虎（Gekko subpalmatus）、铜蜓蜥（Sphenomorphus indicus）、翠青蛇（Cydophiops major）、赤链蛇（Dinodon rufozonatum）、王锦蛇（Elaphe carinata）、虎斑颈槽蛇（Rhabdophis tigrinus）、短尾蝮（Gloydius brevicaudus）、菜花原矛头蝮（Protobothrops jerdonii）、北草蜥（Takydromus septentrionalis）、蓝尾石龙子（Eumeces elegans）、乌梢蛇（Zaocys dhumnades）、黑眉锦蛇（Elaphe taeniura）等爬行动物，其中</w:t>
      </w:r>
      <w:r>
        <w:rPr>
          <w:rFonts w:hint="eastAsia"/>
          <w:color w:val="auto"/>
          <w:highlight w:val="none"/>
        </w:rPr>
        <w:t>游</w:t>
      </w:r>
      <w:r>
        <w:rPr>
          <w:color w:val="auto"/>
          <w:highlight w:val="none"/>
        </w:rPr>
        <w:t>蛇科的生物最多，有6种，占46.15%，该区域爬行动物常在灌丛、溪沟等附近出现，有时也在山道边上的草丛旁晒太阳。</w:t>
      </w:r>
    </w:p>
    <w:p>
      <w:pPr>
        <w:pStyle w:val="22"/>
        <w:bidi w:val="0"/>
        <w:rPr>
          <w:color w:val="auto"/>
          <w:highlight w:val="none"/>
        </w:rPr>
      </w:pPr>
      <w:r>
        <w:rPr>
          <w:rFonts w:hint="eastAsia"/>
          <w:color w:val="auto"/>
          <w:highlight w:val="none"/>
        </w:rPr>
        <w:t>表</w:t>
      </w:r>
      <w:r>
        <w:rPr>
          <w:rFonts w:hint="eastAsia"/>
          <w:color w:val="auto"/>
          <w:highlight w:val="none"/>
          <w:lang w:val="en-US" w:eastAsia="zh-CN"/>
        </w:rPr>
        <w:t xml:space="preserve">3.2-  </w:t>
      </w:r>
      <w:r>
        <w:rPr>
          <w:rFonts w:hint="eastAsia"/>
          <w:color w:val="auto"/>
          <w:highlight w:val="none"/>
        </w:rPr>
        <w:t>项目评价区</w:t>
      </w:r>
      <w:r>
        <w:rPr>
          <w:color w:val="auto"/>
          <w:highlight w:val="none"/>
        </w:rPr>
        <w:t>内</w:t>
      </w:r>
      <w:r>
        <w:rPr>
          <w:rFonts w:hint="eastAsia"/>
          <w:color w:val="auto"/>
          <w:highlight w:val="none"/>
        </w:rPr>
        <w:t>爬行</w:t>
      </w:r>
      <w:r>
        <w:rPr>
          <w:color w:val="auto"/>
          <w:highlight w:val="none"/>
        </w:rPr>
        <w:t>类动物组成及统计</w:t>
      </w:r>
    </w:p>
    <w:tbl>
      <w:tblPr>
        <w:tblStyle w:val="17"/>
        <w:tblW w:w="5000" w:type="pct"/>
        <w:tblInd w:w="0" w:type="dxa"/>
        <w:tblLayout w:type="autofit"/>
        <w:tblCellMar>
          <w:top w:w="0" w:type="dxa"/>
          <w:left w:w="108" w:type="dxa"/>
          <w:bottom w:w="0" w:type="dxa"/>
          <w:right w:w="108" w:type="dxa"/>
        </w:tblCellMar>
      </w:tblPr>
      <w:tblGrid>
        <w:gridCol w:w="740"/>
        <w:gridCol w:w="978"/>
        <w:gridCol w:w="2795"/>
        <w:gridCol w:w="1217"/>
        <w:gridCol w:w="2278"/>
        <w:gridCol w:w="501"/>
        <w:gridCol w:w="1117"/>
      </w:tblGrid>
      <w:tr>
        <w:trPr>
          <w:trHeight w:val="425" w:hRule="atLeast"/>
        </w:trPr>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序号</w:t>
            </w:r>
          </w:p>
        </w:tc>
        <w:tc>
          <w:tcPr>
            <w:tcW w:w="508"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目</w:t>
            </w:r>
          </w:p>
        </w:tc>
        <w:tc>
          <w:tcPr>
            <w:tcW w:w="1452"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632"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科</w:t>
            </w:r>
          </w:p>
        </w:tc>
        <w:tc>
          <w:tcPr>
            <w:tcW w:w="1182"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260"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种</w:t>
            </w:r>
          </w:p>
        </w:tc>
        <w:tc>
          <w:tcPr>
            <w:tcW w:w="581"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比例</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08"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龟鳖目</w:t>
            </w:r>
          </w:p>
        </w:tc>
        <w:tc>
          <w:tcPr>
            <w:tcW w:w="1452"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ORDER TESTUDINATA</w:t>
            </w:r>
          </w:p>
        </w:tc>
        <w:tc>
          <w:tcPr>
            <w:tcW w:w="632"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鳖科</w:t>
            </w:r>
          </w:p>
        </w:tc>
        <w:tc>
          <w:tcPr>
            <w:tcW w:w="1182" w:type="pct"/>
            <w:tcBorders>
              <w:top w:val="nil"/>
              <w:left w:val="nil"/>
              <w:bottom w:val="single" w:color="auto" w:sz="4" w:space="0"/>
              <w:right w:val="single" w:color="auto" w:sz="4" w:space="0"/>
            </w:tcBorders>
            <w:shd w:val="clear" w:color="auto" w:fill="auto"/>
            <w:vAlign w:val="bottom"/>
          </w:tcPr>
          <w:p>
            <w:pPr>
              <w:pStyle w:val="22"/>
              <w:bidi w:val="0"/>
              <w:rPr>
                <w:color w:val="auto"/>
                <w:highlight w:val="none"/>
              </w:rPr>
            </w:pPr>
            <w:r>
              <w:rPr>
                <w:color w:val="auto"/>
                <w:highlight w:val="none"/>
              </w:rPr>
              <w:t xml:space="preserve">Family Trionychidae </w:t>
            </w:r>
          </w:p>
        </w:tc>
        <w:tc>
          <w:tcPr>
            <w:tcW w:w="26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7.69%</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08" w:type="pct"/>
            <w:vMerge w:val="restart"/>
            <w:tcBorders>
              <w:top w:val="nil"/>
              <w:left w:val="single" w:color="auto" w:sz="4" w:space="0"/>
              <w:bottom w:val="single" w:color="000000" w:sz="4" w:space="0"/>
              <w:right w:val="single" w:color="auto" w:sz="4" w:space="0"/>
            </w:tcBorders>
            <w:shd w:val="clear" w:color="auto" w:fill="auto"/>
            <w:vAlign w:val="center"/>
          </w:tcPr>
          <w:p>
            <w:pPr>
              <w:pStyle w:val="22"/>
              <w:bidi w:val="0"/>
              <w:rPr>
                <w:color w:val="auto"/>
                <w:highlight w:val="none"/>
              </w:rPr>
            </w:pPr>
            <w:r>
              <w:rPr>
                <w:color w:val="auto"/>
                <w:highlight w:val="none"/>
              </w:rPr>
              <w:t>有鳞目</w:t>
            </w:r>
          </w:p>
        </w:tc>
        <w:tc>
          <w:tcPr>
            <w:tcW w:w="1452" w:type="pct"/>
            <w:vMerge w:val="restart"/>
            <w:tcBorders>
              <w:top w:val="nil"/>
              <w:left w:val="single" w:color="auto" w:sz="4" w:space="0"/>
              <w:bottom w:val="single" w:color="000000" w:sz="4" w:space="0"/>
              <w:right w:val="single" w:color="auto" w:sz="4" w:space="0"/>
            </w:tcBorders>
            <w:shd w:val="clear" w:color="auto" w:fill="auto"/>
            <w:vAlign w:val="center"/>
          </w:tcPr>
          <w:p>
            <w:pPr>
              <w:pStyle w:val="22"/>
              <w:bidi w:val="0"/>
              <w:rPr>
                <w:color w:val="auto"/>
                <w:highlight w:val="none"/>
              </w:rPr>
            </w:pPr>
            <w:r>
              <w:rPr>
                <w:color w:val="auto"/>
                <w:highlight w:val="none"/>
              </w:rPr>
              <w:t>ORDER SQUAMATA</w:t>
            </w:r>
          </w:p>
        </w:tc>
        <w:tc>
          <w:tcPr>
            <w:tcW w:w="63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壁虎科</w:t>
            </w:r>
          </w:p>
        </w:tc>
        <w:tc>
          <w:tcPr>
            <w:tcW w:w="118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Family Gekkonidae</w:t>
            </w:r>
          </w:p>
        </w:tc>
        <w:tc>
          <w:tcPr>
            <w:tcW w:w="2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7.69%</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508"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452"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63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蜥蜴科</w:t>
            </w:r>
          </w:p>
        </w:tc>
        <w:tc>
          <w:tcPr>
            <w:tcW w:w="118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Family Lacertidae</w:t>
            </w:r>
          </w:p>
        </w:tc>
        <w:tc>
          <w:tcPr>
            <w:tcW w:w="2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7.69%</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508"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452"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63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石龙子科</w:t>
            </w:r>
          </w:p>
        </w:tc>
        <w:tc>
          <w:tcPr>
            <w:tcW w:w="118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Scincidae</w:t>
            </w:r>
          </w:p>
        </w:tc>
        <w:tc>
          <w:tcPr>
            <w:tcW w:w="2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15.38%</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508"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452"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63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游蛇科</w:t>
            </w:r>
          </w:p>
        </w:tc>
        <w:tc>
          <w:tcPr>
            <w:tcW w:w="118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Family Colnbridae</w:t>
            </w:r>
          </w:p>
        </w:tc>
        <w:tc>
          <w:tcPr>
            <w:tcW w:w="26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46.15%</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508"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452"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63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蝰科</w:t>
            </w:r>
          </w:p>
        </w:tc>
        <w:tc>
          <w:tcPr>
            <w:tcW w:w="118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Viperidae</w:t>
            </w:r>
          </w:p>
        </w:tc>
        <w:tc>
          <w:tcPr>
            <w:tcW w:w="260" w:type="pct"/>
            <w:tcBorders>
              <w:top w:val="nil"/>
              <w:left w:val="nil"/>
              <w:bottom w:val="nil"/>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15.38%</w:t>
            </w:r>
          </w:p>
        </w:tc>
      </w:tr>
      <w:tr>
        <w:tblPrEx>
          <w:tblCellMar>
            <w:top w:w="0" w:type="dxa"/>
            <w:left w:w="108" w:type="dxa"/>
            <w:bottom w:w="0" w:type="dxa"/>
            <w:right w:w="108" w:type="dxa"/>
          </w:tblCellMar>
        </w:tblPrEx>
        <w:trPr>
          <w:trHeight w:val="42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w:t>
            </w:r>
          </w:p>
        </w:tc>
        <w:tc>
          <w:tcPr>
            <w:tcW w:w="1960" w:type="pct"/>
            <w:gridSpan w:val="2"/>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2目</w:t>
            </w:r>
          </w:p>
        </w:tc>
        <w:tc>
          <w:tcPr>
            <w:tcW w:w="1815" w:type="pct"/>
            <w:gridSpan w:val="2"/>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6科</w:t>
            </w:r>
          </w:p>
        </w:tc>
        <w:tc>
          <w:tcPr>
            <w:tcW w:w="260"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13</w:t>
            </w:r>
          </w:p>
        </w:tc>
        <w:tc>
          <w:tcPr>
            <w:tcW w:w="581" w:type="pct"/>
            <w:tcBorders>
              <w:top w:val="nil"/>
              <w:left w:val="nil"/>
              <w:bottom w:val="single" w:color="auto" w:sz="4" w:space="0"/>
              <w:right w:val="single" w:color="auto" w:sz="4" w:space="0"/>
            </w:tcBorders>
            <w:shd w:val="clear" w:color="auto" w:fill="auto"/>
            <w:noWrap/>
            <w:vAlign w:val="bottom"/>
          </w:tcPr>
          <w:p>
            <w:pPr>
              <w:pStyle w:val="22"/>
              <w:bidi w:val="0"/>
              <w:rPr>
                <w:color w:val="auto"/>
                <w:highlight w:val="none"/>
              </w:rPr>
            </w:pPr>
            <w:r>
              <w:rPr>
                <w:color w:val="auto"/>
                <w:highlight w:val="none"/>
              </w:rPr>
              <w:t>100.00%</w:t>
            </w:r>
          </w:p>
        </w:tc>
      </w:tr>
    </w:tbl>
    <w:p>
      <w:pPr>
        <w:bidi w:val="0"/>
        <w:rPr>
          <w:rFonts w:eastAsia="华文仿宋"/>
          <w:color w:val="auto"/>
          <w:highlight w:val="none"/>
        </w:rPr>
      </w:pPr>
      <w:r>
        <w:rPr>
          <w:rFonts w:hint="eastAsia"/>
          <w:color w:val="auto"/>
          <w:highlight w:val="none"/>
        </w:rPr>
        <w:t>大竹县</w:t>
      </w:r>
      <w:r>
        <w:rPr>
          <w:color w:val="auto"/>
          <w:highlight w:val="none"/>
        </w:rPr>
        <w:t>煤炭矿区总体规划项目评价区内鸟类种类及数量较多，如白鹭（Egretta garzetta）</w:t>
      </w:r>
      <w:r>
        <w:rPr>
          <w:rFonts w:hint="eastAsia"/>
          <w:color w:val="auto"/>
          <w:highlight w:val="none"/>
          <w:lang w:eastAsia="zh-CN"/>
        </w:rPr>
        <w:t>、</w:t>
      </w:r>
      <w:r>
        <w:rPr>
          <w:color w:val="auto"/>
          <w:highlight w:val="none"/>
        </w:rPr>
        <w:t>苍鹭（Ardea cinarea）、斑头鸺鹠（Glaucidium cuculoides）、白胸苦恶鸡（Amaurornis phoencicurus） 、林鷸（Tringa glareola）、山斑鸠（Streptopelia orientalis）、四声杜鹃（Cuculus micropterus）、噪鹃（Eudynamys scolopacea）、普通翠鸟（Alcedo atthis）、小云雀（Alauda gulgula）、金腰燕（Cecropis daurica）、山鶺鸰（Dendronanthus indicus）、树鹨（Anthus hodgsoni）</w:t>
      </w:r>
      <w:r>
        <w:rPr>
          <w:rFonts w:hint="eastAsia"/>
          <w:color w:val="auto"/>
          <w:highlight w:val="none"/>
        </w:rPr>
        <w:t>、家燕（Hirundo rustica）、灰鹡鸰（Motacilla cinerea）、白鹡鸰（Motacilla alba）、白颊噪鹛（Garrulax sannio）、暗绿绣眼鸟（Zosterops japonicus）、棕头鸦雀（Paradoxornis webbianus）、红头长尾山雀（Aegithalos concinnus）、大山雀（Parus major）、麻雀（Passer montanus）、山麻雀（Passer rutilans）、白腰文鸟（Lonchura striata）、金翅雀（Carduelis carduelis britannica）</w:t>
      </w:r>
      <w:r>
        <w:rPr>
          <w:color w:val="auto"/>
          <w:highlight w:val="none"/>
        </w:rPr>
        <w:t>等。鸟类组成上以雀形目种类最多，共计24科56种，占全部鸟类的63.64%。</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项目评价区</w:t>
      </w:r>
      <w:r>
        <w:rPr>
          <w:color w:val="auto"/>
          <w:highlight w:val="none"/>
        </w:rPr>
        <w:t>内</w:t>
      </w:r>
      <w:r>
        <w:rPr>
          <w:rFonts w:hint="eastAsia"/>
          <w:color w:val="auto"/>
          <w:highlight w:val="none"/>
        </w:rPr>
        <w:t>鸟类</w:t>
      </w:r>
      <w:r>
        <w:rPr>
          <w:color w:val="auto"/>
          <w:highlight w:val="none"/>
        </w:rPr>
        <w:t>组成及统计</w:t>
      </w:r>
    </w:p>
    <w:tbl>
      <w:tblPr>
        <w:tblStyle w:val="17"/>
        <w:tblW w:w="5000" w:type="pct"/>
        <w:tblInd w:w="0" w:type="dxa"/>
        <w:tblLayout w:type="autofit"/>
        <w:tblCellMar>
          <w:top w:w="0" w:type="dxa"/>
          <w:left w:w="108" w:type="dxa"/>
          <w:bottom w:w="0" w:type="dxa"/>
          <w:right w:w="108" w:type="dxa"/>
        </w:tblCellMar>
      </w:tblPr>
      <w:tblGrid>
        <w:gridCol w:w="700"/>
        <w:gridCol w:w="1161"/>
        <w:gridCol w:w="2445"/>
        <w:gridCol w:w="1392"/>
        <w:gridCol w:w="1931"/>
        <w:gridCol w:w="932"/>
        <w:gridCol w:w="1065"/>
      </w:tblGrid>
      <w:tr>
        <w:tblPrEx>
          <w:tblCellMar>
            <w:top w:w="0" w:type="dxa"/>
            <w:left w:w="108" w:type="dxa"/>
            <w:bottom w:w="0" w:type="dxa"/>
            <w:right w:w="108" w:type="dxa"/>
          </w:tblCellMar>
        </w:tblPrEx>
        <w:trPr>
          <w:trHeight w:val="397" w:hRule="atLeast"/>
          <w:tblHeader/>
        </w:trPr>
        <w:tc>
          <w:tcPr>
            <w:tcW w:w="36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序号</w:t>
            </w:r>
          </w:p>
        </w:tc>
        <w:tc>
          <w:tcPr>
            <w:tcW w:w="60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目</w:t>
            </w:r>
          </w:p>
        </w:tc>
        <w:tc>
          <w:tcPr>
            <w:tcW w:w="1270"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拉丁名</w:t>
            </w:r>
          </w:p>
        </w:tc>
        <w:tc>
          <w:tcPr>
            <w:tcW w:w="72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科</w:t>
            </w:r>
          </w:p>
        </w:tc>
        <w:tc>
          <w:tcPr>
            <w:tcW w:w="100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拉丁名</w:t>
            </w:r>
          </w:p>
        </w:tc>
        <w:tc>
          <w:tcPr>
            <w:tcW w:w="484"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物种数</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比例</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603" w:type="pct"/>
            <w:tcBorders>
              <w:top w:val="nil"/>
              <w:left w:val="nil"/>
              <w:bottom w:val="single" w:color="auto" w:sz="4" w:space="0"/>
              <w:right w:val="single" w:color="auto" w:sz="4" w:space="0"/>
            </w:tcBorders>
            <w:shd w:val="clear" w:color="000000" w:fill="FFFFFF"/>
            <w:vAlign w:val="center"/>
          </w:tcPr>
          <w:p>
            <w:pPr>
              <w:pStyle w:val="22"/>
              <w:bidi w:val="0"/>
              <w:rPr>
                <w:color w:val="auto"/>
                <w:highlight w:val="none"/>
              </w:rPr>
            </w:pPr>
            <w:r>
              <w:rPr>
                <w:color w:val="auto"/>
                <w:highlight w:val="none"/>
              </w:rPr>
              <w:t>鸊鷉目</w:t>
            </w:r>
          </w:p>
        </w:tc>
        <w:tc>
          <w:tcPr>
            <w:tcW w:w="1270" w:type="pct"/>
            <w:tcBorders>
              <w:top w:val="nil"/>
              <w:left w:val="nil"/>
              <w:bottom w:val="single" w:color="auto" w:sz="4" w:space="0"/>
              <w:right w:val="single" w:color="auto" w:sz="4" w:space="0"/>
            </w:tcBorders>
            <w:shd w:val="clear" w:color="000000" w:fill="FFFFFF"/>
            <w:vAlign w:val="center"/>
          </w:tcPr>
          <w:p>
            <w:pPr>
              <w:pStyle w:val="22"/>
              <w:bidi w:val="0"/>
              <w:rPr>
                <w:color w:val="auto"/>
                <w:highlight w:val="none"/>
              </w:rPr>
            </w:pPr>
            <w:r>
              <w:rPr>
                <w:color w:val="auto"/>
                <w:highlight w:val="none"/>
              </w:rPr>
              <w:t>PODICIPEDIFORMES</w:t>
            </w:r>
          </w:p>
        </w:tc>
        <w:tc>
          <w:tcPr>
            <w:tcW w:w="723" w:type="pct"/>
            <w:tcBorders>
              <w:top w:val="nil"/>
              <w:left w:val="nil"/>
              <w:bottom w:val="single" w:color="auto" w:sz="4" w:space="0"/>
              <w:right w:val="single" w:color="auto" w:sz="4" w:space="0"/>
            </w:tcBorders>
            <w:shd w:val="clear" w:color="000000" w:fill="FFFFFF"/>
            <w:noWrap/>
            <w:vAlign w:val="center"/>
          </w:tcPr>
          <w:p>
            <w:pPr>
              <w:pStyle w:val="22"/>
              <w:bidi w:val="0"/>
              <w:rPr>
                <w:color w:val="auto"/>
                <w:highlight w:val="none"/>
              </w:rPr>
            </w:pPr>
            <w:r>
              <w:rPr>
                <w:color w:val="auto"/>
                <w:highlight w:val="none"/>
              </w:rPr>
              <w:t>鸊鷉科</w:t>
            </w:r>
          </w:p>
        </w:tc>
        <w:tc>
          <w:tcPr>
            <w:tcW w:w="1003" w:type="pct"/>
            <w:tcBorders>
              <w:top w:val="nil"/>
              <w:left w:val="nil"/>
              <w:bottom w:val="single" w:color="auto" w:sz="4" w:space="0"/>
              <w:right w:val="single" w:color="auto" w:sz="4" w:space="0"/>
            </w:tcBorders>
            <w:shd w:val="clear" w:color="000000" w:fill="FFFFFF"/>
            <w:vAlign w:val="center"/>
          </w:tcPr>
          <w:p>
            <w:pPr>
              <w:pStyle w:val="22"/>
              <w:bidi w:val="0"/>
              <w:rPr>
                <w:color w:val="auto"/>
                <w:highlight w:val="none"/>
              </w:rPr>
            </w:pPr>
            <w:r>
              <w:rPr>
                <w:color w:val="auto"/>
                <w:highlight w:val="none"/>
              </w:rPr>
              <w:t>Podicipedidae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鹳形目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CICONIIFORMES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鹭科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Ardeidae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4.55%</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雁形目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ANSERIFORMES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鸭科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Anatidae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3.41%</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603"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隼形目</w:t>
            </w:r>
          </w:p>
        </w:tc>
        <w:tc>
          <w:tcPr>
            <w:tcW w:w="1270" w:type="pct"/>
            <w:vMerge w:val="restar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FALCONIFORMES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鹰科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Accipitridae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3.41%</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603"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隼科</w:t>
            </w:r>
          </w:p>
        </w:tc>
        <w:tc>
          <w:tcPr>
            <w:tcW w:w="10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Falconidae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鸮形目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STRLGIFORMES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鸱鸮科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Strigidae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鸡形目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GALLIFORMES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雉科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Phasianidae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4.55%</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8</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鹤形目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GRUIFORMES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秧鸡科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Rallidae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5.68%</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9</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鸻形目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CHARADRIIFORMES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鹬科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Scolopacidae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鸽形目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COLUMBIFORMES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鸠鸽科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Columbidae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11</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鹃形目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CUCULIFORMES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杜鹃科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Clamator</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3.41%</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12</w:t>
            </w:r>
          </w:p>
        </w:tc>
        <w:tc>
          <w:tcPr>
            <w:tcW w:w="603"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佛法僧目</w:t>
            </w:r>
          </w:p>
        </w:tc>
        <w:tc>
          <w:tcPr>
            <w:tcW w:w="1270" w:type="pct"/>
            <w:vMerge w:val="restar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CORACIIFORMES</w:t>
            </w: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翠鸟科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Alcedinidae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13</w:t>
            </w:r>
          </w:p>
        </w:tc>
        <w:tc>
          <w:tcPr>
            <w:tcW w:w="603"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戴胜科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Upupidae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14</w:t>
            </w:r>
          </w:p>
        </w:tc>
        <w:tc>
          <w:tcPr>
            <w:tcW w:w="60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裂形目</w:t>
            </w:r>
          </w:p>
        </w:tc>
        <w:tc>
          <w:tcPr>
            <w:tcW w:w="1270"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PICIFORMES</w:t>
            </w: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啄木鸟科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Picidae</w:t>
            </w:r>
          </w:p>
        </w:tc>
        <w:tc>
          <w:tcPr>
            <w:tcW w:w="484"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15</w:t>
            </w:r>
          </w:p>
        </w:tc>
        <w:tc>
          <w:tcPr>
            <w:tcW w:w="603"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color w:val="auto"/>
                <w:highlight w:val="none"/>
              </w:rPr>
              <w:t>雀形目</w:t>
            </w:r>
          </w:p>
        </w:tc>
        <w:tc>
          <w:tcPr>
            <w:tcW w:w="1270" w:type="pct"/>
            <w:vMerge w:val="restart"/>
            <w:tcBorders>
              <w:top w:val="nil"/>
              <w:left w:val="single" w:color="auto" w:sz="4" w:space="0"/>
              <w:bottom w:val="single" w:color="000000" w:sz="4" w:space="0"/>
              <w:right w:val="single" w:color="auto" w:sz="4" w:space="0"/>
            </w:tcBorders>
            <w:shd w:val="clear" w:color="auto" w:fill="auto"/>
            <w:vAlign w:val="center"/>
          </w:tcPr>
          <w:p>
            <w:pPr>
              <w:pStyle w:val="22"/>
              <w:bidi w:val="0"/>
              <w:rPr>
                <w:color w:val="auto"/>
                <w:highlight w:val="none"/>
              </w:rPr>
            </w:pPr>
            <w:r>
              <w:rPr>
                <w:color w:val="auto"/>
                <w:highlight w:val="none"/>
              </w:rPr>
              <w:t>PASSERIFORMES</w:t>
            </w: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百灵科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Alaudidae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16</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燕科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Hirundinidae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17</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鹡鸰科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Motacillidae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6.82%</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18</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山椒鸟科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Campehagidae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19</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鹎科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Pycnonotidae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3.41%</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20</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伯劳科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Laniidae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21</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卷尾科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Oicruridae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22</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椋鸟科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Sturnidae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23</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鸦科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Corvidae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3.41%</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24</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鸫科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Turdidae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5.68%</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25</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扇尾莺科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Cisticolidae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26</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树莺科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Cettiidae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27</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柳莺科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Phylloscopidae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28</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鹟科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Musicapidae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6.82%</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29</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幽鹛科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Pellorneidae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30</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噪鹛科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Leiothrichidae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4.55%</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31</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绣眼鸟科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Zosteropidae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32</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鸦雀科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Paradoxornithidae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33</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长尾山雀科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Aegithalidae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34</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山雀科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Paridae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35</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Passeridae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2.27%</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36</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梅花雀科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Estrildidae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37</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燕雀科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Fringillidae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1.14%</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38</w:t>
            </w:r>
          </w:p>
        </w:tc>
        <w:tc>
          <w:tcPr>
            <w:tcW w:w="603"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70"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72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鹀科</w:t>
            </w:r>
          </w:p>
        </w:tc>
        <w:tc>
          <w:tcPr>
            <w:tcW w:w="100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Emberizidae</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5.68%</w:t>
            </w:r>
          </w:p>
        </w:tc>
      </w:tr>
      <w:tr>
        <w:tblPrEx>
          <w:tblCellMar>
            <w:top w:w="0" w:type="dxa"/>
            <w:left w:w="108" w:type="dxa"/>
            <w:bottom w:w="0" w:type="dxa"/>
            <w:right w:w="108" w:type="dxa"/>
          </w:tblCellMar>
        </w:tblPrEx>
        <w:trPr>
          <w:trHeight w:val="397"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39</w:t>
            </w:r>
          </w:p>
        </w:tc>
        <w:tc>
          <w:tcPr>
            <w:tcW w:w="1873" w:type="pct"/>
            <w:gridSpan w:val="2"/>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13目</w:t>
            </w:r>
          </w:p>
        </w:tc>
        <w:tc>
          <w:tcPr>
            <w:tcW w:w="1726" w:type="pct"/>
            <w:gridSpan w:val="2"/>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38科</w:t>
            </w:r>
          </w:p>
        </w:tc>
        <w:tc>
          <w:tcPr>
            <w:tcW w:w="4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88种</w:t>
            </w:r>
          </w:p>
        </w:tc>
        <w:tc>
          <w:tcPr>
            <w:tcW w:w="55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100.00%</w:t>
            </w:r>
          </w:p>
        </w:tc>
      </w:tr>
    </w:tbl>
    <w:p>
      <w:pPr>
        <w:bidi w:val="0"/>
        <w:rPr>
          <w:color w:val="auto"/>
          <w:highlight w:val="none"/>
        </w:rPr>
      </w:pPr>
      <w:r>
        <w:rPr>
          <w:color w:val="auto"/>
          <w:highlight w:val="none"/>
        </w:rPr>
        <w:t>评价区内兽类主要有四川短尾鼩（Anourosorex squamipes）、黄鼬（Mustela sibirica）、野猪（Sus scrofa）、黑线姬鼠、褐家鼠、草兔（Lepus capensis）等。兽类活动区域较广，常分布于森林、灌草丛、沟谷及居民村落等各类生境。同时，据访问周边居民可知，评价区内尤其是在林地部分的区域常有野猪（Sus scrofa Linnaeus）活动，但随着生产生活活动的加强，野猪出现在矿区及邻近区域的频率较以往变少，活动区多集中在山上林地。另外，区域中菊头蝠（Rhinolophus affinis）、大菊头蝠（Rhinolophus luctus）、黄鼬（Mustela sibirica）、野猪（Sus scrofa Linnaeus）、岩松鼠（Sciurotamias davidianus）等的分布数量较多。</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评价区</w:t>
      </w:r>
      <w:r>
        <w:rPr>
          <w:color w:val="auto"/>
          <w:highlight w:val="none"/>
        </w:rPr>
        <w:t>兽类组成及统计</w:t>
      </w:r>
    </w:p>
    <w:tbl>
      <w:tblPr>
        <w:tblStyle w:val="17"/>
        <w:tblW w:w="5000" w:type="pct"/>
        <w:tblInd w:w="0" w:type="dxa"/>
        <w:tblLayout w:type="autofit"/>
        <w:tblCellMar>
          <w:top w:w="0" w:type="dxa"/>
          <w:left w:w="108" w:type="dxa"/>
          <w:bottom w:w="0" w:type="dxa"/>
          <w:right w:w="108" w:type="dxa"/>
        </w:tblCellMar>
      </w:tblPr>
      <w:tblGrid>
        <w:gridCol w:w="777"/>
        <w:gridCol w:w="1034"/>
        <w:gridCol w:w="2345"/>
        <w:gridCol w:w="1290"/>
        <w:gridCol w:w="1960"/>
        <w:gridCol w:w="1036"/>
        <w:gridCol w:w="1184"/>
      </w:tblGrid>
      <w:tr>
        <w:tblPrEx>
          <w:tblCellMar>
            <w:top w:w="0" w:type="dxa"/>
            <w:left w:w="108" w:type="dxa"/>
            <w:bottom w:w="0" w:type="dxa"/>
            <w:right w:w="108" w:type="dxa"/>
          </w:tblCellMar>
        </w:tblPrEx>
        <w:trPr>
          <w:trHeight w:val="397" w:hRule="atLeast"/>
        </w:trPr>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序号</w:t>
            </w:r>
          </w:p>
        </w:tc>
        <w:tc>
          <w:tcPr>
            <w:tcW w:w="537"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目</w:t>
            </w:r>
          </w:p>
        </w:tc>
        <w:tc>
          <w:tcPr>
            <w:tcW w:w="1218"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拉丁名</w:t>
            </w:r>
          </w:p>
        </w:tc>
        <w:tc>
          <w:tcPr>
            <w:tcW w:w="670"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科</w:t>
            </w:r>
          </w:p>
        </w:tc>
        <w:tc>
          <w:tcPr>
            <w:tcW w:w="1018"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拉丁名</w:t>
            </w:r>
          </w:p>
        </w:tc>
        <w:tc>
          <w:tcPr>
            <w:tcW w:w="538"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物种数</w:t>
            </w:r>
          </w:p>
        </w:tc>
        <w:tc>
          <w:tcPr>
            <w:tcW w:w="615"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比例</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37"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鼩形目</w:t>
            </w:r>
          </w:p>
        </w:tc>
        <w:tc>
          <w:tcPr>
            <w:tcW w:w="1218" w:type="pct"/>
            <w:tcBorders>
              <w:top w:val="nil"/>
              <w:left w:val="nil"/>
              <w:bottom w:val="nil"/>
              <w:right w:val="single" w:color="auto" w:sz="4" w:space="0"/>
            </w:tcBorders>
            <w:shd w:val="clear" w:color="auto" w:fill="auto"/>
            <w:noWrap/>
            <w:vAlign w:val="center"/>
          </w:tcPr>
          <w:p>
            <w:pPr>
              <w:pStyle w:val="22"/>
              <w:bidi w:val="0"/>
              <w:rPr>
                <w:color w:val="auto"/>
                <w:highlight w:val="none"/>
              </w:rPr>
            </w:pPr>
            <w:r>
              <w:rPr>
                <w:color w:val="auto"/>
                <w:highlight w:val="none"/>
              </w:rPr>
              <w:t>SORICOMORPHA</w:t>
            </w: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鼩鼱科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Soricidae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15.79%</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37"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翼手目</w:t>
            </w:r>
          </w:p>
        </w:tc>
        <w:tc>
          <w:tcPr>
            <w:tcW w:w="1218"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color w:val="auto"/>
                <w:highlight w:val="none"/>
              </w:rPr>
              <w:t>CHIROPTERA</w:t>
            </w: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菊头蝠科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Rhinolophidae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10.53%</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537"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1218" w:type="pct"/>
            <w:vMerge w:val="continue"/>
            <w:tcBorders>
              <w:top w:val="single" w:color="auto" w:sz="4" w:space="0"/>
              <w:left w:val="single" w:color="auto" w:sz="4" w:space="0"/>
              <w:bottom w:val="single" w:color="000000" w:sz="4" w:space="0"/>
              <w:right w:val="single" w:color="auto" w:sz="4" w:space="0"/>
            </w:tcBorders>
            <w:vAlign w:val="center"/>
          </w:tcPr>
          <w:p>
            <w:pPr>
              <w:pStyle w:val="22"/>
              <w:bidi w:val="0"/>
              <w:rPr>
                <w:color w:val="auto"/>
                <w:highlight w:val="none"/>
              </w:rPr>
            </w:pP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蝙蝠科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Vespertilionidae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5.26%</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537"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color w:val="auto"/>
                <w:highlight w:val="none"/>
              </w:rPr>
              <w:t>食肉目</w:t>
            </w:r>
          </w:p>
        </w:tc>
        <w:tc>
          <w:tcPr>
            <w:tcW w:w="1218"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color w:val="auto"/>
                <w:highlight w:val="none"/>
              </w:rPr>
              <w:t>CARNIVORA</w:t>
            </w: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鼬科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Mustelidae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10.53%</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537"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18"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灵猫科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Viverridae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5.26%</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537"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偶蹄目</w:t>
            </w:r>
          </w:p>
        </w:tc>
        <w:tc>
          <w:tcPr>
            <w:tcW w:w="12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ARTLODACTYLA</w:t>
            </w: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猪科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Suidae</w:t>
            </w:r>
          </w:p>
        </w:tc>
        <w:tc>
          <w:tcPr>
            <w:tcW w:w="538" w:type="pct"/>
            <w:tcBorders>
              <w:top w:val="nil"/>
              <w:left w:val="nil"/>
              <w:bottom w:val="nil"/>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5.26%</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7</w:t>
            </w:r>
          </w:p>
        </w:tc>
        <w:tc>
          <w:tcPr>
            <w:tcW w:w="537"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color w:val="auto"/>
                <w:highlight w:val="none"/>
              </w:rPr>
              <w:t>啮齿目</w:t>
            </w:r>
          </w:p>
        </w:tc>
        <w:tc>
          <w:tcPr>
            <w:tcW w:w="1218" w:type="pct"/>
            <w:vMerge w:val="restart"/>
            <w:tcBorders>
              <w:top w:val="nil"/>
              <w:left w:val="single" w:color="auto" w:sz="4" w:space="0"/>
              <w:bottom w:val="single" w:color="000000" w:sz="4" w:space="0"/>
              <w:right w:val="single" w:color="auto" w:sz="4" w:space="0"/>
            </w:tcBorders>
            <w:shd w:val="clear" w:color="auto" w:fill="auto"/>
            <w:noWrap/>
            <w:vAlign w:val="center"/>
          </w:tcPr>
          <w:p>
            <w:pPr>
              <w:pStyle w:val="22"/>
              <w:bidi w:val="0"/>
              <w:rPr>
                <w:color w:val="auto"/>
                <w:highlight w:val="none"/>
              </w:rPr>
            </w:pPr>
            <w:r>
              <w:rPr>
                <w:color w:val="auto"/>
                <w:highlight w:val="none"/>
              </w:rPr>
              <w:t>RODENTIA</w:t>
            </w: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松鼠科</w:t>
            </w:r>
          </w:p>
        </w:tc>
        <w:tc>
          <w:tcPr>
            <w:tcW w:w="101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Sciuridae</w:t>
            </w:r>
          </w:p>
        </w:tc>
        <w:tc>
          <w:tcPr>
            <w:tcW w:w="538"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10.53%</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8</w:t>
            </w:r>
          </w:p>
        </w:tc>
        <w:tc>
          <w:tcPr>
            <w:tcW w:w="537"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1218" w:type="pct"/>
            <w:vMerge w:val="continue"/>
            <w:tcBorders>
              <w:top w:val="nil"/>
              <w:left w:val="single" w:color="auto" w:sz="4" w:space="0"/>
              <w:bottom w:val="single" w:color="000000" w:sz="4" w:space="0"/>
              <w:right w:val="single" w:color="auto" w:sz="4" w:space="0"/>
            </w:tcBorders>
            <w:vAlign w:val="center"/>
          </w:tcPr>
          <w:p>
            <w:pPr>
              <w:pStyle w:val="22"/>
              <w:bidi w:val="0"/>
              <w:rPr>
                <w:color w:val="auto"/>
                <w:highlight w:val="none"/>
              </w:rPr>
            </w:pP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鼠科</w:t>
            </w:r>
          </w:p>
        </w:tc>
        <w:tc>
          <w:tcPr>
            <w:tcW w:w="101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Muridae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31.58%</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9</w:t>
            </w:r>
          </w:p>
        </w:tc>
        <w:tc>
          <w:tcPr>
            <w:tcW w:w="537"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兔形目</w:t>
            </w:r>
          </w:p>
        </w:tc>
        <w:tc>
          <w:tcPr>
            <w:tcW w:w="121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LAGOMORPHA</w:t>
            </w:r>
          </w:p>
        </w:tc>
        <w:tc>
          <w:tcPr>
            <w:tcW w:w="670"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兔科</w:t>
            </w:r>
          </w:p>
        </w:tc>
        <w:tc>
          <w:tcPr>
            <w:tcW w:w="1018"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Leporidae</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5.26%</w:t>
            </w:r>
          </w:p>
        </w:tc>
      </w:tr>
      <w:tr>
        <w:tblPrEx>
          <w:tblCellMar>
            <w:top w:w="0" w:type="dxa"/>
            <w:left w:w="108" w:type="dxa"/>
            <w:bottom w:w="0" w:type="dxa"/>
            <w:right w:w="108" w:type="dxa"/>
          </w:tblCellMar>
        </w:tblPrEx>
        <w:trPr>
          <w:trHeight w:val="397" w:hRule="atLeast"/>
        </w:trPr>
        <w:tc>
          <w:tcPr>
            <w:tcW w:w="404"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w:t>
            </w:r>
          </w:p>
        </w:tc>
        <w:tc>
          <w:tcPr>
            <w:tcW w:w="1755" w:type="pct"/>
            <w:gridSpan w:val="2"/>
            <w:tcBorders>
              <w:top w:val="single" w:color="auto" w:sz="4" w:space="0"/>
              <w:left w:val="nil"/>
              <w:bottom w:val="single" w:color="auto" w:sz="4" w:space="0"/>
              <w:right w:val="single" w:color="000000" w:sz="4" w:space="0"/>
            </w:tcBorders>
            <w:shd w:val="clear" w:color="auto" w:fill="auto"/>
            <w:noWrap/>
            <w:vAlign w:val="center"/>
          </w:tcPr>
          <w:p>
            <w:pPr>
              <w:pStyle w:val="22"/>
              <w:bidi w:val="0"/>
              <w:rPr>
                <w:color w:val="auto"/>
                <w:highlight w:val="none"/>
              </w:rPr>
            </w:pPr>
            <w:r>
              <w:rPr>
                <w:color w:val="auto"/>
                <w:highlight w:val="none"/>
              </w:rPr>
              <w:t>6目</w:t>
            </w:r>
          </w:p>
        </w:tc>
        <w:tc>
          <w:tcPr>
            <w:tcW w:w="1688" w:type="pct"/>
            <w:gridSpan w:val="2"/>
            <w:tcBorders>
              <w:top w:val="single" w:color="auto" w:sz="4" w:space="0"/>
              <w:left w:val="nil"/>
              <w:bottom w:val="single" w:color="auto" w:sz="4" w:space="0"/>
              <w:right w:val="single" w:color="000000" w:sz="4" w:space="0"/>
            </w:tcBorders>
            <w:shd w:val="clear" w:color="auto" w:fill="auto"/>
            <w:noWrap/>
            <w:vAlign w:val="center"/>
          </w:tcPr>
          <w:p>
            <w:pPr>
              <w:pStyle w:val="22"/>
              <w:bidi w:val="0"/>
              <w:rPr>
                <w:color w:val="auto"/>
                <w:highlight w:val="none"/>
              </w:rPr>
            </w:pPr>
            <w:r>
              <w:rPr>
                <w:color w:val="auto"/>
                <w:highlight w:val="none"/>
              </w:rPr>
              <w:t>9科</w:t>
            </w:r>
          </w:p>
        </w:tc>
        <w:tc>
          <w:tcPr>
            <w:tcW w:w="538"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19</w:t>
            </w:r>
          </w:p>
        </w:tc>
        <w:tc>
          <w:tcPr>
            <w:tcW w:w="615"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100.00%</w:t>
            </w:r>
          </w:p>
        </w:tc>
      </w:tr>
    </w:tbl>
    <w:p>
      <w:pPr>
        <w:bidi w:val="0"/>
        <w:rPr>
          <w:rFonts w:hint="eastAsia"/>
          <w:color w:val="auto"/>
          <w:highlight w:val="none"/>
          <w:lang w:eastAsia="zh-CN"/>
        </w:rPr>
      </w:pPr>
    </w:p>
    <w:p>
      <w:pPr>
        <w:bidi w:val="0"/>
        <w:rPr>
          <w:color w:val="auto"/>
          <w:highlight w:val="none"/>
        </w:rPr>
      </w:pPr>
      <w:r>
        <w:rPr>
          <w:rFonts w:hint="eastAsia"/>
          <w:color w:val="auto"/>
          <w:highlight w:val="none"/>
          <w:lang w:val="en-US" w:eastAsia="zh-CN"/>
        </w:rPr>
        <w:t>（2）国家保护动物的种类组成</w:t>
      </w:r>
    </w:p>
    <w:p>
      <w:pPr>
        <w:bidi w:val="0"/>
        <w:rPr>
          <w:rFonts w:eastAsia="华文仿宋"/>
          <w:color w:val="auto"/>
          <w:highlight w:val="none"/>
        </w:rPr>
      </w:pPr>
      <w:r>
        <w:rPr>
          <w:color w:val="auto"/>
          <w:highlight w:val="none"/>
        </w:rPr>
        <w:t>根据实地调查及访问、资料查阅，</w:t>
      </w:r>
      <w:r>
        <w:rPr>
          <w:rFonts w:hint="eastAsia"/>
          <w:color w:val="auto"/>
          <w:highlight w:val="none"/>
        </w:rPr>
        <w:t>大竹县</w:t>
      </w:r>
      <w:r>
        <w:rPr>
          <w:color w:val="auto"/>
          <w:highlight w:val="none"/>
        </w:rPr>
        <w:t>煤炭矿区总体规划项目评价区内无国家Ⅰ级保护动物，记录有国家Ⅱ级保护动物6种，四川省级保护动物8种。但实地调查仅记录到苍鹰（Accipiter gentilis）、灰胸竹鸡（Bambusicola thoracica）、小䴙䴘、棕胸竹鸡；访问当地人员</w:t>
      </w:r>
      <w:r>
        <w:rPr>
          <w:rFonts w:hint="eastAsia"/>
          <w:color w:val="auto"/>
          <w:highlight w:val="none"/>
        </w:rPr>
        <w:t>及资料查阅</w:t>
      </w:r>
      <w:r>
        <w:rPr>
          <w:color w:val="auto"/>
          <w:highlight w:val="none"/>
        </w:rPr>
        <w:t>得知评价区内还分布有鸿雁（Anser cygnoid）、斑头鸺鹠（Glaucidium cuculoides）、中华鹧鸪（Francolinus pintadeanus）、董鸡（Gallicrex cinerea）、黄鼬（Mustela sibirica）、中华鳖（Pelodiscus sinensis）、中国林蛙（Rana chensinensis）等。</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评价区</w:t>
      </w:r>
      <w:r>
        <w:rPr>
          <w:color w:val="auto"/>
          <w:highlight w:val="none"/>
        </w:rPr>
        <w:t>内的国家重点保护野生动物</w:t>
      </w:r>
      <w:r>
        <w:rPr>
          <w:rFonts w:hint="eastAsia"/>
          <w:color w:val="auto"/>
          <w:highlight w:val="none"/>
        </w:rPr>
        <w:t>组成表</w:t>
      </w:r>
    </w:p>
    <w:tbl>
      <w:tblPr>
        <w:tblStyle w:val="17"/>
        <w:tblW w:w="5000" w:type="pct"/>
        <w:tblInd w:w="0" w:type="dxa"/>
        <w:tblLayout w:type="autofit"/>
        <w:tblCellMar>
          <w:top w:w="0" w:type="dxa"/>
          <w:left w:w="108" w:type="dxa"/>
          <w:bottom w:w="0" w:type="dxa"/>
          <w:right w:w="108" w:type="dxa"/>
        </w:tblCellMar>
      </w:tblPr>
      <w:tblGrid>
        <w:gridCol w:w="1026"/>
        <w:gridCol w:w="1696"/>
        <w:gridCol w:w="4182"/>
        <w:gridCol w:w="1696"/>
        <w:gridCol w:w="1026"/>
      </w:tblGrid>
      <w:tr>
        <w:trPr>
          <w:trHeight w:val="397" w:hRule="atLeast"/>
          <w:tblHeader/>
        </w:trPr>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序号</w:t>
            </w:r>
          </w:p>
        </w:tc>
        <w:tc>
          <w:tcPr>
            <w:tcW w:w="881"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动物名称</w:t>
            </w:r>
          </w:p>
        </w:tc>
        <w:tc>
          <w:tcPr>
            <w:tcW w:w="2172"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　</w:t>
            </w:r>
          </w:p>
        </w:tc>
        <w:tc>
          <w:tcPr>
            <w:tcW w:w="881"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保护等级</w:t>
            </w:r>
          </w:p>
        </w:tc>
        <w:tc>
          <w:tcPr>
            <w:tcW w:w="533"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备注</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中华鳖</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Pelodiscus sinensis</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访问</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中国林蛙</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Rana chensinensis</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资料</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3</w:t>
            </w:r>
          </w:p>
        </w:tc>
        <w:tc>
          <w:tcPr>
            <w:tcW w:w="88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小鸊鷉</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Tahybaptus ruficollis poggei</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调查</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4</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鸿雁</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Anser cygnoid</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访问</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苍鹰</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Accipiter bentilis</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调查</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雀鹰</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Accipiter nisus</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资料</w:t>
            </w:r>
          </w:p>
        </w:tc>
      </w:tr>
      <w:tr>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7</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普通鵟</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xml:space="preserve">Buteo buteo </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资料</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8</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红隼</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Falco tinnunculus</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调查</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9</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斑头鸺鹠</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Glaucidium cuculoides</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Ⅱ</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访问</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灰胸竹鸡</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Bambusicola thoracica</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调查</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11</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棕胸竹鸡</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Bambusicola fytchii</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调查</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12</w:t>
            </w:r>
          </w:p>
        </w:tc>
        <w:tc>
          <w:tcPr>
            <w:tcW w:w="881"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黑水鸡</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Gallinula chloropus indica</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访问</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13</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董鸡</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 xml:space="preserve">Gallicrex cinerea </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资料</w:t>
            </w:r>
          </w:p>
        </w:tc>
      </w:tr>
      <w:tr>
        <w:tblPrEx>
          <w:tblCellMar>
            <w:top w:w="0" w:type="dxa"/>
            <w:left w:w="108" w:type="dxa"/>
            <w:bottom w:w="0" w:type="dxa"/>
            <w:right w:w="108" w:type="dxa"/>
          </w:tblCellMar>
        </w:tblPrEx>
        <w:trPr>
          <w:trHeight w:val="397" w:hRule="atLeast"/>
        </w:trPr>
        <w:tc>
          <w:tcPr>
            <w:tcW w:w="533" w:type="pc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14</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黄鼬</w:t>
            </w:r>
          </w:p>
        </w:tc>
        <w:tc>
          <w:tcPr>
            <w:tcW w:w="2172"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Mustela sibirica</w:t>
            </w:r>
          </w:p>
        </w:tc>
        <w:tc>
          <w:tcPr>
            <w:tcW w:w="88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rFonts w:hint="eastAsia"/>
                <w:color w:val="auto"/>
                <w:highlight w:val="none"/>
              </w:rPr>
              <w:t>省级</w:t>
            </w:r>
          </w:p>
        </w:tc>
        <w:tc>
          <w:tcPr>
            <w:tcW w:w="53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访问</w:t>
            </w:r>
          </w:p>
        </w:tc>
      </w:tr>
    </w:tbl>
    <w:p>
      <w:pPr>
        <w:bidi w:val="0"/>
        <w:rPr>
          <w:rFonts w:hint="eastAsia"/>
          <w:color w:val="auto"/>
          <w:highlight w:val="none"/>
          <w:lang w:eastAsia="zh-CN"/>
        </w:rPr>
      </w:pPr>
    </w:p>
    <w:p>
      <w:pPr>
        <w:pStyle w:val="7"/>
        <w:numPr>
          <w:ilvl w:val="0"/>
          <w:numId w:val="0"/>
        </w:numPr>
        <w:bidi w:val="0"/>
        <w:ind w:leftChars="0" w:right="0" w:rightChars="0"/>
        <w:rPr>
          <w:color w:val="auto"/>
          <w:highlight w:val="none"/>
        </w:rPr>
      </w:pPr>
      <w:r>
        <w:rPr>
          <w:rFonts w:hint="eastAsia"/>
          <w:color w:val="auto"/>
          <w:highlight w:val="none"/>
          <w:lang w:val="en-US" w:eastAsia="zh-CN"/>
        </w:rPr>
        <w:t>3.2.6.5 评价区水生生物资源现状</w:t>
      </w:r>
    </w:p>
    <w:p>
      <w:pPr>
        <w:bidi w:val="0"/>
        <w:rPr>
          <w:color w:val="auto"/>
          <w:highlight w:val="none"/>
        </w:rPr>
      </w:pPr>
      <w:r>
        <w:rPr>
          <w:color w:val="auto"/>
          <w:highlight w:val="none"/>
        </w:rPr>
        <w:t>项目</w:t>
      </w:r>
      <w:r>
        <w:rPr>
          <w:rFonts w:hint="eastAsia"/>
          <w:color w:val="auto"/>
          <w:highlight w:val="none"/>
        </w:rPr>
        <w:t>规划区</w:t>
      </w:r>
      <w:r>
        <w:rPr>
          <w:color w:val="auto"/>
          <w:highlight w:val="none"/>
        </w:rPr>
        <w:t>内</w:t>
      </w:r>
      <w:r>
        <w:rPr>
          <w:rFonts w:hint="eastAsia"/>
          <w:color w:val="auto"/>
          <w:highlight w:val="none"/>
        </w:rPr>
        <w:t>有小河流</w:t>
      </w:r>
      <w:r>
        <w:rPr>
          <w:color w:val="auto"/>
          <w:highlight w:val="none"/>
        </w:rPr>
        <w:t>穿过，同时评价区内分布有池塘、小溪流和水田等鱼类生境。本次调查</w:t>
      </w:r>
      <w:r>
        <w:rPr>
          <w:rFonts w:hint="eastAsia"/>
          <w:color w:val="auto"/>
          <w:highlight w:val="none"/>
        </w:rPr>
        <w:t>针对</w:t>
      </w:r>
      <w:r>
        <w:rPr>
          <w:color w:val="auto"/>
          <w:highlight w:val="none"/>
        </w:rPr>
        <w:t>鱼类的统计主要是通过访问周边居民</w:t>
      </w:r>
      <w:r>
        <w:rPr>
          <w:rFonts w:hint="eastAsia"/>
          <w:color w:val="auto"/>
          <w:highlight w:val="none"/>
        </w:rPr>
        <w:t>、</w:t>
      </w:r>
      <w:r>
        <w:rPr>
          <w:color w:val="auto"/>
          <w:highlight w:val="none"/>
        </w:rPr>
        <w:t>钓鱼爱好者及查阅资料获得，</w:t>
      </w:r>
      <w:r>
        <w:rPr>
          <w:rFonts w:hint="eastAsia"/>
          <w:color w:val="auto"/>
          <w:highlight w:val="none"/>
        </w:rPr>
        <w:t>鱼类组成</w:t>
      </w:r>
      <w:r>
        <w:rPr>
          <w:color w:val="auto"/>
          <w:highlight w:val="none"/>
        </w:rPr>
        <w:t>主要是经济鱼类。原因主要是因为评价区内</w:t>
      </w:r>
      <w:r>
        <w:rPr>
          <w:rFonts w:hint="eastAsia"/>
          <w:color w:val="auto"/>
          <w:highlight w:val="none"/>
        </w:rPr>
        <w:t>的河流</w:t>
      </w:r>
      <w:r>
        <w:rPr>
          <w:color w:val="auto"/>
          <w:highlight w:val="none"/>
        </w:rPr>
        <w:t>径流量小，且受</w:t>
      </w:r>
      <w:r>
        <w:rPr>
          <w:rFonts w:hint="eastAsia"/>
          <w:color w:val="auto"/>
          <w:highlight w:val="none"/>
        </w:rPr>
        <w:t>农村</w:t>
      </w:r>
      <w:r>
        <w:rPr>
          <w:color w:val="auto"/>
          <w:highlight w:val="none"/>
        </w:rPr>
        <w:t>面源污染的影响，水质条件相对一般</w:t>
      </w:r>
      <w:r>
        <w:rPr>
          <w:rFonts w:hint="eastAsia"/>
          <w:color w:val="auto"/>
          <w:highlight w:val="none"/>
        </w:rPr>
        <w:t>，未发现有显著的鱼类“三场”分布。同时，</w:t>
      </w:r>
      <w:r>
        <w:rPr>
          <w:color w:val="auto"/>
          <w:highlight w:val="none"/>
        </w:rPr>
        <w:t>区域零星分布的池塘</w:t>
      </w:r>
      <w:r>
        <w:rPr>
          <w:rFonts w:hint="eastAsia"/>
          <w:color w:val="auto"/>
          <w:highlight w:val="none"/>
        </w:rPr>
        <w:t>主要</w:t>
      </w:r>
      <w:r>
        <w:rPr>
          <w:color w:val="auto"/>
          <w:highlight w:val="none"/>
        </w:rPr>
        <w:t>是养殖经济鱼类</w:t>
      </w:r>
      <w:r>
        <w:rPr>
          <w:rFonts w:hint="eastAsia"/>
          <w:color w:val="auto"/>
          <w:highlight w:val="none"/>
        </w:rPr>
        <w:t>，</w:t>
      </w:r>
      <w:r>
        <w:rPr>
          <w:color w:val="auto"/>
          <w:highlight w:val="none"/>
        </w:rPr>
        <w:t>兼有灌溉作用。</w:t>
      </w:r>
    </w:p>
    <w:p>
      <w:pPr>
        <w:bidi w:val="0"/>
        <w:rPr>
          <w:color w:val="auto"/>
          <w:highlight w:val="none"/>
        </w:rPr>
      </w:pPr>
      <w:r>
        <w:rPr>
          <w:color w:val="auto"/>
          <w:highlight w:val="none"/>
        </w:rPr>
        <w:t>由于生存环境的限制，</w:t>
      </w:r>
      <w:r>
        <w:rPr>
          <w:rFonts w:hint="eastAsia"/>
          <w:color w:val="auto"/>
          <w:highlight w:val="none"/>
        </w:rPr>
        <w:t>项目工程</w:t>
      </w:r>
      <w:r>
        <w:rPr>
          <w:color w:val="auto"/>
          <w:highlight w:val="none"/>
        </w:rPr>
        <w:t>评价区内鱼类</w:t>
      </w:r>
      <w:r>
        <w:rPr>
          <w:rFonts w:hint="eastAsia"/>
          <w:color w:val="auto"/>
          <w:highlight w:val="none"/>
        </w:rPr>
        <w:t>组成</w:t>
      </w:r>
      <w:r>
        <w:rPr>
          <w:color w:val="auto"/>
          <w:highlight w:val="none"/>
        </w:rPr>
        <w:t>主要有鲤鱼（Cyprinus carpio）、草鱼（Ctenopharyngodon idellus）、鲫鱼（Carassius auratus）、青鱼</w:t>
      </w:r>
      <w:r>
        <w:rPr>
          <w:rFonts w:hint="eastAsia"/>
          <w:color w:val="auto"/>
          <w:highlight w:val="none"/>
        </w:rPr>
        <w:t>（</w:t>
      </w:r>
      <w:r>
        <w:rPr>
          <w:color w:val="auto"/>
          <w:highlight w:val="none"/>
        </w:rPr>
        <w:t>Mylopharyngodon piceus</w:t>
      </w:r>
      <w:r>
        <w:rPr>
          <w:rFonts w:hint="eastAsia"/>
          <w:color w:val="auto"/>
          <w:highlight w:val="none"/>
        </w:rPr>
        <w:t>）、鲢鱼（Hypophthalmichthys molitrix）、鳙鱼（Aristichthys nobilis）、</w:t>
      </w:r>
      <w:r>
        <w:rPr>
          <w:color w:val="auto"/>
          <w:highlight w:val="none"/>
        </w:rPr>
        <w:t>麦穗鱼(Pseudorasbora parva.)</w:t>
      </w:r>
      <w:r>
        <w:rPr>
          <w:rFonts w:hint="eastAsia"/>
          <w:color w:val="auto"/>
          <w:highlight w:val="none"/>
        </w:rPr>
        <w:t>、</w:t>
      </w:r>
      <w:r>
        <w:rPr>
          <w:color w:val="auto"/>
          <w:highlight w:val="none"/>
        </w:rPr>
        <w:t>棒花鱼(Abborttina rwularis)</w:t>
      </w:r>
      <w:r>
        <w:rPr>
          <w:rFonts w:hint="eastAsia"/>
          <w:color w:val="auto"/>
          <w:highlight w:val="none"/>
        </w:rPr>
        <w:t>、、翘嘴(红)鲌（Erythroculler ilishaeformis）</w:t>
      </w:r>
      <w:r>
        <w:rPr>
          <w:color w:val="auto"/>
          <w:highlight w:val="none"/>
        </w:rPr>
        <w:t>等</w:t>
      </w:r>
      <w:r>
        <w:rPr>
          <w:rFonts w:hint="eastAsia"/>
          <w:color w:val="auto"/>
          <w:highlight w:val="none"/>
        </w:rPr>
        <w:t>。鱼类</w:t>
      </w:r>
      <w:r>
        <w:rPr>
          <w:color w:val="auto"/>
          <w:highlight w:val="none"/>
        </w:rPr>
        <w:t>组成中以鲤形目、鲤科鱼类为主，主要是常见的经济鱼类</w:t>
      </w:r>
      <w:r>
        <w:rPr>
          <w:rFonts w:hint="eastAsia"/>
          <w:color w:val="auto"/>
          <w:highlight w:val="none"/>
        </w:rPr>
        <w:t>。</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评价区</w:t>
      </w:r>
      <w:r>
        <w:rPr>
          <w:color w:val="auto"/>
          <w:highlight w:val="none"/>
        </w:rPr>
        <w:t>内的</w:t>
      </w:r>
      <w:r>
        <w:rPr>
          <w:rFonts w:hint="eastAsia"/>
          <w:color w:val="auto"/>
          <w:highlight w:val="none"/>
        </w:rPr>
        <w:t>鱼类组成表</w:t>
      </w:r>
    </w:p>
    <w:tbl>
      <w:tblPr>
        <w:tblStyle w:val="17"/>
        <w:tblW w:w="5000" w:type="pct"/>
        <w:tblInd w:w="0" w:type="dxa"/>
        <w:tblLayout w:type="autofit"/>
        <w:tblCellMar>
          <w:top w:w="0" w:type="dxa"/>
          <w:left w:w="108" w:type="dxa"/>
          <w:bottom w:w="0" w:type="dxa"/>
          <w:right w:w="108" w:type="dxa"/>
        </w:tblCellMar>
      </w:tblPr>
      <w:tblGrid>
        <w:gridCol w:w="1107"/>
        <w:gridCol w:w="1070"/>
        <w:gridCol w:w="2582"/>
        <w:gridCol w:w="1124"/>
        <w:gridCol w:w="1667"/>
        <w:gridCol w:w="980"/>
        <w:gridCol w:w="1096"/>
      </w:tblGrid>
      <w:tr>
        <w:tblPrEx>
          <w:tblCellMar>
            <w:top w:w="0" w:type="dxa"/>
            <w:left w:w="108" w:type="dxa"/>
            <w:bottom w:w="0" w:type="dxa"/>
            <w:right w:w="108" w:type="dxa"/>
          </w:tblCellMar>
        </w:tblPrEx>
        <w:trPr>
          <w:trHeight w:val="425" w:hRule="atLeast"/>
        </w:trPr>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序号</w:t>
            </w:r>
          </w:p>
        </w:tc>
        <w:tc>
          <w:tcPr>
            <w:tcW w:w="556"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目</w:t>
            </w:r>
          </w:p>
        </w:tc>
        <w:tc>
          <w:tcPr>
            <w:tcW w:w="1341"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584"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科</w:t>
            </w:r>
          </w:p>
        </w:tc>
        <w:tc>
          <w:tcPr>
            <w:tcW w:w="866"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拉丁名</w:t>
            </w:r>
          </w:p>
        </w:tc>
        <w:tc>
          <w:tcPr>
            <w:tcW w:w="509"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种</w:t>
            </w:r>
          </w:p>
        </w:tc>
        <w:tc>
          <w:tcPr>
            <w:tcW w:w="569" w:type="pct"/>
            <w:tcBorders>
              <w:top w:val="single" w:color="auto" w:sz="4" w:space="0"/>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比例</w:t>
            </w:r>
          </w:p>
        </w:tc>
      </w:tr>
      <w:tr>
        <w:tblPrEx>
          <w:tblCellMar>
            <w:top w:w="0" w:type="dxa"/>
            <w:left w:w="108" w:type="dxa"/>
            <w:bottom w:w="0" w:type="dxa"/>
            <w:right w:w="108" w:type="dxa"/>
          </w:tblCellMar>
        </w:tblPrEx>
        <w:trPr>
          <w:trHeight w:val="425"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556" w:type="pct"/>
            <w:vMerge w:val="restar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无尾目</w:t>
            </w:r>
          </w:p>
        </w:tc>
        <w:tc>
          <w:tcPr>
            <w:tcW w:w="1341" w:type="pct"/>
            <w:vMerge w:val="restart"/>
            <w:tcBorders>
              <w:top w:val="nil"/>
              <w:left w:val="single" w:color="auto" w:sz="4" w:space="0"/>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CYPRINIFORMES</w:t>
            </w:r>
          </w:p>
        </w:tc>
        <w:tc>
          <w:tcPr>
            <w:tcW w:w="5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鳅科</w:t>
            </w:r>
          </w:p>
        </w:tc>
        <w:tc>
          <w:tcPr>
            <w:tcW w:w="866"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Cobitidae</w:t>
            </w:r>
          </w:p>
        </w:tc>
        <w:tc>
          <w:tcPr>
            <w:tcW w:w="50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6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10.53%</w:t>
            </w:r>
          </w:p>
        </w:tc>
      </w:tr>
      <w:tr>
        <w:tblPrEx>
          <w:tblCellMar>
            <w:top w:w="0" w:type="dxa"/>
            <w:left w:w="108" w:type="dxa"/>
            <w:bottom w:w="0" w:type="dxa"/>
            <w:right w:w="108" w:type="dxa"/>
          </w:tblCellMar>
        </w:tblPrEx>
        <w:trPr>
          <w:trHeight w:val="425"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556"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1341" w:type="pct"/>
            <w:vMerge w:val="continue"/>
            <w:tcBorders>
              <w:top w:val="nil"/>
              <w:left w:val="single" w:color="auto" w:sz="4" w:space="0"/>
              <w:bottom w:val="single" w:color="auto" w:sz="4" w:space="0"/>
              <w:right w:val="single" w:color="auto" w:sz="4" w:space="0"/>
            </w:tcBorders>
            <w:vAlign w:val="center"/>
          </w:tcPr>
          <w:p>
            <w:pPr>
              <w:pStyle w:val="22"/>
              <w:bidi w:val="0"/>
              <w:rPr>
                <w:color w:val="auto"/>
                <w:highlight w:val="none"/>
              </w:rPr>
            </w:pPr>
          </w:p>
        </w:tc>
        <w:tc>
          <w:tcPr>
            <w:tcW w:w="5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鲤科</w:t>
            </w:r>
          </w:p>
        </w:tc>
        <w:tc>
          <w:tcPr>
            <w:tcW w:w="866"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Cyprinidae</w:t>
            </w:r>
          </w:p>
        </w:tc>
        <w:tc>
          <w:tcPr>
            <w:tcW w:w="50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13</w:t>
            </w:r>
          </w:p>
        </w:tc>
        <w:tc>
          <w:tcPr>
            <w:tcW w:w="56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68.42%</w:t>
            </w:r>
          </w:p>
        </w:tc>
      </w:tr>
      <w:tr>
        <w:tblPrEx>
          <w:tblCellMar>
            <w:top w:w="0" w:type="dxa"/>
            <w:left w:w="108" w:type="dxa"/>
            <w:bottom w:w="0" w:type="dxa"/>
            <w:right w:w="108" w:type="dxa"/>
          </w:tblCellMar>
        </w:tblPrEx>
        <w:trPr>
          <w:trHeight w:val="425"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556"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鲇形目</w:t>
            </w:r>
          </w:p>
        </w:tc>
        <w:tc>
          <w:tcPr>
            <w:tcW w:w="134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SILURIFORMES</w:t>
            </w:r>
          </w:p>
        </w:tc>
        <w:tc>
          <w:tcPr>
            <w:tcW w:w="5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鲇科</w:t>
            </w:r>
          </w:p>
        </w:tc>
        <w:tc>
          <w:tcPr>
            <w:tcW w:w="866"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Siluridae</w:t>
            </w:r>
          </w:p>
        </w:tc>
        <w:tc>
          <w:tcPr>
            <w:tcW w:w="50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2</w:t>
            </w:r>
          </w:p>
        </w:tc>
        <w:tc>
          <w:tcPr>
            <w:tcW w:w="56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10.53%</w:t>
            </w:r>
          </w:p>
        </w:tc>
      </w:tr>
      <w:tr>
        <w:tblPrEx>
          <w:tblCellMar>
            <w:top w:w="0" w:type="dxa"/>
            <w:left w:w="108" w:type="dxa"/>
            <w:bottom w:w="0" w:type="dxa"/>
            <w:right w:w="108" w:type="dxa"/>
          </w:tblCellMar>
        </w:tblPrEx>
        <w:trPr>
          <w:trHeight w:val="425"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556"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合鳃鱼目</w:t>
            </w:r>
          </w:p>
        </w:tc>
        <w:tc>
          <w:tcPr>
            <w:tcW w:w="134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SYMBRANCHIFORMESS</w:t>
            </w:r>
          </w:p>
        </w:tc>
        <w:tc>
          <w:tcPr>
            <w:tcW w:w="5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合鳃鱼科</w:t>
            </w:r>
          </w:p>
        </w:tc>
        <w:tc>
          <w:tcPr>
            <w:tcW w:w="866"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Synbranchidae</w:t>
            </w:r>
          </w:p>
        </w:tc>
        <w:tc>
          <w:tcPr>
            <w:tcW w:w="50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6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5.26%</w:t>
            </w:r>
          </w:p>
        </w:tc>
      </w:tr>
      <w:tr>
        <w:tblPrEx>
          <w:tblCellMar>
            <w:top w:w="0" w:type="dxa"/>
            <w:left w:w="108" w:type="dxa"/>
            <w:bottom w:w="0" w:type="dxa"/>
            <w:right w:w="108" w:type="dxa"/>
          </w:tblCellMar>
        </w:tblPrEx>
        <w:trPr>
          <w:trHeight w:val="425"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556"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鲈形目</w:t>
            </w:r>
          </w:p>
        </w:tc>
        <w:tc>
          <w:tcPr>
            <w:tcW w:w="1341"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PERCIFORMES</w:t>
            </w:r>
          </w:p>
        </w:tc>
        <w:tc>
          <w:tcPr>
            <w:tcW w:w="584"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鳢科</w:t>
            </w:r>
          </w:p>
        </w:tc>
        <w:tc>
          <w:tcPr>
            <w:tcW w:w="866"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Channidae</w:t>
            </w:r>
          </w:p>
        </w:tc>
        <w:tc>
          <w:tcPr>
            <w:tcW w:w="50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w:t>
            </w:r>
          </w:p>
        </w:tc>
        <w:tc>
          <w:tcPr>
            <w:tcW w:w="56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5.26%</w:t>
            </w:r>
          </w:p>
        </w:tc>
      </w:tr>
      <w:tr>
        <w:tblPrEx>
          <w:tblCellMar>
            <w:top w:w="0" w:type="dxa"/>
            <w:left w:w="108" w:type="dxa"/>
            <w:bottom w:w="0" w:type="dxa"/>
            <w:right w:w="108" w:type="dxa"/>
          </w:tblCellMar>
        </w:tblPrEx>
        <w:trPr>
          <w:trHeight w:val="425"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6</w:t>
            </w:r>
          </w:p>
        </w:tc>
        <w:tc>
          <w:tcPr>
            <w:tcW w:w="1897" w:type="pct"/>
            <w:gridSpan w:val="2"/>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4目</w:t>
            </w:r>
          </w:p>
        </w:tc>
        <w:tc>
          <w:tcPr>
            <w:tcW w:w="1450" w:type="pct"/>
            <w:gridSpan w:val="2"/>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5科</w:t>
            </w:r>
          </w:p>
        </w:tc>
        <w:tc>
          <w:tcPr>
            <w:tcW w:w="50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19</w:t>
            </w:r>
          </w:p>
        </w:tc>
        <w:tc>
          <w:tcPr>
            <w:tcW w:w="569" w:type="pct"/>
            <w:tcBorders>
              <w:top w:val="nil"/>
              <w:left w:val="nil"/>
              <w:bottom w:val="single" w:color="auto" w:sz="4" w:space="0"/>
              <w:right w:val="single" w:color="auto" w:sz="4" w:space="0"/>
            </w:tcBorders>
            <w:shd w:val="clear" w:color="auto" w:fill="auto"/>
            <w:vAlign w:val="center"/>
          </w:tcPr>
          <w:p>
            <w:pPr>
              <w:pStyle w:val="22"/>
              <w:bidi w:val="0"/>
              <w:rPr>
                <w:color w:val="auto"/>
                <w:highlight w:val="none"/>
              </w:rPr>
            </w:pPr>
            <w:r>
              <w:rPr>
                <w:color w:val="auto"/>
                <w:highlight w:val="none"/>
              </w:rPr>
              <w:t>100.00%</w:t>
            </w:r>
          </w:p>
        </w:tc>
      </w:tr>
    </w:tbl>
    <w:p>
      <w:pPr>
        <w:bidi w:val="0"/>
        <w:rPr>
          <w:rFonts w:eastAsia="仿宋_GB2312"/>
          <w:color w:val="auto"/>
          <w:kern w:val="0"/>
          <w:highlight w:val="none"/>
        </w:rPr>
      </w:pPr>
      <w:r>
        <w:rPr>
          <w:rFonts w:hint="eastAsia"/>
          <w:color w:val="auto"/>
          <w:highlight w:val="none"/>
        </w:rPr>
        <w:t>此外，在评价区内的溪流边及水田边调查记录有醉鱼草、鱼眼草、碎米莎草（Cyperus iria）、香附子（Cyperus rotundus）、异型莎草（Cyperus difformis）、扁穗莎草（Cyperus compressus）、垂穗莎草（Cyperus nutans）、鸭跖草（Commelina communis）等湿地植物</w:t>
      </w:r>
      <w:r>
        <w:rPr>
          <w:color w:val="auto"/>
          <w:highlight w:val="none"/>
        </w:rPr>
        <w:t>。</w:t>
      </w:r>
      <w:r>
        <w:rPr>
          <w:rFonts w:hint="eastAsia"/>
          <w:color w:val="auto"/>
          <w:highlight w:val="none"/>
        </w:rPr>
        <w:t>同时，还调查记录有田螺、螃蟹、水蚤等水生动物。</w:t>
      </w:r>
    </w:p>
    <w:p>
      <w:pPr>
        <w:bidi w:val="0"/>
        <w:rPr>
          <w:rFonts w:hint="eastAsia"/>
          <w:color w:val="auto"/>
          <w:highlight w:val="none"/>
          <w:lang w:eastAsia="zh-CN"/>
        </w:rPr>
      </w:pPr>
    </w:p>
    <w:p>
      <w:pPr>
        <w:pStyle w:val="7"/>
        <w:numPr>
          <w:ilvl w:val="0"/>
          <w:numId w:val="0"/>
        </w:numPr>
        <w:bidi w:val="0"/>
        <w:ind w:leftChars="0" w:right="0" w:rightChars="0"/>
        <w:rPr>
          <w:rFonts w:hint="default"/>
          <w:color w:val="auto"/>
          <w:highlight w:val="none"/>
          <w:lang w:val="en-US"/>
        </w:rPr>
      </w:pPr>
      <w:r>
        <w:rPr>
          <w:rFonts w:hint="eastAsia"/>
          <w:color w:val="auto"/>
          <w:highlight w:val="none"/>
          <w:lang w:val="en-US" w:eastAsia="zh-CN"/>
        </w:rPr>
        <w:t>3.2.6.6 评价区景观/生态现状及特征</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）生态系统类型及面积</w:t>
      </w:r>
    </w:p>
    <w:p>
      <w:pPr>
        <w:bidi w:val="0"/>
        <w:rPr>
          <w:rFonts w:hint="eastAsia" w:eastAsia="宋体"/>
          <w:color w:val="auto"/>
          <w:highlight w:val="none"/>
          <w:lang w:eastAsia="zh-CN"/>
        </w:rPr>
      </w:pPr>
      <w:r>
        <w:rPr>
          <w:rFonts w:hint="eastAsia"/>
          <w:color w:val="auto"/>
          <w:highlight w:val="none"/>
          <w:lang w:eastAsia="zh-CN"/>
        </w:rPr>
        <w:t>①生态系统类型及面积</w:t>
      </w:r>
    </w:p>
    <w:p>
      <w:pPr>
        <w:bidi w:val="0"/>
        <w:rPr>
          <w:color w:val="auto"/>
          <w:highlight w:val="none"/>
        </w:rPr>
      </w:pPr>
      <w:r>
        <w:rPr>
          <w:rFonts w:hint="eastAsia"/>
          <w:color w:val="auto"/>
          <w:highlight w:val="none"/>
        </w:rPr>
        <w:t>达州市大竹县</w:t>
      </w:r>
      <w:r>
        <w:rPr>
          <w:color w:val="auto"/>
          <w:highlight w:val="none"/>
        </w:rPr>
        <w:t>煤炭矿区总体规划项目生态影响评价区面积为</w:t>
      </w:r>
      <w:r>
        <w:rPr>
          <w:rFonts w:hint="eastAsia"/>
          <w:color w:val="auto"/>
          <w:highlight w:val="none"/>
          <w:lang w:val="en-US" w:eastAsia="zh-CN"/>
        </w:rPr>
        <w:t>279.70</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；评价区域内，主要有森林生态系统、灌</w:t>
      </w:r>
      <w:r>
        <w:rPr>
          <w:rFonts w:hint="eastAsia"/>
          <w:color w:val="auto"/>
          <w:highlight w:val="none"/>
        </w:rPr>
        <w:t>草</w:t>
      </w:r>
      <w:r>
        <w:rPr>
          <w:color w:val="auto"/>
          <w:highlight w:val="none"/>
        </w:rPr>
        <w:t>丛生态系统、道路生态系统、水域生态系统和农田</w:t>
      </w:r>
      <w:r>
        <w:rPr>
          <w:rFonts w:hint="eastAsia"/>
          <w:color w:val="auto"/>
          <w:highlight w:val="none"/>
        </w:rPr>
        <w:t>聚落</w:t>
      </w:r>
      <w:r>
        <w:rPr>
          <w:color w:val="auto"/>
          <w:highlight w:val="none"/>
        </w:rPr>
        <w:t>生态系统5类生态系统。各生态系统中，森林生态系统、灌</w:t>
      </w:r>
      <w:r>
        <w:rPr>
          <w:rFonts w:hint="eastAsia"/>
          <w:color w:val="auto"/>
          <w:highlight w:val="none"/>
        </w:rPr>
        <w:t>草</w:t>
      </w:r>
      <w:r>
        <w:rPr>
          <w:color w:val="auto"/>
          <w:highlight w:val="none"/>
        </w:rPr>
        <w:t>丛生态系统和水域生态系统属自然生态系统；农田</w:t>
      </w:r>
      <w:r>
        <w:rPr>
          <w:rFonts w:hint="eastAsia"/>
          <w:color w:val="auto"/>
          <w:highlight w:val="none"/>
        </w:rPr>
        <w:t>聚落</w:t>
      </w:r>
      <w:r>
        <w:rPr>
          <w:color w:val="auto"/>
          <w:highlight w:val="none"/>
        </w:rPr>
        <w:t>生态系统和城镇道路生态系统属人工生态系统。评价区内各类生态系统面积和比例</w:t>
      </w:r>
      <w:r>
        <w:rPr>
          <w:rFonts w:hint="eastAsia"/>
          <w:color w:val="auto"/>
          <w:highlight w:val="none"/>
        </w:rPr>
        <w:t>见表</w:t>
      </w:r>
      <w:r>
        <w:rPr>
          <w:color w:val="auto"/>
          <w:highlight w:val="none"/>
        </w:rPr>
        <w:t>4-18。</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w:t>
      </w:r>
      <w:r>
        <w:rPr>
          <w:rFonts w:hint="eastAsia"/>
          <w:color w:val="auto"/>
          <w:highlight w:val="none"/>
        </w:rPr>
        <w:t>评价区</w:t>
      </w:r>
      <w:r>
        <w:rPr>
          <w:color w:val="auto"/>
          <w:highlight w:val="none"/>
        </w:rPr>
        <w:t>各生态系统面积及其比例统计表</w:t>
      </w:r>
    </w:p>
    <w:tbl>
      <w:tblPr>
        <w:tblStyle w:val="17"/>
        <w:tblW w:w="5000" w:type="pct"/>
        <w:tblInd w:w="0" w:type="dxa"/>
        <w:tblLayout w:type="autofit"/>
        <w:tblCellMar>
          <w:top w:w="0" w:type="dxa"/>
          <w:left w:w="108" w:type="dxa"/>
          <w:bottom w:w="0" w:type="dxa"/>
          <w:right w:w="108" w:type="dxa"/>
        </w:tblCellMar>
      </w:tblPr>
      <w:tblGrid>
        <w:gridCol w:w="1010"/>
        <w:gridCol w:w="2971"/>
        <w:gridCol w:w="1789"/>
        <w:gridCol w:w="3856"/>
      </w:tblGrid>
      <w:tr>
        <w:tblPrEx>
          <w:tblCellMar>
            <w:top w:w="0" w:type="dxa"/>
            <w:left w:w="108" w:type="dxa"/>
            <w:bottom w:w="0" w:type="dxa"/>
            <w:right w:w="108" w:type="dxa"/>
          </w:tblCellMar>
        </w:tblPrEx>
        <w:trPr>
          <w:trHeight w:val="425" w:hRule="atLeast"/>
        </w:trPr>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序号</w:t>
            </w:r>
          </w:p>
        </w:tc>
        <w:tc>
          <w:tcPr>
            <w:tcW w:w="154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生态系统类型</w:t>
            </w:r>
          </w:p>
        </w:tc>
        <w:tc>
          <w:tcPr>
            <w:tcW w:w="929"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面积</w:t>
            </w:r>
            <w:r>
              <w:rPr>
                <w:color w:val="auto"/>
                <w:highlight w:val="none"/>
              </w:rPr>
              <w:t>(</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w:t>
            </w:r>
          </w:p>
        </w:tc>
        <w:tc>
          <w:tcPr>
            <w:tcW w:w="2003" w:type="pct"/>
            <w:tcBorders>
              <w:top w:val="single" w:color="auto" w:sz="4" w:space="0"/>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占评价区面积的比例</w:t>
            </w:r>
            <w:r>
              <w:rPr>
                <w:color w:val="auto"/>
                <w:highlight w:val="none"/>
              </w:rPr>
              <w:t>(%)</w:t>
            </w:r>
          </w:p>
        </w:tc>
      </w:tr>
      <w:tr>
        <w:tblPrEx>
          <w:tblCellMar>
            <w:top w:w="0" w:type="dxa"/>
            <w:left w:w="108" w:type="dxa"/>
            <w:bottom w:w="0" w:type="dxa"/>
            <w:right w:w="108" w:type="dxa"/>
          </w:tblCellMar>
        </w:tblPrEx>
        <w:trPr>
          <w:trHeight w:val="425" w:hRule="atLeast"/>
        </w:trPr>
        <w:tc>
          <w:tcPr>
            <w:tcW w:w="52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1</w:t>
            </w:r>
          </w:p>
        </w:tc>
        <w:tc>
          <w:tcPr>
            <w:tcW w:w="154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森林生态系统</w:t>
            </w:r>
          </w:p>
        </w:tc>
        <w:tc>
          <w:tcPr>
            <w:tcW w:w="1789"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139.79</w:t>
            </w:r>
          </w:p>
        </w:tc>
        <w:tc>
          <w:tcPr>
            <w:tcW w:w="3856"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49.98%</w:t>
            </w:r>
          </w:p>
        </w:tc>
      </w:tr>
      <w:tr>
        <w:tblPrEx>
          <w:tblCellMar>
            <w:top w:w="0" w:type="dxa"/>
            <w:left w:w="108" w:type="dxa"/>
            <w:bottom w:w="0" w:type="dxa"/>
            <w:right w:w="108" w:type="dxa"/>
          </w:tblCellMar>
        </w:tblPrEx>
        <w:trPr>
          <w:trHeight w:val="425" w:hRule="atLeast"/>
        </w:trPr>
        <w:tc>
          <w:tcPr>
            <w:tcW w:w="52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2</w:t>
            </w:r>
          </w:p>
        </w:tc>
        <w:tc>
          <w:tcPr>
            <w:tcW w:w="154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灌草丛生态系统</w:t>
            </w:r>
          </w:p>
        </w:tc>
        <w:tc>
          <w:tcPr>
            <w:tcW w:w="1789"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53.90</w:t>
            </w:r>
          </w:p>
        </w:tc>
        <w:tc>
          <w:tcPr>
            <w:tcW w:w="3856"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19.27%</w:t>
            </w:r>
          </w:p>
        </w:tc>
      </w:tr>
      <w:tr>
        <w:tblPrEx>
          <w:tblCellMar>
            <w:top w:w="0" w:type="dxa"/>
            <w:left w:w="108" w:type="dxa"/>
            <w:bottom w:w="0" w:type="dxa"/>
            <w:right w:w="108" w:type="dxa"/>
          </w:tblCellMar>
        </w:tblPrEx>
        <w:trPr>
          <w:trHeight w:val="425" w:hRule="atLeast"/>
        </w:trPr>
        <w:tc>
          <w:tcPr>
            <w:tcW w:w="52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3</w:t>
            </w:r>
          </w:p>
        </w:tc>
        <w:tc>
          <w:tcPr>
            <w:tcW w:w="154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农田聚落生态系统</w:t>
            </w:r>
          </w:p>
        </w:tc>
        <w:tc>
          <w:tcPr>
            <w:tcW w:w="1789"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82.54</w:t>
            </w:r>
          </w:p>
        </w:tc>
        <w:tc>
          <w:tcPr>
            <w:tcW w:w="3856"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29.51%</w:t>
            </w:r>
          </w:p>
        </w:tc>
      </w:tr>
      <w:tr>
        <w:tblPrEx>
          <w:tblCellMar>
            <w:top w:w="0" w:type="dxa"/>
            <w:left w:w="108" w:type="dxa"/>
            <w:bottom w:w="0" w:type="dxa"/>
            <w:right w:w="108" w:type="dxa"/>
          </w:tblCellMar>
        </w:tblPrEx>
        <w:trPr>
          <w:trHeight w:val="425" w:hRule="atLeast"/>
        </w:trPr>
        <w:tc>
          <w:tcPr>
            <w:tcW w:w="52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4</w:t>
            </w:r>
          </w:p>
        </w:tc>
        <w:tc>
          <w:tcPr>
            <w:tcW w:w="154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城镇道路生态系统</w:t>
            </w:r>
          </w:p>
        </w:tc>
        <w:tc>
          <w:tcPr>
            <w:tcW w:w="1789"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2.94</w:t>
            </w:r>
          </w:p>
        </w:tc>
        <w:tc>
          <w:tcPr>
            <w:tcW w:w="3856"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1.05%</w:t>
            </w:r>
          </w:p>
        </w:tc>
      </w:tr>
      <w:tr>
        <w:tblPrEx>
          <w:tblCellMar>
            <w:top w:w="0" w:type="dxa"/>
            <w:left w:w="108" w:type="dxa"/>
            <w:bottom w:w="0" w:type="dxa"/>
            <w:right w:w="108" w:type="dxa"/>
          </w:tblCellMar>
        </w:tblPrEx>
        <w:trPr>
          <w:trHeight w:val="425" w:hRule="atLeast"/>
        </w:trPr>
        <w:tc>
          <w:tcPr>
            <w:tcW w:w="525" w:type="pct"/>
            <w:tcBorders>
              <w:top w:val="nil"/>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color w:val="auto"/>
                <w:highlight w:val="none"/>
              </w:rPr>
              <w:t>5</w:t>
            </w:r>
          </w:p>
        </w:tc>
        <w:tc>
          <w:tcPr>
            <w:tcW w:w="1543" w:type="pct"/>
            <w:tcBorders>
              <w:top w:val="nil"/>
              <w:left w:val="nil"/>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水域生态系统</w:t>
            </w:r>
          </w:p>
        </w:tc>
        <w:tc>
          <w:tcPr>
            <w:tcW w:w="1789"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0.54</w:t>
            </w:r>
          </w:p>
        </w:tc>
        <w:tc>
          <w:tcPr>
            <w:tcW w:w="3856"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0.19%</w:t>
            </w:r>
          </w:p>
        </w:tc>
      </w:tr>
      <w:tr>
        <w:tblPrEx>
          <w:tblCellMar>
            <w:top w:w="0" w:type="dxa"/>
            <w:left w:w="108" w:type="dxa"/>
            <w:bottom w:w="0" w:type="dxa"/>
            <w:right w:w="108" w:type="dxa"/>
          </w:tblCellMar>
        </w:tblPrEx>
        <w:trPr>
          <w:trHeight w:val="425" w:hRule="atLeast"/>
        </w:trPr>
        <w:tc>
          <w:tcPr>
            <w:tcW w:w="206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22"/>
              <w:bidi w:val="0"/>
              <w:rPr>
                <w:color w:val="auto"/>
                <w:highlight w:val="none"/>
              </w:rPr>
            </w:pPr>
            <w:r>
              <w:rPr>
                <w:rFonts w:hint="eastAsia"/>
                <w:color w:val="auto"/>
                <w:highlight w:val="none"/>
              </w:rPr>
              <w:t>合计</w:t>
            </w:r>
          </w:p>
        </w:tc>
        <w:tc>
          <w:tcPr>
            <w:tcW w:w="1789"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279.70</w:t>
            </w:r>
          </w:p>
        </w:tc>
        <w:tc>
          <w:tcPr>
            <w:tcW w:w="3856" w:type="dxa"/>
            <w:tcBorders>
              <w:top w:val="nil"/>
              <w:left w:val="nil"/>
              <w:bottom w:val="single" w:color="auto" w:sz="4" w:space="0"/>
              <w:right w:val="single" w:color="auto" w:sz="4"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100.00%</w:t>
            </w:r>
          </w:p>
        </w:tc>
      </w:tr>
    </w:tbl>
    <w:p>
      <w:pPr>
        <w:bidi w:val="0"/>
        <w:rPr>
          <w:color w:val="auto"/>
          <w:highlight w:val="none"/>
        </w:rPr>
      </w:pPr>
      <w:r>
        <w:rPr>
          <w:color w:val="auto"/>
          <w:highlight w:val="none"/>
        </w:rPr>
        <w:t>从上表可知，各类生态系统中，森林生态系统面积最大</w:t>
      </w:r>
      <w:r>
        <w:rPr>
          <w:rFonts w:hint="eastAsia"/>
          <w:color w:val="auto"/>
          <w:highlight w:val="none"/>
        </w:rPr>
        <w:t>（</w:t>
      </w:r>
      <w:r>
        <w:rPr>
          <w:color w:val="auto"/>
          <w:highlight w:val="none"/>
        </w:rPr>
        <w:t>139.79</w:t>
      </w:r>
      <w:r>
        <w:rPr>
          <w:rFonts w:hint="eastAsia"/>
          <w:color w:val="auto"/>
          <w:highlight w:val="none"/>
        </w:rPr>
        <w:t>km</w:t>
      </w:r>
      <w:r>
        <w:rPr>
          <w:color w:val="auto"/>
          <w:highlight w:val="none"/>
          <w:vertAlign w:val="superscript"/>
        </w:rPr>
        <w:t>2</w:t>
      </w:r>
      <w:r>
        <w:rPr>
          <w:rFonts w:hint="eastAsia"/>
          <w:color w:val="auto"/>
          <w:highlight w:val="none"/>
        </w:rPr>
        <w:t>）</w:t>
      </w:r>
      <w:r>
        <w:rPr>
          <w:color w:val="auto"/>
          <w:highlight w:val="none"/>
        </w:rPr>
        <w:t>，占评价区面积的49.98%，可见评价区内植被状况较好；农田</w:t>
      </w:r>
      <w:r>
        <w:rPr>
          <w:rFonts w:hint="eastAsia"/>
          <w:color w:val="auto"/>
          <w:highlight w:val="none"/>
        </w:rPr>
        <w:t>聚落</w:t>
      </w:r>
      <w:r>
        <w:rPr>
          <w:color w:val="auto"/>
          <w:highlight w:val="none"/>
        </w:rPr>
        <w:t>生态系统面积占评价区面积的29.51%，表明评价区内农田、耕地等分布面积较大。评价区内灌</w:t>
      </w:r>
      <w:r>
        <w:rPr>
          <w:rFonts w:hint="eastAsia"/>
          <w:color w:val="auto"/>
          <w:highlight w:val="none"/>
        </w:rPr>
        <w:t>草</w:t>
      </w:r>
      <w:r>
        <w:rPr>
          <w:color w:val="auto"/>
          <w:highlight w:val="none"/>
        </w:rPr>
        <w:t>丛生态系统面积较小，仅53.90</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，主要分布在林地边缘和耕地边缘等。城镇道路生态系统指评价区内道路以及矿区生产运输道路等构成的生态系统类型分布面积较小（2.94</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），但对区域其他生态系统的影响较为突出。</w:t>
      </w:r>
    </w:p>
    <w:p>
      <w:pPr>
        <w:bidi w:val="0"/>
        <w:rPr>
          <w:color w:val="auto"/>
          <w:highlight w:val="none"/>
        </w:rPr>
      </w:pPr>
      <w:r>
        <w:rPr>
          <w:rFonts w:hint="eastAsia"/>
          <w:color w:val="auto"/>
          <w:highlight w:val="none"/>
          <w:lang w:eastAsia="zh-CN"/>
        </w:rPr>
        <w:t>②</w:t>
      </w:r>
      <w:r>
        <w:rPr>
          <w:color w:val="auto"/>
          <w:highlight w:val="none"/>
        </w:rPr>
        <w:t>生态系统特征</w:t>
      </w:r>
      <w:r>
        <w:rPr>
          <w:rFonts w:hint="eastAsia"/>
          <w:color w:val="auto"/>
          <w:highlight w:val="none"/>
        </w:rPr>
        <w:t>简介</w:t>
      </w:r>
    </w:p>
    <w:p>
      <w:pPr>
        <w:bidi w:val="0"/>
        <w:rPr>
          <w:color w:val="auto"/>
          <w:highlight w:val="none"/>
        </w:rPr>
      </w:pPr>
      <w:r>
        <w:rPr>
          <w:b/>
          <w:bCs/>
          <w:color w:val="auto"/>
          <w:highlight w:val="none"/>
        </w:rPr>
        <w:t>森林生态系统：</w:t>
      </w:r>
      <w:r>
        <w:rPr>
          <w:color w:val="auto"/>
          <w:highlight w:val="none"/>
        </w:rPr>
        <w:t>评价区域内的森林生态系统主要指柏木林、马尾松林和杉木林</w:t>
      </w:r>
      <w:r>
        <w:rPr>
          <w:rFonts w:hint="eastAsia"/>
          <w:color w:val="auto"/>
          <w:highlight w:val="none"/>
        </w:rPr>
        <w:t>、竹林</w:t>
      </w:r>
      <w:r>
        <w:rPr>
          <w:color w:val="auto"/>
          <w:highlight w:val="none"/>
        </w:rPr>
        <w:t>等组成，总面积</w:t>
      </w:r>
      <w:r>
        <w:rPr>
          <w:rFonts w:hint="eastAsia"/>
          <w:color w:val="auto"/>
          <w:highlight w:val="none"/>
          <w:lang w:val="en-US" w:eastAsia="zh-CN"/>
        </w:rPr>
        <w:t>139.79</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，占评价区总面积的67.24%，分布于评价区内各处，分布较广。植被以马尾松林、柏木林</w:t>
      </w:r>
      <w:r>
        <w:rPr>
          <w:rFonts w:hint="eastAsia"/>
          <w:color w:val="auto"/>
          <w:highlight w:val="none"/>
        </w:rPr>
        <w:t>、竹林</w:t>
      </w:r>
      <w:r>
        <w:rPr>
          <w:color w:val="auto"/>
          <w:highlight w:val="none"/>
        </w:rPr>
        <w:t>等为主。由于海拔跨度较小，且人类干扰较大，森林植被垂直分带不明显。</w:t>
      </w:r>
    </w:p>
    <w:p>
      <w:pPr>
        <w:bidi w:val="0"/>
        <w:rPr>
          <w:color w:val="auto"/>
          <w:highlight w:val="none"/>
        </w:rPr>
      </w:pPr>
      <w:r>
        <w:rPr>
          <w:color w:val="auto"/>
          <w:highlight w:val="none"/>
        </w:rPr>
        <w:t>评价区内的森林，由以柏木、马尾松等为主的针叶林</w:t>
      </w:r>
      <w:r>
        <w:rPr>
          <w:rFonts w:hint="eastAsia"/>
          <w:color w:val="auto"/>
          <w:highlight w:val="none"/>
        </w:rPr>
        <w:t>，</w:t>
      </w:r>
      <w:r>
        <w:rPr>
          <w:color w:val="auto"/>
          <w:highlight w:val="none"/>
        </w:rPr>
        <w:t>以青冈为主的阔叶林</w:t>
      </w:r>
      <w:r>
        <w:rPr>
          <w:rFonts w:hint="eastAsia"/>
          <w:color w:val="auto"/>
          <w:highlight w:val="none"/>
        </w:rPr>
        <w:t>，以及分布面积较大的竹林</w:t>
      </w:r>
      <w:r>
        <w:rPr>
          <w:color w:val="auto"/>
          <w:highlight w:val="none"/>
        </w:rPr>
        <w:t>。森林生态系统内生产者主要有柏木、马尾松、青冈（Cyclobalanopsis glauca）、黄荆（Vitex negundo）、</w:t>
      </w:r>
      <w:r>
        <w:rPr>
          <w:rFonts w:hint="eastAsia"/>
          <w:color w:val="auto"/>
          <w:highlight w:val="none"/>
        </w:rPr>
        <w:t>刚竹、水竹、</w:t>
      </w:r>
      <w:r>
        <w:rPr>
          <w:color w:val="auto"/>
          <w:highlight w:val="none"/>
        </w:rPr>
        <w:t>马桑（Coriaria sinica）、苔草、白茅草、野菊、淡叶竹（Lophatherum gracile）、马唐（Digitaria sanguinalis）以及蜈蚣草（Pteris vittata）、蕨（Pteridium aquilinum）、铁线蕨（Adiantum capillus-veneri）等。消费者主要有灰胸竹鸡（Bambusicola thoracica ）、雉鸡（Phasianus colchicus）、杜鹃（Cuculus poliocephalus）、白颊噪鹛(Garrulax sannio)、大山雀(Parus major)、麻雀(Passer montanus)、白鹡鸰(Motacilla alba)、黑线姬鼠(Apodemus agrarius)、草兔（Lepus capensis）等动物。</w:t>
      </w:r>
    </w:p>
    <w:p>
      <w:pPr>
        <w:bidi w:val="0"/>
        <w:rPr>
          <w:color w:val="auto"/>
          <w:highlight w:val="none"/>
        </w:rPr>
      </w:pPr>
      <w:r>
        <w:rPr>
          <w:b/>
          <w:bCs/>
          <w:color w:val="auto"/>
          <w:highlight w:val="none"/>
        </w:rPr>
        <w:t>灌草丛生态系统：</w:t>
      </w:r>
      <w:r>
        <w:rPr>
          <w:color w:val="auto"/>
          <w:highlight w:val="none"/>
        </w:rPr>
        <w:t>灌丛生态系统主要是黄荆灌丛、马桑灌丛及盐肤木灌丛，面积为</w:t>
      </w:r>
      <w:r>
        <w:rPr>
          <w:rFonts w:hint="eastAsia"/>
          <w:color w:val="auto"/>
          <w:highlight w:val="none"/>
          <w:lang w:val="en-US" w:eastAsia="zh-CN"/>
        </w:rPr>
        <w:t>53.90</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，占评价区总面积的12.95%，分布在缓坡上及林中空地、林地边缘处，分布面积小、分布零星不成片。</w:t>
      </w:r>
    </w:p>
    <w:p>
      <w:pPr>
        <w:bidi w:val="0"/>
        <w:rPr>
          <w:color w:val="auto"/>
          <w:highlight w:val="none"/>
        </w:rPr>
      </w:pPr>
      <w:r>
        <w:rPr>
          <w:color w:val="auto"/>
          <w:highlight w:val="none"/>
        </w:rPr>
        <w:t>因多分布于林地与耕地的交界处，灌丛生态系统分布区土壤土层较厚，有机质含量较高，土壤肥力较高。系统中，各类植物均比林地中的灌木层物种高度高、分枝数量多。灌丛生态系统中，生产者主要有黄荆（Vitex negundo）、马桑（Coriaria sinica）、火棘（Pyracantha fortuneana）、蔷薇、白茅（Imperata cylindrica）、地果、野菊（Dendranthema indicum）、荩草（Arthraxon hispidus）、天名精（Carpesium abrotanoides）、蕨类与农田常见杂草等。</w:t>
      </w:r>
    </w:p>
    <w:p>
      <w:pPr>
        <w:bidi w:val="0"/>
        <w:rPr>
          <w:color w:val="auto"/>
          <w:highlight w:val="none"/>
        </w:rPr>
      </w:pPr>
      <w:r>
        <w:rPr>
          <w:color w:val="auto"/>
          <w:highlight w:val="none"/>
        </w:rPr>
        <w:t>消费者主要有灰胸竹鸡（Bambusicola thoracica）、黄臀鹎（Pycnonotus xanthorrhous）、棕背伯劳（Lanius schach Linaeus）、红嘴蓝鹊（Urocissa erythrorhyncha）、白颊噪鹛（Garrulax sannio）、棕头鸦雀（Paradoxornis webbianus）、山麻雀（Passer rutilans）、金翅（Carduelis sinica）、草兔（Lepus capensis）等。</w:t>
      </w:r>
    </w:p>
    <w:p>
      <w:pPr>
        <w:bidi w:val="0"/>
        <w:rPr>
          <w:color w:val="auto"/>
          <w:highlight w:val="none"/>
        </w:rPr>
      </w:pPr>
      <w:r>
        <w:rPr>
          <w:b/>
          <w:bCs/>
          <w:color w:val="auto"/>
          <w:highlight w:val="none"/>
        </w:rPr>
        <w:t>农田</w:t>
      </w:r>
      <w:r>
        <w:rPr>
          <w:rFonts w:hint="eastAsia"/>
          <w:b/>
          <w:bCs/>
          <w:color w:val="auto"/>
          <w:highlight w:val="none"/>
        </w:rPr>
        <w:t>聚落</w:t>
      </w:r>
      <w:r>
        <w:rPr>
          <w:b/>
          <w:bCs/>
          <w:color w:val="auto"/>
          <w:highlight w:val="none"/>
        </w:rPr>
        <w:t>生态系统：</w:t>
      </w:r>
      <w:r>
        <w:rPr>
          <w:color w:val="auto"/>
          <w:highlight w:val="none"/>
        </w:rPr>
        <w:t>农田生态系统在评价区内广泛分布（面积</w:t>
      </w:r>
      <w:r>
        <w:rPr>
          <w:rFonts w:hint="eastAsia"/>
          <w:color w:val="auto"/>
          <w:highlight w:val="none"/>
          <w:lang w:val="en-US" w:eastAsia="zh-CN"/>
        </w:rPr>
        <w:t>82.54</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w:t>
      </w:r>
      <w:r>
        <w:rPr>
          <w:rFonts w:hint="eastAsia"/>
          <w:color w:val="auto"/>
          <w:highlight w:val="none"/>
        </w:rPr>
        <w:t>，占评价区总面积的1</w:t>
      </w:r>
      <w:r>
        <w:rPr>
          <w:color w:val="auto"/>
          <w:highlight w:val="none"/>
        </w:rPr>
        <w:t>9.41</w:t>
      </w:r>
      <w:r>
        <w:rPr>
          <w:rFonts w:hint="eastAsia"/>
          <w:color w:val="auto"/>
          <w:highlight w:val="none"/>
        </w:rPr>
        <w:t>%</w:t>
      </w:r>
      <w:r>
        <w:rPr>
          <w:color w:val="auto"/>
          <w:highlight w:val="none"/>
        </w:rPr>
        <w:t>，耕地与农户居住地镶嵌分布，基本为种植业，种植的作物相对丰富。该生态系统依赖于人的长期管理，人的作用非常突出。其主要组成成分是人工种养的生物，抗逆性较差，营养结构简单，稳定性较低，易受到旱涝灾害和病虫害的影响，如果没有人的管理，生态平衡很容易遭受破坏。它是人类粮食的生产基地，为人类提供食物。</w:t>
      </w:r>
    </w:p>
    <w:p>
      <w:pPr>
        <w:bidi w:val="0"/>
        <w:rPr>
          <w:color w:val="auto"/>
          <w:highlight w:val="none"/>
        </w:rPr>
      </w:pPr>
      <w:r>
        <w:rPr>
          <w:rFonts w:hint="eastAsia"/>
          <w:color w:val="auto"/>
          <w:highlight w:val="none"/>
        </w:rPr>
        <w:t>农田聚落</w:t>
      </w:r>
      <w:r>
        <w:rPr>
          <w:color w:val="auto"/>
          <w:highlight w:val="none"/>
        </w:rPr>
        <w:t>生态系统内无野生乔木存在，仅在耕地边缘有少许枫杨、喜树等人工种植的乔木。该生态系统内植物以粮食作物为主，农田杂草广泛分布。褐家鼠、小家鼠等会活动在田地间，麻雀、白颊噪鹛、白鹡鸰等鸟类会短暂停留。</w:t>
      </w:r>
    </w:p>
    <w:p>
      <w:pPr>
        <w:bidi w:val="0"/>
        <w:rPr>
          <w:color w:val="auto"/>
          <w:highlight w:val="none"/>
        </w:rPr>
      </w:pPr>
      <w:r>
        <w:rPr>
          <w:color w:val="auto"/>
          <w:highlight w:val="none"/>
        </w:rPr>
        <w:t>野生草本植物主要有棒头草、牛筋草、狗尾草、茅叶荩草、播娘蒿、马唐等。分布的动物较少，有中华蟾蜍指名亚种、黑斑侧褶蛙、雉鸡、山斑鸠、白头鹎、麻雀、白腰文鸟、黑线姬鼠、褐家鼠、社鼠、小家鼠等。</w:t>
      </w:r>
    </w:p>
    <w:p>
      <w:pPr>
        <w:bidi w:val="0"/>
        <w:rPr>
          <w:color w:val="auto"/>
          <w:highlight w:val="none"/>
        </w:rPr>
      </w:pPr>
      <w:r>
        <w:rPr>
          <w:b/>
          <w:bCs/>
          <w:color w:val="auto"/>
          <w:highlight w:val="none"/>
        </w:rPr>
        <w:t>城镇道路生态系统：</w:t>
      </w:r>
      <w:r>
        <w:rPr>
          <w:color w:val="auto"/>
          <w:highlight w:val="none"/>
        </w:rPr>
        <w:t>项目评价区内道路生态系统</w:t>
      </w:r>
      <w:r>
        <w:rPr>
          <w:rFonts w:hint="eastAsia"/>
          <w:color w:val="auto"/>
          <w:highlight w:val="none"/>
        </w:rPr>
        <w:t>的</w:t>
      </w:r>
      <w:r>
        <w:rPr>
          <w:color w:val="auto"/>
          <w:highlight w:val="none"/>
        </w:rPr>
        <w:t>面积</w:t>
      </w:r>
      <w:r>
        <w:rPr>
          <w:rFonts w:hint="eastAsia"/>
          <w:color w:val="auto"/>
          <w:highlight w:val="none"/>
          <w:lang w:val="en-US" w:eastAsia="zh-CN"/>
        </w:rPr>
        <w:t>2.94</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，占评价区总面积的0.22%。</w:t>
      </w:r>
      <w:r>
        <w:rPr>
          <w:rFonts w:hint="eastAsia"/>
          <w:color w:val="auto"/>
          <w:highlight w:val="none"/>
        </w:rPr>
        <w:t>由于</w:t>
      </w:r>
      <w:r>
        <w:rPr>
          <w:color w:val="auto"/>
          <w:highlight w:val="none"/>
        </w:rPr>
        <w:t>通行车辆及往来人员较多，对该系统影响较大，其间分布的动植物种类稀少，数量不多。据调查结果显示，分布在路肩及边坡的植物主要有地瓜藤（Ficus tikoua）、蜈蚣草、艾蒿、狗尾巴、白茅、荩草、辣子草等。麻雀、金翅、褐家鼠等动物会常常活动于此，而红尾伯劳、白鹡鸰、家燕（Hirundo rustica）等鸟类也会短暂停歇于道路两旁的乔木和灌丛上。矿区生产活动的开展，使得矿区内的动物数量减少，访问得知区域常见的动物均很少出现在矿区，多分布在山顶及远离矿区的区域。</w:t>
      </w:r>
    </w:p>
    <w:p>
      <w:pPr>
        <w:bidi w:val="0"/>
        <w:rPr>
          <w:color w:val="auto"/>
          <w:highlight w:val="none"/>
        </w:rPr>
      </w:pPr>
      <w:r>
        <w:rPr>
          <w:rFonts w:hint="eastAsia"/>
          <w:b/>
          <w:bCs/>
          <w:color w:val="auto"/>
          <w:highlight w:val="none"/>
        </w:rPr>
        <w:t>水域生态系统：</w:t>
      </w:r>
      <w:r>
        <w:rPr>
          <w:rFonts w:hint="eastAsia"/>
          <w:color w:val="auto"/>
          <w:highlight w:val="none"/>
        </w:rPr>
        <w:t>项目</w:t>
      </w:r>
      <w:r>
        <w:rPr>
          <w:color w:val="auto"/>
          <w:highlight w:val="none"/>
        </w:rPr>
        <w:t>评价区域内</w:t>
      </w:r>
      <w:r>
        <w:rPr>
          <w:rFonts w:hint="eastAsia"/>
          <w:color w:val="auto"/>
          <w:highlight w:val="none"/>
        </w:rPr>
        <w:t>水域</w:t>
      </w:r>
      <w:r>
        <w:rPr>
          <w:color w:val="auto"/>
          <w:highlight w:val="none"/>
        </w:rPr>
        <w:t>生态系统主要</w:t>
      </w:r>
      <w:r>
        <w:rPr>
          <w:rFonts w:hint="eastAsia"/>
          <w:color w:val="auto"/>
          <w:highlight w:val="none"/>
        </w:rPr>
        <w:t>是溪流</w:t>
      </w:r>
      <w:r>
        <w:rPr>
          <w:color w:val="auto"/>
          <w:highlight w:val="none"/>
        </w:rPr>
        <w:t>及人工池塘</w:t>
      </w:r>
      <w:r>
        <w:rPr>
          <w:rFonts w:hint="eastAsia"/>
          <w:color w:val="auto"/>
          <w:highlight w:val="none"/>
        </w:rPr>
        <w:t>，面积</w:t>
      </w:r>
      <w:r>
        <w:rPr>
          <w:rFonts w:hint="eastAsia"/>
          <w:color w:val="auto"/>
          <w:highlight w:val="none"/>
          <w:lang w:val="en-US" w:eastAsia="zh-CN"/>
        </w:rPr>
        <w:t>0.54</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，占评价区总面积的0.18%。由于受人类活动干扰程度大</w:t>
      </w:r>
      <w:r>
        <w:rPr>
          <w:rFonts w:hint="eastAsia"/>
          <w:color w:val="auto"/>
          <w:highlight w:val="none"/>
        </w:rPr>
        <w:t>，</w:t>
      </w:r>
      <w:r>
        <w:rPr>
          <w:color w:val="auto"/>
          <w:highlight w:val="none"/>
        </w:rPr>
        <w:t>河流</w:t>
      </w:r>
      <w:r>
        <w:rPr>
          <w:rFonts w:hint="eastAsia"/>
          <w:color w:val="auto"/>
          <w:highlight w:val="none"/>
        </w:rPr>
        <w:t>径流量小，</w:t>
      </w:r>
      <w:r>
        <w:rPr>
          <w:color w:val="auto"/>
          <w:highlight w:val="none"/>
        </w:rPr>
        <w:t>流速缓。水塘周围有少量黄荆存在，草本则以狗牙根、白茅</w:t>
      </w:r>
      <w:r>
        <w:rPr>
          <w:rFonts w:hint="eastAsia"/>
          <w:color w:val="auto"/>
          <w:highlight w:val="none"/>
        </w:rPr>
        <w:t>、马鞭草、辣子草等</w:t>
      </w:r>
      <w:r>
        <w:rPr>
          <w:color w:val="auto"/>
          <w:highlight w:val="none"/>
        </w:rPr>
        <w:t>为主。河流附近则零星分布着柏木、枫杨、苦楝树等乔木，黄荆、马桑、水麻</w:t>
      </w:r>
      <w:r>
        <w:rPr>
          <w:rFonts w:hint="eastAsia"/>
          <w:color w:val="auto"/>
          <w:highlight w:val="none"/>
        </w:rPr>
        <w:t>、柳</w:t>
      </w:r>
      <w:r>
        <w:rPr>
          <w:color w:val="auto"/>
          <w:highlight w:val="none"/>
        </w:rPr>
        <w:t>等灌木数量较多。河流两岸农田杂草以繁缕、喜旱莲子草、狗牙根等为主。</w:t>
      </w:r>
    </w:p>
    <w:p>
      <w:pPr>
        <w:bidi w:val="0"/>
        <w:rPr>
          <w:rFonts w:hint="eastAsia"/>
          <w:color w:val="auto"/>
          <w:highlight w:val="none"/>
          <w:lang w:eastAsia="zh-CN"/>
        </w:rPr>
      </w:pPr>
      <w:r>
        <w:rPr>
          <w:rFonts w:hint="eastAsia"/>
          <w:color w:val="auto"/>
          <w:highlight w:val="none"/>
        </w:rPr>
        <w:t>调查区内溪流</w:t>
      </w:r>
      <w:r>
        <w:rPr>
          <w:color w:val="auto"/>
          <w:highlight w:val="none"/>
        </w:rPr>
        <w:t>及其沿岸分布的两栖类主要有中华蟾蜍指名亚种 、黑斑侧褶蛙、泽陆蛙等，鸟类有小鸊鷉、白鹭（Egretta alba）、普通翠鸟（Alcedo atthis）、冠鱼狗（Ceryle lugubris）、白鹡鸰（Motacilla alba）、红尾水鸲、白顶溪鸲（Chaimarrornis leucocephalus）、白腰文鸟（Lonchura striata）等。鱼类中主要经济鱼类有</w:t>
      </w:r>
      <w:r>
        <w:rPr>
          <w:rFonts w:hint="eastAsia"/>
          <w:color w:val="auto"/>
          <w:highlight w:val="none"/>
        </w:rPr>
        <w:t>泥鳅、白条、黄鳝等</w:t>
      </w:r>
      <w:r>
        <w:rPr>
          <w:color w:val="auto"/>
          <w:highlight w:val="none"/>
        </w:rPr>
        <w:t>，种群存量不多</w:t>
      </w:r>
      <w:r>
        <w:rPr>
          <w:rFonts w:eastAsia="华文仿宋"/>
          <w:color w:val="auto"/>
          <w:highlight w:val="none"/>
        </w:rPr>
        <w:t>。</w:t>
      </w:r>
    </w:p>
    <w:p>
      <w:pPr>
        <w:bidi w:val="0"/>
        <w:rPr>
          <w:rFonts w:hint="default"/>
          <w:color w:val="auto"/>
          <w:highlight w:val="none"/>
          <w:lang w:val="en-US" w:eastAsia="zh-CN"/>
        </w:rPr>
      </w:pPr>
      <w:r>
        <w:rPr>
          <w:rFonts w:hint="eastAsia"/>
          <w:color w:val="auto"/>
          <w:highlight w:val="none"/>
          <w:lang w:val="en-US" w:eastAsia="zh-CN"/>
        </w:rPr>
        <w:t>（2）生态系统的主要特征</w:t>
      </w:r>
    </w:p>
    <w:p>
      <w:pPr>
        <w:bidi w:val="0"/>
        <w:rPr>
          <w:rFonts w:hint="eastAsia"/>
          <w:color w:val="auto"/>
          <w:highlight w:val="none"/>
          <w:lang w:eastAsia="zh-CN"/>
        </w:rPr>
      </w:pPr>
      <w:r>
        <w:rPr>
          <w:rFonts w:hint="eastAsia"/>
          <w:color w:val="auto"/>
          <w:highlight w:val="none"/>
          <w:lang w:eastAsia="zh-CN"/>
        </w:rPr>
        <w:t>①生物生产力</w:t>
      </w:r>
    </w:p>
    <w:p>
      <w:pPr>
        <w:bidi w:val="0"/>
        <w:rPr>
          <w:color w:val="auto"/>
          <w:highlight w:val="none"/>
          <w:lang w:val="zh-CN"/>
        </w:rPr>
      </w:pPr>
      <w:r>
        <w:rPr>
          <w:color w:val="auto"/>
          <w:highlight w:val="none"/>
          <w:lang w:val="zh-CN"/>
        </w:rPr>
        <w:t>生产力是反应生态系统能量特征的指标，根据Holieth生物生产力的两个经验公式：</w:t>
      </w:r>
    </w:p>
    <w:p>
      <w:pPr>
        <w:ind w:firstLine="480"/>
        <w:jc w:val="center"/>
        <w:rPr>
          <w:rFonts w:eastAsia="华文仿宋"/>
          <w:color w:val="auto"/>
          <w:highlight w:val="none"/>
        </w:rPr>
      </w:pPr>
      <w:r>
        <w:rPr>
          <w:rFonts w:eastAsia="华文仿宋"/>
          <w:color w:val="auto"/>
          <w:highlight w:val="none"/>
        </w:rPr>
        <w:t>P</w:t>
      </w:r>
      <w:r>
        <w:rPr>
          <w:rFonts w:eastAsia="华文仿宋"/>
          <w:color w:val="auto"/>
          <w:highlight w:val="none"/>
          <w:vertAlign w:val="subscript"/>
        </w:rPr>
        <w:t>t</w:t>
      </w:r>
      <w:r>
        <w:rPr>
          <w:rFonts w:eastAsia="华文仿宋"/>
          <w:color w:val="auto"/>
          <w:highlight w:val="none"/>
        </w:rPr>
        <w:t>＝3000/(1+e</w:t>
      </w:r>
      <w:r>
        <w:rPr>
          <w:rFonts w:eastAsia="华文仿宋"/>
          <w:color w:val="auto"/>
          <w:highlight w:val="none"/>
          <w:vertAlign w:val="superscript"/>
        </w:rPr>
        <w:t>1.315-0.119t</w:t>
      </w:r>
      <w:r>
        <w:rPr>
          <w:rFonts w:eastAsia="华文仿宋"/>
          <w:color w:val="auto"/>
          <w:highlight w:val="none"/>
        </w:rPr>
        <w:t>)</w:t>
      </w:r>
    </w:p>
    <w:p>
      <w:pPr>
        <w:ind w:firstLine="480"/>
        <w:jc w:val="center"/>
        <w:rPr>
          <w:rFonts w:eastAsia="华文仿宋"/>
          <w:color w:val="auto"/>
          <w:highlight w:val="none"/>
        </w:rPr>
      </w:pPr>
      <w:r>
        <w:rPr>
          <w:rFonts w:eastAsia="华文仿宋"/>
          <w:color w:val="auto"/>
          <w:highlight w:val="none"/>
        </w:rPr>
        <w:t>P</w:t>
      </w:r>
      <w:r>
        <w:rPr>
          <w:rFonts w:eastAsia="华文仿宋"/>
          <w:color w:val="auto"/>
          <w:highlight w:val="none"/>
          <w:vertAlign w:val="subscript"/>
        </w:rPr>
        <w:t>p</w:t>
      </w:r>
      <w:r>
        <w:rPr>
          <w:rFonts w:eastAsia="华文仿宋"/>
          <w:color w:val="auto"/>
          <w:highlight w:val="none"/>
        </w:rPr>
        <w:t>=3000(1-e</w:t>
      </w:r>
      <w:r>
        <w:rPr>
          <w:rFonts w:eastAsia="华文仿宋"/>
          <w:color w:val="auto"/>
          <w:highlight w:val="none"/>
          <w:vertAlign w:val="superscript"/>
        </w:rPr>
        <w:t>-0.000664p</w:t>
      </w:r>
      <w:r>
        <w:rPr>
          <w:rFonts w:eastAsia="华文仿宋"/>
          <w:color w:val="auto"/>
          <w:highlight w:val="none"/>
        </w:rPr>
        <w:t>)</w:t>
      </w:r>
    </w:p>
    <w:p>
      <w:pPr>
        <w:bidi w:val="0"/>
        <w:rPr>
          <w:color w:val="auto"/>
          <w:highlight w:val="none"/>
        </w:rPr>
      </w:pPr>
      <w:r>
        <w:rPr>
          <w:color w:val="auto"/>
          <w:highlight w:val="none"/>
        </w:rPr>
        <w:t>其中：Pt是用年平均温度（t，℃）估计的热量生产力（单位：g/（m</w:t>
      </w:r>
      <w:r>
        <w:rPr>
          <w:color w:val="auto"/>
          <w:highlight w:val="none"/>
          <w:vertAlign w:val="superscript"/>
        </w:rPr>
        <w:t>2</w:t>
      </w:r>
      <w:r>
        <w:rPr>
          <w:color w:val="auto"/>
          <w:highlight w:val="none"/>
        </w:rPr>
        <w:t>·a））；Pp是用降水量（p，mm）估计的水分生产力（单位：g/（m</w:t>
      </w:r>
      <w:r>
        <w:rPr>
          <w:color w:val="auto"/>
          <w:highlight w:val="none"/>
          <w:vertAlign w:val="superscript"/>
        </w:rPr>
        <w:t>2</w:t>
      </w:r>
      <w:r>
        <w:rPr>
          <w:color w:val="auto"/>
          <w:highlight w:val="none"/>
        </w:rPr>
        <w:t>·a））。</w:t>
      </w:r>
    </w:p>
    <w:p>
      <w:pPr>
        <w:bidi w:val="0"/>
        <w:rPr>
          <w:color w:val="auto"/>
          <w:highlight w:val="none"/>
          <w:lang w:val="zh-CN"/>
        </w:rPr>
      </w:pPr>
      <w:r>
        <w:rPr>
          <w:color w:val="auto"/>
          <w:highlight w:val="none"/>
        </w:rPr>
        <w:t>根据Shelford的耐受性法则和Liebig的最小因子定律，值较小的那个生产力所对应的环境因子就是限制生态系统生产力的关键因子。借助</w:t>
      </w:r>
      <w:r>
        <w:rPr>
          <w:color w:val="auto"/>
          <w:highlight w:val="none"/>
          <w:lang w:val="zh-CN"/>
        </w:rPr>
        <w:t>Holieth生物生产力的经验公式</w:t>
      </w:r>
      <w:r>
        <w:rPr>
          <w:color w:val="auto"/>
          <w:highlight w:val="none"/>
        </w:rPr>
        <w:t>分别计算出热量生产力和水分生产力后，取值较小的一个生产力作为区域生态系统的自然生产力。</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调查区域内气候特征、生产力及限制因子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22"/>
        <w:gridCol w:w="908"/>
        <w:gridCol w:w="1056"/>
        <w:gridCol w:w="1445"/>
        <w:gridCol w:w="1445"/>
        <w:gridCol w:w="144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910" w:type="pct"/>
            <w:noWrap/>
            <w:vAlign w:val="center"/>
          </w:tcPr>
          <w:p>
            <w:pPr>
              <w:pStyle w:val="22"/>
              <w:bidi w:val="0"/>
              <w:rPr>
                <w:color w:val="auto"/>
                <w:highlight w:val="none"/>
              </w:rPr>
            </w:pPr>
            <w:r>
              <w:rPr>
                <w:rFonts w:hint="eastAsia"/>
                <w:color w:val="auto"/>
                <w:highlight w:val="none"/>
              </w:rPr>
              <w:t>调查区</w:t>
            </w:r>
          </w:p>
          <w:p>
            <w:pPr>
              <w:pStyle w:val="22"/>
              <w:bidi w:val="0"/>
              <w:rPr>
                <w:color w:val="auto"/>
                <w:highlight w:val="none"/>
              </w:rPr>
            </w:pPr>
            <w:r>
              <w:rPr>
                <w:rFonts w:hint="eastAsia"/>
                <w:color w:val="auto"/>
                <w:highlight w:val="none"/>
              </w:rPr>
              <w:t>气候类型</w:t>
            </w:r>
          </w:p>
        </w:tc>
        <w:tc>
          <w:tcPr>
            <w:tcW w:w="480" w:type="pct"/>
            <w:noWrap/>
            <w:vAlign w:val="center"/>
          </w:tcPr>
          <w:p>
            <w:pPr>
              <w:pStyle w:val="22"/>
              <w:bidi w:val="0"/>
              <w:rPr>
                <w:color w:val="auto"/>
                <w:highlight w:val="none"/>
              </w:rPr>
            </w:pPr>
            <w:r>
              <w:rPr>
                <w:rFonts w:hint="eastAsia"/>
                <w:color w:val="auto"/>
                <w:highlight w:val="none"/>
              </w:rPr>
              <w:t>年均温</w:t>
            </w:r>
          </w:p>
          <w:p>
            <w:pPr>
              <w:pStyle w:val="22"/>
              <w:bidi w:val="0"/>
              <w:rPr>
                <w:color w:val="auto"/>
                <w:highlight w:val="none"/>
              </w:rPr>
            </w:pPr>
            <w:r>
              <w:rPr>
                <w:rFonts w:hint="eastAsia"/>
                <w:color w:val="auto"/>
                <w:highlight w:val="none"/>
              </w:rPr>
              <w:t>（℃）</w:t>
            </w:r>
          </w:p>
        </w:tc>
        <w:tc>
          <w:tcPr>
            <w:tcW w:w="558" w:type="pct"/>
            <w:noWrap/>
            <w:vAlign w:val="center"/>
          </w:tcPr>
          <w:p>
            <w:pPr>
              <w:pStyle w:val="22"/>
              <w:bidi w:val="0"/>
              <w:rPr>
                <w:color w:val="auto"/>
                <w:highlight w:val="none"/>
              </w:rPr>
            </w:pPr>
            <w:r>
              <w:rPr>
                <w:rFonts w:hint="eastAsia"/>
                <w:color w:val="auto"/>
                <w:highlight w:val="none"/>
              </w:rPr>
              <w:t>年降水</w:t>
            </w:r>
          </w:p>
          <w:p>
            <w:pPr>
              <w:pStyle w:val="22"/>
              <w:bidi w:val="0"/>
              <w:rPr>
                <w:color w:val="auto"/>
                <w:highlight w:val="none"/>
              </w:rPr>
            </w:pPr>
            <w:r>
              <w:rPr>
                <w:rFonts w:hint="eastAsia"/>
                <w:color w:val="auto"/>
                <w:highlight w:val="none"/>
              </w:rPr>
              <w:t>（mm）</w:t>
            </w:r>
          </w:p>
        </w:tc>
        <w:tc>
          <w:tcPr>
            <w:tcW w:w="763" w:type="pct"/>
            <w:vAlign w:val="center"/>
          </w:tcPr>
          <w:p>
            <w:pPr>
              <w:pStyle w:val="22"/>
              <w:bidi w:val="0"/>
              <w:rPr>
                <w:color w:val="auto"/>
                <w:highlight w:val="none"/>
              </w:rPr>
            </w:pPr>
            <w:r>
              <w:rPr>
                <w:rFonts w:hint="eastAsia"/>
                <w:color w:val="auto"/>
                <w:highlight w:val="none"/>
              </w:rPr>
              <w:t>热量生产力</w:t>
            </w:r>
          </w:p>
          <w:p>
            <w:pPr>
              <w:pStyle w:val="22"/>
              <w:bidi w:val="0"/>
              <w:rPr>
                <w:color w:val="auto"/>
                <w:highlight w:val="none"/>
              </w:rPr>
            </w:pPr>
            <w:r>
              <w:rPr>
                <w:rFonts w:hint="eastAsia"/>
                <w:color w:val="auto"/>
                <w:highlight w:val="none"/>
              </w:rPr>
              <w:t>（g/m2.a）</w:t>
            </w:r>
          </w:p>
        </w:tc>
        <w:tc>
          <w:tcPr>
            <w:tcW w:w="763" w:type="pct"/>
            <w:vAlign w:val="center"/>
          </w:tcPr>
          <w:p>
            <w:pPr>
              <w:pStyle w:val="22"/>
              <w:bidi w:val="0"/>
              <w:rPr>
                <w:color w:val="auto"/>
                <w:highlight w:val="none"/>
              </w:rPr>
            </w:pPr>
            <w:r>
              <w:rPr>
                <w:rFonts w:hint="eastAsia"/>
                <w:color w:val="auto"/>
                <w:highlight w:val="none"/>
              </w:rPr>
              <w:t>水分生产力</w:t>
            </w:r>
          </w:p>
          <w:p>
            <w:pPr>
              <w:pStyle w:val="22"/>
              <w:bidi w:val="0"/>
              <w:rPr>
                <w:color w:val="auto"/>
                <w:highlight w:val="none"/>
              </w:rPr>
            </w:pPr>
            <w:r>
              <w:rPr>
                <w:rFonts w:hint="eastAsia"/>
                <w:color w:val="auto"/>
                <w:highlight w:val="none"/>
              </w:rPr>
              <w:t>（g/m2.a）</w:t>
            </w:r>
          </w:p>
        </w:tc>
        <w:tc>
          <w:tcPr>
            <w:tcW w:w="763" w:type="pct"/>
            <w:vAlign w:val="center"/>
          </w:tcPr>
          <w:p>
            <w:pPr>
              <w:pStyle w:val="22"/>
              <w:bidi w:val="0"/>
              <w:rPr>
                <w:color w:val="auto"/>
                <w:highlight w:val="none"/>
              </w:rPr>
            </w:pPr>
            <w:r>
              <w:rPr>
                <w:rFonts w:hint="eastAsia"/>
                <w:color w:val="auto"/>
                <w:highlight w:val="none"/>
              </w:rPr>
              <w:t>自然生产力</w:t>
            </w:r>
          </w:p>
          <w:p>
            <w:pPr>
              <w:pStyle w:val="22"/>
              <w:bidi w:val="0"/>
              <w:rPr>
                <w:color w:val="auto"/>
                <w:highlight w:val="none"/>
              </w:rPr>
            </w:pPr>
            <w:r>
              <w:rPr>
                <w:rFonts w:hint="eastAsia"/>
                <w:color w:val="auto"/>
                <w:highlight w:val="none"/>
              </w:rPr>
              <w:t>（g/m2.a）</w:t>
            </w:r>
          </w:p>
        </w:tc>
        <w:tc>
          <w:tcPr>
            <w:tcW w:w="763" w:type="pct"/>
            <w:vAlign w:val="center"/>
          </w:tcPr>
          <w:p>
            <w:pPr>
              <w:pStyle w:val="22"/>
              <w:bidi w:val="0"/>
              <w:rPr>
                <w:color w:val="auto"/>
                <w:highlight w:val="none"/>
              </w:rPr>
            </w:pPr>
            <w:r>
              <w:rPr>
                <w:rFonts w:hint="eastAsia"/>
                <w:color w:val="auto"/>
                <w:highlight w:val="none"/>
              </w:rPr>
              <w:t>自然生产力</w:t>
            </w:r>
          </w:p>
          <w:p>
            <w:pPr>
              <w:pStyle w:val="22"/>
              <w:bidi w:val="0"/>
              <w:rPr>
                <w:color w:val="auto"/>
                <w:highlight w:val="none"/>
              </w:rPr>
            </w:pPr>
            <w:r>
              <w:rPr>
                <w:rFonts w:hint="eastAsia"/>
                <w:color w:val="auto"/>
                <w:highlight w:val="none"/>
              </w:rPr>
              <w:t>限制因子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10" w:type="pct"/>
            <w:noWrap/>
            <w:vAlign w:val="center"/>
          </w:tcPr>
          <w:p>
            <w:pPr>
              <w:pStyle w:val="22"/>
              <w:bidi w:val="0"/>
              <w:rPr>
                <w:color w:val="auto"/>
                <w:highlight w:val="none"/>
              </w:rPr>
            </w:pPr>
            <w:r>
              <w:rPr>
                <w:rFonts w:hint="eastAsia"/>
                <w:color w:val="auto"/>
                <w:highlight w:val="none"/>
              </w:rPr>
              <w:t>四川盆地亚热</w:t>
            </w:r>
          </w:p>
          <w:p>
            <w:pPr>
              <w:pStyle w:val="22"/>
              <w:bidi w:val="0"/>
              <w:rPr>
                <w:color w:val="auto"/>
                <w:highlight w:val="none"/>
              </w:rPr>
            </w:pPr>
            <w:r>
              <w:rPr>
                <w:rFonts w:hint="eastAsia"/>
                <w:color w:val="auto"/>
                <w:highlight w:val="none"/>
              </w:rPr>
              <w:t>带湿润气候区</w:t>
            </w:r>
          </w:p>
        </w:tc>
        <w:tc>
          <w:tcPr>
            <w:tcW w:w="480" w:type="pct"/>
            <w:noWrap/>
            <w:vAlign w:val="center"/>
          </w:tcPr>
          <w:p>
            <w:pPr>
              <w:pStyle w:val="22"/>
              <w:bidi w:val="0"/>
              <w:rPr>
                <w:color w:val="auto"/>
                <w:highlight w:val="none"/>
              </w:rPr>
            </w:pPr>
            <w:r>
              <w:rPr>
                <w:color w:val="auto"/>
                <w:highlight w:val="none"/>
              </w:rPr>
              <w:t>16.6</w:t>
            </w:r>
          </w:p>
        </w:tc>
        <w:tc>
          <w:tcPr>
            <w:tcW w:w="558" w:type="pct"/>
            <w:noWrap/>
            <w:vAlign w:val="center"/>
          </w:tcPr>
          <w:p>
            <w:pPr>
              <w:pStyle w:val="22"/>
              <w:bidi w:val="0"/>
              <w:rPr>
                <w:color w:val="auto"/>
                <w:highlight w:val="none"/>
              </w:rPr>
            </w:pPr>
            <w:r>
              <w:rPr>
                <w:color w:val="auto"/>
                <w:highlight w:val="none"/>
              </w:rPr>
              <w:t>1184</w:t>
            </w:r>
          </w:p>
        </w:tc>
        <w:tc>
          <w:tcPr>
            <w:tcW w:w="763" w:type="pct"/>
            <w:noWrap/>
            <w:vAlign w:val="center"/>
          </w:tcPr>
          <w:p>
            <w:pPr>
              <w:pStyle w:val="22"/>
              <w:bidi w:val="0"/>
              <w:rPr>
                <w:color w:val="auto"/>
                <w:highlight w:val="none"/>
              </w:rPr>
            </w:pPr>
            <w:r>
              <w:rPr>
                <w:color w:val="auto"/>
                <w:highlight w:val="none"/>
              </w:rPr>
              <w:t>1978.05</w:t>
            </w:r>
          </w:p>
        </w:tc>
        <w:tc>
          <w:tcPr>
            <w:tcW w:w="763" w:type="pct"/>
            <w:vAlign w:val="center"/>
          </w:tcPr>
          <w:p>
            <w:pPr>
              <w:pStyle w:val="22"/>
              <w:bidi w:val="0"/>
              <w:rPr>
                <w:color w:val="auto"/>
                <w:highlight w:val="none"/>
              </w:rPr>
            </w:pPr>
            <w:r>
              <w:rPr>
                <w:color w:val="auto"/>
                <w:highlight w:val="none"/>
              </w:rPr>
              <w:t>1633.25</w:t>
            </w:r>
          </w:p>
        </w:tc>
        <w:tc>
          <w:tcPr>
            <w:tcW w:w="763" w:type="pct"/>
            <w:noWrap/>
            <w:vAlign w:val="center"/>
          </w:tcPr>
          <w:p>
            <w:pPr>
              <w:pStyle w:val="22"/>
              <w:bidi w:val="0"/>
              <w:rPr>
                <w:color w:val="auto"/>
                <w:highlight w:val="none"/>
              </w:rPr>
            </w:pPr>
            <w:r>
              <w:rPr>
                <w:color w:val="auto"/>
                <w:highlight w:val="none"/>
              </w:rPr>
              <w:t>1633.25</w:t>
            </w:r>
          </w:p>
        </w:tc>
        <w:tc>
          <w:tcPr>
            <w:tcW w:w="763" w:type="pct"/>
            <w:vAlign w:val="center"/>
          </w:tcPr>
          <w:p>
            <w:pPr>
              <w:pStyle w:val="22"/>
              <w:bidi w:val="0"/>
              <w:rPr>
                <w:color w:val="auto"/>
                <w:highlight w:val="none"/>
              </w:rPr>
            </w:pPr>
            <w:r>
              <w:rPr>
                <w:rFonts w:hint="eastAsia"/>
                <w:color w:val="auto"/>
                <w:highlight w:val="none"/>
              </w:rPr>
              <w:t>水分</w:t>
            </w:r>
          </w:p>
        </w:tc>
      </w:tr>
    </w:tbl>
    <w:p>
      <w:pPr>
        <w:bidi w:val="0"/>
        <w:rPr>
          <w:color w:val="auto"/>
          <w:highlight w:val="none"/>
        </w:rPr>
      </w:pPr>
      <w:r>
        <w:rPr>
          <w:color w:val="auto"/>
          <w:highlight w:val="none"/>
          <w:lang w:val="zh-CN"/>
        </w:rPr>
        <w:t>计算结果表明，</w:t>
      </w:r>
      <w:r>
        <w:rPr>
          <w:rFonts w:hint="eastAsia"/>
          <w:color w:val="auto"/>
          <w:highlight w:val="none"/>
        </w:rPr>
        <w:t>大竹县</w:t>
      </w:r>
      <w:r>
        <w:rPr>
          <w:color w:val="auto"/>
          <w:highlight w:val="none"/>
        </w:rPr>
        <w:t>煤炭矿区总体规划项目生态影响评价区</w:t>
      </w:r>
      <w:r>
        <w:rPr>
          <w:color w:val="auto"/>
          <w:highlight w:val="none"/>
          <w:lang w:val="zh-CN"/>
        </w:rPr>
        <w:t>内热量生产力较高，水分生产力相对较低，土地自然生产力受水分条件限制，区内水分生产力（即自然生产力）为1633.25 g/m</w:t>
      </w:r>
      <w:r>
        <w:rPr>
          <w:color w:val="auto"/>
          <w:highlight w:val="none"/>
          <w:vertAlign w:val="superscript"/>
          <w:lang w:val="zh-CN"/>
        </w:rPr>
        <w:t>2</w:t>
      </w:r>
      <w:r>
        <w:rPr>
          <w:color w:val="auto"/>
          <w:highlight w:val="none"/>
          <w:lang w:val="zh-CN"/>
        </w:rPr>
        <w:t>.a。</w:t>
      </w:r>
    </w:p>
    <w:p>
      <w:pPr>
        <w:bidi w:val="0"/>
        <w:rPr>
          <w:color w:val="auto"/>
          <w:highlight w:val="none"/>
        </w:rPr>
      </w:pPr>
      <w:r>
        <w:rPr>
          <w:rFonts w:hint="eastAsia"/>
          <w:color w:val="auto"/>
          <w:highlight w:val="none"/>
          <w:lang w:eastAsia="zh-CN"/>
        </w:rPr>
        <w:t>②</w:t>
      </w:r>
      <w:r>
        <w:rPr>
          <w:rFonts w:hint="eastAsia"/>
          <w:color w:val="auto"/>
          <w:highlight w:val="none"/>
        </w:rPr>
        <w:t>影响生态系统稳定的因素</w:t>
      </w:r>
    </w:p>
    <w:p>
      <w:pPr>
        <w:bidi w:val="0"/>
        <w:rPr>
          <w:color w:val="auto"/>
          <w:highlight w:val="none"/>
        </w:rPr>
      </w:pPr>
      <w:r>
        <w:rPr>
          <w:b/>
          <w:bCs/>
          <w:color w:val="auto"/>
          <w:highlight w:val="none"/>
        </w:rPr>
        <w:t>自然因素：</w:t>
      </w:r>
      <w:r>
        <w:rPr>
          <w:rFonts w:hint="eastAsia"/>
          <w:color w:val="auto"/>
          <w:highlight w:val="none"/>
        </w:rPr>
        <w:t>大竹县</w:t>
      </w:r>
      <w:r>
        <w:rPr>
          <w:color w:val="auto"/>
          <w:highlight w:val="none"/>
        </w:rPr>
        <w:t>煤炭矿区总体规划项目生态影响评价区处于四川盆地的东北区域，大巴山褶皱的南坡，属大巴山脉北坡的山地部分。同时，区域水热条件较好，基本上属“热量丰富，雨量充沛”的气候条件。</w:t>
      </w:r>
      <w:r>
        <w:rPr>
          <w:rFonts w:hint="eastAsia"/>
          <w:color w:val="auto"/>
          <w:highlight w:val="none"/>
        </w:rPr>
        <w:t>今年来</w:t>
      </w:r>
      <w:r>
        <w:rPr>
          <w:color w:val="auto"/>
          <w:highlight w:val="none"/>
        </w:rPr>
        <w:t>，暴雨期间洪涝灾害</w:t>
      </w:r>
      <w:r>
        <w:rPr>
          <w:rFonts w:hint="eastAsia"/>
          <w:color w:val="auto"/>
          <w:highlight w:val="none"/>
        </w:rPr>
        <w:t>相对频繁</w:t>
      </w:r>
      <w:r>
        <w:rPr>
          <w:color w:val="auto"/>
          <w:highlight w:val="none"/>
        </w:rPr>
        <w:t>，干旱对区域生态系统的影响</w:t>
      </w:r>
      <w:r>
        <w:rPr>
          <w:rFonts w:hint="eastAsia"/>
          <w:color w:val="auto"/>
          <w:highlight w:val="none"/>
        </w:rPr>
        <w:t>较</w:t>
      </w:r>
      <w:r>
        <w:rPr>
          <w:color w:val="auto"/>
          <w:highlight w:val="none"/>
        </w:rPr>
        <w:t>小。寒潮多在冬春季节多发生寒潮及大风，对植被产生一定的影响，但仅仅是少量的树木风折和风倒，对生态系统的稳定无显著的负面影响。因此，区域自然灾害</w:t>
      </w:r>
      <w:r>
        <w:rPr>
          <w:rFonts w:hint="eastAsia"/>
          <w:color w:val="auto"/>
          <w:highlight w:val="none"/>
        </w:rPr>
        <w:t>主要是洪涝灾害的影响，但对森林植被的影响较小</w:t>
      </w:r>
      <w:r>
        <w:rPr>
          <w:color w:val="auto"/>
          <w:highlight w:val="none"/>
        </w:rPr>
        <w:t>。</w:t>
      </w:r>
    </w:p>
    <w:p>
      <w:pPr>
        <w:bidi w:val="0"/>
        <w:rPr>
          <w:color w:val="auto"/>
          <w:highlight w:val="none"/>
        </w:rPr>
      </w:pPr>
      <w:r>
        <w:rPr>
          <w:b/>
          <w:bCs/>
          <w:color w:val="auto"/>
          <w:highlight w:val="none"/>
        </w:rPr>
        <w:t>人为因素：</w:t>
      </w:r>
      <w:r>
        <w:rPr>
          <w:rFonts w:hint="eastAsia"/>
          <w:color w:val="auto"/>
          <w:highlight w:val="none"/>
        </w:rPr>
        <w:t>大竹县</w:t>
      </w:r>
      <w:r>
        <w:rPr>
          <w:color w:val="auto"/>
          <w:highlight w:val="none"/>
        </w:rPr>
        <w:t>煤炭矿区总体规划项目生态影响评价区</w:t>
      </w:r>
      <w:r>
        <w:rPr>
          <w:rFonts w:hint="eastAsia"/>
          <w:color w:val="auto"/>
          <w:highlight w:val="none"/>
        </w:rPr>
        <w:t>属大竹县境内的山地区</w:t>
      </w:r>
      <w:r>
        <w:rPr>
          <w:color w:val="auto"/>
          <w:highlight w:val="none"/>
        </w:rPr>
        <w:t>，矿区</w:t>
      </w:r>
      <w:r>
        <w:rPr>
          <w:rFonts w:hint="eastAsia"/>
          <w:color w:val="auto"/>
          <w:highlight w:val="none"/>
        </w:rPr>
        <w:t>开采及</w:t>
      </w:r>
      <w:r>
        <w:rPr>
          <w:color w:val="auto"/>
          <w:highlight w:val="none"/>
        </w:rPr>
        <w:t>生产运输活动的开展，不可避免的对区域生物多样性，尤其是大型哺乳动物的分布，存在一定的影响。且人为活动的加剧，也增加了外来植物的种类及对乡土植物的干扰。</w:t>
      </w:r>
      <w:r>
        <w:rPr>
          <w:rFonts w:hint="eastAsia"/>
          <w:color w:val="auto"/>
          <w:highlight w:val="none"/>
        </w:rPr>
        <w:t>项目矿山属地下开采，占地面积小，对植被等破坏有限</w:t>
      </w:r>
      <w:r>
        <w:rPr>
          <w:color w:val="auto"/>
          <w:highlight w:val="none"/>
        </w:rPr>
        <w:t>。矿区的经营中，</w:t>
      </w:r>
      <w:r>
        <w:rPr>
          <w:rFonts w:hint="eastAsia"/>
          <w:color w:val="auto"/>
          <w:highlight w:val="none"/>
        </w:rPr>
        <w:t>也</w:t>
      </w:r>
      <w:r>
        <w:rPr>
          <w:color w:val="auto"/>
          <w:highlight w:val="none"/>
        </w:rPr>
        <w:t>必须注重生态环境的保护及管理、生态恢复及建设、加强矿区管理等方面的工作。</w:t>
      </w:r>
    </w:p>
    <w:p>
      <w:pPr>
        <w:bidi w:val="0"/>
        <w:rPr>
          <w:color w:val="auto"/>
          <w:highlight w:val="none"/>
        </w:rPr>
      </w:pPr>
      <w:r>
        <w:rPr>
          <w:rFonts w:hint="eastAsia"/>
          <w:color w:val="auto"/>
          <w:highlight w:val="none"/>
          <w:lang w:eastAsia="zh-CN"/>
        </w:rPr>
        <w:t>③</w:t>
      </w:r>
      <w:r>
        <w:rPr>
          <w:color w:val="auto"/>
          <w:highlight w:val="none"/>
        </w:rPr>
        <w:t>主要威胁现状</w:t>
      </w:r>
    </w:p>
    <w:p>
      <w:pPr>
        <w:bidi w:val="0"/>
        <w:rPr>
          <w:color w:val="auto"/>
          <w:highlight w:val="none"/>
        </w:rPr>
      </w:pPr>
      <w:r>
        <w:rPr>
          <w:b/>
          <w:bCs/>
          <w:color w:val="auto"/>
          <w:highlight w:val="none"/>
        </w:rPr>
        <w:t>自然灾害影响：</w:t>
      </w:r>
      <w:r>
        <w:rPr>
          <w:color w:val="auto"/>
          <w:highlight w:val="none"/>
        </w:rPr>
        <w:t>评价区域内的植被多是以柏木、马尾松、杉木、</w:t>
      </w:r>
      <w:r>
        <w:rPr>
          <w:rFonts w:hint="eastAsia"/>
          <w:color w:val="auto"/>
          <w:highlight w:val="none"/>
        </w:rPr>
        <w:t>竹林</w:t>
      </w:r>
      <w:r>
        <w:rPr>
          <w:color w:val="auto"/>
          <w:highlight w:val="none"/>
        </w:rPr>
        <w:t>等为主，尤其是马尾松林、柏木林易受到自然灾害的威胁，如虫害、雷击、风折、水土流失等。马尾松林、柏木林等森林及灌丛是评价区动植物重要的生活栖息地，受自然灾害的影响，动植物栖息地的减少将会对生物多样性造成影响。总体来说，评价区生态系统及生物多样性受自然灾害的威胁并不突出，但仍需加强马尾松林虫害的预防。</w:t>
      </w:r>
    </w:p>
    <w:p>
      <w:pPr>
        <w:bidi w:val="0"/>
        <w:rPr>
          <w:rFonts w:hint="eastAsia"/>
          <w:color w:val="auto"/>
          <w:highlight w:val="none"/>
          <w:lang w:eastAsia="zh-CN"/>
        </w:rPr>
      </w:pPr>
      <w:r>
        <w:rPr>
          <w:b/>
          <w:bCs/>
          <w:color w:val="auto"/>
          <w:highlight w:val="none"/>
        </w:rPr>
        <w:t>人类活动频繁</w:t>
      </w:r>
      <w:bookmarkStart w:id="223" w:name="_Toc398591099"/>
      <w:bookmarkStart w:id="224" w:name="_Toc388858808"/>
      <w:bookmarkStart w:id="225" w:name="_Toc388791774"/>
      <w:bookmarkStart w:id="226" w:name="_Toc30372"/>
      <w:bookmarkStart w:id="227" w:name="_Toc14972"/>
      <w:bookmarkStart w:id="228" w:name="_Toc389638695"/>
      <w:r>
        <w:rPr>
          <w:b/>
          <w:bCs/>
          <w:color w:val="auto"/>
          <w:highlight w:val="none"/>
        </w:rPr>
        <w:t>：</w:t>
      </w:r>
      <w:r>
        <w:rPr>
          <w:color w:val="auto"/>
          <w:highlight w:val="none"/>
        </w:rPr>
        <w:t>评价区内本身人类活动较</w:t>
      </w:r>
      <w:r>
        <w:rPr>
          <w:rFonts w:hint="eastAsia"/>
          <w:color w:val="auto"/>
          <w:highlight w:val="none"/>
        </w:rPr>
        <w:t>为</w:t>
      </w:r>
      <w:r>
        <w:rPr>
          <w:color w:val="auto"/>
          <w:highlight w:val="none"/>
        </w:rPr>
        <w:t>频繁，耕地面积较大，附近居民的生产、生活活动对灌丛和森林植物造成一定破坏，干扰区内动物正常的繁育栖息活动，破坏了宁静的动物栖息环境。</w:t>
      </w:r>
      <w:bookmarkEnd w:id="223"/>
      <w:bookmarkEnd w:id="224"/>
      <w:bookmarkEnd w:id="225"/>
      <w:bookmarkEnd w:id="226"/>
      <w:bookmarkEnd w:id="227"/>
      <w:bookmarkEnd w:id="228"/>
      <w:r>
        <w:rPr>
          <w:rFonts w:hint="eastAsia"/>
          <w:color w:val="auto"/>
          <w:highlight w:val="none"/>
        </w:rPr>
        <w:t>因此</w:t>
      </w:r>
      <w:r>
        <w:rPr>
          <w:color w:val="auto"/>
          <w:highlight w:val="none"/>
        </w:rPr>
        <w:t>，</w:t>
      </w:r>
      <w:r>
        <w:rPr>
          <w:rFonts w:hint="eastAsia"/>
          <w:color w:val="auto"/>
          <w:highlight w:val="none"/>
        </w:rPr>
        <w:t>项目煤炭矿山开采</w:t>
      </w:r>
      <w:r>
        <w:rPr>
          <w:color w:val="auto"/>
          <w:highlight w:val="none"/>
        </w:rPr>
        <w:t>必须加强矿区运营管理，做到采矿、生态保护的和谐发展。</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）景观生态体系</w:t>
      </w:r>
    </w:p>
    <w:p>
      <w:pPr>
        <w:bidi w:val="0"/>
        <w:rPr>
          <w:color w:val="auto"/>
          <w:highlight w:val="none"/>
        </w:rPr>
      </w:pPr>
      <w:r>
        <w:rPr>
          <w:color w:val="auto"/>
          <w:highlight w:val="none"/>
        </w:rPr>
        <w:t>景观生态学是以异质性景观为研究对象，探讨不同尺度上景观的空间格局、系统功能和动态变化及其相互作用的综合性交叉学科。美国哈佛大学设计研究生院的Richard T·T·Forman教授提出的“斑块（patch）、廊道（corridor）和基质（matrix）”是景观生态学用来解释景观结构的基本模式（Forman and Godron，1986）。</w:t>
      </w:r>
    </w:p>
    <w:p>
      <w:pPr>
        <w:bidi w:val="0"/>
        <w:rPr>
          <w:color w:val="auto"/>
          <w:highlight w:val="none"/>
        </w:rPr>
      </w:pPr>
      <w:r>
        <w:rPr>
          <w:color w:val="auto"/>
          <w:highlight w:val="none"/>
        </w:rPr>
        <w:t>基质代表了该景观或区域的最主要的景观类型。斑块意味着景观类型的多样化，是构成景观的结构和功能单位。廊道是线性的景观单元，具有联通和阻隔的双重作用，意味着土地利用系统或景观类型之间的联系。这些都是景观或区域土地持续利用的基本格局，这些要素能实现主要的生态或人类目标景观中任意一点或是落在某一斑块内，或是落在廊道内，或是在作为背景的基质内。这一模式为比较和判别景观结构，分析结构与功能的关系和改变景观提供了一种通俗、简明和可操作的语言。</w:t>
      </w:r>
    </w:p>
    <w:p>
      <w:pPr>
        <w:bidi w:val="0"/>
        <w:rPr>
          <w:color w:val="auto"/>
          <w:highlight w:val="none"/>
        </w:rPr>
      </w:pPr>
      <w:r>
        <w:rPr>
          <w:rFonts w:hint="eastAsia"/>
          <w:color w:val="auto"/>
          <w:highlight w:val="none"/>
          <w:lang w:eastAsia="zh-CN"/>
        </w:rPr>
        <w:t>①</w:t>
      </w:r>
      <w:r>
        <w:rPr>
          <w:rFonts w:hint="eastAsia"/>
          <w:color w:val="auto"/>
          <w:highlight w:val="none"/>
        </w:rPr>
        <w:t>斑块</w:t>
      </w:r>
    </w:p>
    <w:p>
      <w:pPr>
        <w:bidi w:val="0"/>
        <w:rPr>
          <w:color w:val="auto"/>
          <w:highlight w:val="none"/>
        </w:rPr>
      </w:pPr>
      <w:r>
        <w:rPr>
          <w:color w:val="auto"/>
          <w:highlight w:val="none"/>
        </w:rPr>
        <w:t>根据</w:t>
      </w:r>
      <w:r>
        <w:rPr>
          <w:rFonts w:hint="eastAsia"/>
          <w:color w:val="auto"/>
          <w:highlight w:val="none"/>
        </w:rPr>
        <w:t>大竹县</w:t>
      </w:r>
      <w:r>
        <w:rPr>
          <w:color w:val="auto"/>
          <w:highlight w:val="none"/>
        </w:rPr>
        <w:t>煤炭矿区总体规划项目评价区植被覆盖及土地利用现状，根据景观类型划分的相关依据，在考虑景观异质性及现有资料的基础上将项目评价区域内的景观划分为</w:t>
      </w:r>
      <w:bookmarkStart w:id="229" w:name="_Hlk22711525"/>
      <w:r>
        <w:rPr>
          <w:color w:val="auto"/>
          <w:highlight w:val="none"/>
        </w:rPr>
        <w:t>乔木林地、灌草丛、水域</w:t>
      </w:r>
      <w:r>
        <w:rPr>
          <w:rFonts w:hint="eastAsia"/>
          <w:color w:val="auto"/>
          <w:highlight w:val="none"/>
        </w:rPr>
        <w:t>、竹林</w:t>
      </w:r>
      <w:r>
        <w:rPr>
          <w:color w:val="auto"/>
          <w:highlight w:val="none"/>
        </w:rPr>
        <w:t>等4类自然斑块和耕地、村落、道路等3类人工斑块镶嵌组成。</w:t>
      </w:r>
      <w:bookmarkEnd w:id="229"/>
      <w:r>
        <w:rPr>
          <w:color w:val="auto"/>
          <w:highlight w:val="none"/>
        </w:rPr>
        <w:t>运用Arc GIS软件，根据野外植被调查、生态系统调查及土地利用现状，制作出评价区域的景观分布图。利用Arc GIS的统计分析功得出各类景观类型的基础信息，详见下表。</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评价区域各景观类型景观结构</w:t>
      </w:r>
      <w:r>
        <w:rPr>
          <w:rFonts w:hint="eastAsia"/>
          <w:color w:val="auto"/>
          <w:highlight w:val="none"/>
        </w:rPr>
        <w:t>统计表</w:t>
      </w:r>
    </w:p>
    <w:tbl>
      <w:tblPr>
        <w:tblStyle w:val="17"/>
        <w:tblW w:w="5000" w:type="pct"/>
        <w:tblInd w:w="0" w:type="dxa"/>
        <w:tblLayout w:type="autofit"/>
        <w:tblCellMar>
          <w:top w:w="0" w:type="dxa"/>
          <w:left w:w="108" w:type="dxa"/>
          <w:bottom w:w="0" w:type="dxa"/>
          <w:right w:w="108" w:type="dxa"/>
        </w:tblCellMar>
      </w:tblPr>
      <w:tblGrid>
        <w:gridCol w:w="740"/>
        <w:gridCol w:w="1230"/>
        <w:gridCol w:w="1323"/>
        <w:gridCol w:w="1246"/>
        <w:gridCol w:w="986"/>
        <w:gridCol w:w="1473"/>
        <w:gridCol w:w="2628"/>
      </w:tblGrid>
      <w:tr>
        <w:tblPrEx>
          <w:tblCellMar>
            <w:top w:w="0" w:type="dxa"/>
            <w:left w:w="108" w:type="dxa"/>
            <w:bottom w:w="0" w:type="dxa"/>
            <w:right w:w="108" w:type="dxa"/>
          </w:tblCellMar>
        </w:tblPrEx>
        <w:trPr>
          <w:trHeight w:val="425" w:hRule="atLeast"/>
        </w:trPr>
        <w:tc>
          <w:tcPr>
            <w:tcW w:w="385" w:type="pct"/>
            <w:tcBorders>
              <w:top w:val="single" w:color="auto" w:sz="8" w:space="0"/>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序号</w:t>
            </w:r>
          </w:p>
        </w:tc>
        <w:tc>
          <w:tcPr>
            <w:tcW w:w="639"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斑块类型</w:t>
            </w:r>
          </w:p>
        </w:tc>
        <w:tc>
          <w:tcPr>
            <w:tcW w:w="687"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面积(</w:t>
            </w:r>
            <w:r>
              <w:rPr>
                <w:rFonts w:hint="eastAsia"/>
                <w:color w:val="auto"/>
                <w:highlight w:val="none"/>
              </w:rPr>
              <w:t>k</w:t>
            </w:r>
            <w:r>
              <w:rPr>
                <w:color w:val="auto"/>
                <w:highlight w:val="none"/>
              </w:rPr>
              <w:t>m2)</w:t>
            </w:r>
          </w:p>
        </w:tc>
        <w:tc>
          <w:tcPr>
            <w:tcW w:w="647"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比例(%)</w:t>
            </w:r>
          </w:p>
        </w:tc>
        <w:tc>
          <w:tcPr>
            <w:tcW w:w="512"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斑块数</w:t>
            </w:r>
          </w:p>
        </w:tc>
        <w:tc>
          <w:tcPr>
            <w:tcW w:w="765"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比例（%）</w:t>
            </w:r>
          </w:p>
        </w:tc>
        <w:tc>
          <w:tcPr>
            <w:tcW w:w="1365"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斑块平均面积（hm2）</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1</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乔木林地</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113.75 </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40.67%</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2163</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24.13%</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5.2589 </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2</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灌草丛</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53.90 </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19.27%</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3186</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35.55%</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1.6918 </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3</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耕地</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65.45 </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23.40%</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1816</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20.26%</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3.6041 </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4</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村落</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17.09 </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6.11%</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962</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10.73%</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1.7765 </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5</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道路</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2.94 </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1.05%</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164</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1.83%</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1.7927 </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6</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竹林</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26.04</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9.31%</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436</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4.86%</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5.9725 </w:t>
            </w:r>
          </w:p>
        </w:tc>
      </w:tr>
      <w:tr>
        <w:tblPrEx>
          <w:tblCellMar>
            <w:top w:w="0" w:type="dxa"/>
            <w:left w:w="108" w:type="dxa"/>
            <w:bottom w:w="0" w:type="dxa"/>
            <w:right w:w="108" w:type="dxa"/>
          </w:tblCellMar>
        </w:tblPrEx>
        <w:trPr>
          <w:trHeight w:val="425" w:hRule="atLeast"/>
        </w:trPr>
        <w:tc>
          <w:tcPr>
            <w:tcW w:w="385"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7</w:t>
            </w:r>
          </w:p>
        </w:tc>
        <w:tc>
          <w:tcPr>
            <w:tcW w:w="63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水域</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0.54 </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0.19%</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236</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2.63%</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 xml:space="preserve">0.2288 </w:t>
            </w:r>
          </w:p>
        </w:tc>
      </w:tr>
      <w:tr>
        <w:tblPrEx>
          <w:tblCellMar>
            <w:top w:w="0" w:type="dxa"/>
            <w:left w:w="108" w:type="dxa"/>
            <w:bottom w:w="0" w:type="dxa"/>
            <w:right w:w="108" w:type="dxa"/>
          </w:tblCellMar>
        </w:tblPrEx>
        <w:trPr>
          <w:trHeight w:val="425" w:hRule="atLeast"/>
        </w:trPr>
        <w:tc>
          <w:tcPr>
            <w:tcW w:w="1023"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pStyle w:val="22"/>
              <w:bidi w:val="0"/>
              <w:rPr>
                <w:color w:val="auto"/>
                <w:highlight w:val="none"/>
              </w:rPr>
            </w:pPr>
            <w:r>
              <w:rPr>
                <w:color w:val="auto"/>
                <w:highlight w:val="none"/>
              </w:rPr>
              <w:t>合计</w:t>
            </w:r>
          </w:p>
        </w:tc>
        <w:tc>
          <w:tcPr>
            <w:tcW w:w="132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color w:val="auto"/>
                <w:kern w:val="0"/>
                <w:sz w:val="21"/>
                <w:szCs w:val="21"/>
                <w:highlight w:val="none"/>
              </w:rPr>
              <w:t>279.70</w:t>
            </w:r>
          </w:p>
        </w:tc>
        <w:tc>
          <w:tcPr>
            <w:tcW w:w="124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color w:val="auto"/>
                <w:kern w:val="0"/>
                <w:sz w:val="21"/>
                <w:szCs w:val="21"/>
                <w:highlight w:val="none"/>
              </w:rPr>
              <w:t>100.00%</w:t>
            </w:r>
          </w:p>
        </w:tc>
        <w:tc>
          <w:tcPr>
            <w:tcW w:w="98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color w:val="auto"/>
                <w:kern w:val="0"/>
                <w:sz w:val="21"/>
                <w:szCs w:val="21"/>
                <w:highlight w:val="none"/>
              </w:rPr>
              <w:t>8963</w:t>
            </w:r>
          </w:p>
        </w:tc>
        <w:tc>
          <w:tcPr>
            <w:tcW w:w="1473"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color w:val="auto"/>
                <w:kern w:val="0"/>
                <w:sz w:val="21"/>
                <w:szCs w:val="21"/>
                <w:highlight w:val="none"/>
              </w:rPr>
              <w:t>100.000%</w:t>
            </w:r>
          </w:p>
        </w:tc>
        <w:tc>
          <w:tcPr>
            <w:tcW w:w="2628"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color w:val="auto"/>
                <w:kern w:val="0"/>
                <w:sz w:val="21"/>
                <w:szCs w:val="21"/>
                <w:highlight w:val="none"/>
              </w:rPr>
              <w:t>3.1206</w:t>
            </w:r>
          </w:p>
        </w:tc>
      </w:tr>
    </w:tbl>
    <w:p>
      <w:pPr>
        <w:bidi w:val="0"/>
        <w:rPr>
          <w:color w:val="auto"/>
          <w:highlight w:val="none"/>
        </w:rPr>
      </w:pPr>
      <w:r>
        <w:rPr>
          <w:color w:val="auto"/>
          <w:highlight w:val="none"/>
        </w:rPr>
        <w:t>从上表可以看出，</w:t>
      </w:r>
      <w:r>
        <w:rPr>
          <w:rFonts w:hint="eastAsia"/>
          <w:color w:val="auto"/>
          <w:highlight w:val="none"/>
        </w:rPr>
        <w:t>大竹县</w:t>
      </w:r>
      <w:r>
        <w:rPr>
          <w:color w:val="auto"/>
          <w:highlight w:val="none"/>
        </w:rPr>
        <w:t>煤炭矿区总体规划项目评价区内总面积最大的景观类型为乔木林地，占评价区总面积的40.67％，斑块平均面积为5.2589hm</w:t>
      </w:r>
      <w:r>
        <w:rPr>
          <w:color w:val="auto"/>
          <w:highlight w:val="none"/>
          <w:vertAlign w:val="superscript"/>
        </w:rPr>
        <w:t>2</w:t>
      </w:r>
      <w:r>
        <w:rPr>
          <w:color w:val="auto"/>
          <w:highlight w:val="none"/>
        </w:rPr>
        <w:t>/块</w:t>
      </w:r>
      <w:r>
        <w:rPr>
          <w:rFonts w:hint="eastAsia"/>
          <w:color w:val="auto"/>
          <w:highlight w:val="none"/>
        </w:rPr>
        <w:t>；竹林占地面积</w:t>
      </w:r>
      <w:r>
        <w:rPr>
          <w:color w:val="auto"/>
          <w:highlight w:val="none"/>
        </w:rPr>
        <w:t>26.04</w:t>
      </w:r>
      <w:r>
        <w:rPr>
          <w:rFonts w:hint="eastAsia"/>
          <w:color w:val="auto"/>
          <w:highlight w:val="none"/>
        </w:rPr>
        <w:t>km</w:t>
      </w:r>
      <w:r>
        <w:rPr>
          <w:color w:val="auto"/>
          <w:highlight w:val="none"/>
          <w:vertAlign w:val="superscript"/>
        </w:rPr>
        <w:t>2</w:t>
      </w:r>
      <w:r>
        <w:rPr>
          <w:rFonts w:hint="eastAsia"/>
          <w:color w:val="auto"/>
          <w:highlight w:val="none"/>
        </w:rPr>
        <w:t>，斑块平均面积</w:t>
      </w:r>
      <w:r>
        <w:rPr>
          <w:color w:val="auto"/>
          <w:highlight w:val="none"/>
        </w:rPr>
        <w:t>5.9725</w:t>
      </w:r>
      <w:r>
        <w:rPr>
          <w:rFonts w:hint="eastAsia"/>
          <w:color w:val="auto"/>
          <w:highlight w:val="none"/>
        </w:rPr>
        <w:t>hm</w:t>
      </w:r>
      <w:r>
        <w:rPr>
          <w:color w:val="auto"/>
          <w:highlight w:val="none"/>
          <w:vertAlign w:val="superscript"/>
        </w:rPr>
        <w:t>2</w:t>
      </w:r>
      <w:r>
        <w:rPr>
          <w:color w:val="auto"/>
          <w:highlight w:val="none"/>
        </w:rPr>
        <w:t>/</w:t>
      </w:r>
      <w:r>
        <w:rPr>
          <w:rFonts w:hint="eastAsia"/>
          <w:color w:val="auto"/>
          <w:highlight w:val="none"/>
        </w:rPr>
        <w:t>块，</w:t>
      </w:r>
      <w:r>
        <w:rPr>
          <w:color w:val="auto"/>
          <w:highlight w:val="none"/>
        </w:rPr>
        <w:t>为所有斑块类型中平均面积最大的，说明其连通性较高。耕地斑块总面积约65.45</w:t>
      </w:r>
      <w:r>
        <w:rPr>
          <w:rFonts w:hint="eastAsia"/>
          <w:color w:val="auto"/>
          <w:highlight w:val="none"/>
        </w:rPr>
        <w:t>k</w:t>
      </w:r>
      <w:r>
        <w:rPr>
          <w:color w:val="auto"/>
          <w:highlight w:val="none"/>
        </w:rPr>
        <w:t>m</w:t>
      </w:r>
      <w:r>
        <w:rPr>
          <w:color w:val="auto"/>
          <w:highlight w:val="none"/>
          <w:vertAlign w:val="superscript"/>
        </w:rPr>
        <w:t>2</w:t>
      </w:r>
      <w:r>
        <w:rPr>
          <w:color w:val="auto"/>
          <w:highlight w:val="none"/>
        </w:rPr>
        <w:t>，斑块数量较多（1816块），斑块平均面积为3.6041hm</w:t>
      </w:r>
      <w:r>
        <w:rPr>
          <w:color w:val="auto"/>
          <w:highlight w:val="none"/>
          <w:vertAlign w:val="superscript"/>
        </w:rPr>
        <w:t>2</w:t>
      </w:r>
      <w:r>
        <w:rPr>
          <w:color w:val="auto"/>
          <w:highlight w:val="none"/>
        </w:rPr>
        <w:t>/</w:t>
      </w:r>
      <w:r>
        <w:rPr>
          <w:rFonts w:hint="eastAsia"/>
          <w:color w:val="auto"/>
          <w:highlight w:val="none"/>
        </w:rPr>
        <w:t>块</w:t>
      </w:r>
      <w:r>
        <w:rPr>
          <w:color w:val="auto"/>
          <w:highlight w:val="none"/>
        </w:rPr>
        <w:t>，人类耕作较为显著。评价区内的水体包括沟谷河流和塘库，塘库多零星散布于耕地附近，破碎化程度高，斑块平均面积0.2288hm</w:t>
      </w:r>
      <w:r>
        <w:rPr>
          <w:color w:val="auto"/>
          <w:highlight w:val="none"/>
          <w:vertAlign w:val="superscript"/>
        </w:rPr>
        <w:t>2</w:t>
      </w:r>
      <w:r>
        <w:rPr>
          <w:color w:val="auto"/>
          <w:highlight w:val="none"/>
        </w:rPr>
        <w:t>/块。道路斑块作为廊道，其本身连通性很高，在景观生态体系中主要有对耕地、民居及对外的连通作用和对其余自然资源类斑块的阻隔作用。</w:t>
      </w:r>
    </w:p>
    <w:p>
      <w:pPr>
        <w:bidi w:val="0"/>
        <w:rPr>
          <w:rFonts w:eastAsia="华文仿宋"/>
          <w:color w:val="auto"/>
          <w:highlight w:val="none"/>
        </w:rPr>
      </w:pPr>
      <w:r>
        <w:rPr>
          <w:color w:val="auto"/>
          <w:highlight w:val="none"/>
        </w:rPr>
        <w:t>反映某一斑块在景观中优势的值叫优势度值。优势度值由3种参数计算而出，即密度（Rd）、频率（Rf）和景观比例（Lp）。利用由Arc GIS对评价区内各类斑块所计算的优势度值计算见表4-21。</w:t>
      </w:r>
    </w:p>
    <w:p>
      <w:pPr>
        <w:pStyle w:val="22"/>
        <w:bidi w:val="0"/>
        <w:rPr>
          <w:color w:val="auto"/>
          <w:highlight w:val="none"/>
        </w:rPr>
      </w:pPr>
      <w:r>
        <w:rPr>
          <w:rFonts w:hint="eastAsia"/>
          <w:color w:val="auto"/>
          <w:highlight w:val="none"/>
        </w:rPr>
        <w:t>表</w:t>
      </w:r>
      <w:r>
        <w:rPr>
          <w:rFonts w:hint="eastAsia"/>
          <w:color w:val="auto"/>
          <w:highlight w:val="none"/>
          <w:lang w:val="en-US" w:eastAsia="zh-CN"/>
        </w:rPr>
        <w:t>3.2-</w:t>
      </w:r>
      <w:r>
        <w:rPr>
          <w:rFonts w:hint="eastAsia"/>
          <w:color w:val="auto"/>
          <w:highlight w:val="none"/>
        </w:rPr>
        <w:t xml:space="preserve"> 评价区</w:t>
      </w:r>
      <w:r>
        <w:rPr>
          <w:color w:val="auto"/>
          <w:highlight w:val="none"/>
        </w:rPr>
        <w:t>各类型斑块优势度值</w:t>
      </w:r>
    </w:p>
    <w:tbl>
      <w:tblPr>
        <w:tblStyle w:val="17"/>
        <w:tblW w:w="5000" w:type="pct"/>
        <w:tblInd w:w="0" w:type="dxa"/>
        <w:tblLayout w:type="autofit"/>
        <w:tblCellMar>
          <w:top w:w="0" w:type="dxa"/>
          <w:left w:w="108" w:type="dxa"/>
          <w:bottom w:w="0" w:type="dxa"/>
          <w:right w:w="108" w:type="dxa"/>
        </w:tblCellMar>
      </w:tblPr>
      <w:tblGrid>
        <w:gridCol w:w="1121"/>
        <w:gridCol w:w="1866"/>
        <w:gridCol w:w="1706"/>
        <w:gridCol w:w="1706"/>
        <w:gridCol w:w="1706"/>
        <w:gridCol w:w="1521"/>
      </w:tblGrid>
      <w:tr>
        <w:tblPrEx>
          <w:tblCellMar>
            <w:top w:w="0" w:type="dxa"/>
            <w:left w:w="108" w:type="dxa"/>
            <w:bottom w:w="0" w:type="dxa"/>
            <w:right w:w="108" w:type="dxa"/>
          </w:tblCellMar>
        </w:tblPrEx>
        <w:trPr>
          <w:trHeight w:val="425" w:hRule="atLeast"/>
        </w:trPr>
        <w:tc>
          <w:tcPr>
            <w:tcW w:w="583" w:type="pct"/>
            <w:tcBorders>
              <w:top w:val="single" w:color="auto" w:sz="8" w:space="0"/>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序号</w:t>
            </w:r>
          </w:p>
        </w:tc>
        <w:tc>
          <w:tcPr>
            <w:tcW w:w="969"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斑块类型</w:t>
            </w:r>
          </w:p>
        </w:tc>
        <w:tc>
          <w:tcPr>
            <w:tcW w:w="886"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Rd(%)</w:t>
            </w:r>
          </w:p>
        </w:tc>
        <w:tc>
          <w:tcPr>
            <w:tcW w:w="886"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Rf (%)</w:t>
            </w:r>
          </w:p>
        </w:tc>
        <w:tc>
          <w:tcPr>
            <w:tcW w:w="886"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Lp (%)</w:t>
            </w:r>
          </w:p>
        </w:tc>
        <w:tc>
          <w:tcPr>
            <w:tcW w:w="790" w:type="pct"/>
            <w:tcBorders>
              <w:top w:val="single" w:color="auto" w:sz="8" w:space="0"/>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Do(%)</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1</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乔木林地</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24.13%</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30.82%</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40.67%</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34.07%</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2</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灌草丛</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35.55%</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13.77%</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19.27%</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21.96%</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3</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耕地</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20.26%</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25.57%</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23.40%</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23.16%</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4</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村落</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10.73%</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5.90%</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6.11%</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7.21%</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5</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道路</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1.83%</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3.93%</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1.05%</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1.97%</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6</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竹林</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4.86%</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17.05%</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9.31%</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10.13%</w:t>
            </w:r>
          </w:p>
        </w:tc>
      </w:tr>
      <w:tr>
        <w:tblPrEx>
          <w:tblCellMar>
            <w:top w:w="0" w:type="dxa"/>
            <w:left w:w="108" w:type="dxa"/>
            <w:bottom w:w="0" w:type="dxa"/>
            <w:right w:w="108" w:type="dxa"/>
          </w:tblCellMar>
        </w:tblPrEx>
        <w:trPr>
          <w:trHeight w:val="425" w:hRule="atLeast"/>
        </w:trPr>
        <w:tc>
          <w:tcPr>
            <w:tcW w:w="583" w:type="pct"/>
            <w:tcBorders>
              <w:top w:val="nil"/>
              <w:left w:val="single" w:color="auto" w:sz="8" w:space="0"/>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7</w:t>
            </w:r>
          </w:p>
        </w:tc>
        <w:tc>
          <w:tcPr>
            <w:tcW w:w="969" w:type="pct"/>
            <w:tcBorders>
              <w:top w:val="nil"/>
              <w:left w:val="nil"/>
              <w:bottom w:val="single" w:color="auto" w:sz="8" w:space="0"/>
              <w:right w:val="single" w:color="auto" w:sz="8" w:space="0"/>
            </w:tcBorders>
            <w:shd w:val="clear" w:color="auto" w:fill="auto"/>
            <w:noWrap/>
            <w:vAlign w:val="center"/>
          </w:tcPr>
          <w:p>
            <w:pPr>
              <w:pStyle w:val="22"/>
              <w:bidi w:val="0"/>
              <w:rPr>
                <w:color w:val="auto"/>
                <w:highlight w:val="none"/>
              </w:rPr>
            </w:pPr>
            <w:r>
              <w:rPr>
                <w:color w:val="auto"/>
                <w:highlight w:val="none"/>
              </w:rPr>
              <w:t>水域</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2.63%</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2.95%</w:t>
            </w:r>
          </w:p>
        </w:tc>
        <w:tc>
          <w:tcPr>
            <w:tcW w:w="1706"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0.19%</w:t>
            </w:r>
          </w:p>
        </w:tc>
        <w:tc>
          <w:tcPr>
            <w:tcW w:w="1521" w:type="dxa"/>
            <w:tcBorders>
              <w:top w:val="nil"/>
              <w:left w:val="nil"/>
              <w:bottom w:val="single" w:color="auto" w:sz="8" w:space="0"/>
              <w:right w:val="single" w:color="auto" w:sz="8" w:space="0"/>
            </w:tcBorders>
            <w:shd w:val="clear" w:color="auto" w:fill="auto"/>
            <w:noWrap/>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1.49%</w:t>
            </w:r>
          </w:p>
        </w:tc>
      </w:tr>
    </w:tbl>
    <w:p>
      <w:pPr>
        <w:bidi w:val="0"/>
        <w:rPr>
          <w:color w:val="auto"/>
          <w:highlight w:val="none"/>
        </w:rPr>
      </w:pPr>
      <w:r>
        <w:rPr>
          <w:color w:val="auto"/>
          <w:highlight w:val="none"/>
        </w:rPr>
        <w:t>从上表可以看出，</w:t>
      </w:r>
      <w:r>
        <w:rPr>
          <w:rFonts w:hint="eastAsia"/>
          <w:color w:val="auto"/>
          <w:highlight w:val="none"/>
        </w:rPr>
        <w:t>大竹县</w:t>
      </w:r>
      <w:r>
        <w:rPr>
          <w:color w:val="auto"/>
          <w:highlight w:val="none"/>
        </w:rPr>
        <w:t>煤炭矿区总体规划项目</w:t>
      </w:r>
      <w:r>
        <w:rPr>
          <w:rFonts w:hint="eastAsia"/>
          <w:color w:val="auto"/>
          <w:highlight w:val="none"/>
        </w:rPr>
        <w:t>评价区内各景观斑块的优势度值顺序为：乔木林地景观、耕地景观、竹林景观、村落景观、道路景观、水域景观。</w:t>
      </w:r>
      <w:r>
        <w:rPr>
          <w:color w:val="auto"/>
          <w:highlight w:val="none"/>
        </w:rPr>
        <w:t>乔木林地的优势度值最高，达34.07％；其次是耕地，为23.16%</w:t>
      </w:r>
      <w:r>
        <w:rPr>
          <w:rFonts w:hint="eastAsia"/>
          <w:color w:val="auto"/>
          <w:highlight w:val="none"/>
        </w:rPr>
        <w:t>；灌草丛斑块及竹林斑块的优势度值分别为</w:t>
      </w:r>
      <w:r>
        <w:rPr>
          <w:color w:val="auto"/>
          <w:highlight w:val="none"/>
        </w:rPr>
        <w:t>21.96</w:t>
      </w:r>
      <w:r>
        <w:rPr>
          <w:rFonts w:hint="eastAsia"/>
          <w:color w:val="auto"/>
          <w:highlight w:val="none"/>
        </w:rPr>
        <w:t>%、</w:t>
      </w:r>
      <w:r>
        <w:rPr>
          <w:color w:val="auto"/>
          <w:highlight w:val="none"/>
        </w:rPr>
        <w:t>10.13</w:t>
      </w:r>
      <w:r>
        <w:rPr>
          <w:rFonts w:hint="eastAsia"/>
          <w:color w:val="auto"/>
          <w:highlight w:val="none"/>
        </w:rPr>
        <w:t>%</w:t>
      </w:r>
      <w:r>
        <w:rPr>
          <w:color w:val="auto"/>
          <w:highlight w:val="none"/>
        </w:rPr>
        <w:t>。</w:t>
      </w:r>
      <w:r>
        <w:rPr>
          <w:rFonts w:hint="eastAsia"/>
          <w:color w:val="auto"/>
          <w:highlight w:val="none"/>
        </w:rPr>
        <w:t>在各景观斑块类型中，</w:t>
      </w:r>
      <w:r>
        <w:rPr>
          <w:color w:val="auto"/>
          <w:highlight w:val="none"/>
        </w:rPr>
        <w:t>耕地景观斑块的优势度值较大，评价区人类耕作较为显著，这也与区域现状极为吻合。</w:t>
      </w:r>
    </w:p>
    <w:p>
      <w:pPr>
        <w:bidi w:val="0"/>
        <w:rPr>
          <w:color w:val="auto"/>
          <w:highlight w:val="none"/>
        </w:rPr>
      </w:pPr>
      <w:r>
        <w:rPr>
          <w:color w:val="auto"/>
          <w:highlight w:val="none"/>
        </w:rPr>
        <w:t>从各个斑块的数据</w:t>
      </w:r>
      <w:r>
        <w:rPr>
          <w:rFonts w:hint="eastAsia"/>
          <w:color w:val="auto"/>
          <w:highlight w:val="none"/>
        </w:rPr>
        <w:t>来</w:t>
      </w:r>
      <w:r>
        <w:rPr>
          <w:color w:val="auto"/>
          <w:highlight w:val="none"/>
        </w:rPr>
        <w:t>看，乔木林地斑块分布最广，面积最大，完整化程度高，见于评价区的大多数区域，计算出的优势度值也最大。</w:t>
      </w:r>
    </w:p>
    <w:p>
      <w:pPr>
        <w:bidi w:val="0"/>
        <w:rPr>
          <w:color w:val="auto"/>
          <w:highlight w:val="none"/>
        </w:rPr>
      </w:pPr>
      <w:r>
        <w:rPr>
          <w:rFonts w:hint="eastAsia"/>
          <w:color w:val="auto"/>
          <w:highlight w:val="none"/>
          <w:lang w:eastAsia="zh-CN"/>
        </w:rPr>
        <w:t>②</w:t>
      </w:r>
      <w:r>
        <w:rPr>
          <w:rFonts w:hint="eastAsia"/>
          <w:color w:val="auto"/>
          <w:highlight w:val="none"/>
        </w:rPr>
        <w:t>廊道</w:t>
      </w:r>
    </w:p>
    <w:p>
      <w:pPr>
        <w:bidi w:val="0"/>
        <w:rPr>
          <w:color w:val="auto"/>
          <w:highlight w:val="none"/>
        </w:rPr>
      </w:pPr>
      <w:r>
        <w:rPr>
          <w:color w:val="auto"/>
          <w:highlight w:val="none"/>
        </w:rPr>
        <w:t>廊道作为线性的景观单元除了具有通道和阻隔的作用之外，还有物种过滤器、作为某些物种栖息地的功能，也存在与周围环境和生物之间的相互作用。评价区内的廊道主要为道路。</w:t>
      </w:r>
    </w:p>
    <w:p>
      <w:pPr>
        <w:bidi w:val="0"/>
        <w:rPr>
          <w:color w:val="auto"/>
          <w:highlight w:val="none"/>
        </w:rPr>
      </w:pPr>
      <w:r>
        <w:rPr>
          <w:color w:val="auto"/>
          <w:highlight w:val="none"/>
        </w:rPr>
        <w:t>项目生态影响评价区内的道路主要是矿区交通道路以及连通各居民点的通村道路。由于矿业的发展，有一定的车流量，矿区道路作为廊道对其两侧斑块间物种流、能量流和物质流的阻隔作用相对较弱。在居民点和耕地之间的水泥路，路面狭窄，少有大型车辆通过，其干扰强度和阻隔作用不明显。</w:t>
      </w:r>
    </w:p>
    <w:p>
      <w:pPr>
        <w:bidi w:val="0"/>
        <w:rPr>
          <w:color w:val="auto"/>
          <w:highlight w:val="none"/>
        </w:rPr>
      </w:pPr>
      <w:r>
        <w:rPr>
          <w:rFonts w:hint="eastAsia"/>
          <w:color w:val="auto"/>
          <w:highlight w:val="none"/>
          <w:lang w:eastAsia="zh-CN"/>
        </w:rPr>
        <w:t>③</w:t>
      </w:r>
      <w:r>
        <w:rPr>
          <w:rFonts w:hint="eastAsia"/>
          <w:color w:val="auto"/>
          <w:highlight w:val="none"/>
        </w:rPr>
        <w:t>基质</w:t>
      </w:r>
    </w:p>
    <w:p>
      <w:pPr>
        <w:bidi w:val="0"/>
        <w:rPr>
          <w:color w:val="auto"/>
          <w:highlight w:val="none"/>
        </w:rPr>
      </w:pPr>
      <w:r>
        <w:rPr>
          <w:color w:val="auto"/>
          <w:highlight w:val="none"/>
        </w:rPr>
        <w:t>基质是景观中面积最大、连通性最好的类型，对维持景观的结构和功能稳定起着重要作用。判定基质的三个标准是：1）相对面积最大，2）连通性最好，3）控制程度最高。</w:t>
      </w:r>
    </w:p>
    <w:p>
      <w:pPr>
        <w:bidi w:val="0"/>
        <w:rPr>
          <w:color w:val="auto"/>
          <w:highlight w:val="none"/>
        </w:rPr>
      </w:pPr>
      <w:r>
        <w:rPr>
          <w:color w:val="auto"/>
          <w:highlight w:val="none"/>
        </w:rPr>
        <w:t>根据</w:t>
      </w:r>
      <w:r>
        <w:rPr>
          <w:rFonts w:hint="eastAsia"/>
          <w:color w:val="auto"/>
          <w:highlight w:val="none"/>
          <w:lang w:eastAsia="zh-CN"/>
        </w:rPr>
        <w:t>上面调查分析</w:t>
      </w:r>
      <w:r>
        <w:rPr>
          <w:color w:val="auto"/>
          <w:highlight w:val="none"/>
        </w:rPr>
        <w:t>可以看出，乔木林地具有评价区内最大的总面积，平均每个斑块面积较大，分布集中，连通性较好，其优势度值达到40.64%，对景观结构和功能的动态可以有显著控制作用，可视为评价区景观生态体系的基质。</w:t>
      </w:r>
    </w:p>
    <w:p>
      <w:pPr>
        <w:bidi w:val="0"/>
        <w:rPr>
          <w:color w:val="auto"/>
          <w:highlight w:val="none"/>
        </w:rPr>
      </w:pPr>
      <w:r>
        <w:rPr>
          <w:rFonts w:hint="eastAsia"/>
          <w:color w:val="auto"/>
          <w:highlight w:val="none"/>
          <w:lang w:eastAsia="zh-CN"/>
        </w:rPr>
        <w:t>④</w:t>
      </w:r>
      <w:r>
        <w:rPr>
          <w:rFonts w:hint="eastAsia"/>
          <w:color w:val="auto"/>
          <w:highlight w:val="none"/>
        </w:rPr>
        <w:t>景观</w:t>
      </w:r>
      <w:r>
        <w:rPr>
          <w:color w:val="auto"/>
          <w:highlight w:val="none"/>
        </w:rPr>
        <w:t>特征指数</w:t>
      </w:r>
    </w:p>
    <w:p>
      <w:pPr>
        <w:bidi w:val="0"/>
        <w:rPr>
          <w:color w:val="auto"/>
          <w:highlight w:val="none"/>
        </w:rPr>
      </w:pPr>
      <w:r>
        <w:rPr>
          <w:color w:val="auto"/>
          <w:highlight w:val="none"/>
        </w:rPr>
        <w:t>景观格局指数是指能够高度浓缩景观格局信息，反映其结构组成和空间配置某些方面特征的简单定量指标。通过景观格局指数分析可以揭示各景观要素的变化特征和变化机制以及对区域生态系统的影响。结合评价区的景观格局特征和目的，选取斑块密度、优势度指数、Shanon多样性指数、均匀度指数等指标来研究评价区的生态景观格局。经计算及统计，项目规划区生态影响评价区内景观格局现状的指数计算结果详见表4-22。</w:t>
      </w:r>
    </w:p>
    <w:p>
      <w:pPr>
        <w:pStyle w:val="22"/>
        <w:bidi w:val="0"/>
        <w:rPr>
          <w:color w:val="auto"/>
          <w:highlight w:val="none"/>
        </w:rPr>
      </w:pPr>
      <w:r>
        <w:rPr>
          <w:color w:val="auto"/>
          <w:highlight w:val="none"/>
        </w:rPr>
        <w:t>表</w:t>
      </w:r>
      <w:r>
        <w:rPr>
          <w:rFonts w:hint="eastAsia"/>
          <w:color w:val="auto"/>
          <w:highlight w:val="none"/>
          <w:lang w:val="en-US" w:eastAsia="zh-CN"/>
        </w:rPr>
        <w:t>3.2-</w:t>
      </w:r>
      <w:r>
        <w:rPr>
          <w:color w:val="auto"/>
          <w:highlight w:val="none"/>
        </w:rPr>
        <w:t xml:space="preserve"> 评价区生态景观结构特征指数表</w:t>
      </w:r>
    </w:p>
    <w:tbl>
      <w:tblPr>
        <w:tblStyle w:val="17"/>
        <w:tblW w:w="490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53"/>
        <w:gridCol w:w="1497"/>
        <w:gridCol w:w="1499"/>
        <w:gridCol w:w="1499"/>
        <w:gridCol w:w="1163"/>
        <w:gridCol w:w="1720"/>
        <w:gridCol w:w="13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99" w:type="pct"/>
            <w:vAlign w:val="center"/>
          </w:tcPr>
          <w:p>
            <w:pPr>
              <w:pStyle w:val="22"/>
              <w:bidi w:val="0"/>
              <w:rPr>
                <w:color w:val="auto"/>
                <w:highlight w:val="none"/>
              </w:rPr>
            </w:pPr>
            <w:r>
              <w:rPr>
                <w:color w:val="auto"/>
                <w:highlight w:val="none"/>
              </w:rPr>
              <w:t>时段</w:t>
            </w:r>
          </w:p>
        </w:tc>
        <w:tc>
          <w:tcPr>
            <w:tcW w:w="793" w:type="pct"/>
            <w:vAlign w:val="center"/>
          </w:tcPr>
          <w:p>
            <w:pPr>
              <w:pStyle w:val="22"/>
              <w:bidi w:val="0"/>
              <w:rPr>
                <w:color w:val="auto"/>
                <w:highlight w:val="none"/>
              </w:rPr>
            </w:pPr>
            <w:r>
              <w:rPr>
                <w:color w:val="auto"/>
                <w:highlight w:val="none"/>
              </w:rPr>
              <w:t>优势度指数</w:t>
            </w:r>
          </w:p>
          <w:p>
            <w:pPr>
              <w:pStyle w:val="22"/>
              <w:bidi w:val="0"/>
              <w:rPr>
                <w:color w:val="auto"/>
                <w:highlight w:val="none"/>
              </w:rPr>
            </w:pPr>
            <w:r>
              <w:rPr>
                <w:color w:val="auto"/>
                <w:highlight w:val="none"/>
              </w:rPr>
              <w:t>D</w:t>
            </w:r>
          </w:p>
        </w:tc>
        <w:tc>
          <w:tcPr>
            <w:tcW w:w="794" w:type="pct"/>
            <w:vAlign w:val="center"/>
          </w:tcPr>
          <w:p>
            <w:pPr>
              <w:pStyle w:val="22"/>
              <w:bidi w:val="0"/>
              <w:rPr>
                <w:color w:val="auto"/>
                <w:highlight w:val="none"/>
              </w:rPr>
            </w:pPr>
            <w:r>
              <w:rPr>
                <w:color w:val="auto"/>
                <w:highlight w:val="none"/>
              </w:rPr>
              <w:t>多样性指数</w:t>
            </w:r>
          </w:p>
          <w:p>
            <w:pPr>
              <w:pStyle w:val="22"/>
              <w:bidi w:val="0"/>
              <w:rPr>
                <w:color w:val="auto"/>
                <w:highlight w:val="none"/>
              </w:rPr>
            </w:pPr>
            <w:r>
              <w:rPr>
                <w:color w:val="auto"/>
                <w:highlight w:val="none"/>
              </w:rPr>
              <w:t>SHDI</w:t>
            </w:r>
          </w:p>
        </w:tc>
        <w:tc>
          <w:tcPr>
            <w:tcW w:w="794" w:type="pct"/>
            <w:vAlign w:val="center"/>
          </w:tcPr>
          <w:p>
            <w:pPr>
              <w:pStyle w:val="22"/>
              <w:bidi w:val="0"/>
              <w:rPr>
                <w:color w:val="auto"/>
                <w:highlight w:val="none"/>
              </w:rPr>
            </w:pPr>
            <w:r>
              <w:rPr>
                <w:color w:val="auto"/>
                <w:highlight w:val="none"/>
              </w:rPr>
              <w:t>均匀度指数</w:t>
            </w:r>
          </w:p>
          <w:p>
            <w:pPr>
              <w:pStyle w:val="22"/>
              <w:bidi w:val="0"/>
              <w:rPr>
                <w:color w:val="auto"/>
                <w:highlight w:val="none"/>
              </w:rPr>
            </w:pPr>
            <w:r>
              <w:rPr>
                <w:color w:val="auto"/>
                <w:highlight w:val="none"/>
              </w:rPr>
              <w:t>SHEI</w:t>
            </w:r>
          </w:p>
        </w:tc>
        <w:tc>
          <w:tcPr>
            <w:tcW w:w="616" w:type="pct"/>
            <w:vAlign w:val="center"/>
          </w:tcPr>
          <w:p>
            <w:pPr>
              <w:pStyle w:val="22"/>
              <w:bidi w:val="0"/>
              <w:rPr>
                <w:color w:val="auto"/>
                <w:highlight w:val="none"/>
              </w:rPr>
            </w:pPr>
            <w:r>
              <w:rPr>
                <w:color w:val="auto"/>
                <w:highlight w:val="none"/>
              </w:rPr>
              <w:t>分维数FD</w:t>
            </w:r>
          </w:p>
        </w:tc>
        <w:tc>
          <w:tcPr>
            <w:tcW w:w="911" w:type="pct"/>
            <w:vAlign w:val="center"/>
          </w:tcPr>
          <w:p>
            <w:pPr>
              <w:pStyle w:val="22"/>
              <w:bidi w:val="0"/>
              <w:rPr>
                <w:color w:val="auto"/>
                <w:highlight w:val="none"/>
              </w:rPr>
            </w:pPr>
            <w:r>
              <w:rPr>
                <w:color w:val="auto"/>
                <w:highlight w:val="none"/>
              </w:rPr>
              <w:t>破碎化指数</w:t>
            </w:r>
          </w:p>
          <w:p>
            <w:pPr>
              <w:pStyle w:val="22"/>
              <w:bidi w:val="0"/>
              <w:rPr>
                <w:color w:val="auto"/>
                <w:highlight w:val="none"/>
              </w:rPr>
            </w:pPr>
            <w:r>
              <w:rPr>
                <w:color w:val="auto"/>
                <w:highlight w:val="none"/>
              </w:rPr>
              <w:t>FN</w:t>
            </w:r>
          </w:p>
        </w:tc>
        <w:tc>
          <w:tcPr>
            <w:tcW w:w="694" w:type="pct"/>
            <w:vAlign w:val="center"/>
          </w:tcPr>
          <w:p>
            <w:pPr>
              <w:pStyle w:val="22"/>
              <w:bidi w:val="0"/>
              <w:rPr>
                <w:color w:val="auto"/>
                <w:highlight w:val="none"/>
              </w:rPr>
            </w:pPr>
            <w:r>
              <w:rPr>
                <w:color w:val="auto"/>
                <w:highlight w:val="none"/>
              </w:rPr>
              <w:t>自然性指数</w:t>
            </w:r>
          </w:p>
          <w:p>
            <w:pPr>
              <w:pStyle w:val="22"/>
              <w:bidi w:val="0"/>
              <w:rPr>
                <w:color w:val="auto"/>
                <w:highlight w:val="none"/>
              </w:rPr>
            </w:pPr>
            <w:r>
              <w:rPr>
                <w:color w:val="auto"/>
                <w:highlight w:val="none"/>
              </w:rPr>
              <w:t>NI</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99" w:type="pct"/>
            <w:vAlign w:val="center"/>
          </w:tcPr>
          <w:p>
            <w:pPr>
              <w:pStyle w:val="22"/>
              <w:bidi w:val="0"/>
              <w:rPr>
                <w:color w:val="auto"/>
                <w:highlight w:val="none"/>
              </w:rPr>
            </w:pPr>
            <w:r>
              <w:rPr>
                <w:color w:val="auto"/>
                <w:highlight w:val="none"/>
              </w:rPr>
              <w:t>现状</w:t>
            </w:r>
          </w:p>
        </w:tc>
        <w:tc>
          <w:tcPr>
            <w:tcW w:w="1497" w:type="dxa"/>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0.6796</w:t>
            </w:r>
          </w:p>
        </w:tc>
        <w:tc>
          <w:tcPr>
            <w:tcW w:w="1499" w:type="dxa"/>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2.1276</w:t>
            </w:r>
          </w:p>
        </w:tc>
        <w:tc>
          <w:tcPr>
            <w:tcW w:w="1499" w:type="dxa"/>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0.7579</w:t>
            </w:r>
          </w:p>
        </w:tc>
        <w:tc>
          <w:tcPr>
            <w:tcW w:w="1163" w:type="dxa"/>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1.6862</w:t>
            </w:r>
          </w:p>
        </w:tc>
        <w:tc>
          <w:tcPr>
            <w:tcW w:w="1720" w:type="dxa"/>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0.0746</w:t>
            </w:r>
          </w:p>
        </w:tc>
        <w:tc>
          <w:tcPr>
            <w:tcW w:w="1308" w:type="dxa"/>
            <w:vAlign w:val="center"/>
          </w:tcPr>
          <w:p>
            <w:pPr>
              <w:widowControl/>
              <w:spacing w:line="240" w:lineRule="auto"/>
              <w:ind w:left="0" w:leftChars="0" w:right="0" w:rightChars="0" w:firstLine="0" w:firstLineChars="0"/>
              <w:jc w:val="center"/>
              <w:rPr>
                <w:color w:val="auto"/>
                <w:highlight w:val="none"/>
              </w:rPr>
            </w:pPr>
            <w:r>
              <w:rPr>
                <w:rFonts w:eastAsia="仿宋_GB2312"/>
                <w:color w:val="auto"/>
                <w:kern w:val="0"/>
                <w:sz w:val="21"/>
                <w:szCs w:val="21"/>
                <w:highlight w:val="none"/>
              </w:rPr>
              <w:t>0.8036</w:t>
            </w:r>
          </w:p>
        </w:tc>
      </w:tr>
    </w:tbl>
    <w:p>
      <w:pPr>
        <w:bidi w:val="0"/>
        <w:rPr>
          <w:color w:val="auto"/>
          <w:highlight w:val="none"/>
        </w:rPr>
      </w:pPr>
      <w:r>
        <w:rPr>
          <w:color w:val="auto"/>
          <w:highlight w:val="none"/>
        </w:rPr>
        <w:t>由上表可得，</w:t>
      </w:r>
      <w:r>
        <w:rPr>
          <w:rFonts w:hint="eastAsia"/>
          <w:color w:val="auto"/>
          <w:highlight w:val="none"/>
        </w:rPr>
        <w:t>大竹县</w:t>
      </w:r>
      <w:r>
        <w:rPr>
          <w:color w:val="auto"/>
          <w:highlight w:val="none"/>
        </w:rPr>
        <w:t>煤炭矿区总体规划项目评价区内景观特征现状指数中Shannon多样性指数为</w:t>
      </w:r>
      <w:r>
        <w:rPr>
          <w:rFonts w:hint="eastAsia"/>
          <w:color w:val="auto"/>
          <w:highlight w:val="none"/>
          <w:lang w:val="en-US" w:eastAsia="zh-CN"/>
        </w:rPr>
        <w:t>2.1276</w:t>
      </w:r>
      <w:r>
        <w:rPr>
          <w:color w:val="auto"/>
          <w:highlight w:val="none"/>
        </w:rPr>
        <w:t>，SHDI指数计算结果表明评价区景观多样性指数较高。评价区内优势度指数D值为</w:t>
      </w:r>
      <w:r>
        <w:rPr>
          <w:rFonts w:hint="eastAsia"/>
          <w:color w:val="auto"/>
          <w:highlight w:val="none"/>
          <w:lang w:val="en-US" w:eastAsia="zh-CN"/>
        </w:rPr>
        <w:t>0.6796</w:t>
      </w:r>
      <w:r>
        <w:rPr>
          <w:color w:val="auto"/>
          <w:highlight w:val="none"/>
        </w:rPr>
        <w:t>、均匀度指数SHEI值为</w:t>
      </w:r>
      <w:r>
        <w:rPr>
          <w:rFonts w:hint="eastAsia"/>
          <w:color w:val="auto"/>
          <w:highlight w:val="none"/>
          <w:lang w:val="en-US" w:eastAsia="zh-CN"/>
        </w:rPr>
        <w:t>0.7579</w:t>
      </w:r>
      <w:r>
        <w:rPr>
          <w:color w:val="auto"/>
          <w:highlight w:val="none"/>
        </w:rPr>
        <w:t>，表明评价区景观的均匀度相对较高</w:t>
      </w:r>
      <w:r>
        <w:rPr>
          <w:rFonts w:hint="eastAsia"/>
          <w:color w:val="auto"/>
          <w:highlight w:val="none"/>
        </w:rPr>
        <w:t>，优势度并不突出</w:t>
      </w:r>
      <w:r>
        <w:rPr>
          <w:color w:val="auto"/>
          <w:highlight w:val="none"/>
        </w:rPr>
        <w:t>。</w:t>
      </w:r>
    </w:p>
    <w:p>
      <w:pPr>
        <w:bidi w:val="0"/>
        <w:rPr>
          <w:rFonts w:hint="eastAsia"/>
          <w:color w:val="auto"/>
          <w:highlight w:val="none"/>
          <w:lang w:eastAsia="zh-CN"/>
        </w:rPr>
      </w:pPr>
      <w:r>
        <w:rPr>
          <w:color w:val="auto"/>
          <w:highlight w:val="none"/>
        </w:rPr>
        <w:t>景观分维数描述评价区景观斑块的边缘褶皱程度，其值越趋近1，表明斑块边缘越简单、规律，即受人类活动影响越大。评价区分位数FD值为1.6862，说明评价区景观格局及斑块形状受人类活动影响并不显著，这与评价区一般区域属林地，人类影响较小的现状有关。自然性指数计算结果为0.8036，说明评价区景观自然性相对较高，但区内现有道路、农业生产活动等干扰，导致其自然性指数略低于1。</w:t>
      </w:r>
    </w:p>
    <w:p>
      <w:pPr>
        <w:pStyle w:val="7"/>
        <w:numPr>
          <w:ilvl w:val="0"/>
          <w:numId w:val="0"/>
        </w:numPr>
        <w:bidi w:val="0"/>
        <w:ind w:leftChars="0" w:right="0" w:rightChars="0"/>
        <w:rPr>
          <w:rFonts w:hint="default"/>
          <w:color w:val="auto"/>
          <w:highlight w:val="none"/>
          <w:lang w:val="en-US"/>
        </w:rPr>
      </w:pPr>
      <w:r>
        <w:rPr>
          <w:rFonts w:hint="eastAsia"/>
          <w:color w:val="auto"/>
          <w:highlight w:val="none"/>
          <w:lang w:val="en-US" w:eastAsia="zh-CN"/>
        </w:rPr>
        <w:t>3.2.6.7 评价区主要的生态环境问题</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）主要生态环境问题</w:t>
      </w:r>
    </w:p>
    <w:p>
      <w:pPr>
        <w:bidi w:val="0"/>
        <w:rPr>
          <w:color w:val="auto"/>
          <w:highlight w:val="none"/>
        </w:rPr>
      </w:pPr>
      <w:r>
        <w:rPr>
          <w:color w:val="auto"/>
          <w:highlight w:val="none"/>
        </w:rPr>
        <w:t>经实地调查及访问咨询，</w:t>
      </w:r>
      <w:r>
        <w:rPr>
          <w:rFonts w:hint="eastAsia"/>
          <w:color w:val="auto"/>
          <w:highlight w:val="none"/>
        </w:rPr>
        <w:t>大竹县</w:t>
      </w:r>
      <w:r>
        <w:rPr>
          <w:color w:val="auto"/>
          <w:highlight w:val="none"/>
        </w:rPr>
        <w:t>煤炭矿区总体规划项目生态影响评价区域生态环境影响主要来自两方面的压力：农业耕作及矿区开发。由此，区域面临的主要生态环境问题表现在以下几个方面：</w:t>
      </w:r>
    </w:p>
    <w:p>
      <w:pPr>
        <w:bidi w:val="0"/>
        <w:rPr>
          <w:color w:val="auto"/>
          <w:highlight w:val="none"/>
        </w:rPr>
      </w:pPr>
      <w:r>
        <w:rPr>
          <w:rFonts w:hint="eastAsia"/>
          <w:color w:val="auto"/>
          <w:highlight w:val="none"/>
          <w:lang w:eastAsia="zh-CN"/>
        </w:rPr>
        <w:t>①</w:t>
      </w:r>
      <w:r>
        <w:rPr>
          <w:rFonts w:hint="eastAsia"/>
          <w:color w:val="auto"/>
          <w:highlight w:val="none"/>
        </w:rPr>
        <w:t>大竹县</w:t>
      </w:r>
      <w:r>
        <w:rPr>
          <w:color w:val="auto"/>
          <w:highlight w:val="none"/>
        </w:rPr>
        <w:t>煤炭矿区的开发及经营，使得往来车辆增加，加剧了对区域动植物的影响。如车辆往来造成动物的撞伤、碾压；人类活动增加及噪声的加强对部分机敏性的动物产生驱赶效应，但是由于矿产</w:t>
      </w:r>
      <w:r>
        <w:rPr>
          <w:rFonts w:hint="eastAsia"/>
          <w:color w:val="auto"/>
          <w:highlight w:val="none"/>
        </w:rPr>
        <w:t>为地下开采的方式，故</w:t>
      </w:r>
      <w:r>
        <w:rPr>
          <w:color w:val="auto"/>
          <w:highlight w:val="none"/>
        </w:rPr>
        <w:t>矿产开采活动造成的生态环境问题较为有限</w:t>
      </w:r>
      <w:r>
        <w:rPr>
          <w:color w:val="auto"/>
          <w:highlight w:val="none"/>
          <w:lang w:val="zh-CN"/>
        </w:rPr>
        <w:t>。</w:t>
      </w:r>
    </w:p>
    <w:p>
      <w:pPr>
        <w:bidi w:val="0"/>
        <w:rPr>
          <w:rFonts w:hint="eastAsia"/>
          <w:color w:val="auto"/>
          <w:highlight w:val="none"/>
          <w:lang w:eastAsia="zh-CN"/>
        </w:rPr>
      </w:pPr>
      <w:r>
        <w:rPr>
          <w:rFonts w:hint="eastAsia"/>
          <w:color w:val="auto"/>
          <w:highlight w:val="none"/>
          <w:lang w:eastAsia="zh-CN"/>
        </w:rPr>
        <w:t>②</w:t>
      </w:r>
      <w:r>
        <w:rPr>
          <w:color w:val="auto"/>
          <w:highlight w:val="none"/>
        </w:rPr>
        <w:t>农业生产活动的加剧对区域水质、土壤、林地资源等造成了一定的威胁和破坏。但这一影响较弱，区域农业耕作由来已久，其对区域环境的影响已经形成，并且处于稳定状态。农业耕作区及林地区分隔开来，在近年来的封山育林及矿区内住户搬迁的措施下，林地植被得到较好的恢复。</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）主要生态环境问题的成因及解决方案</w:t>
      </w:r>
    </w:p>
    <w:p>
      <w:pPr>
        <w:bidi w:val="0"/>
        <w:rPr>
          <w:color w:val="auto"/>
          <w:highlight w:val="none"/>
        </w:rPr>
      </w:pPr>
      <w:r>
        <w:rPr>
          <w:rFonts w:hint="eastAsia"/>
          <w:color w:val="auto"/>
          <w:highlight w:val="none"/>
          <w:lang w:eastAsia="zh-CN"/>
        </w:rPr>
        <w:t>本规划</w:t>
      </w:r>
      <w:r>
        <w:rPr>
          <w:color w:val="auto"/>
          <w:highlight w:val="none"/>
        </w:rPr>
        <w:t>生态影响评价区域林地、耕地以及矿区的开采相互重叠，评价区面临的主要生态问题主要是人为因素造成的环境问题。评价区内随着矿区生产力的增加，矿区工作人员也会相应的增加，加上区域经济快速发展和农业种植等是区域面临巨大的压力。</w:t>
      </w:r>
    </w:p>
    <w:p>
      <w:pPr>
        <w:bidi w:val="0"/>
        <w:rPr>
          <w:color w:val="auto"/>
          <w:highlight w:val="none"/>
        </w:rPr>
      </w:pPr>
      <w:r>
        <w:rPr>
          <w:color w:val="auto"/>
          <w:highlight w:val="none"/>
        </w:rPr>
        <w:t>积极加强矿区运营管理与治理、严格控制矿区开采、堆放和运输区域是实现减轻区域的管护压力，</w:t>
      </w:r>
      <w:r>
        <w:rPr>
          <w:rFonts w:hint="eastAsia"/>
          <w:color w:val="auto"/>
          <w:highlight w:val="none"/>
        </w:rPr>
        <w:t>是</w:t>
      </w:r>
      <w:r>
        <w:rPr>
          <w:color w:val="auto"/>
          <w:highlight w:val="none"/>
        </w:rPr>
        <w:t>矿区和乡镇经济的共同发展的重要举措和方向。本次“</w:t>
      </w:r>
      <w:r>
        <w:rPr>
          <w:rFonts w:hint="eastAsia"/>
          <w:color w:val="auto"/>
          <w:highlight w:val="none"/>
        </w:rPr>
        <w:t>大竹县</w:t>
      </w:r>
      <w:r>
        <w:rPr>
          <w:color w:val="auto"/>
          <w:highlight w:val="none"/>
        </w:rPr>
        <w:t>煤炭矿区总体规划项目”本着生态采矿的原则，加强区域生态环境的保护，提出了多项环保措施，具体如下：</w:t>
      </w:r>
    </w:p>
    <w:p>
      <w:pPr>
        <w:bidi w:val="0"/>
        <w:rPr>
          <w:color w:val="auto"/>
          <w:highlight w:val="none"/>
        </w:rPr>
      </w:pPr>
      <w:r>
        <w:rPr>
          <w:rFonts w:hint="eastAsia"/>
          <w:color w:val="auto"/>
          <w:highlight w:val="none"/>
          <w:lang w:eastAsia="zh-CN"/>
        </w:rPr>
        <w:t>①</w:t>
      </w:r>
      <w:r>
        <w:rPr>
          <w:color w:val="auto"/>
          <w:highlight w:val="none"/>
        </w:rPr>
        <w:t>对本次规划矿井的施工及生产人员进行教育，对进入矿区范围的野生动物采取严格的禁猎措施。</w:t>
      </w:r>
    </w:p>
    <w:p>
      <w:pPr>
        <w:bidi w:val="0"/>
        <w:rPr>
          <w:color w:val="auto"/>
          <w:highlight w:val="none"/>
        </w:rPr>
      </w:pPr>
      <w:r>
        <w:rPr>
          <w:rFonts w:hint="eastAsia"/>
          <w:color w:val="auto"/>
          <w:highlight w:val="none"/>
          <w:lang w:eastAsia="zh-CN"/>
        </w:rPr>
        <w:t>②</w:t>
      </w:r>
      <w:r>
        <w:rPr>
          <w:color w:val="auto"/>
          <w:highlight w:val="none"/>
        </w:rPr>
        <w:t>强化保护煤柱的设置及维护，避免地面沉陷破坏植被。</w:t>
      </w:r>
      <w:r>
        <w:rPr>
          <w:rFonts w:hint="eastAsia"/>
          <w:color w:val="auto"/>
          <w:highlight w:val="none"/>
        </w:rPr>
        <w:t>项目矿山规划建设均要求在已有工业场地内，不新增占地面积，同时</w:t>
      </w:r>
      <w:r>
        <w:rPr>
          <w:color w:val="auto"/>
          <w:highlight w:val="none"/>
        </w:rPr>
        <w:t>做好工业场地、进场道路等</w:t>
      </w:r>
      <w:r>
        <w:rPr>
          <w:rFonts w:hint="eastAsia"/>
          <w:color w:val="auto"/>
          <w:highlight w:val="none"/>
        </w:rPr>
        <w:t>的</w:t>
      </w:r>
      <w:r>
        <w:rPr>
          <w:color w:val="auto"/>
          <w:highlight w:val="none"/>
        </w:rPr>
        <w:t>绿化</w:t>
      </w:r>
      <w:r>
        <w:rPr>
          <w:rFonts w:hint="eastAsia"/>
          <w:color w:val="auto"/>
          <w:highlight w:val="none"/>
        </w:rPr>
        <w:t>工作</w:t>
      </w:r>
      <w:r>
        <w:rPr>
          <w:color w:val="auto"/>
          <w:highlight w:val="none"/>
        </w:rPr>
        <w:t>；对施工人员进行生态环境保护意识教育。</w:t>
      </w:r>
    </w:p>
    <w:p>
      <w:pPr>
        <w:bidi w:val="0"/>
        <w:rPr>
          <w:color w:val="auto"/>
          <w:highlight w:val="none"/>
        </w:rPr>
      </w:pPr>
      <w:r>
        <w:rPr>
          <w:rFonts w:hint="eastAsia"/>
          <w:color w:val="auto"/>
          <w:highlight w:val="none"/>
          <w:lang w:eastAsia="zh-CN"/>
        </w:rPr>
        <w:t>③</w:t>
      </w:r>
      <w:r>
        <w:rPr>
          <w:color w:val="auto"/>
          <w:highlight w:val="none"/>
        </w:rPr>
        <w:t>根据《矿山生态环境保护与污染防治技术政策》的要求，建立有效的生态综合整治机制与专门机构，负责矿区沉陷区生态综合整治。应对预测将发生的塌陷区，提前将表层30cm的土壤推到可能陷落的两侧，地面塌陷后，可以利用矸石等进行充填，待塌陷区稳定后平整地表，将表土盖覆，以恢复自然植被。对没有填充的塌陷坑，应尽可能的削平边坡，或至少平整一面边坡为斜坡。塌陷区的平整复土，自然植被的恢复率应达到在90%以上。</w:t>
      </w:r>
    </w:p>
    <w:p>
      <w:pPr>
        <w:bidi w:val="0"/>
        <w:rPr>
          <w:rFonts w:hint="eastAsia"/>
          <w:color w:val="auto"/>
          <w:highlight w:val="none"/>
          <w:lang w:eastAsia="zh-CN"/>
        </w:rPr>
      </w:pPr>
      <w:r>
        <w:rPr>
          <w:rFonts w:hint="eastAsia"/>
          <w:color w:val="auto"/>
          <w:highlight w:val="none"/>
          <w:lang w:eastAsia="zh-CN"/>
        </w:rPr>
        <w:t>④</w:t>
      </w:r>
      <w:r>
        <w:rPr>
          <w:color w:val="auto"/>
          <w:highlight w:val="none"/>
        </w:rPr>
        <w:t>参照达州市原有矿井及邻近的矿区对采煤沉陷治理经验，矿区地表沉陷对土地的破坏的影响控制和减缓措施，应立足于土地复垦工作的大力开展，实施的土地复垦规划，采取合理的土地复垦模式。</w:t>
      </w:r>
    </w:p>
    <w:p>
      <w:pPr>
        <w:pStyle w:val="5"/>
        <w:numPr>
          <w:ilvl w:val="1"/>
          <w:numId w:val="5"/>
        </w:numPr>
        <w:bidi w:val="0"/>
        <w:rPr>
          <w:color w:val="auto"/>
          <w:highlight w:val="none"/>
        </w:rPr>
      </w:pPr>
      <w:bookmarkStart w:id="230" w:name="_Toc5324"/>
      <w:bookmarkStart w:id="231" w:name="_Toc1344"/>
      <w:r>
        <w:rPr>
          <w:color w:val="auto"/>
          <w:highlight w:val="none"/>
        </w:rPr>
        <w:t>区域环境发展趋势分析</w:t>
      </w:r>
      <w:bookmarkEnd w:id="230"/>
      <w:bookmarkEnd w:id="231"/>
    </w:p>
    <w:p>
      <w:pPr>
        <w:pStyle w:val="6"/>
        <w:numPr>
          <w:ilvl w:val="2"/>
          <w:numId w:val="5"/>
        </w:numPr>
        <w:bidi w:val="0"/>
        <w:rPr>
          <w:color w:val="auto"/>
          <w:highlight w:val="none"/>
        </w:rPr>
      </w:pPr>
      <w:bookmarkStart w:id="232" w:name="3.3.1 大气环境质量发展趋势"/>
      <w:bookmarkEnd w:id="232"/>
      <w:bookmarkStart w:id="233" w:name="3.3.1 大气环境质量发展趋势"/>
      <w:bookmarkEnd w:id="233"/>
      <w:bookmarkStart w:id="234" w:name="_Toc12359"/>
      <w:bookmarkStart w:id="235" w:name="_Toc31137"/>
      <w:r>
        <w:rPr>
          <w:color w:val="auto"/>
          <w:highlight w:val="none"/>
        </w:rPr>
        <w:t>大气环境质量发展趋势</w:t>
      </w:r>
      <w:bookmarkEnd w:id="234"/>
      <w:bookmarkEnd w:id="235"/>
    </w:p>
    <w:p>
      <w:pPr>
        <w:bidi w:val="0"/>
        <w:rPr>
          <w:color w:val="auto"/>
          <w:highlight w:val="none"/>
        </w:rPr>
      </w:pPr>
      <w:r>
        <w:rPr>
          <w:rFonts w:hint="eastAsia"/>
          <w:color w:val="auto"/>
          <w:highlight w:val="none"/>
          <w:lang w:eastAsia="zh-CN"/>
        </w:rPr>
        <w:t>利用收集到的</w:t>
      </w:r>
      <w:r>
        <w:rPr>
          <w:color w:val="auto"/>
          <w:highlight w:val="none"/>
        </w:rPr>
        <w:t>达州市</w:t>
      </w:r>
      <w:r>
        <w:rPr>
          <w:rFonts w:hint="eastAsia"/>
          <w:color w:val="auto"/>
          <w:highlight w:val="none"/>
          <w:lang w:eastAsia="zh-CN"/>
        </w:rPr>
        <w:t>大竹县</w:t>
      </w:r>
      <w:r>
        <w:rPr>
          <w:color w:val="auto"/>
          <w:highlight w:val="none"/>
        </w:rPr>
        <w:t>生态环境局</w:t>
      </w:r>
      <w:r>
        <w:rPr>
          <w:rFonts w:hint="eastAsia"/>
          <w:color w:val="auto"/>
          <w:highlight w:val="none"/>
          <w:lang w:eastAsia="zh-CN"/>
        </w:rPr>
        <w:t>监测站提供的大竹县</w:t>
      </w:r>
      <w:r>
        <w:rPr>
          <w:color w:val="auto"/>
          <w:highlight w:val="none"/>
        </w:rPr>
        <w:t>201</w:t>
      </w:r>
      <w:r>
        <w:rPr>
          <w:rFonts w:hint="eastAsia"/>
          <w:color w:val="auto"/>
          <w:highlight w:val="none"/>
          <w:lang w:val="en-US" w:eastAsia="zh-CN"/>
        </w:rPr>
        <w:t>6</w:t>
      </w:r>
      <w:r>
        <w:rPr>
          <w:color w:val="auto"/>
          <w:highlight w:val="none"/>
        </w:rPr>
        <w:t>~2020年环境空气质量中的数据进行分析。</w:t>
      </w:r>
    </w:p>
    <w:p>
      <w:pPr>
        <w:bidi w:val="0"/>
        <w:rPr>
          <w:color w:val="auto"/>
          <w:highlight w:val="none"/>
        </w:rPr>
      </w:pPr>
      <w:r>
        <w:rPr>
          <w:color w:val="auto"/>
          <w:highlight w:val="none"/>
        </w:rPr>
        <w:t>201</w:t>
      </w:r>
      <w:r>
        <w:rPr>
          <w:rFonts w:hint="eastAsia"/>
          <w:color w:val="auto"/>
          <w:highlight w:val="none"/>
          <w:lang w:val="en-US" w:eastAsia="zh-CN"/>
        </w:rPr>
        <w:t>6</w:t>
      </w:r>
      <w:r>
        <w:rPr>
          <w:color w:val="auto"/>
          <w:highlight w:val="none"/>
        </w:rPr>
        <w:t>年~2020年连续</w:t>
      </w:r>
      <w:r>
        <w:rPr>
          <w:rFonts w:hint="eastAsia"/>
          <w:color w:val="auto"/>
          <w:highlight w:val="none"/>
          <w:lang w:eastAsia="zh-CN"/>
        </w:rPr>
        <w:t>五</w:t>
      </w:r>
      <w:r>
        <w:rPr>
          <w:color w:val="auto"/>
          <w:highlight w:val="none"/>
        </w:rPr>
        <w:t>年</w:t>
      </w:r>
      <w:r>
        <w:rPr>
          <w:rFonts w:hint="eastAsia"/>
          <w:color w:val="auto"/>
          <w:highlight w:val="none"/>
          <w:lang w:eastAsia="zh-CN"/>
        </w:rPr>
        <w:t>大竹县</w:t>
      </w:r>
      <w:r>
        <w:rPr>
          <w:color w:val="auto"/>
          <w:highlight w:val="none"/>
        </w:rPr>
        <w:t>基本污染因子情况见表3.3-1。</w:t>
      </w:r>
    </w:p>
    <w:p>
      <w:pPr>
        <w:pStyle w:val="22"/>
        <w:bidi w:val="0"/>
        <w:rPr>
          <w:rFonts w:ascii="Times New Roman" w:eastAsia="Times New Roman"/>
          <w:b/>
          <w:color w:val="auto"/>
          <w:sz w:val="13"/>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3.3-1</w:t>
      </w:r>
      <w:r>
        <w:rPr>
          <w:rFonts w:hint="eastAsia"/>
          <w:b/>
          <w:color w:val="auto"/>
          <w:sz w:val="21"/>
          <w:highlight w:val="none"/>
          <w:lang w:val="en-US" w:eastAsia="zh-CN"/>
        </w:rPr>
        <w:t xml:space="preserve"> </w:t>
      </w:r>
      <w:r>
        <w:rPr>
          <w:b/>
          <w:color w:val="auto"/>
          <w:sz w:val="21"/>
          <w:highlight w:val="none"/>
        </w:rPr>
        <w:t>大气环境质量状况</w:t>
      </w:r>
      <w:r>
        <w:rPr>
          <w:rFonts w:hint="eastAsia"/>
          <w:b/>
          <w:color w:val="auto"/>
          <w:sz w:val="21"/>
          <w:highlight w:val="none"/>
          <w:lang w:val="en-US" w:eastAsia="zh-CN"/>
        </w:rPr>
        <w:t xml:space="preserve"> </w:t>
      </w:r>
      <w:r>
        <w:rPr>
          <w:b/>
          <w:color w:val="auto"/>
          <w:sz w:val="21"/>
          <w:highlight w:val="none"/>
        </w:rPr>
        <w:t>单位：</w:t>
      </w:r>
      <w:r>
        <w:rPr>
          <w:rFonts w:ascii="Times New Roman" w:eastAsia="Times New Roman"/>
          <w:b/>
          <w:color w:val="auto"/>
          <w:sz w:val="21"/>
          <w:highlight w:val="none"/>
        </w:rPr>
        <w:t>ug/m</w:t>
      </w:r>
      <w:r>
        <w:rPr>
          <w:rFonts w:ascii="Times New Roman" w:eastAsia="Times New Roman"/>
          <w:b/>
          <w:color w:val="auto"/>
          <w:position w:val="7"/>
          <w:sz w:val="13"/>
          <w:highlight w:val="none"/>
        </w:rPr>
        <w:t>3</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88"/>
        <w:gridCol w:w="1156"/>
        <w:gridCol w:w="1048"/>
        <w:gridCol w:w="1059"/>
        <w:gridCol w:w="1308"/>
        <w:gridCol w:w="1591"/>
        <w:gridCol w:w="16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7" w:hRule="atLeast"/>
          <w:jc w:val="center"/>
        </w:trPr>
        <w:tc>
          <w:tcPr>
            <w:tcW w:w="1288" w:type="dxa"/>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年度</w:t>
            </w:r>
          </w:p>
        </w:tc>
        <w:tc>
          <w:tcPr>
            <w:tcW w:w="1156"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SO</w:t>
            </w:r>
            <w:r>
              <w:rPr>
                <w:color w:val="auto"/>
                <w:highlight w:val="none"/>
                <w:vertAlign w:val="subscript"/>
              </w:rPr>
              <w:t>2</w:t>
            </w:r>
          </w:p>
          <w:p>
            <w:pPr>
              <w:pStyle w:val="22"/>
              <w:bidi w:val="0"/>
              <w:rPr>
                <w:color w:val="auto"/>
                <w:highlight w:val="none"/>
              </w:rPr>
            </w:pPr>
            <w:r>
              <w:rPr>
                <w:color w:val="auto"/>
                <w:highlight w:val="none"/>
              </w:rPr>
              <w:t>(年平均)</w:t>
            </w:r>
          </w:p>
        </w:tc>
        <w:tc>
          <w:tcPr>
            <w:tcW w:w="1048"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NO</w:t>
            </w:r>
            <w:r>
              <w:rPr>
                <w:color w:val="auto"/>
                <w:highlight w:val="none"/>
                <w:vertAlign w:val="subscript"/>
              </w:rPr>
              <w:t>2</w:t>
            </w:r>
          </w:p>
          <w:p>
            <w:pPr>
              <w:pStyle w:val="22"/>
              <w:bidi w:val="0"/>
              <w:rPr>
                <w:color w:val="auto"/>
                <w:highlight w:val="none"/>
              </w:rPr>
            </w:pPr>
            <w:r>
              <w:rPr>
                <w:color w:val="auto"/>
                <w:highlight w:val="none"/>
              </w:rPr>
              <w:t>(年平均)</w:t>
            </w:r>
          </w:p>
        </w:tc>
        <w:tc>
          <w:tcPr>
            <w:tcW w:w="1059"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PM</w:t>
            </w:r>
            <w:r>
              <w:rPr>
                <w:color w:val="auto"/>
                <w:highlight w:val="none"/>
                <w:vertAlign w:val="subscript"/>
              </w:rPr>
              <w:t>10</w:t>
            </w:r>
          </w:p>
          <w:p>
            <w:pPr>
              <w:pStyle w:val="22"/>
              <w:bidi w:val="0"/>
              <w:rPr>
                <w:color w:val="auto"/>
                <w:highlight w:val="none"/>
              </w:rPr>
            </w:pPr>
            <w:r>
              <w:rPr>
                <w:color w:val="auto"/>
                <w:highlight w:val="none"/>
              </w:rPr>
              <w:t>(年平均)</w:t>
            </w:r>
          </w:p>
        </w:tc>
        <w:tc>
          <w:tcPr>
            <w:tcW w:w="1308"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PM</w:t>
            </w:r>
            <w:r>
              <w:rPr>
                <w:color w:val="auto"/>
                <w:highlight w:val="none"/>
                <w:vertAlign w:val="subscript"/>
              </w:rPr>
              <w:t>2.5</w:t>
            </w:r>
          </w:p>
          <w:p>
            <w:pPr>
              <w:pStyle w:val="22"/>
              <w:bidi w:val="0"/>
              <w:rPr>
                <w:color w:val="auto"/>
                <w:highlight w:val="none"/>
              </w:rPr>
            </w:pPr>
            <w:r>
              <w:rPr>
                <w:color w:val="auto"/>
                <w:highlight w:val="none"/>
              </w:rPr>
              <w:t>(年平均)</w:t>
            </w:r>
          </w:p>
        </w:tc>
        <w:tc>
          <w:tcPr>
            <w:tcW w:w="1591"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CO</w:t>
            </w:r>
          </w:p>
          <w:p>
            <w:pPr>
              <w:pStyle w:val="22"/>
              <w:bidi w:val="0"/>
              <w:rPr>
                <w:color w:val="auto"/>
                <w:highlight w:val="none"/>
              </w:rPr>
            </w:pPr>
            <w:r>
              <w:rPr>
                <w:color w:val="auto"/>
                <w:highlight w:val="none"/>
              </w:rPr>
              <w:t>(日均值第95百分位数mg/m</w:t>
            </w:r>
            <w:r>
              <w:rPr>
                <w:color w:val="auto"/>
                <w:highlight w:val="none"/>
                <w:vertAlign w:val="superscript"/>
              </w:rPr>
              <w:t>3</w:t>
            </w:r>
            <w:r>
              <w:rPr>
                <w:color w:val="auto"/>
                <w:highlight w:val="none"/>
              </w:rPr>
              <w:t>)</w:t>
            </w:r>
          </w:p>
        </w:tc>
        <w:tc>
          <w:tcPr>
            <w:tcW w:w="1610" w:type="dxa"/>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O</w:t>
            </w:r>
            <w:r>
              <w:rPr>
                <w:color w:val="auto"/>
                <w:highlight w:val="none"/>
                <w:vertAlign w:val="subscript"/>
              </w:rPr>
              <w:t>3</w:t>
            </w:r>
          </w:p>
          <w:p>
            <w:pPr>
              <w:pStyle w:val="22"/>
              <w:bidi w:val="0"/>
              <w:rPr>
                <w:color w:val="auto"/>
                <w:highlight w:val="none"/>
              </w:rPr>
            </w:pPr>
            <w:r>
              <w:rPr>
                <w:color w:val="auto"/>
                <w:highlight w:val="none"/>
              </w:rPr>
              <w:t>(最大8h平均第90百分位数)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288" w:type="dxa"/>
            <w:tcBorders>
              <w:top w:val="single" w:color="000000" w:sz="4" w:space="0"/>
              <w:left w:val="nil"/>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2016年</w:t>
            </w:r>
          </w:p>
        </w:tc>
        <w:tc>
          <w:tcPr>
            <w:tcW w:w="1156"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104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19</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101</w:t>
            </w:r>
          </w:p>
        </w:tc>
        <w:tc>
          <w:tcPr>
            <w:tcW w:w="130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57</w:t>
            </w:r>
          </w:p>
        </w:tc>
        <w:tc>
          <w:tcPr>
            <w:tcW w:w="159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2.1</w:t>
            </w:r>
          </w:p>
        </w:tc>
        <w:tc>
          <w:tcPr>
            <w:tcW w:w="1610" w:type="dxa"/>
            <w:tcBorders>
              <w:top w:val="single" w:color="000000" w:sz="4" w:space="0"/>
              <w:left w:val="single" w:color="000000" w:sz="4" w:space="0"/>
              <w:bottom w:val="single" w:color="000000" w:sz="4"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288" w:type="dxa"/>
            <w:tcBorders>
              <w:top w:val="single" w:color="000000" w:sz="4" w:space="0"/>
              <w:left w:val="nil"/>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2017年</w:t>
            </w:r>
          </w:p>
        </w:tc>
        <w:tc>
          <w:tcPr>
            <w:tcW w:w="1156"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w:t>
            </w:r>
          </w:p>
        </w:tc>
        <w:tc>
          <w:tcPr>
            <w:tcW w:w="104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28</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81.3</w:t>
            </w:r>
          </w:p>
        </w:tc>
        <w:tc>
          <w:tcPr>
            <w:tcW w:w="130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45</w:t>
            </w:r>
          </w:p>
        </w:tc>
        <w:tc>
          <w:tcPr>
            <w:tcW w:w="159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w:t>
            </w:r>
          </w:p>
        </w:tc>
        <w:tc>
          <w:tcPr>
            <w:tcW w:w="1610" w:type="dxa"/>
            <w:tcBorders>
              <w:top w:val="single" w:color="000000" w:sz="4" w:space="0"/>
              <w:left w:val="single" w:color="000000" w:sz="4" w:space="0"/>
              <w:bottom w:val="single" w:color="000000" w:sz="4"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288"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2018年</w:t>
            </w:r>
          </w:p>
        </w:tc>
        <w:tc>
          <w:tcPr>
            <w:tcW w:w="1156"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w:t>
            </w:r>
          </w:p>
        </w:tc>
        <w:tc>
          <w:tcPr>
            <w:tcW w:w="104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31</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75</w:t>
            </w:r>
          </w:p>
        </w:tc>
        <w:tc>
          <w:tcPr>
            <w:tcW w:w="130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44.3</w:t>
            </w:r>
          </w:p>
        </w:tc>
        <w:tc>
          <w:tcPr>
            <w:tcW w:w="159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1.6</w:t>
            </w:r>
          </w:p>
        </w:tc>
        <w:tc>
          <w:tcPr>
            <w:tcW w:w="1610" w:type="dxa"/>
            <w:tcBorders>
              <w:top w:val="single" w:color="000000" w:sz="4" w:space="0"/>
              <w:left w:val="single" w:color="000000" w:sz="4" w:space="0"/>
              <w:bottom w:val="single" w:color="000000" w:sz="4"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288"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2019年</w:t>
            </w:r>
          </w:p>
        </w:tc>
        <w:tc>
          <w:tcPr>
            <w:tcW w:w="1156"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12.7</w:t>
            </w:r>
          </w:p>
        </w:tc>
        <w:tc>
          <w:tcPr>
            <w:tcW w:w="104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23.7</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59.7</w:t>
            </w:r>
          </w:p>
        </w:tc>
        <w:tc>
          <w:tcPr>
            <w:tcW w:w="130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b/>
                <w:bCs/>
                <w:color w:val="auto"/>
                <w:highlight w:val="none"/>
                <w:lang w:val="en-US" w:eastAsia="zh-CN"/>
              </w:rPr>
            </w:pPr>
            <w:r>
              <w:rPr>
                <w:rFonts w:hint="eastAsia"/>
                <w:b/>
                <w:bCs/>
                <w:color w:val="auto"/>
                <w:highlight w:val="none"/>
                <w:lang w:val="en-US" w:eastAsia="zh-CN"/>
              </w:rPr>
              <w:t>39.2</w:t>
            </w:r>
          </w:p>
        </w:tc>
        <w:tc>
          <w:tcPr>
            <w:tcW w:w="159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1610" w:type="dxa"/>
            <w:tcBorders>
              <w:top w:val="single" w:color="000000" w:sz="4" w:space="0"/>
              <w:left w:val="single" w:color="000000" w:sz="4" w:space="0"/>
              <w:bottom w:val="single" w:color="000000" w:sz="4"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288"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2020年</w:t>
            </w:r>
          </w:p>
        </w:tc>
        <w:tc>
          <w:tcPr>
            <w:tcW w:w="1156"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17.3</w:t>
            </w:r>
          </w:p>
        </w:tc>
        <w:tc>
          <w:tcPr>
            <w:tcW w:w="104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27.6</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55</w:t>
            </w:r>
          </w:p>
        </w:tc>
        <w:tc>
          <w:tcPr>
            <w:tcW w:w="1308"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32.5</w:t>
            </w:r>
          </w:p>
        </w:tc>
        <w:tc>
          <w:tcPr>
            <w:tcW w:w="159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w:t>
            </w:r>
          </w:p>
        </w:tc>
        <w:tc>
          <w:tcPr>
            <w:tcW w:w="1610" w:type="dxa"/>
            <w:tcBorders>
              <w:top w:val="single" w:color="000000" w:sz="4" w:space="0"/>
              <w:left w:val="single" w:color="000000" w:sz="4" w:space="0"/>
              <w:bottom w:val="single" w:color="000000" w:sz="4"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7" w:hRule="atLeast"/>
          <w:jc w:val="center"/>
        </w:trPr>
        <w:tc>
          <w:tcPr>
            <w:tcW w:w="1288" w:type="dxa"/>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标准限值</w:t>
            </w:r>
          </w:p>
        </w:tc>
        <w:tc>
          <w:tcPr>
            <w:tcW w:w="1156"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60</w:t>
            </w:r>
          </w:p>
        </w:tc>
        <w:tc>
          <w:tcPr>
            <w:tcW w:w="1048"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40</w:t>
            </w:r>
          </w:p>
        </w:tc>
        <w:tc>
          <w:tcPr>
            <w:tcW w:w="1059"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70</w:t>
            </w:r>
          </w:p>
        </w:tc>
        <w:tc>
          <w:tcPr>
            <w:tcW w:w="1308"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35</w:t>
            </w:r>
          </w:p>
        </w:tc>
        <w:tc>
          <w:tcPr>
            <w:tcW w:w="1591"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4</w:t>
            </w:r>
          </w:p>
        </w:tc>
        <w:tc>
          <w:tcPr>
            <w:tcW w:w="1610" w:type="dxa"/>
            <w:tcBorders>
              <w:top w:val="single" w:color="000000" w:sz="4" w:space="0"/>
              <w:left w:val="single" w:color="000000" w:sz="4" w:space="0"/>
              <w:right w:val="nil"/>
            </w:tcBorders>
            <w:vAlign w:val="center"/>
          </w:tcPr>
          <w:p>
            <w:pPr>
              <w:pStyle w:val="22"/>
              <w:bidi w:val="0"/>
              <w:rPr>
                <w:color w:val="auto"/>
                <w:highlight w:val="none"/>
              </w:rPr>
            </w:pPr>
            <w:r>
              <w:rPr>
                <w:color w:val="auto"/>
                <w:highlight w:val="none"/>
              </w:rPr>
              <w:t>160</w:t>
            </w:r>
          </w:p>
        </w:tc>
      </w:tr>
    </w:tbl>
    <w:p>
      <w:pPr>
        <w:pStyle w:val="10"/>
        <w:spacing w:before="8"/>
        <w:ind w:left="0"/>
        <w:rPr>
          <w:rFonts w:ascii="Times New Roman"/>
          <w:b/>
          <w:color w:val="auto"/>
          <w:sz w:val="10"/>
          <w:highlight w:val="none"/>
        </w:rPr>
      </w:pPr>
    </w:p>
    <w:p>
      <w:pPr>
        <w:pStyle w:val="22"/>
        <w:bidi w:val="0"/>
        <w:rPr>
          <w:color w:val="auto"/>
          <w:highlight w:val="none"/>
        </w:rPr>
      </w:pPr>
      <w:r>
        <w:rPr>
          <w:color w:val="auto"/>
          <w:highlight w:val="none"/>
        </w:rPr>
        <w:drawing>
          <wp:inline distT="0" distB="0" distL="114300" distR="114300">
            <wp:extent cx="4572000" cy="2743200"/>
            <wp:effectExtent l="4445" t="4445" r="14605" b="14605"/>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22"/>
        <w:bidi w:val="0"/>
        <w:rPr>
          <w:b/>
          <w:color w:val="auto"/>
          <w:spacing w:val="4"/>
          <w:sz w:val="21"/>
          <w:highlight w:val="none"/>
        </w:rPr>
      </w:pPr>
      <w:r>
        <w:rPr>
          <w:b/>
          <w:color w:val="auto"/>
          <w:spacing w:val="-28"/>
          <w:sz w:val="21"/>
          <w:highlight w:val="none"/>
        </w:rPr>
        <w:t xml:space="preserve">图 </w:t>
      </w:r>
      <w:r>
        <w:rPr>
          <w:rFonts w:ascii="Times New Roman" w:eastAsia="Times New Roman"/>
          <w:b/>
          <w:color w:val="auto"/>
          <w:sz w:val="21"/>
          <w:highlight w:val="none"/>
        </w:rPr>
        <w:t>3.3-1</w:t>
      </w:r>
      <w:r>
        <w:rPr>
          <w:rFonts w:ascii="Times New Roman" w:eastAsia="Times New Roman"/>
          <w:b/>
          <w:color w:val="auto"/>
          <w:spacing w:val="51"/>
          <w:sz w:val="21"/>
          <w:highlight w:val="none"/>
        </w:rPr>
        <w:t xml:space="preserve"> </w:t>
      </w:r>
      <w:r>
        <w:rPr>
          <w:b/>
          <w:color w:val="auto"/>
          <w:spacing w:val="4"/>
          <w:sz w:val="21"/>
          <w:highlight w:val="none"/>
        </w:rPr>
        <w:t>区域大气环境质量</w:t>
      </w:r>
      <w:r>
        <w:rPr>
          <w:rFonts w:hint="eastAsia"/>
          <w:b/>
          <w:color w:val="auto"/>
          <w:spacing w:val="4"/>
          <w:sz w:val="21"/>
          <w:highlight w:val="none"/>
          <w:lang w:val="en-US" w:eastAsia="zh-CN"/>
        </w:rPr>
        <w:t>SO</w:t>
      </w:r>
      <w:r>
        <w:rPr>
          <w:rFonts w:hint="eastAsia"/>
          <w:b/>
          <w:color w:val="auto"/>
          <w:spacing w:val="4"/>
          <w:sz w:val="21"/>
          <w:highlight w:val="none"/>
          <w:vertAlign w:val="subscript"/>
          <w:lang w:val="en-US" w:eastAsia="zh-CN"/>
        </w:rPr>
        <w:t>2</w:t>
      </w:r>
      <w:r>
        <w:rPr>
          <w:b/>
          <w:color w:val="auto"/>
          <w:spacing w:val="4"/>
          <w:sz w:val="21"/>
          <w:highlight w:val="none"/>
        </w:rPr>
        <w:t>变化趋势图</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22"/>
        <w:bidi w:val="0"/>
        <w:rPr>
          <w:b/>
          <w:color w:val="auto"/>
          <w:spacing w:val="4"/>
          <w:sz w:val="21"/>
          <w:highlight w:val="none"/>
        </w:rPr>
      </w:pPr>
      <w:r>
        <w:rPr>
          <w:b/>
          <w:color w:val="auto"/>
          <w:spacing w:val="-28"/>
          <w:sz w:val="21"/>
          <w:highlight w:val="none"/>
        </w:rPr>
        <w:t xml:space="preserve">图 </w:t>
      </w:r>
      <w:r>
        <w:rPr>
          <w:rFonts w:ascii="Times New Roman" w:eastAsia="Times New Roman"/>
          <w:b/>
          <w:color w:val="auto"/>
          <w:sz w:val="21"/>
          <w:highlight w:val="none"/>
        </w:rPr>
        <w:t>3.3-</w:t>
      </w:r>
      <w:r>
        <w:rPr>
          <w:rFonts w:hint="eastAsia"/>
          <w:b/>
          <w:color w:val="auto"/>
          <w:sz w:val="21"/>
          <w:highlight w:val="none"/>
          <w:lang w:val="en-US" w:eastAsia="zh-CN"/>
        </w:rPr>
        <w:t>2</w:t>
      </w:r>
      <w:r>
        <w:rPr>
          <w:rFonts w:ascii="Times New Roman" w:eastAsia="Times New Roman"/>
          <w:b/>
          <w:color w:val="auto"/>
          <w:spacing w:val="51"/>
          <w:sz w:val="21"/>
          <w:highlight w:val="none"/>
        </w:rPr>
        <w:t xml:space="preserve"> </w:t>
      </w:r>
      <w:r>
        <w:rPr>
          <w:b/>
          <w:color w:val="auto"/>
          <w:spacing w:val="4"/>
          <w:sz w:val="21"/>
          <w:highlight w:val="none"/>
        </w:rPr>
        <w:t>区域大气环境质量</w:t>
      </w:r>
      <w:r>
        <w:rPr>
          <w:rFonts w:hint="eastAsia"/>
          <w:b/>
          <w:color w:val="auto"/>
          <w:spacing w:val="4"/>
          <w:sz w:val="21"/>
          <w:highlight w:val="none"/>
          <w:lang w:val="en-US" w:eastAsia="zh-CN"/>
        </w:rPr>
        <w:t>SO</w:t>
      </w:r>
      <w:r>
        <w:rPr>
          <w:rFonts w:hint="eastAsia"/>
          <w:b/>
          <w:color w:val="auto"/>
          <w:spacing w:val="4"/>
          <w:sz w:val="21"/>
          <w:highlight w:val="none"/>
          <w:vertAlign w:val="subscript"/>
          <w:lang w:val="en-US" w:eastAsia="zh-CN"/>
        </w:rPr>
        <w:t>2</w:t>
      </w:r>
      <w:r>
        <w:rPr>
          <w:b/>
          <w:color w:val="auto"/>
          <w:spacing w:val="4"/>
          <w:sz w:val="21"/>
          <w:highlight w:val="none"/>
        </w:rPr>
        <w:t>变化趋势图</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22"/>
        <w:bidi w:val="0"/>
        <w:rPr>
          <w:b/>
          <w:color w:val="auto"/>
          <w:spacing w:val="4"/>
          <w:sz w:val="21"/>
          <w:highlight w:val="none"/>
        </w:rPr>
      </w:pPr>
      <w:r>
        <w:rPr>
          <w:b/>
          <w:color w:val="auto"/>
          <w:spacing w:val="-28"/>
          <w:sz w:val="21"/>
          <w:highlight w:val="none"/>
        </w:rPr>
        <w:t xml:space="preserve">图 </w:t>
      </w:r>
      <w:r>
        <w:rPr>
          <w:rFonts w:ascii="Times New Roman" w:eastAsia="Times New Roman"/>
          <w:b/>
          <w:color w:val="auto"/>
          <w:sz w:val="21"/>
          <w:highlight w:val="none"/>
        </w:rPr>
        <w:t>3.3-</w:t>
      </w:r>
      <w:r>
        <w:rPr>
          <w:rFonts w:hint="eastAsia"/>
          <w:b/>
          <w:color w:val="auto"/>
          <w:sz w:val="21"/>
          <w:highlight w:val="none"/>
          <w:lang w:val="en-US" w:eastAsia="zh-CN"/>
        </w:rPr>
        <w:t>3</w:t>
      </w:r>
      <w:r>
        <w:rPr>
          <w:rFonts w:ascii="Times New Roman" w:eastAsia="Times New Roman"/>
          <w:b/>
          <w:color w:val="auto"/>
          <w:spacing w:val="51"/>
          <w:sz w:val="21"/>
          <w:highlight w:val="none"/>
        </w:rPr>
        <w:t xml:space="preserve"> </w:t>
      </w:r>
      <w:r>
        <w:rPr>
          <w:b/>
          <w:color w:val="auto"/>
          <w:spacing w:val="4"/>
          <w:sz w:val="21"/>
          <w:highlight w:val="none"/>
        </w:rPr>
        <w:t>区域大气环境质量</w:t>
      </w:r>
      <w:r>
        <w:rPr>
          <w:rFonts w:hint="eastAsia"/>
          <w:b/>
          <w:color w:val="auto"/>
          <w:spacing w:val="4"/>
          <w:sz w:val="21"/>
          <w:highlight w:val="none"/>
          <w:lang w:val="en-US" w:eastAsia="zh-CN"/>
        </w:rPr>
        <w:t>PM</w:t>
      </w:r>
      <w:r>
        <w:rPr>
          <w:rFonts w:hint="eastAsia"/>
          <w:b/>
          <w:color w:val="auto"/>
          <w:spacing w:val="4"/>
          <w:sz w:val="21"/>
          <w:highlight w:val="none"/>
          <w:vertAlign w:val="subscript"/>
          <w:lang w:val="en-US" w:eastAsia="zh-CN"/>
        </w:rPr>
        <w:t>10</w:t>
      </w:r>
      <w:r>
        <w:rPr>
          <w:b/>
          <w:color w:val="auto"/>
          <w:spacing w:val="4"/>
          <w:sz w:val="21"/>
          <w:highlight w:val="none"/>
        </w:rPr>
        <w:t>变化趋势图</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1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22"/>
        <w:bidi w:val="0"/>
        <w:rPr>
          <w:b/>
          <w:color w:val="auto"/>
          <w:spacing w:val="4"/>
          <w:sz w:val="21"/>
          <w:highlight w:val="none"/>
        </w:rPr>
      </w:pPr>
      <w:r>
        <w:rPr>
          <w:b/>
          <w:color w:val="auto"/>
          <w:spacing w:val="-28"/>
          <w:sz w:val="21"/>
          <w:highlight w:val="none"/>
        </w:rPr>
        <w:t xml:space="preserve">图 </w:t>
      </w:r>
      <w:r>
        <w:rPr>
          <w:rFonts w:ascii="Times New Roman" w:eastAsia="Times New Roman"/>
          <w:b/>
          <w:color w:val="auto"/>
          <w:sz w:val="21"/>
          <w:highlight w:val="none"/>
        </w:rPr>
        <w:t>3.3-</w:t>
      </w:r>
      <w:r>
        <w:rPr>
          <w:rFonts w:hint="eastAsia"/>
          <w:b/>
          <w:color w:val="auto"/>
          <w:sz w:val="21"/>
          <w:highlight w:val="none"/>
          <w:lang w:val="en-US" w:eastAsia="zh-CN"/>
        </w:rPr>
        <w:t>4</w:t>
      </w:r>
      <w:r>
        <w:rPr>
          <w:rFonts w:ascii="Times New Roman" w:eastAsia="Times New Roman"/>
          <w:b/>
          <w:color w:val="auto"/>
          <w:spacing w:val="51"/>
          <w:sz w:val="21"/>
          <w:highlight w:val="none"/>
        </w:rPr>
        <w:t xml:space="preserve"> </w:t>
      </w:r>
      <w:r>
        <w:rPr>
          <w:b/>
          <w:color w:val="auto"/>
          <w:spacing w:val="4"/>
          <w:sz w:val="21"/>
          <w:highlight w:val="none"/>
        </w:rPr>
        <w:t>区域大气环境质量</w:t>
      </w:r>
      <w:r>
        <w:rPr>
          <w:rFonts w:hint="eastAsia"/>
          <w:b/>
          <w:color w:val="auto"/>
          <w:spacing w:val="4"/>
          <w:sz w:val="21"/>
          <w:highlight w:val="none"/>
          <w:lang w:val="en-US" w:eastAsia="zh-CN"/>
        </w:rPr>
        <w:t>PM</w:t>
      </w:r>
      <w:r>
        <w:rPr>
          <w:rFonts w:hint="eastAsia"/>
          <w:b/>
          <w:color w:val="auto"/>
          <w:spacing w:val="4"/>
          <w:sz w:val="21"/>
          <w:highlight w:val="none"/>
          <w:vertAlign w:val="subscript"/>
          <w:lang w:val="en-US" w:eastAsia="zh-CN"/>
        </w:rPr>
        <w:t>2.5</w:t>
      </w:r>
      <w:r>
        <w:rPr>
          <w:b/>
          <w:color w:val="auto"/>
          <w:spacing w:val="4"/>
          <w:sz w:val="21"/>
          <w:highlight w:val="none"/>
        </w:rPr>
        <w:t>变化趋势图</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1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22"/>
        <w:bidi w:val="0"/>
        <w:rPr>
          <w:b/>
          <w:color w:val="auto"/>
          <w:spacing w:val="4"/>
          <w:sz w:val="21"/>
          <w:highlight w:val="none"/>
        </w:rPr>
      </w:pPr>
      <w:r>
        <w:rPr>
          <w:b/>
          <w:color w:val="auto"/>
          <w:spacing w:val="-28"/>
          <w:sz w:val="21"/>
          <w:highlight w:val="none"/>
        </w:rPr>
        <w:t xml:space="preserve">图 </w:t>
      </w:r>
      <w:r>
        <w:rPr>
          <w:rFonts w:ascii="Times New Roman" w:eastAsia="Times New Roman"/>
          <w:b/>
          <w:color w:val="auto"/>
          <w:sz w:val="21"/>
          <w:highlight w:val="none"/>
        </w:rPr>
        <w:t>3.3-</w:t>
      </w:r>
      <w:r>
        <w:rPr>
          <w:rFonts w:hint="eastAsia"/>
          <w:b/>
          <w:color w:val="auto"/>
          <w:sz w:val="21"/>
          <w:highlight w:val="none"/>
          <w:lang w:val="en-US" w:eastAsia="zh-CN"/>
        </w:rPr>
        <w:t>5</w:t>
      </w:r>
      <w:r>
        <w:rPr>
          <w:rFonts w:ascii="Times New Roman" w:eastAsia="Times New Roman"/>
          <w:b/>
          <w:color w:val="auto"/>
          <w:spacing w:val="51"/>
          <w:sz w:val="21"/>
          <w:highlight w:val="none"/>
        </w:rPr>
        <w:t xml:space="preserve"> </w:t>
      </w:r>
      <w:r>
        <w:rPr>
          <w:b/>
          <w:color w:val="auto"/>
          <w:spacing w:val="4"/>
          <w:sz w:val="21"/>
          <w:highlight w:val="none"/>
        </w:rPr>
        <w:t>区域大气环境质量</w:t>
      </w:r>
      <w:r>
        <w:rPr>
          <w:rFonts w:hint="eastAsia"/>
          <w:b/>
          <w:color w:val="auto"/>
          <w:spacing w:val="4"/>
          <w:sz w:val="21"/>
          <w:highlight w:val="none"/>
          <w:lang w:val="en-US" w:eastAsia="zh-CN"/>
        </w:rPr>
        <w:t>CO</w:t>
      </w:r>
      <w:r>
        <w:rPr>
          <w:b/>
          <w:color w:val="auto"/>
          <w:spacing w:val="4"/>
          <w:sz w:val="21"/>
          <w:highlight w:val="none"/>
        </w:rPr>
        <w:t>变化趋势图</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22"/>
        <w:bidi w:val="0"/>
        <w:rPr>
          <w:b/>
          <w:color w:val="auto"/>
          <w:spacing w:val="4"/>
          <w:sz w:val="21"/>
          <w:highlight w:val="none"/>
        </w:rPr>
      </w:pPr>
      <w:r>
        <w:rPr>
          <w:b/>
          <w:color w:val="auto"/>
          <w:spacing w:val="-28"/>
          <w:sz w:val="21"/>
          <w:highlight w:val="none"/>
        </w:rPr>
        <w:t xml:space="preserve">图 </w:t>
      </w:r>
      <w:r>
        <w:rPr>
          <w:rFonts w:ascii="Times New Roman" w:eastAsia="Times New Roman"/>
          <w:b/>
          <w:color w:val="auto"/>
          <w:sz w:val="21"/>
          <w:highlight w:val="none"/>
        </w:rPr>
        <w:t>3.3-</w:t>
      </w:r>
      <w:r>
        <w:rPr>
          <w:rFonts w:hint="eastAsia"/>
          <w:b/>
          <w:color w:val="auto"/>
          <w:sz w:val="21"/>
          <w:highlight w:val="none"/>
          <w:lang w:val="en-US" w:eastAsia="zh-CN"/>
        </w:rPr>
        <w:t>6</w:t>
      </w:r>
      <w:r>
        <w:rPr>
          <w:rFonts w:ascii="Times New Roman" w:eastAsia="Times New Roman"/>
          <w:b/>
          <w:color w:val="auto"/>
          <w:spacing w:val="51"/>
          <w:sz w:val="21"/>
          <w:highlight w:val="none"/>
        </w:rPr>
        <w:t xml:space="preserve"> </w:t>
      </w:r>
      <w:r>
        <w:rPr>
          <w:b/>
          <w:color w:val="auto"/>
          <w:spacing w:val="4"/>
          <w:sz w:val="21"/>
          <w:highlight w:val="none"/>
        </w:rPr>
        <w:t>区域大气环境质量</w:t>
      </w:r>
      <w:r>
        <w:rPr>
          <w:rFonts w:hint="eastAsia"/>
          <w:b/>
          <w:color w:val="auto"/>
          <w:spacing w:val="4"/>
          <w:sz w:val="21"/>
          <w:highlight w:val="none"/>
          <w:lang w:val="en-US" w:eastAsia="zh-CN"/>
        </w:rPr>
        <w:t>O</w:t>
      </w:r>
      <w:r>
        <w:rPr>
          <w:rFonts w:hint="eastAsia"/>
          <w:b/>
          <w:color w:val="auto"/>
          <w:spacing w:val="4"/>
          <w:sz w:val="21"/>
          <w:highlight w:val="none"/>
          <w:vertAlign w:val="subscript"/>
          <w:lang w:val="en-US" w:eastAsia="zh-CN"/>
        </w:rPr>
        <w:t>3</w:t>
      </w:r>
      <w:r>
        <w:rPr>
          <w:b/>
          <w:color w:val="auto"/>
          <w:spacing w:val="4"/>
          <w:sz w:val="21"/>
          <w:highlight w:val="none"/>
        </w:rPr>
        <w:t>变化趋势图</w:t>
      </w:r>
    </w:p>
    <w:p>
      <w:pPr>
        <w:bidi w:val="0"/>
        <w:rPr>
          <w:color w:val="auto"/>
          <w:highlight w:val="none"/>
        </w:rPr>
      </w:pPr>
      <w:r>
        <w:rPr>
          <w:color w:val="auto"/>
          <w:highlight w:val="none"/>
        </w:rPr>
        <w:t>根据</w:t>
      </w:r>
      <w:r>
        <w:rPr>
          <w:rFonts w:hint="eastAsia"/>
          <w:color w:val="auto"/>
          <w:highlight w:val="none"/>
          <w:lang w:eastAsia="zh-CN"/>
        </w:rPr>
        <w:t>大竹县</w:t>
      </w:r>
      <w:r>
        <w:rPr>
          <w:color w:val="auto"/>
          <w:highlight w:val="none"/>
        </w:rPr>
        <w:t>连续</w:t>
      </w:r>
      <w:r>
        <w:rPr>
          <w:rFonts w:hint="eastAsia"/>
          <w:color w:val="auto"/>
          <w:highlight w:val="none"/>
          <w:lang w:val="en-US" w:eastAsia="zh-CN"/>
        </w:rPr>
        <w:t>5</w:t>
      </w:r>
      <w:r>
        <w:rPr>
          <w:color w:val="auto"/>
          <w:highlight w:val="none"/>
        </w:rPr>
        <w:t>年基本污染因子浓度可以看出：</w:t>
      </w:r>
    </w:p>
    <w:p>
      <w:pPr>
        <w:bidi w:val="0"/>
        <w:rPr>
          <w:rFonts w:hint="eastAsia"/>
          <w:color w:val="auto"/>
          <w:highlight w:val="none"/>
          <w:lang w:val="en-US" w:eastAsia="zh-CN"/>
        </w:rPr>
      </w:pPr>
      <w:r>
        <w:rPr>
          <w:rFonts w:hint="eastAsia"/>
          <w:color w:val="auto"/>
          <w:highlight w:val="none"/>
          <w:lang w:eastAsia="zh-CN"/>
        </w:rPr>
        <w:t>①自</w:t>
      </w:r>
      <w:r>
        <w:rPr>
          <w:rFonts w:hint="eastAsia"/>
          <w:color w:val="auto"/>
          <w:highlight w:val="none"/>
          <w:lang w:val="en-US" w:eastAsia="zh-CN"/>
        </w:rPr>
        <w:t>2016年至2020年，SO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2</w:t>
      </w:r>
      <w:r>
        <w:rPr>
          <w:rFonts w:hint="eastAsia"/>
          <w:color w:val="auto"/>
          <w:highlight w:val="none"/>
          <w:lang w:val="en-US" w:eastAsia="zh-CN"/>
        </w:rPr>
        <w:t>年均浓度变化波动不大，且均能达标；</w:t>
      </w:r>
    </w:p>
    <w:p>
      <w:pPr>
        <w:bidi w:val="0"/>
        <w:rPr>
          <w:color w:val="auto"/>
          <w:highlight w:val="none"/>
        </w:rPr>
      </w:pPr>
      <w:r>
        <w:rPr>
          <w:rFonts w:hint="eastAsia"/>
          <w:color w:val="auto"/>
          <w:highlight w:val="none"/>
          <w:lang w:val="en-US" w:eastAsia="zh-CN"/>
        </w:rPr>
        <w:t>②PM</w:t>
      </w:r>
      <w:r>
        <w:rPr>
          <w:rFonts w:hint="eastAsia"/>
          <w:color w:val="auto"/>
          <w:highlight w:val="none"/>
          <w:vertAlign w:val="subscript"/>
          <w:lang w:val="en-US" w:eastAsia="zh-CN"/>
        </w:rPr>
        <w:t>10</w:t>
      </w:r>
      <w:r>
        <w:rPr>
          <w:rFonts w:hint="eastAsia"/>
          <w:color w:val="auto"/>
          <w:highlight w:val="none"/>
          <w:lang w:val="en-US" w:eastAsia="zh-CN"/>
        </w:rPr>
        <w:t>年</w:t>
      </w:r>
      <w:r>
        <w:rPr>
          <w:color w:val="auto"/>
          <w:highlight w:val="none"/>
        </w:rPr>
        <w:t>平均浓度</w:t>
      </w:r>
      <w:r>
        <w:rPr>
          <w:rFonts w:hint="eastAsia"/>
          <w:color w:val="auto"/>
          <w:highlight w:val="none"/>
          <w:lang w:eastAsia="zh-CN"/>
        </w:rPr>
        <w:t>自</w:t>
      </w:r>
      <w:r>
        <w:rPr>
          <w:rFonts w:hint="eastAsia"/>
          <w:color w:val="auto"/>
          <w:highlight w:val="none"/>
          <w:lang w:val="en-US" w:eastAsia="zh-CN"/>
        </w:rPr>
        <w:t>2016年至2020年连续5年呈下降趋势，并从2019年开始实现年均浓度达标</w:t>
      </w:r>
      <w:r>
        <w:rPr>
          <w:color w:val="auto"/>
          <w:highlight w:val="none"/>
        </w:rPr>
        <w:t>；</w:t>
      </w:r>
    </w:p>
    <w:p>
      <w:pPr>
        <w:bidi w:val="0"/>
        <w:rPr>
          <w:color w:val="auto"/>
          <w:highlight w:val="none"/>
        </w:rPr>
      </w:pPr>
      <w:r>
        <w:rPr>
          <w:rFonts w:hint="eastAsia"/>
          <w:color w:val="auto"/>
          <w:highlight w:val="none"/>
          <w:lang w:eastAsia="zh-CN"/>
        </w:rPr>
        <w:t>③</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lang w:val="en-US" w:eastAsia="zh-CN"/>
        </w:rPr>
        <w:t>年</w:t>
      </w:r>
      <w:r>
        <w:rPr>
          <w:color w:val="auto"/>
          <w:highlight w:val="none"/>
        </w:rPr>
        <w:t>平均浓度</w:t>
      </w:r>
      <w:r>
        <w:rPr>
          <w:rFonts w:hint="eastAsia"/>
          <w:color w:val="auto"/>
          <w:highlight w:val="none"/>
          <w:lang w:eastAsia="zh-CN"/>
        </w:rPr>
        <w:t>自</w:t>
      </w:r>
      <w:r>
        <w:rPr>
          <w:rFonts w:hint="eastAsia"/>
          <w:color w:val="auto"/>
          <w:highlight w:val="none"/>
          <w:lang w:val="en-US" w:eastAsia="zh-CN"/>
        </w:rPr>
        <w:t>2016年至2020年连续5年呈下降趋势，并在2020年实现年均浓度达标</w:t>
      </w:r>
      <w:r>
        <w:rPr>
          <w:color w:val="auto"/>
          <w:highlight w:val="none"/>
        </w:rPr>
        <w:t>；</w:t>
      </w:r>
    </w:p>
    <w:p>
      <w:pPr>
        <w:bidi w:val="0"/>
        <w:rPr>
          <w:rFonts w:hint="eastAsia"/>
          <w:color w:val="auto"/>
          <w:highlight w:val="none"/>
          <w:lang w:val="en-US" w:eastAsia="zh-CN"/>
        </w:rPr>
      </w:pPr>
      <w:r>
        <w:rPr>
          <w:rFonts w:hint="eastAsia"/>
          <w:color w:val="auto"/>
          <w:highlight w:val="none"/>
          <w:lang w:eastAsia="zh-CN"/>
        </w:rPr>
        <w:t>④自</w:t>
      </w:r>
      <w:r>
        <w:rPr>
          <w:rFonts w:hint="eastAsia"/>
          <w:color w:val="auto"/>
          <w:highlight w:val="none"/>
          <w:lang w:val="en-US" w:eastAsia="zh-CN"/>
        </w:rPr>
        <w:t>2016年至2020年，CO日均值第95百分位数浓度和O</w:t>
      </w:r>
      <w:r>
        <w:rPr>
          <w:rFonts w:hint="eastAsia"/>
          <w:color w:val="auto"/>
          <w:highlight w:val="none"/>
          <w:vertAlign w:val="subscript"/>
          <w:lang w:val="en-US" w:eastAsia="zh-CN"/>
        </w:rPr>
        <w:t>3</w:t>
      </w:r>
      <w:r>
        <w:rPr>
          <w:rFonts w:hint="eastAsia"/>
          <w:color w:val="auto"/>
          <w:highlight w:val="none"/>
          <w:lang w:val="en-US" w:eastAsia="zh-CN"/>
        </w:rPr>
        <w:t>最大8h评价第90百分位数浓度变化波动不大，且均能达标。</w:t>
      </w:r>
    </w:p>
    <w:p>
      <w:pPr>
        <w:bidi w:val="0"/>
        <w:rPr>
          <w:color w:val="auto"/>
          <w:highlight w:val="none"/>
        </w:rPr>
      </w:pPr>
      <w:r>
        <w:rPr>
          <w:rFonts w:hint="eastAsia"/>
          <w:color w:val="auto"/>
          <w:highlight w:val="none"/>
          <w:lang w:eastAsia="zh-CN"/>
        </w:rPr>
        <w:t>说明大竹县环境空气质量为逐年好转和改善的趋势</w:t>
      </w:r>
      <w:r>
        <w:rPr>
          <w:color w:val="auto"/>
          <w:highlight w:val="none"/>
        </w:rPr>
        <w:t>。</w:t>
      </w:r>
    </w:p>
    <w:p>
      <w:pPr>
        <w:pStyle w:val="6"/>
        <w:numPr>
          <w:ilvl w:val="2"/>
          <w:numId w:val="5"/>
        </w:numPr>
        <w:bidi w:val="0"/>
        <w:rPr>
          <w:color w:val="auto"/>
          <w:highlight w:val="none"/>
        </w:rPr>
      </w:pPr>
      <w:bookmarkStart w:id="236" w:name="3.3.2 地表水环境质量发展趋势"/>
      <w:bookmarkEnd w:id="236"/>
      <w:bookmarkStart w:id="237" w:name="3.3.2 地表水环境质量发展趋势"/>
      <w:bookmarkEnd w:id="237"/>
      <w:bookmarkStart w:id="238" w:name="_Toc28077"/>
      <w:bookmarkStart w:id="239" w:name="_Toc2583"/>
      <w:r>
        <w:rPr>
          <w:color w:val="auto"/>
          <w:highlight w:val="none"/>
        </w:rPr>
        <w:t>地表水环境质量发展趋势</w:t>
      </w:r>
      <w:bookmarkEnd w:id="238"/>
      <w:bookmarkEnd w:id="239"/>
    </w:p>
    <w:p>
      <w:pPr>
        <w:bidi w:val="0"/>
        <w:rPr>
          <w:color w:val="auto"/>
          <w:highlight w:val="none"/>
        </w:rPr>
      </w:pPr>
      <w:r>
        <w:rPr>
          <w:rFonts w:hint="eastAsia"/>
          <w:color w:val="auto"/>
          <w:highlight w:val="none"/>
        </w:rPr>
        <w:t>大竹县境内无大江大河，仅有东柳河、铜钵河、东河、黄滩河(西河)四条小河及竹溪河、柳城溪、兴隆河、清水河、八渡</w:t>
      </w:r>
      <w:r>
        <w:rPr>
          <w:rFonts w:hint="eastAsia"/>
          <w:color w:val="auto"/>
          <w:highlight w:val="none"/>
          <w:lang w:eastAsia="zh-CN"/>
        </w:rPr>
        <w:t>河</w:t>
      </w:r>
      <w:r>
        <w:rPr>
          <w:rFonts w:hint="eastAsia"/>
          <w:color w:val="auto"/>
          <w:highlight w:val="none"/>
        </w:rPr>
        <w:t>、上白水河、下白水河七条小溪(40平方公里以上)，全属长江水系，均发源于大竹</w:t>
      </w:r>
      <w:r>
        <w:rPr>
          <w:rFonts w:hint="eastAsia"/>
          <w:color w:val="auto"/>
          <w:highlight w:val="none"/>
          <w:lang w:eastAsia="zh-CN"/>
        </w:rPr>
        <w:t>。本规划区涉及大竹县东部、中部、西部三座山脉，基本上直接或间接涉及大竹县上述所有水系，因此，</w:t>
      </w:r>
      <w:r>
        <w:rPr>
          <w:color w:val="auto"/>
          <w:highlight w:val="none"/>
        </w:rPr>
        <w:t>本次评价</w:t>
      </w:r>
      <w:r>
        <w:rPr>
          <w:rFonts w:hint="eastAsia"/>
          <w:color w:val="auto"/>
          <w:highlight w:val="none"/>
          <w:lang w:eastAsia="zh-CN"/>
        </w:rPr>
        <w:t>通过收集到的达州市大竹生态环境局监测站及大竹县水务局提供的县域各地表水系</w:t>
      </w:r>
      <w:r>
        <w:rPr>
          <w:rFonts w:hint="eastAsia"/>
          <w:color w:val="auto"/>
          <w:highlight w:val="none"/>
          <w:lang w:val="en-US" w:eastAsia="zh-CN"/>
        </w:rPr>
        <w:t>2018~2020年</w:t>
      </w:r>
      <w:r>
        <w:rPr>
          <w:rFonts w:hint="eastAsia"/>
          <w:color w:val="auto"/>
          <w:highlight w:val="none"/>
          <w:lang w:eastAsia="zh-CN"/>
        </w:rPr>
        <w:t>例行监测数据</w:t>
      </w:r>
      <w:r>
        <w:rPr>
          <w:color w:val="auto"/>
          <w:highlight w:val="none"/>
        </w:rPr>
        <w:t>进行分析</w:t>
      </w:r>
      <w:r>
        <w:rPr>
          <w:rFonts w:hint="eastAsia"/>
          <w:color w:val="auto"/>
          <w:highlight w:val="none"/>
          <w:lang w:eastAsia="zh-CN"/>
        </w:rPr>
        <w:t>，来反应区域地表水环境质量发展趋势</w:t>
      </w:r>
      <w:r>
        <w:rPr>
          <w:color w:val="auto"/>
          <w:highlight w:val="none"/>
        </w:rPr>
        <w:t>。</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3.3.2.1四条小河（东柳河、铜钵河、东河、黄滩河）出境断面</w:t>
      </w:r>
    </w:p>
    <w:p>
      <w:pPr>
        <w:bidi w:val="0"/>
        <w:rPr>
          <w:rFonts w:hint="eastAsia"/>
          <w:color w:val="auto"/>
          <w:highlight w:val="none"/>
          <w:lang w:val="en-US" w:eastAsia="zh-CN"/>
        </w:rPr>
      </w:pPr>
      <w:r>
        <w:rPr>
          <w:rFonts w:hint="eastAsia"/>
          <w:color w:val="auto"/>
          <w:highlight w:val="none"/>
          <w:lang w:val="en-US" w:eastAsia="zh-CN"/>
        </w:rPr>
        <w:t>（1）东河钢架大桥断面</w:t>
      </w:r>
    </w:p>
    <w:p>
      <w:pPr>
        <w:bidi w:val="0"/>
        <w:rPr>
          <w:rFonts w:hint="eastAsia"/>
          <w:color w:val="auto"/>
          <w:highlight w:val="none"/>
          <w:lang w:val="en-US" w:eastAsia="zh-CN"/>
        </w:rPr>
      </w:pPr>
      <w:r>
        <w:rPr>
          <w:rFonts w:hint="eastAsia"/>
          <w:color w:val="auto"/>
          <w:highlight w:val="none"/>
          <w:lang w:val="en-US" w:eastAsia="zh-CN"/>
        </w:rPr>
        <w:t>东河钢架大桥断面2018~2020年各月水质情况如下：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表3.3-2 东河钢架大桥断面2018~2020年水质情况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19</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15</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19</w:t>
            </w:r>
          </w:p>
        </w:tc>
        <w:tc>
          <w:tcPr>
            <w:tcW w:w="677" w:type="dxa"/>
          </w:tcPr>
          <w:p>
            <w:pPr>
              <w:pStyle w:val="22"/>
              <w:bidi w:val="0"/>
              <w:rPr>
                <w:rFonts w:hint="default"/>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14</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19</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0.154</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0.206</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0.270</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0.406</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0.114</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0.123</w:t>
            </w:r>
          </w:p>
        </w:tc>
        <w:tc>
          <w:tcPr>
            <w:tcW w:w="677" w:type="dxa"/>
          </w:tcPr>
          <w:p>
            <w:pPr>
              <w:pStyle w:val="22"/>
              <w:bidi w:val="0"/>
              <w:rPr>
                <w:rFonts w:hint="default"/>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0.209</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0.136</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0.099</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0.138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0.117</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0.140</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0.805</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0.610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0.740</w:t>
            </w:r>
          </w:p>
        </w:tc>
        <w:tc>
          <w:tcPr>
            <w:tcW w:w="677" w:type="dxa"/>
          </w:tcPr>
          <w:p>
            <w:pPr>
              <w:pStyle w:val="22"/>
              <w:bidi w:val="0"/>
              <w:rPr>
                <w:rFonts w:hint="default"/>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1.091</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0.818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0.267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0.210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0.329</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0.293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0.153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0.106</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0.392</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4.23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4.84</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5.32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4.53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4.22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4.26</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4.47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3.64</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4.45</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5.62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4.61</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4.16</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18</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0.12</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0.335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0.496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0.433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0.880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0.199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0.194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0.199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0.168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0.257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0.160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0.290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4.2</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11.5</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0.06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0.12</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0.13</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1.00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0.81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1.12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0.06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0.05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0.22</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0.64</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3.7</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Ⅱ</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Ⅱ</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119880" cy="2374265"/>
            <wp:effectExtent l="4445" t="5080" r="9525" b="20955"/>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图3.3-7   东河钢架大桥断面CODcr变化趋势</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图3.3-8   东河钢架大桥断面TP变化趋势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2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图3.3-9   东河钢架大桥断面NH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图3.3-10   东河钢架大桥断面COD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由上图、表分析可知，大竹县东河钢架大桥国考断面2018~2020年水质年均浓度满足《地表水环境质量标准》（GB3838-2002）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类水要求，CODcr、TP、NH</w:t>
      </w:r>
      <w:r>
        <w:rPr>
          <w:rFonts w:hint="eastAsia"/>
          <w:color w:val="auto"/>
          <w:highlight w:val="none"/>
          <w:vertAlign w:val="subscript"/>
          <w:lang w:val="en-US" w:eastAsia="zh-CN"/>
        </w:rPr>
        <w:t>3</w:t>
      </w:r>
      <w:r>
        <w:rPr>
          <w:rFonts w:hint="eastAsia"/>
          <w:color w:val="auto"/>
          <w:highlight w:val="none"/>
          <w:lang w:val="en-US" w:eastAsia="zh-CN"/>
        </w:rPr>
        <w:t>-N在2~6月份偶有超标情况，但水质各指标浓度总体呈下降趋势，一定程度表明东河水环境呈逐年改善的趋势。</w:t>
      </w:r>
    </w:p>
    <w:p>
      <w:pPr>
        <w:bidi w:val="0"/>
        <w:rPr>
          <w:rFonts w:hint="eastAsia"/>
          <w:color w:val="auto"/>
          <w:highlight w:val="none"/>
          <w:lang w:val="en-US" w:eastAsia="zh-CN"/>
        </w:rPr>
      </w:pPr>
      <w:r>
        <w:rPr>
          <w:rFonts w:hint="eastAsia"/>
          <w:color w:val="auto"/>
          <w:highlight w:val="none"/>
          <w:lang w:val="en-US" w:eastAsia="zh-CN"/>
        </w:rPr>
        <w:t>（2）东柳河墩子河断面</w:t>
      </w:r>
    </w:p>
    <w:p>
      <w:pPr>
        <w:bidi w:val="0"/>
        <w:rPr>
          <w:rFonts w:hint="eastAsia"/>
          <w:color w:val="auto"/>
          <w:highlight w:val="none"/>
          <w:lang w:val="en-US" w:eastAsia="zh-CN"/>
        </w:rPr>
      </w:pPr>
      <w:r>
        <w:rPr>
          <w:rFonts w:hint="eastAsia"/>
          <w:color w:val="auto"/>
          <w:highlight w:val="none"/>
          <w:lang w:val="en-US" w:eastAsia="zh-CN"/>
        </w:rPr>
        <w:t>东柳河墩子河断面2018~2020年各月水质情况如下：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表3.3-3 东柳河墩子河断面2018~2020年水质情况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0.222</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0.338</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0.583</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0.662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0.170</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0.213</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0.265</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0.316</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0.284</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0.216</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0.260</w:t>
            </w:r>
          </w:p>
        </w:tc>
        <w:tc>
          <w:tcPr>
            <w:tcW w:w="678"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0.253</w:t>
            </w:r>
          </w:p>
        </w:tc>
        <w:tc>
          <w:tcPr>
            <w:tcW w:w="678" w:type="dxa"/>
          </w:tcPr>
          <w:p>
            <w:pPr>
              <w:pStyle w:val="22"/>
              <w:bidi w:val="0"/>
              <w:rPr>
                <w:rFonts w:hint="default"/>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0.997</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1.810</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2.556</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1.080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0.358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0.152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0.309</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0.300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0.688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0.282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0.342</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0.356</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3.60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4.93</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6.86</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7.62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5.73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5.32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5.10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5.37</w:t>
            </w:r>
          </w:p>
        </w:tc>
        <w:tc>
          <w:tcPr>
            <w:tcW w:w="677" w:type="dxa"/>
          </w:tcPr>
          <w:p>
            <w:pPr>
              <w:pStyle w:val="22"/>
              <w:bidi w:val="0"/>
              <w:rPr>
                <w:rFonts w:hint="default"/>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6.10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5.68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4.82</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4.42</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34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40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20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13</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20</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0.65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0.86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0.66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0.48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0.21</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0.22</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2.02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3.84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4.77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4.26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2.44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0.560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0.449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0.257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0.303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0.66</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0.51</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9.6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6.0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4.9</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5.7</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20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20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20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0.44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0.31</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0.32</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0.58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0.67</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5.1</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4.4</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4.7</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图3.3-11   东柳河墩子河断面CODcr变化趋势</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图3.3-12   东柳河墩子河断面TP变化趋势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3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图3.3-13   东柳河墩子河断面NH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3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图3.3-14   东柳河墩子河断面COD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default"/>
          <w:color w:val="auto"/>
          <w:highlight w:val="none"/>
          <w:lang w:val="en-US" w:eastAsia="zh-CN"/>
        </w:rPr>
      </w:pPr>
      <w:r>
        <w:rPr>
          <w:rFonts w:hint="eastAsia"/>
          <w:color w:val="auto"/>
          <w:highlight w:val="none"/>
          <w:lang w:val="en-US" w:eastAsia="zh-CN"/>
        </w:rPr>
        <w:t>由上图、表分析可知，大竹县东柳河墩子河省考断面2018~2020年水质情况较差，多数月份出现</w:t>
      </w:r>
      <w:r>
        <w:rPr>
          <w:rFonts w:hint="eastAsia" w:ascii="宋体" w:hAnsi="宋体" w:eastAsia="宋体" w:cs="宋体"/>
          <w:color w:val="auto"/>
          <w:highlight w:val="none"/>
          <w:lang w:val="en-US" w:eastAsia="zh-CN"/>
        </w:rPr>
        <w:t>Ⅳ</w:t>
      </w:r>
      <w:r>
        <w:rPr>
          <w:rFonts w:hint="eastAsia" w:ascii="宋体" w:hAnsi="宋体" w:cs="宋体"/>
          <w:color w:val="auto"/>
          <w:highlight w:val="none"/>
          <w:lang w:val="en-US" w:eastAsia="zh-CN"/>
        </w:rPr>
        <w:t>类、</w:t>
      </w:r>
      <w:r>
        <w:rPr>
          <w:rFonts w:hint="eastAsia" w:ascii="宋体" w:hAnsi="宋体" w:eastAsia="宋体" w:cs="宋体"/>
          <w:color w:val="auto"/>
          <w:highlight w:val="none"/>
          <w:lang w:val="en-US" w:eastAsia="zh-CN"/>
        </w:rPr>
        <w:t>Ⅴ</w:t>
      </w:r>
      <w:r>
        <w:rPr>
          <w:rFonts w:hint="eastAsia" w:ascii="宋体" w:hAnsi="宋体" w:cs="宋体"/>
          <w:color w:val="auto"/>
          <w:highlight w:val="none"/>
          <w:lang w:val="en-US" w:eastAsia="zh-CN"/>
        </w:rPr>
        <w:t>类甚至劣</w:t>
      </w:r>
      <w:r>
        <w:rPr>
          <w:rFonts w:hint="eastAsia" w:ascii="宋体" w:hAnsi="宋体" w:eastAsia="宋体" w:cs="宋体"/>
          <w:color w:val="auto"/>
          <w:highlight w:val="none"/>
          <w:lang w:val="en-US" w:eastAsia="zh-CN"/>
        </w:rPr>
        <w:t>Ⅴ</w:t>
      </w:r>
      <w:r>
        <w:rPr>
          <w:rFonts w:hint="eastAsia" w:ascii="宋体" w:hAnsi="宋体" w:cs="宋体"/>
          <w:color w:val="auto"/>
          <w:highlight w:val="none"/>
          <w:lang w:val="en-US" w:eastAsia="zh-CN"/>
        </w:rPr>
        <w:t>类水质，枯水期水质最差，但也能看出各指标近年来均呈现下降趋势</w:t>
      </w:r>
      <w:r>
        <w:rPr>
          <w:rFonts w:hint="eastAsia"/>
          <w:color w:val="auto"/>
          <w:highlight w:val="none"/>
          <w:lang w:val="en-US" w:eastAsia="zh-CN"/>
        </w:rPr>
        <w:t>，一定程度表明东柳河水质正在逐年改善。</w:t>
      </w:r>
    </w:p>
    <w:p>
      <w:pPr>
        <w:bidi w:val="0"/>
        <w:rPr>
          <w:rFonts w:hint="eastAsia"/>
          <w:color w:val="auto"/>
          <w:highlight w:val="none"/>
          <w:lang w:val="en-US" w:eastAsia="zh-CN"/>
        </w:rPr>
      </w:pPr>
      <w:r>
        <w:rPr>
          <w:rFonts w:hint="eastAsia"/>
          <w:color w:val="auto"/>
          <w:highlight w:val="none"/>
          <w:lang w:val="en-US" w:eastAsia="zh-CN"/>
        </w:rPr>
        <w:t>（3）黄滩河双河口大桥断面</w:t>
      </w:r>
    </w:p>
    <w:p>
      <w:pPr>
        <w:bidi w:val="0"/>
        <w:rPr>
          <w:rFonts w:hint="eastAsia"/>
          <w:color w:val="auto"/>
          <w:highlight w:val="none"/>
          <w:lang w:val="en-US" w:eastAsia="zh-CN"/>
        </w:rPr>
      </w:pPr>
      <w:r>
        <w:rPr>
          <w:rFonts w:hint="eastAsia"/>
          <w:color w:val="auto"/>
          <w:highlight w:val="none"/>
          <w:lang w:val="en-US" w:eastAsia="zh-CN"/>
        </w:rPr>
        <w:t>黄滩河双河口大桥断面2018~2020年各月水质情况如下：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表3.3-5 黄滩河双河口大桥断面2018~2020年水质情况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26</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21</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25</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21</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25</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22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16</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16</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18</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0.119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0.171</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0.247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0.167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0.087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0.140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0.194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0.089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0.103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0.118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0.105</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0.090</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0.675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0.961</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1.169</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1.117</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0.693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0.158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0.262</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0.371</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0.283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0.361</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0.101</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0.449</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4.31</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4.87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5.23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4.39</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4.53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4.53</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4.20</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3.91</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4.48</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4.36</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4.65</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3.84</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20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0.994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1.21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0.532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0.475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1.13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0.158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0.158</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0.142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0.262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0.20</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0.31</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4.3</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13</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17</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0.65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1.04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0.84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0.90</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0.06</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0.15</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1.65</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4.9</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3.5</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5.8</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4.9</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s="宋体"/>
                <w:color w:val="auto"/>
                <w:sz w:val="20"/>
                <w:szCs w:val="20"/>
                <w:highlight w:val="none"/>
                <w:vertAlign w:val="baseline"/>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Ⅱ</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3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图3.3-15   黄滩河双河口大桥断面CODcr变化趋势</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4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图3.3-16   黄滩河双河口大桥断面TP变化趋势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图3.3-17   黄滩河双河口大桥断面NH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4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图3.3-18   黄滩河双河口大桥断面COD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color w:val="auto"/>
          <w:highlight w:val="none"/>
        </w:rPr>
      </w:pPr>
      <w:r>
        <w:rPr>
          <w:rFonts w:hint="eastAsia"/>
          <w:color w:val="auto"/>
          <w:highlight w:val="none"/>
          <w:lang w:val="en-US" w:eastAsia="zh-CN"/>
        </w:rPr>
        <w:t>由上图、表分析可知，大竹县黄滩河双河口大桥国考断面2018年水质年均浓度为《地表水环境质量标准》（GB3838-2002）</w:t>
      </w:r>
      <w:r>
        <w:rPr>
          <w:rFonts w:hint="eastAsia" w:ascii="宋体" w:hAnsi="宋体" w:eastAsia="宋体" w:cs="宋体"/>
          <w:color w:val="auto"/>
          <w:highlight w:val="none"/>
          <w:lang w:val="en-US" w:eastAsia="zh-CN"/>
        </w:rPr>
        <w:t>Ⅳ</w:t>
      </w:r>
      <w:r>
        <w:rPr>
          <w:rFonts w:hint="eastAsia"/>
          <w:color w:val="auto"/>
          <w:highlight w:val="none"/>
          <w:lang w:val="en-US" w:eastAsia="zh-CN"/>
        </w:rPr>
        <w:t>类水，2019年及2020年水质年均浓度满足《地表水环境质量标准》（GB3838-2002）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类，水质各指标浓度总体呈下降趋势，表明黄滩河水环境呈逐年改善的趋势</w:t>
      </w:r>
      <w:r>
        <w:rPr>
          <w:color w:val="auto"/>
          <w:highlight w:val="none"/>
        </w:rPr>
        <w:t>。</w:t>
      </w:r>
    </w:p>
    <w:p>
      <w:pPr>
        <w:bidi w:val="0"/>
        <w:rPr>
          <w:rFonts w:hint="eastAsia"/>
          <w:color w:val="auto"/>
          <w:highlight w:val="none"/>
          <w:lang w:val="en-US" w:eastAsia="zh-CN"/>
        </w:rPr>
      </w:pPr>
      <w:r>
        <w:rPr>
          <w:rFonts w:hint="eastAsia"/>
          <w:color w:val="auto"/>
          <w:highlight w:val="none"/>
          <w:lang w:val="en-US" w:eastAsia="zh-CN"/>
        </w:rPr>
        <w:t>（4）铜钵河矮墩子断面</w:t>
      </w:r>
    </w:p>
    <w:p>
      <w:pPr>
        <w:bidi w:val="0"/>
        <w:rPr>
          <w:rFonts w:hint="eastAsia"/>
          <w:color w:val="auto"/>
          <w:highlight w:val="none"/>
          <w:lang w:val="en-US" w:eastAsia="zh-CN"/>
        </w:rPr>
      </w:pPr>
      <w:r>
        <w:rPr>
          <w:rFonts w:hint="eastAsia"/>
          <w:color w:val="auto"/>
          <w:highlight w:val="none"/>
          <w:lang w:val="en-US" w:eastAsia="zh-CN"/>
        </w:rPr>
        <w:t>铜钵河矮墩子断面2018~2020年各月水质情况如下：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表3.3-6 铜钵河矮墩子断面2018~2020年水质情况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0.088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0.100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0.142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0.098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0.057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0.169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0.162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0.075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0.156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0.113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0.084</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0.080</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0.634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0.844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0.932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0.909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0.322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0.886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0.296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0.548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0.415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0.512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0.350</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0.752</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1.9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5.12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4.85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3.94</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3.5</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0.630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0.704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0.462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0.632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0.584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0.686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0.403</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0.316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2.5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18</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14</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0.236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0.988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0.761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0.671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0.552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0.300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0.358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0.54</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2.5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3.2</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图3.3-19   铜钵河矮墩子断面CODcr变化趋势</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2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图3.3-20   铜钵河矮墩子断面TP变化趋势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图3.3-21   铜钵河矮墩子断面NH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图3.3-22   铜钵河矮墩子断面COD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由上图、表分析可知，大竹县铜钵河矮墩子断面2018年~2020年监测指标年均浓度都满足《地表水环境质量标准》（GB3838-2002）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类水质要求，表明铜钵河水质相对较好，并且也呈现出逐年更好的趋势。</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3.3.2.2主要河流断面、水库</w:t>
      </w:r>
    </w:p>
    <w:p>
      <w:pPr>
        <w:bidi w:val="0"/>
        <w:rPr>
          <w:rFonts w:hint="eastAsia"/>
          <w:color w:val="auto"/>
          <w:highlight w:val="none"/>
          <w:lang w:val="en-US" w:eastAsia="zh-CN"/>
        </w:rPr>
      </w:pPr>
      <w:r>
        <w:rPr>
          <w:rFonts w:hint="eastAsia"/>
          <w:color w:val="auto"/>
          <w:highlight w:val="none"/>
          <w:lang w:val="en-US" w:eastAsia="zh-CN"/>
        </w:rPr>
        <w:t>（1）八渡河齐星桥断面</w:t>
      </w:r>
    </w:p>
    <w:p>
      <w:pPr>
        <w:bidi w:val="0"/>
        <w:rPr>
          <w:rFonts w:hint="eastAsia"/>
          <w:color w:val="auto"/>
          <w:highlight w:val="none"/>
          <w:lang w:val="en-US" w:eastAsia="zh-CN"/>
        </w:rPr>
      </w:pPr>
      <w:r>
        <w:rPr>
          <w:rFonts w:hint="eastAsia"/>
          <w:color w:val="auto"/>
          <w:highlight w:val="none"/>
          <w:lang w:val="en-US" w:eastAsia="zh-CN"/>
        </w:rPr>
        <w:t>八渡河齐星桥断面2018~2020年各月水质情况如下：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表3.3-7 八渡河齐星桥断面2018~2020年水质情况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bCs/>
                <w:color w:val="auto"/>
                <w:sz w:val="20"/>
                <w:szCs w:val="20"/>
                <w:highlight w:val="none"/>
                <w:vertAlign w:val="baseline"/>
                <w:lang w:val="en-US" w:eastAsia="zh-CN"/>
              </w:rPr>
              <w:t>0.276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0.087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0.056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0.129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0.166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0.083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0.103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0.041</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b w:val="0"/>
                <w:bCs w:val="0"/>
                <w:color w:val="auto"/>
                <w:sz w:val="20"/>
                <w:szCs w:val="20"/>
                <w:highlight w:val="none"/>
                <w:vertAlign w:val="baseline"/>
                <w:lang w:val="en-US" w:eastAsia="zh-CN"/>
              </w:rPr>
              <w:t>0.09</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0.494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0.423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0.215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0.179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0.246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0.262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0.168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0.168</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0.194</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5.09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3.10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5.66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3.48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3.25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4.15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3.88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4.45</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3.36</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0.475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0.272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1.46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0.631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0.225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0.267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0.231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0.24</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0.85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0.89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0.28</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5.3</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3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图3.3-23   八渡河齐星桥断面TP变化趋势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3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图3.3-27   八渡河齐星桥断面NH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4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图3.3-28   八渡河齐星桥断面COD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由上图、表分析可知，大竹县八渡河齐星桥断面2018年~2020年监测指标年均浓度都满足《地表水环境质量标准》（GB3838-2002）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类水质要求，表明八渡河水质相对较好，近年来年均浓度波动不大。</w:t>
      </w:r>
    </w:p>
    <w:p>
      <w:pPr>
        <w:bidi w:val="0"/>
        <w:rPr>
          <w:rFonts w:hint="eastAsia"/>
          <w:color w:val="auto"/>
          <w:highlight w:val="none"/>
          <w:lang w:val="en-US" w:eastAsia="zh-CN"/>
        </w:rPr>
      </w:pPr>
      <w:r>
        <w:rPr>
          <w:rFonts w:hint="eastAsia"/>
          <w:color w:val="auto"/>
          <w:highlight w:val="none"/>
          <w:lang w:val="en-US" w:eastAsia="zh-CN"/>
        </w:rPr>
        <w:t>（2）白水河跳蹬坝断面</w:t>
      </w:r>
    </w:p>
    <w:p>
      <w:pPr>
        <w:bidi w:val="0"/>
        <w:rPr>
          <w:rFonts w:hint="eastAsia"/>
          <w:color w:val="auto"/>
          <w:highlight w:val="none"/>
          <w:lang w:val="en-US" w:eastAsia="zh-CN"/>
        </w:rPr>
      </w:pPr>
      <w:r>
        <w:rPr>
          <w:rFonts w:hint="eastAsia"/>
          <w:color w:val="auto"/>
          <w:highlight w:val="none"/>
          <w:lang w:val="en-US" w:eastAsia="zh-CN"/>
        </w:rPr>
        <w:t>白水河跳蹬坝断面2018~2020年各月水质情况如下：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表3.3-8 白水河跳蹬坝断面2018~2020年水质情况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0.373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0.896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0.433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0.288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0.236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0.314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0.376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0.386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0.189</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0.361</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5.13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4.92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4.03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4.75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3.80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5.37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6.08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5.39</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4.28</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0.41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0.45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0.563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1.61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1.50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0.724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8.1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8.1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7.0</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0.52</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6.0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5.8</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图3.3-29   白水河跳蹬坝断面TP变化趋势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3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图3.3-30   白水河跳蹬坝断面NH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3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图3.3-31   白水河跳蹬坝断面COD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由上图、表分析可知，大竹县白水河跳蹬坝断面2018年各监测指标年均浓度都满足《地表水环境质量标准》（GB3838-2002）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类水质要求，2019年~2020年监测指标年均浓度显示为</w:t>
      </w:r>
      <w:r>
        <w:rPr>
          <w:rFonts w:hint="eastAsia" w:ascii="宋体" w:hAnsi="宋体" w:eastAsia="宋体" w:cs="宋体"/>
          <w:color w:val="auto"/>
          <w:highlight w:val="none"/>
          <w:lang w:val="en-US" w:eastAsia="zh-CN"/>
        </w:rPr>
        <w:t>Ⅳ</w:t>
      </w:r>
      <w:r>
        <w:rPr>
          <w:rFonts w:hint="eastAsia"/>
          <w:color w:val="auto"/>
          <w:highlight w:val="none"/>
          <w:lang w:val="en-US" w:eastAsia="zh-CN"/>
        </w:rPr>
        <w:t>类水质，不满足《地表水环境质量标准》（GB3838-2002）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类水质要求，其中在2019年水质情况最差，2020年略有改善。</w:t>
      </w:r>
    </w:p>
    <w:p>
      <w:pPr>
        <w:bidi w:val="0"/>
        <w:rPr>
          <w:rFonts w:hint="eastAsia"/>
          <w:color w:val="auto"/>
          <w:highlight w:val="none"/>
          <w:lang w:val="en-US" w:eastAsia="zh-CN"/>
        </w:rPr>
      </w:pPr>
      <w:r>
        <w:rPr>
          <w:rFonts w:hint="eastAsia"/>
          <w:color w:val="auto"/>
          <w:highlight w:val="none"/>
          <w:lang w:val="en-US" w:eastAsia="zh-CN"/>
        </w:rPr>
        <w:t>（3）高滩河乌龟石断面</w:t>
      </w:r>
    </w:p>
    <w:p>
      <w:pPr>
        <w:bidi w:val="0"/>
        <w:rPr>
          <w:rFonts w:hint="eastAsia"/>
          <w:color w:val="auto"/>
          <w:highlight w:val="none"/>
          <w:lang w:val="en-US" w:eastAsia="zh-CN"/>
        </w:rPr>
      </w:pPr>
      <w:r>
        <w:rPr>
          <w:rFonts w:hint="eastAsia"/>
          <w:color w:val="auto"/>
          <w:highlight w:val="none"/>
          <w:lang w:val="en-US" w:eastAsia="zh-CN"/>
        </w:rPr>
        <w:t>高滩河乌龟石断面2018~2020年各月水质情况如下：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表3.3-9 高滩河乌龟石断面2018~2020年水质情况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1.31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0.545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0.545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0.355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0.169</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0.26</w:t>
            </w:r>
          </w:p>
        </w:tc>
        <w:tc>
          <w:tcPr>
            <w:tcW w:w="678"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5.130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0.714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1.046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0.231</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0.293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0.501</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0.194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0.132</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0.963</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8.67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4.10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5.78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4.95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5.11</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5.25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6.51</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5.46</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3.89</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0.56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1.79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1.46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1.45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0.50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0.22</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3.124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7.54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7.28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1.59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0.761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0.532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0.605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0.41</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8.4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7.0</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0.44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1.43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0.51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b/>
                <w:bCs/>
                <w:color w:val="auto"/>
                <w:highlight w:val="none"/>
                <w:lang w:val="en-US" w:eastAsia="zh-CN"/>
              </w:rPr>
            </w:pPr>
            <w:r>
              <w:rPr>
                <w:rFonts w:hint="eastAsia"/>
                <w:b/>
                <w:bCs/>
                <w:color w:val="auto"/>
                <w:highlight w:val="none"/>
                <w:lang w:val="en-US" w:eastAsia="zh-CN"/>
              </w:rPr>
              <w:t>0.23</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0.24</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1.17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1.59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1.31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2.73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7.3</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7.0</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4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图3.3-32   高滩河乌龟石断面TP变化趋势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图3.3-33   高滩河乌龟石断面NH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4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图3.3-34   高滩河乌龟石断面COD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由上图、表分析可知，大竹县高滩河乌龟石断面2018年、2019年各监测指标年均浓度显示为劣</w:t>
      </w:r>
      <w:r>
        <w:rPr>
          <w:rFonts w:hint="eastAsia" w:ascii="宋体" w:hAnsi="宋体" w:eastAsia="宋体" w:cs="宋体"/>
          <w:color w:val="auto"/>
          <w:highlight w:val="none"/>
          <w:lang w:val="en-US" w:eastAsia="zh-CN"/>
        </w:rPr>
        <w:t>Ⅴ</w:t>
      </w:r>
      <w:r>
        <w:rPr>
          <w:rFonts w:hint="eastAsia"/>
          <w:color w:val="auto"/>
          <w:highlight w:val="none"/>
          <w:lang w:val="en-US" w:eastAsia="zh-CN"/>
        </w:rPr>
        <w:t>类水质，2020年各监测指标年均浓度显示为</w:t>
      </w:r>
      <w:r>
        <w:rPr>
          <w:rFonts w:hint="eastAsia" w:ascii="宋体" w:hAnsi="宋体" w:eastAsia="宋体" w:cs="宋体"/>
          <w:color w:val="auto"/>
          <w:highlight w:val="none"/>
          <w:lang w:val="en-US" w:eastAsia="zh-CN"/>
        </w:rPr>
        <w:t>Ⅳ</w:t>
      </w:r>
      <w:r>
        <w:rPr>
          <w:rFonts w:hint="eastAsia"/>
          <w:color w:val="auto"/>
          <w:highlight w:val="none"/>
          <w:lang w:val="en-US" w:eastAsia="zh-CN"/>
        </w:rPr>
        <w:t>类水质，有改善但仍不满足《地表水环境质量标准》（GB3838-2002）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类水质要求，其中在2019年水质情况最差，2020年略有改善。</w:t>
      </w:r>
    </w:p>
    <w:p>
      <w:pPr>
        <w:bidi w:val="0"/>
        <w:rPr>
          <w:rFonts w:hint="eastAsia"/>
          <w:color w:val="auto"/>
          <w:highlight w:val="none"/>
          <w:lang w:val="en-US" w:eastAsia="zh-CN"/>
        </w:rPr>
      </w:pPr>
      <w:r>
        <w:rPr>
          <w:rFonts w:hint="eastAsia"/>
          <w:color w:val="auto"/>
          <w:highlight w:val="none"/>
          <w:lang w:val="en-US" w:eastAsia="zh-CN"/>
        </w:rPr>
        <w:t>（4）柳城溪三栋桥断面</w:t>
      </w:r>
    </w:p>
    <w:p>
      <w:pPr>
        <w:bidi w:val="0"/>
        <w:rPr>
          <w:rFonts w:hint="eastAsia"/>
          <w:color w:val="auto"/>
          <w:highlight w:val="none"/>
          <w:lang w:val="en-US" w:eastAsia="zh-CN"/>
        </w:rPr>
      </w:pPr>
      <w:r>
        <w:rPr>
          <w:rFonts w:hint="eastAsia"/>
          <w:color w:val="auto"/>
          <w:highlight w:val="none"/>
          <w:lang w:val="en-US" w:eastAsia="zh-CN"/>
        </w:rPr>
        <w:t>柳城溪三栋桥断面2018~2020年各月水质情况如下：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表3.3-10 柳城溪三栋桥断面2018~2020年水质情况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0.854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0.305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0.249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0.163</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8"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1.429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0.729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0.646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0.309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0.366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0.392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0.293</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0.137</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0.454</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8.75</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7.52</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6.95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5.62</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4.80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5.13</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7.23</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6.28</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5.16</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0.51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0.631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1.40</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0.475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0.506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0.548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0.303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0.25</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0.40</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3.7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5.2</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6.6</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0.24</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0.32</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b w:val="0"/>
                <w:bCs w:val="0"/>
                <w:color w:val="auto"/>
                <w:highlight w:val="none"/>
                <w:lang w:val="en-US" w:eastAsia="zh-CN"/>
              </w:rPr>
            </w:pPr>
            <w:r>
              <w:rPr>
                <w:rFonts w:hint="eastAsia"/>
                <w:b w:val="0"/>
                <w:bCs w:val="0"/>
                <w:color w:val="auto"/>
                <w:highlight w:val="none"/>
                <w:lang w:val="en-US" w:eastAsia="zh-CN"/>
              </w:rPr>
              <w:t>0.19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0.28</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0.59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6.3</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7.1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6.9</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6.2</w:t>
            </w:r>
          </w:p>
        </w:tc>
        <w:tc>
          <w:tcPr>
            <w:tcW w:w="678"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图3.3-35   柳城溪三栋桥断面TP变化趋势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图3.3-36   柳城溪三栋桥断面NH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5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图3.3-37   柳城溪三栋桥断面COD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由上图、表分析可知，大竹县柳城溪三栋桥断面2018年~2020年各监测指标年均浓度显示为</w:t>
      </w:r>
      <w:r>
        <w:rPr>
          <w:rFonts w:hint="eastAsia" w:ascii="宋体" w:hAnsi="宋体" w:eastAsia="宋体" w:cs="宋体"/>
          <w:color w:val="auto"/>
          <w:highlight w:val="none"/>
          <w:lang w:val="en-US" w:eastAsia="zh-CN"/>
        </w:rPr>
        <w:t>Ⅳ</w:t>
      </w:r>
      <w:r>
        <w:rPr>
          <w:rFonts w:hint="eastAsia"/>
          <w:color w:val="auto"/>
          <w:highlight w:val="none"/>
          <w:lang w:val="en-US" w:eastAsia="zh-CN"/>
        </w:rPr>
        <w:t>类水质，不满足《地表水环境质量标准》（GB3838-2002）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类水质要求，在2019年整体水质情况最差，2020年整体略有改善，其中TP、NH</w:t>
      </w:r>
      <w:r>
        <w:rPr>
          <w:rFonts w:hint="eastAsia"/>
          <w:color w:val="auto"/>
          <w:highlight w:val="none"/>
          <w:vertAlign w:val="subscript"/>
          <w:lang w:val="en-US" w:eastAsia="zh-CN"/>
        </w:rPr>
        <w:t>3</w:t>
      </w:r>
      <w:r>
        <w:rPr>
          <w:rFonts w:hint="eastAsia"/>
          <w:color w:val="auto"/>
          <w:highlight w:val="none"/>
          <w:lang w:val="en-US" w:eastAsia="zh-CN"/>
        </w:rPr>
        <w:t>-N呈逐年改善趋势，COD</w:t>
      </w:r>
      <w:r>
        <w:rPr>
          <w:rFonts w:hint="eastAsia"/>
          <w:color w:val="auto"/>
          <w:highlight w:val="none"/>
          <w:vertAlign w:val="subscript"/>
          <w:lang w:val="en-US" w:eastAsia="zh-CN"/>
        </w:rPr>
        <w:t>Mn</w:t>
      </w:r>
      <w:r>
        <w:rPr>
          <w:rFonts w:hint="eastAsia"/>
          <w:color w:val="auto"/>
          <w:highlight w:val="none"/>
          <w:vertAlign w:val="baseline"/>
          <w:lang w:val="en-US" w:eastAsia="zh-CN"/>
        </w:rPr>
        <w:t>2020年变得更差</w:t>
      </w:r>
      <w:r>
        <w:rPr>
          <w:rFonts w:hint="eastAsia"/>
          <w:color w:val="auto"/>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（5）清水河双河口断面</w:t>
      </w:r>
    </w:p>
    <w:p>
      <w:pPr>
        <w:bidi w:val="0"/>
        <w:rPr>
          <w:rFonts w:hint="eastAsia"/>
          <w:color w:val="auto"/>
          <w:highlight w:val="none"/>
          <w:lang w:val="en-US" w:eastAsia="zh-CN"/>
        </w:rPr>
      </w:pPr>
      <w:r>
        <w:rPr>
          <w:rFonts w:hint="eastAsia"/>
          <w:color w:val="auto"/>
          <w:highlight w:val="none"/>
          <w:lang w:val="en-US" w:eastAsia="zh-CN"/>
        </w:rPr>
        <w:t>清水河双河口断面2018~2020年各月水质情况如下：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表3.3-11 清水河双河口断面2018~2020年水质情况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0.066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0.100</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1.208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0.719</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0.246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0.251</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0.397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0.335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0.314</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0.085</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0.433</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7.55</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5.11</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4.96</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4.80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4.88</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4.27</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5.20</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4.24</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4.40</w:t>
            </w:r>
          </w:p>
        </w:tc>
        <w:tc>
          <w:tcPr>
            <w:tcW w:w="678"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tcPr>
          <w:p>
            <w:pPr>
              <w:pStyle w:val="22"/>
              <w:bidi w:val="0"/>
              <w:rPr>
                <w:rFonts w:hint="eastAsia"/>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0.31</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0.19</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0.13</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1.415</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3.34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0.838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0.366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0.433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0.153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0.23</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0.34</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4.6</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4.7</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劣</w:t>
            </w:r>
            <w:r>
              <w:rPr>
                <w:rFonts w:hint="eastAsia" w:ascii="宋体" w:hAnsi="宋体" w:eastAsia="宋体" w:cs="宋体"/>
                <w:color w:val="auto"/>
                <w:sz w:val="20"/>
                <w:szCs w:val="20"/>
                <w:highlight w:val="none"/>
                <w:vertAlign w:val="baseline"/>
                <w:lang w:val="en-US" w:eastAsia="zh-CN"/>
              </w:rPr>
              <w:t>Ⅴ</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b/>
                <w:bCs/>
                <w:color w:val="auto"/>
                <w:sz w:val="20"/>
                <w:szCs w:val="20"/>
                <w:highlight w:val="none"/>
                <w:vertAlign w:val="baseline"/>
                <w:lang w:val="en-US" w:eastAsia="zh-CN" w:bidi="ar-SA"/>
              </w:rPr>
            </w:pPr>
            <w:r>
              <w:rPr>
                <w:rFonts w:hint="eastAsia" w:cs="宋体"/>
                <w:b/>
                <w:bCs/>
                <w:color w:val="auto"/>
                <w:sz w:val="20"/>
                <w:szCs w:val="20"/>
                <w:highlight w:val="none"/>
                <w:vertAlign w:val="baseline"/>
                <w:lang w:val="en-US" w:eastAsia="zh-CN" w:bidi="ar-SA"/>
              </w:rPr>
              <w:t>0.27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0.17</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0.08</w:t>
            </w:r>
          </w:p>
        </w:tc>
        <w:tc>
          <w:tcPr>
            <w:tcW w:w="677" w:type="dxa"/>
            <w:vAlign w:val="top"/>
          </w:tcPr>
          <w:p>
            <w:pPr>
              <w:pStyle w:val="22"/>
              <w:bidi w:val="0"/>
              <w:ind w:left="0" w:leftChars="0" w:right="0" w:rightChars="0" w:firstLine="0" w:firstLineChars="0"/>
              <w:rPr>
                <w:rFonts w:hint="default"/>
                <w:b w:val="0"/>
                <w:bCs w:val="0"/>
                <w:color w:val="auto"/>
                <w:highlight w:val="none"/>
                <w:lang w:val="en-US" w:eastAsia="zh-CN"/>
              </w:rPr>
            </w:pPr>
            <w:r>
              <w:rPr>
                <w:rFonts w:hint="eastAsia"/>
                <w:b w:val="0"/>
                <w:bCs w:val="0"/>
                <w:color w:val="auto"/>
                <w:highlight w:val="none"/>
                <w:lang w:val="en-US" w:eastAsia="zh-CN"/>
              </w:rPr>
              <w:t>0.14</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0.09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0.99</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0.78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0.82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0.10</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0.11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0.28</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0.49</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5.2</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4.6</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4.8</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4.1</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4.3</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4.2</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4.4</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Ⅳ</w:t>
            </w:r>
            <w:r>
              <w:rPr>
                <w:rFonts w:hint="eastAsia"/>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7"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c>
          <w:tcPr>
            <w:tcW w:w="678"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ascii="宋体" w:hAnsi="宋体" w:eastAsia="宋体" w:cs="宋体"/>
                <w:color w:val="auto"/>
                <w:sz w:val="20"/>
                <w:szCs w:val="20"/>
                <w:highlight w:val="none"/>
                <w:vertAlign w:val="baseline"/>
                <w:lang w:val="en-US" w:eastAsia="zh-CN"/>
              </w:rPr>
              <w:t>Ⅲ</w:t>
            </w:r>
            <w:r>
              <w:rPr>
                <w:rFonts w:hint="eastAsia" w:ascii="宋体" w:hAnsi="宋体" w:cs="宋体"/>
                <w:color w:val="auto"/>
                <w:sz w:val="20"/>
                <w:szCs w:val="20"/>
                <w:highlight w:val="none"/>
                <w:vertAlign w:val="baseline"/>
                <w:lang w:val="en-US" w:eastAsia="zh-CN"/>
              </w:rPr>
              <w:t>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图3.3-38   清水河双河口断面TP变化趋势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5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图3.3-39   清水河双河口断面NH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6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图3.3-40   清水河双河口断面COD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由上图、表分析可知，大竹县清水河双河口断面2018年~2020年各监测指标年均浓度均满足《地表水环境质量标准》（GB3838-2002）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类水质要求，并且总体呈现逐年下降的趋势，表明清水河水质相对较好且在逐年改善。</w:t>
      </w:r>
    </w:p>
    <w:p>
      <w:pPr>
        <w:bidi w:val="0"/>
        <w:rPr>
          <w:rFonts w:hint="eastAsia"/>
          <w:color w:val="auto"/>
          <w:highlight w:val="none"/>
          <w:lang w:val="en-US" w:eastAsia="zh-CN"/>
        </w:rPr>
      </w:pPr>
      <w:r>
        <w:rPr>
          <w:rFonts w:hint="eastAsia"/>
          <w:color w:val="auto"/>
          <w:highlight w:val="none"/>
          <w:lang w:val="en-US" w:eastAsia="zh-CN"/>
        </w:rPr>
        <w:t>（6）竹溪河七孔治断面</w:t>
      </w:r>
    </w:p>
    <w:p>
      <w:pPr>
        <w:bidi w:val="0"/>
        <w:rPr>
          <w:rFonts w:hint="eastAsia"/>
          <w:color w:val="auto"/>
          <w:highlight w:val="none"/>
          <w:lang w:val="en-US" w:eastAsia="zh-CN"/>
        </w:rPr>
      </w:pPr>
      <w:r>
        <w:rPr>
          <w:rFonts w:hint="eastAsia"/>
          <w:color w:val="auto"/>
          <w:highlight w:val="none"/>
          <w:lang w:val="en-US" w:eastAsia="zh-CN"/>
        </w:rPr>
        <w:t>竹溪河七孔治断面2018~2020年各月水质情况如下：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表3.3-12 竹溪河七孔治断面2018~2020年水质情况 单位：mg/L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677"/>
        <w:gridCol w:w="677"/>
        <w:gridCol w:w="677"/>
        <w:gridCol w:w="677"/>
        <w:gridCol w:w="677"/>
        <w:gridCol w:w="677"/>
        <w:gridCol w:w="677"/>
        <w:gridCol w:w="677"/>
        <w:gridCol w:w="677"/>
        <w:gridCol w:w="677"/>
        <w:gridCol w:w="677"/>
        <w:gridCol w:w="67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3月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4月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5月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6月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7月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8月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9月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10月</w:t>
            </w:r>
          </w:p>
        </w:tc>
        <w:tc>
          <w:tcPr>
            <w:tcW w:w="677"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11月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12月</w:t>
            </w:r>
          </w:p>
        </w:tc>
        <w:tc>
          <w:tcPr>
            <w:tcW w:w="678" w:type="dxa"/>
            <w:vAlign w:val="top"/>
          </w:tcPr>
          <w:p>
            <w:pPr>
              <w:pStyle w:val="22"/>
              <w:bidi w:val="0"/>
              <w:ind w:left="0" w:leftChars="0" w:right="0" w:rightChars="0" w:firstLine="0" w:firstLineChars="0"/>
              <w:rPr>
                <w:rFonts w:hint="default"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CODcr</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b/>
                <w:bCs/>
                <w:color w:val="auto"/>
                <w:sz w:val="20"/>
                <w:szCs w:val="20"/>
                <w:highlight w:val="none"/>
                <w:vertAlign w:val="baseline"/>
                <w:lang w:val="en-US" w:eastAsia="zh-CN"/>
              </w:rPr>
            </w:pPr>
            <w:r>
              <w:rPr>
                <w:rFonts w:hint="eastAsia"/>
                <w:b/>
                <w:bCs/>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8"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TP</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0.452</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0.091</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0.21</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0.295</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0.226</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0.299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0.182</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0.363</w:t>
            </w:r>
          </w:p>
        </w:tc>
        <w:tc>
          <w:tcPr>
            <w:tcW w:w="678"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0.23</w:t>
            </w:r>
          </w:p>
        </w:tc>
        <w:tc>
          <w:tcPr>
            <w:tcW w:w="678"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0.722</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0.677</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0.142</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0.283</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0.376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0.366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0.438</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2.189</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0.584</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tcPr>
          <w:p>
            <w:pPr>
              <w:pStyle w:val="22"/>
              <w:bidi w:val="0"/>
              <w:rPr>
                <w:rFonts w:hint="default"/>
                <w:b w:val="0"/>
                <w:bCs w:val="0"/>
                <w:color w:val="auto"/>
                <w:sz w:val="20"/>
                <w:szCs w:val="20"/>
                <w:highlight w:val="none"/>
                <w:vertAlign w:val="baseline"/>
                <w:lang w:val="en-US" w:eastAsia="zh-CN"/>
              </w:rPr>
            </w:pPr>
            <w:r>
              <w:rPr>
                <w:rFonts w:hint="eastAsia"/>
                <w:b w:val="0"/>
                <w:bCs w:val="0"/>
                <w:color w:val="auto"/>
                <w:sz w:val="20"/>
                <w:szCs w:val="20"/>
                <w:highlight w:val="none"/>
                <w:vertAlign w:val="baseline"/>
                <w:lang w:val="en-US" w:eastAsia="zh-CN"/>
              </w:rPr>
              <w:t>/</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6.1</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3.83</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5.94</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4.16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3.17</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5.01</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5.08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4.42</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3.84</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pStyle w:val="22"/>
              <w:bidi w:val="0"/>
              <w:rPr>
                <w:rFonts w:hint="eastAsia"/>
                <w:color w:val="auto"/>
                <w:sz w:val="20"/>
                <w:szCs w:val="20"/>
                <w:highlight w:val="none"/>
                <w:vertAlign w:val="baseline"/>
                <w:lang w:val="en-US" w:eastAsia="zh-CN"/>
              </w:rPr>
            </w:pPr>
            <w:r>
              <w:rPr>
                <w:rFonts w:hint="eastAsia"/>
                <w:color w:val="auto"/>
                <w:sz w:val="20"/>
                <w:szCs w:val="20"/>
                <w:highlight w:val="none"/>
                <w:vertAlign w:val="baseline"/>
                <w:lang w:val="en-US" w:eastAsia="zh-CN"/>
              </w:rPr>
              <w:t>水质类别</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tcPr>
          <w:p>
            <w:pPr>
              <w:pStyle w:val="22"/>
              <w:bidi w:val="0"/>
              <w:rPr>
                <w:rFonts w:hint="default"/>
                <w:color w:val="auto"/>
                <w:sz w:val="20"/>
                <w:szCs w:val="20"/>
                <w:highlight w:val="none"/>
                <w:vertAlign w:val="baseline"/>
                <w:lang w:val="en-US" w:eastAsia="zh-CN"/>
              </w:rPr>
            </w:pPr>
            <w:r>
              <w:rPr>
                <w:rFonts w:hint="eastAsia"/>
                <w:color w:val="auto"/>
                <w:sz w:val="20"/>
                <w:szCs w:val="20"/>
                <w:highlight w:val="none"/>
                <w:vertAlign w:val="baseline"/>
                <w:lang w:val="en-US" w:eastAsia="zh-CN"/>
              </w:rPr>
              <w:t>/</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w:t>
            </w:r>
            <w:r>
              <w:rPr>
                <w:color w:val="auto"/>
                <w:sz w:val="20"/>
                <w:szCs w:val="20"/>
                <w:highlight w:val="none"/>
                <w:lang w:val="en-US" w:eastAsia="zh-CN"/>
              </w:rPr>
              <w:t>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w:t>
            </w:r>
            <w:r>
              <w:rPr>
                <w:color w:val="auto"/>
                <w:sz w:val="20"/>
                <w:szCs w:val="20"/>
                <w:highlight w:val="none"/>
                <w:lang w:val="en-US" w:eastAsia="zh-CN"/>
              </w:rPr>
              <w:t>类</w:t>
            </w:r>
          </w:p>
        </w:tc>
        <w:tc>
          <w:tcPr>
            <w:tcW w:w="678"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8"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0.6</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0.59</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0.48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0.18</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0.37</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0.13</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0.08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0.16</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0.26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0.13</w:t>
            </w:r>
          </w:p>
        </w:tc>
        <w:tc>
          <w:tcPr>
            <w:tcW w:w="678"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0.21</w:t>
            </w:r>
          </w:p>
        </w:tc>
        <w:tc>
          <w:tcPr>
            <w:tcW w:w="678"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0.651</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4.02</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0.376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0.542</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0.449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0.548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0.189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0.194</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0.215</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0.298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0.24</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0.37</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4.3</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5.7</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5.2</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6.6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3.5</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4.7</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5.4</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5.5</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5.3</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8"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8"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CODcr</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7"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c>
          <w:tcPr>
            <w:tcW w:w="678" w:type="dxa"/>
            <w:vAlign w:val="top"/>
          </w:tcPr>
          <w:p>
            <w:pPr>
              <w:pStyle w:val="22"/>
              <w:bidi w:val="0"/>
              <w:ind w:left="0" w:leftChars="0" w:right="0" w:rightChars="0" w:firstLine="0" w:firstLineChars="0"/>
              <w:rPr>
                <w:rFonts w:hint="default" w:ascii="Times New Roman" w:hAnsi="Times New Roman" w:eastAsia="宋体" w:cs="宋体"/>
                <w:b w:val="0"/>
                <w:bCs w:val="0"/>
                <w:color w:val="auto"/>
                <w:sz w:val="20"/>
                <w:szCs w:val="20"/>
                <w:highlight w:val="none"/>
                <w:vertAlign w:val="baseline"/>
                <w:lang w:val="en-US" w:eastAsia="zh-CN" w:bidi="ar-SA"/>
              </w:rPr>
            </w:pPr>
            <w:r>
              <w:rPr>
                <w:rFonts w:hint="eastAsia" w:cs="宋体"/>
                <w:b w:val="0"/>
                <w:bCs w:val="0"/>
                <w:color w:val="auto"/>
                <w:sz w:val="20"/>
                <w:szCs w:val="20"/>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TP</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0.22</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0.35</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0.54</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0.45</w:t>
            </w:r>
          </w:p>
        </w:tc>
        <w:tc>
          <w:tcPr>
            <w:tcW w:w="677" w:type="dxa"/>
            <w:vAlign w:val="top"/>
          </w:tcPr>
          <w:p>
            <w:pPr>
              <w:pStyle w:val="22"/>
              <w:bidi w:val="0"/>
              <w:rPr>
                <w:rFonts w:hint="default"/>
                <w:b/>
                <w:bCs/>
                <w:color w:val="auto"/>
                <w:sz w:val="20"/>
                <w:szCs w:val="20"/>
                <w:highlight w:val="none"/>
                <w:lang w:val="en-US" w:eastAsia="zh-CN"/>
              </w:rPr>
            </w:pPr>
            <w:r>
              <w:rPr>
                <w:rFonts w:hint="default"/>
                <w:b/>
                <w:bCs/>
                <w:color w:val="auto"/>
                <w:sz w:val="20"/>
                <w:szCs w:val="20"/>
                <w:highlight w:val="none"/>
                <w:lang w:val="en-US" w:eastAsia="zh-CN"/>
              </w:rPr>
              <w:t>0.4</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0.16</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w:t>
            </w:r>
          </w:p>
        </w:tc>
        <w:tc>
          <w:tcPr>
            <w:tcW w:w="678"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NH</w:t>
            </w:r>
            <w:r>
              <w:rPr>
                <w:rFonts w:hint="eastAsia"/>
                <w:color w:val="auto"/>
                <w:sz w:val="20"/>
                <w:szCs w:val="20"/>
                <w:highlight w:val="none"/>
                <w:vertAlign w:val="subscript"/>
                <w:lang w:val="en-US" w:eastAsia="zh-CN"/>
              </w:rPr>
              <w:t>3</w:t>
            </w:r>
            <w:r>
              <w:rPr>
                <w:rFonts w:hint="eastAsia"/>
                <w:color w:val="auto"/>
                <w:sz w:val="20"/>
                <w:szCs w:val="20"/>
                <w:highlight w:val="none"/>
                <w:vertAlign w:val="baseline"/>
                <w:lang w:val="en-US" w:eastAsia="zh-CN"/>
              </w:rPr>
              <w:t>-N</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0.78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0.97</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0.78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0.21</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0.09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0.06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0.08</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0.25</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0.28</w:t>
            </w:r>
          </w:p>
        </w:tc>
        <w:tc>
          <w:tcPr>
            <w:tcW w:w="678"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1.08</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COD</w:t>
            </w:r>
            <w:r>
              <w:rPr>
                <w:rFonts w:hint="eastAsia"/>
                <w:color w:val="auto"/>
                <w:sz w:val="20"/>
                <w:szCs w:val="20"/>
                <w:highlight w:val="none"/>
                <w:vertAlign w:val="subscript"/>
                <w:lang w:val="en-US" w:eastAsia="zh-CN"/>
              </w:rPr>
              <w:t>Mn</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5.4</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5.5</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4.9</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5.4</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5.3</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5.4</w:t>
            </w:r>
          </w:p>
        </w:tc>
        <w:tc>
          <w:tcPr>
            <w:tcW w:w="677"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6.6</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5.3</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5.2</w:t>
            </w:r>
          </w:p>
        </w:tc>
        <w:tc>
          <w:tcPr>
            <w:tcW w:w="677"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6.5</w:t>
            </w:r>
          </w:p>
        </w:tc>
        <w:tc>
          <w:tcPr>
            <w:tcW w:w="678" w:type="dxa"/>
            <w:vAlign w:val="top"/>
          </w:tcPr>
          <w:p>
            <w:pPr>
              <w:pStyle w:val="22"/>
              <w:bidi w:val="0"/>
              <w:rPr>
                <w:rFonts w:hint="default"/>
                <w:color w:val="auto"/>
                <w:sz w:val="20"/>
                <w:szCs w:val="20"/>
                <w:highlight w:val="none"/>
                <w:lang w:val="en-US" w:eastAsia="zh-CN"/>
              </w:rPr>
            </w:pPr>
            <w:r>
              <w:rPr>
                <w:rFonts w:hint="default"/>
                <w:b/>
                <w:bCs/>
                <w:color w:val="auto"/>
                <w:sz w:val="20"/>
                <w:szCs w:val="20"/>
                <w:highlight w:val="none"/>
                <w:lang w:val="en-US" w:eastAsia="zh-CN"/>
              </w:rPr>
              <w:t>6.5</w:t>
            </w:r>
          </w:p>
        </w:tc>
        <w:tc>
          <w:tcPr>
            <w:tcW w:w="678" w:type="dxa"/>
            <w:vAlign w:val="top"/>
          </w:tcPr>
          <w:p>
            <w:pPr>
              <w:pStyle w:val="22"/>
              <w:bidi w:val="0"/>
              <w:rPr>
                <w:rFonts w:hint="default"/>
                <w:color w:val="auto"/>
                <w:sz w:val="20"/>
                <w:szCs w:val="20"/>
                <w:highlight w:val="none"/>
                <w:lang w:val="en-US" w:eastAsia="zh-CN"/>
              </w:rPr>
            </w:pPr>
            <w:r>
              <w:rPr>
                <w:rFonts w:hint="default"/>
                <w:color w:val="auto"/>
                <w:sz w:val="20"/>
                <w:szCs w:val="20"/>
                <w:highlight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top"/>
          </w:tcPr>
          <w:p>
            <w:pPr>
              <w:pStyle w:val="22"/>
              <w:bidi w:val="0"/>
              <w:ind w:left="0" w:leftChars="0" w:right="0" w:rightChars="0" w:firstLine="0" w:firstLineChars="0"/>
              <w:rPr>
                <w:rFonts w:hint="eastAsia" w:ascii="Times New Roman" w:hAnsi="Times New Roman" w:eastAsia="宋体" w:cs="宋体"/>
                <w:color w:val="auto"/>
                <w:sz w:val="20"/>
                <w:szCs w:val="20"/>
                <w:highlight w:val="none"/>
                <w:vertAlign w:val="baseline"/>
                <w:lang w:val="en-US" w:eastAsia="zh-CN" w:bidi="ar-SA"/>
              </w:rPr>
            </w:pPr>
            <w:r>
              <w:rPr>
                <w:rFonts w:hint="eastAsia"/>
                <w:color w:val="auto"/>
                <w:sz w:val="20"/>
                <w:szCs w:val="20"/>
                <w:highlight w:val="none"/>
                <w:vertAlign w:val="baseline"/>
                <w:lang w:val="en-US" w:eastAsia="zh-CN"/>
              </w:rPr>
              <w:t>水质类别</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Ⅴ类</w:t>
            </w:r>
          </w:p>
        </w:tc>
        <w:tc>
          <w:tcPr>
            <w:tcW w:w="677" w:type="dxa"/>
            <w:vAlign w:val="top"/>
          </w:tcPr>
          <w:p>
            <w:pPr>
              <w:pStyle w:val="22"/>
              <w:bidi w:val="0"/>
              <w:rPr>
                <w:rFonts w:hint="eastAsia"/>
                <w:color w:val="auto"/>
                <w:sz w:val="20"/>
                <w:szCs w:val="20"/>
                <w:highlight w:val="none"/>
                <w:lang w:val="en-US" w:eastAsia="zh-CN"/>
              </w:rPr>
            </w:pPr>
            <w:r>
              <w:rPr>
                <w:rFonts w:hint="default"/>
                <w:color w:val="auto"/>
                <w:sz w:val="20"/>
                <w:szCs w:val="20"/>
                <w:highlight w:val="none"/>
                <w:lang w:val="en-US" w:eastAsia="zh-CN"/>
              </w:rPr>
              <w:t>/</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劣Ⅴ类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Ⅴ类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Ⅲ类</w:t>
            </w:r>
          </w:p>
        </w:tc>
        <w:tc>
          <w:tcPr>
            <w:tcW w:w="677"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8"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c>
          <w:tcPr>
            <w:tcW w:w="678" w:type="dxa"/>
            <w:vAlign w:val="top"/>
          </w:tcPr>
          <w:p>
            <w:pPr>
              <w:pStyle w:val="22"/>
              <w:bidi w:val="0"/>
              <w:rPr>
                <w:rFonts w:hint="eastAsia"/>
                <w:color w:val="auto"/>
                <w:sz w:val="20"/>
                <w:szCs w:val="20"/>
                <w:highlight w:val="none"/>
                <w:lang w:val="en-US" w:eastAsia="zh-CN"/>
              </w:rPr>
            </w:pPr>
            <w:r>
              <w:rPr>
                <w:rFonts w:hint="eastAsia"/>
                <w:color w:val="auto"/>
                <w:sz w:val="20"/>
                <w:szCs w:val="20"/>
                <w:highlight w:val="none"/>
                <w:lang w:val="en-US" w:eastAsia="zh-CN"/>
              </w:rPr>
              <w:t>Ⅳ类</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r>
        <w:rPr>
          <w:color w:val="auto"/>
          <w:highlight w:val="none"/>
        </w:rPr>
        <w:drawing>
          <wp:inline distT="0" distB="0" distL="114300" distR="114300">
            <wp:extent cx="4572000" cy="2743200"/>
            <wp:effectExtent l="4445" t="4445" r="14605" b="14605"/>
            <wp:docPr id="7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图3.3-41   竹溪河七孔治断面TP变化趋势</w:t>
      </w:r>
    </w:p>
    <w:p>
      <w:pPr>
        <w:pStyle w:val="22"/>
        <w:bidi w:val="0"/>
        <w:rPr>
          <w:rFonts w:hint="default"/>
          <w:color w:val="auto"/>
          <w:highlight w:val="none"/>
          <w:lang w:val="en-US" w:eastAsia="zh-CN"/>
        </w:rPr>
      </w:pPr>
      <w:r>
        <w:rPr>
          <w:color w:val="auto"/>
          <w:highlight w:val="none"/>
        </w:rPr>
        <w:drawing>
          <wp:inline distT="0" distB="0" distL="114300" distR="114300">
            <wp:extent cx="4572000" cy="2743200"/>
            <wp:effectExtent l="4445" t="4445" r="14605" b="14605"/>
            <wp:docPr id="7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图3.3-42   竹溪河七孔治断面NH</w:t>
      </w:r>
      <w:r>
        <w:rPr>
          <w:rFonts w:hint="eastAsia"/>
          <w:color w:val="auto"/>
          <w:highlight w:val="none"/>
          <w:vertAlign w:val="subscript"/>
          <w:lang w:val="en-US" w:eastAsia="zh-CN"/>
        </w:rPr>
        <w:t>3</w:t>
      </w:r>
      <w:r>
        <w:rPr>
          <w:rFonts w:hint="eastAsia"/>
          <w:color w:val="auto"/>
          <w:highlight w:val="none"/>
          <w:lang w:val="en-US" w:eastAsia="zh-CN"/>
        </w:rPr>
        <w:t>-N变化趋势</w:t>
      </w:r>
    </w:p>
    <w:p>
      <w:pPr>
        <w:pStyle w:val="22"/>
        <w:bidi w:val="0"/>
        <w:rPr>
          <w:rFonts w:hint="eastAsia"/>
          <w:color w:val="auto"/>
          <w:highlight w:val="none"/>
          <w:lang w:val="en-US" w:eastAsia="zh-CN"/>
        </w:rPr>
      </w:pPr>
      <w:r>
        <w:rPr>
          <w:color w:val="auto"/>
          <w:highlight w:val="none"/>
        </w:rPr>
        <w:drawing>
          <wp:inline distT="0" distB="0" distL="114300" distR="114300">
            <wp:extent cx="4572000" cy="2743200"/>
            <wp:effectExtent l="4445" t="4445" r="14605" b="14605"/>
            <wp:docPr id="7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图3.3-43   竹溪河七孔治断面COD</w:t>
      </w:r>
      <w:r>
        <w:rPr>
          <w:rFonts w:hint="eastAsia"/>
          <w:color w:val="auto"/>
          <w:highlight w:val="none"/>
          <w:vertAlign w:val="subscript"/>
          <w:lang w:val="en-US" w:eastAsia="zh-CN"/>
        </w:rPr>
        <w:t>Mn</w:t>
      </w:r>
      <w:r>
        <w:rPr>
          <w:rFonts w:hint="eastAsia"/>
          <w:color w:val="auto"/>
          <w:highlight w:val="none"/>
          <w:lang w:val="en-US" w:eastAsia="zh-CN"/>
        </w:rPr>
        <w:t>变化趋势</w:t>
      </w:r>
    </w:p>
    <w:p>
      <w:pPr>
        <w:bidi w:val="0"/>
        <w:rPr>
          <w:rFonts w:hint="eastAsia"/>
          <w:color w:val="auto"/>
          <w:highlight w:val="none"/>
          <w:lang w:val="en-US" w:eastAsia="zh-CN"/>
        </w:rPr>
      </w:pPr>
      <w:r>
        <w:rPr>
          <w:rFonts w:hint="eastAsia"/>
          <w:color w:val="auto"/>
          <w:highlight w:val="none"/>
          <w:lang w:val="en-US" w:eastAsia="zh-CN"/>
        </w:rPr>
        <w:t>由上图、表分析可知，大竹县竹溪河七孔治断面2018年~2020年各监测指标年均浓度均显示为</w:t>
      </w:r>
      <w:r>
        <w:rPr>
          <w:rFonts w:hint="eastAsia" w:ascii="宋体" w:hAnsi="宋体" w:eastAsia="宋体" w:cs="宋体"/>
          <w:color w:val="auto"/>
          <w:highlight w:val="none"/>
          <w:lang w:val="en-US" w:eastAsia="zh-CN"/>
        </w:rPr>
        <w:t>Ⅳ</w:t>
      </w:r>
      <w:r>
        <w:rPr>
          <w:rFonts w:hint="eastAsia"/>
          <w:color w:val="auto"/>
          <w:highlight w:val="none"/>
          <w:lang w:val="en-US" w:eastAsia="zh-CN"/>
        </w:rPr>
        <w:t>类水质，不满足《地表水环境质量标准》（GB3838-2002）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类水质要求，个别月份超标严重，其中TP、NH3-N呈先生后降趋势，COD</w:t>
      </w:r>
      <w:r>
        <w:rPr>
          <w:rFonts w:hint="eastAsia"/>
          <w:color w:val="auto"/>
          <w:highlight w:val="none"/>
          <w:vertAlign w:val="subscript"/>
          <w:lang w:val="en-US" w:eastAsia="zh-CN"/>
        </w:rPr>
        <w:t>Mn</w:t>
      </w:r>
      <w:r>
        <w:rPr>
          <w:rFonts w:hint="eastAsia"/>
          <w:color w:val="auto"/>
          <w:highlight w:val="none"/>
          <w:lang w:val="en-US" w:eastAsia="zh-CN"/>
        </w:rPr>
        <w:t>呈上升趋势，表明竹溪河水质相对较差。</w:t>
      </w:r>
    </w:p>
    <w:p>
      <w:pPr>
        <w:bidi w:val="0"/>
        <w:rPr>
          <w:rFonts w:hint="eastAsia"/>
          <w:color w:val="auto"/>
          <w:highlight w:val="none"/>
          <w:lang w:val="en-US" w:eastAsia="zh-CN"/>
        </w:rPr>
      </w:pPr>
      <w:r>
        <w:rPr>
          <w:rFonts w:hint="eastAsia"/>
          <w:color w:val="auto"/>
          <w:highlight w:val="none"/>
          <w:lang w:val="en-US" w:eastAsia="zh-CN"/>
        </w:rPr>
        <w:t>（7）同心水库（同心桥水库）</w:t>
      </w:r>
    </w:p>
    <w:p>
      <w:pPr>
        <w:bidi w:val="0"/>
        <w:rPr>
          <w:rFonts w:hint="eastAsia"/>
          <w:color w:val="auto"/>
          <w:highlight w:val="none"/>
          <w:lang w:val="en-US" w:eastAsia="zh-CN"/>
        </w:rPr>
      </w:pPr>
      <w:r>
        <w:rPr>
          <w:rFonts w:hint="eastAsia"/>
          <w:color w:val="auto"/>
          <w:highlight w:val="none"/>
          <w:lang w:val="en-US" w:eastAsia="zh-CN"/>
        </w:rPr>
        <w:t>同心水库2018~2020年各月水质情况如下：</w:t>
      </w:r>
    </w:p>
    <w:p>
      <w:pPr>
        <w:pStyle w:val="22"/>
        <w:bidi w:val="0"/>
        <w:rPr>
          <w:rFonts w:hint="default"/>
          <w:color w:val="auto"/>
          <w:highlight w:val="none"/>
          <w:lang w:val="en-US" w:eastAsia="zh-CN"/>
        </w:rPr>
      </w:pPr>
      <w:r>
        <w:rPr>
          <w:rFonts w:hint="eastAsia"/>
          <w:color w:val="auto"/>
          <w:highlight w:val="none"/>
          <w:lang w:val="en-US" w:eastAsia="zh-CN"/>
        </w:rPr>
        <w:t>表3.3-13 同心水库2018~2020年水质情况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667"/>
        <w:gridCol w:w="667"/>
        <w:gridCol w:w="667"/>
        <w:gridCol w:w="667"/>
        <w:gridCol w:w="667"/>
        <w:gridCol w:w="667"/>
        <w:gridCol w:w="667"/>
        <w:gridCol w:w="667"/>
        <w:gridCol w:w="667"/>
        <w:gridCol w:w="667"/>
        <w:gridCol w:w="667"/>
        <w:gridCol w:w="668"/>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pPr>
              <w:pStyle w:val="22"/>
              <w:bidi w:val="0"/>
              <w:rPr>
                <w:rFonts w:hint="default"/>
                <w:color w:val="auto"/>
                <w:highlight w:val="none"/>
                <w:lang w:val="en-US" w:eastAsia="zh-CN"/>
              </w:rPr>
            </w:pP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1月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2月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3月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4月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5月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6月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7月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8月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9月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10月</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11月</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12月</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tcPr>
          <w:p>
            <w:pPr>
              <w:pStyle w:val="22"/>
              <w:bidi w:val="0"/>
              <w:rPr>
                <w:rFonts w:hint="eastAsia"/>
                <w:color w:val="auto"/>
                <w:highlight w:val="none"/>
                <w:lang w:val="en-US" w:eastAsia="zh-CN"/>
              </w:rPr>
            </w:pPr>
            <w:r>
              <w:rPr>
                <w:rFonts w:hint="eastAsia"/>
                <w:color w:val="auto"/>
                <w:highlight w:val="none"/>
                <w:lang w:val="en-US" w:eastAsia="zh-CN"/>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pPr>
              <w:pStyle w:val="22"/>
              <w:bidi w:val="0"/>
              <w:rPr>
                <w:rFonts w:hint="eastAsia"/>
                <w:color w:val="auto"/>
                <w:highlight w:val="none"/>
                <w:lang w:val="en-US" w:eastAsia="zh-CN"/>
              </w:rPr>
            </w:pPr>
            <w:r>
              <w:rPr>
                <w:rFonts w:hint="eastAsia"/>
                <w:color w:val="auto"/>
                <w:highlight w:val="none"/>
                <w:lang w:val="en-US" w:eastAsia="zh-CN"/>
              </w:rPr>
              <w:t>CODcr</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8"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9" w:type="dxa"/>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pPr>
              <w:pStyle w:val="22"/>
              <w:bidi w:val="0"/>
              <w:rPr>
                <w:rFonts w:hint="default"/>
                <w:color w:val="auto"/>
                <w:highlight w:val="none"/>
                <w:lang w:val="en-US" w:eastAsia="zh-CN"/>
              </w:rPr>
            </w:pPr>
            <w:r>
              <w:rPr>
                <w:rFonts w:hint="eastAsia"/>
                <w:color w:val="auto"/>
                <w:highlight w:val="none"/>
                <w:lang w:val="en-US" w:eastAsia="zh-CN"/>
              </w:rPr>
              <w:t>TP</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b/>
                <w:bCs/>
                <w:color w:val="auto"/>
                <w:highlight w:val="none"/>
                <w:lang w:val="en-US" w:eastAsia="zh-CN"/>
              </w:rPr>
              <w:t>Ⅳ类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b/>
                <w:bCs/>
                <w:color w:val="auto"/>
                <w:highlight w:val="none"/>
                <w:lang w:val="en-US" w:eastAsia="zh-CN"/>
              </w:rPr>
            </w:pPr>
            <w:r>
              <w:rPr>
                <w:rFonts w:hint="eastAsia"/>
                <w:b/>
                <w:bCs/>
                <w:color w:val="auto"/>
                <w:highlight w:val="none"/>
                <w:lang w:val="en-US" w:eastAsia="zh-CN"/>
              </w:rPr>
              <w:t>Ⅳ类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b/>
                <w:bCs/>
                <w:color w:val="auto"/>
                <w:highlight w:val="none"/>
                <w:lang w:val="en-US" w:eastAsia="zh-CN"/>
              </w:rPr>
              <w:t>Ⅳ类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pPr>
              <w:pStyle w:val="22"/>
              <w:bidi w:val="0"/>
              <w:rPr>
                <w:rFonts w:hint="default"/>
                <w:color w:val="auto"/>
                <w:highlight w:val="none"/>
                <w:lang w:val="en-US" w:eastAsia="zh-CN"/>
              </w:rPr>
            </w:pPr>
            <w:r>
              <w:rPr>
                <w:rFonts w:hint="eastAsia"/>
                <w:color w:val="auto"/>
                <w:highlight w:val="none"/>
                <w:lang w:val="en-US" w:eastAsia="zh-CN"/>
              </w:rPr>
              <w:t>NH3-N</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pPr>
              <w:pStyle w:val="22"/>
              <w:bidi w:val="0"/>
              <w:rPr>
                <w:rFonts w:hint="default"/>
                <w:color w:val="auto"/>
                <w:highlight w:val="none"/>
                <w:lang w:val="en-US" w:eastAsia="zh-CN"/>
              </w:rPr>
            </w:pPr>
            <w:r>
              <w:rPr>
                <w:rFonts w:hint="eastAsia"/>
                <w:color w:val="auto"/>
                <w:highlight w:val="none"/>
                <w:lang w:val="en-US" w:eastAsia="zh-CN"/>
              </w:rPr>
              <w:t>CODMn</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b/>
                <w:bCs/>
                <w:color w:val="auto"/>
                <w:highlight w:val="none"/>
                <w:lang w:val="en-US" w:eastAsia="zh-CN"/>
              </w:rPr>
            </w:pPr>
            <w:r>
              <w:rPr>
                <w:rFonts w:hint="eastAsia"/>
                <w:b/>
                <w:bCs/>
                <w:color w:val="auto"/>
                <w:highlight w:val="none"/>
                <w:lang w:val="en-US" w:eastAsia="zh-CN"/>
              </w:rPr>
              <w:t>Ⅳ类</w:t>
            </w:r>
          </w:p>
        </w:tc>
        <w:tc>
          <w:tcPr>
            <w:tcW w:w="667" w:type="dxa"/>
          </w:tcPr>
          <w:p>
            <w:pPr>
              <w:pStyle w:val="22"/>
              <w:bidi w:val="0"/>
              <w:rPr>
                <w:rFonts w:hint="default"/>
                <w:b/>
                <w:bCs/>
                <w:color w:val="auto"/>
                <w:highlight w:val="none"/>
                <w:lang w:val="en-US" w:eastAsia="zh-CN"/>
              </w:rPr>
            </w:pPr>
            <w:r>
              <w:rPr>
                <w:rFonts w:hint="eastAsia"/>
                <w:b/>
                <w:bCs/>
                <w:color w:val="auto"/>
                <w:highlight w:val="none"/>
                <w:lang w:val="en-US" w:eastAsia="zh-CN"/>
              </w:rPr>
              <w:t>Ⅳ类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pPr>
              <w:pStyle w:val="22"/>
              <w:bidi w:val="0"/>
              <w:rPr>
                <w:rFonts w:hint="eastAsia"/>
                <w:color w:val="auto"/>
                <w:highlight w:val="none"/>
                <w:lang w:val="en-US" w:eastAsia="zh-CN"/>
              </w:rPr>
            </w:pPr>
            <w:r>
              <w:rPr>
                <w:rFonts w:hint="eastAsia"/>
                <w:color w:val="auto"/>
                <w:highlight w:val="none"/>
                <w:lang w:val="en-US" w:eastAsia="zh-CN"/>
              </w:rPr>
              <w:t>水质类别</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eastAsia"/>
                <w:color w:val="auto"/>
                <w:highlight w:val="none"/>
                <w:lang w:val="en-US" w:eastAsia="zh-CN"/>
              </w:rPr>
            </w:pPr>
            <w:r>
              <w:rPr>
                <w:rFonts w:hint="eastAsia"/>
                <w:color w:val="auto"/>
                <w:highlight w:val="none"/>
                <w:lang w:val="en-US" w:eastAsia="zh-CN"/>
              </w:rPr>
              <w:t>/</w:t>
            </w:r>
          </w:p>
        </w:tc>
        <w:tc>
          <w:tcPr>
            <w:tcW w:w="667" w:type="dxa"/>
          </w:tcPr>
          <w:p>
            <w:pPr>
              <w:pStyle w:val="22"/>
              <w:bidi w:val="0"/>
              <w:rPr>
                <w:rFonts w:hint="eastAsia"/>
                <w:b w:val="0"/>
                <w:bCs w:val="0"/>
                <w:color w:val="auto"/>
                <w:highlight w:val="none"/>
                <w:lang w:val="en-US" w:eastAsia="zh-CN"/>
              </w:rPr>
            </w:pPr>
            <w:r>
              <w:rPr>
                <w:rFonts w:hint="eastAsia"/>
                <w:b w:val="0"/>
                <w:bCs w:val="0"/>
                <w:color w:val="auto"/>
                <w:highlight w:val="none"/>
                <w:lang w:val="en-US" w:eastAsia="zh-CN"/>
              </w:rPr>
              <w:t>Ⅳ类</w:t>
            </w:r>
          </w:p>
        </w:tc>
        <w:tc>
          <w:tcPr>
            <w:tcW w:w="667" w:type="dxa"/>
          </w:tcPr>
          <w:p>
            <w:pPr>
              <w:pStyle w:val="22"/>
              <w:bidi w:val="0"/>
              <w:rPr>
                <w:rFonts w:hint="eastAsia"/>
                <w:b w:val="0"/>
                <w:bCs w:val="0"/>
                <w:color w:val="auto"/>
                <w:highlight w:val="none"/>
                <w:lang w:val="en-US" w:eastAsia="zh-CN"/>
              </w:rPr>
            </w:pPr>
            <w:r>
              <w:rPr>
                <w:rFonts w:hint="eastAsia"/>
                <w:b w:val="0"/>
                <w:bCs w:val="0"/>
                <w:color w:val="auto"/>
                <w:highlight w:val="none"/>
                <w:lang w:val="en-US" w:eastAsia="zh-CN"/>
              </w:rPr>
              <w:t>Ⅳ类</w:t>
            </w:r>
          </w:p>
        </w:tc>
        <w:tc>
          <w:tcPr>
            <w:tcW w:w="667" w:type="dxa"/>
            <w:vAlign w:val="top"/>
          </w:tcPr>
          <w:p>
            <w:pPr>
              <w:pStyle w:val="22"/>
              <w:bidi w:val="0"/>
              <w:rPr>
                <w:rFonts w:hint="eastAsia"/>
                <w:b w:val="0"/>
                <w:bCs w:val="0"/>
                <w:color w:val="auto"/>
                <w:highlight w:val="none"/>
                <w:lang w:val="en-US" w:eastAsia="zh-CN"/>
              </w:rPr>
            </w:pPr>
            <w:r>
              <w:rPr>
                <w:rFonts w:hint="eastAsia"/>
                <w:b w:val="0"/>
                <w:bCs w:val="0"/>
                <w:color w:val="auto"/>
                <w:highlight w:val="none"/>
                <w:lang w:val="en-US" w:eastAsia="zh-CN"/>
              </w:rPr>
              <w:t>Ⅳ类</w:t>
            </w:r>
          </w:p>
        </w:tc>
        <w:tc>
          <w:tcPr>
            <w:tcW w:w="667" w:type="dxa"/>
            <w:vAlign w:val="top"/>
          </w:tcPr>
          <w:p>
            <w:pPr>
              <w:pStyle w:val="22"/>
              <w:bidi w:val="0"/>
              <w:rPr>
                <w:rFonts w:hint="eastAsia"/>
                <w:b w:val="0"/>
                <w:bCs w:val="0"/>
                <w:color w:val="auto"/>
                <w:highlight w:val="none"/>
                <w:lang w:val="en-US" w:eastAsia="zh-CN"/>
              </w:rPr>
            </w:pPr>
            <w:r>
              <w:rPr>
                <w:rFonts w:hint="eastAsia"/>
                <w:b w:val="0"/>
                <w:bCs w:val="0"/>
                <w:color w:val="auto"/>
                <w:highlight w:val="none"/>
                <w:lang w:val="en-US" w:eastAsia="zh-CN"/>
              </w:rPr>
              <w:t>Ⅲ类</w:t>
            </w:r>
          </w:p>
        </w:tc>
        <w:tc>
          <w:tcPr>
            <w:tcW w:w="667" w:type="dxa"/>
          </w:tcPr>
          <w:p>
            <w:pPr>
              <w:pStyle w:val="22"/>
              <w:bidi w:val="0"/>
              <w:rPr>
                <w:rFonts w:hint="eastAsia"/>
                <w:b w:val="0"/>
                <w:bCs w:val="0"/>
                <w:color w:val="auto"/>
                <w:highlight w:val="none"/>
                <w:lang w:val="en-US" w:eastAsia="zh-CN"/>
              </w:rPr>
            </w:pPr>
            <w:r>
              <w:rPr>
                <w:rFonts w:hint="eastAsia"/>
                <w:b w:val="0"/>
                <w:bCs w:val="0"/>
                <w:color w:val="auto"/>
                <w:highlight w:val="none"/>
                <w:lang w:val="en-US" w:eastAsia="zh-CN"/>
              </w:rPr>
              <w:t>Ⅲ类</w:t>
            </w:r>
          </w:p>
        </w:tc>
        <w:tc>
          <w:tcPr>
            <w:tcW w:w="667" w:type="dxa"/>
          </w:tcPr>
          <w:p>
            <w:pPr>
              <w:pStyle w:val="22"/>
              <w:bidi w:val="0"/>
              <w:rPr>
                <w:rFonts w:hint="eastAsia"/>
                <w:b w:val="0"/>
                <w:bCs w:val="0"/>
                <w:color w:val="auto"/>
                <w:highlight w:val="none"/>
                <w:lang w:val="en-US" w:eastAsia="zh-CN"/>
              </w:rPr>
            </w:pPr>
            <w:r>
              <w:rPr>
                <w:rFonts w:hint="eastAsia"/>
                <w:b w:val="0"/>
                <w:bCs w:val="0"/>
                <w:color w:val="auto"/>
                <w:highlight w:val="none"/>
                <w:lang w:val="en-US" w:eastAsia="zh-CN"/>
              </w:rPr>
              <w:t>Ⅳ类</w:t>
            </w:r>
          </w:p>
        </w:tc>
        <w:tc>
          <w:tcPr>
            <w:tcW w:w="667" w:type="dxa"/>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8" w:type="dxa"/>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9" w:type="dxa"/>
            <w:vAlign w:val="top"/>
          </w:tcPr>
          <w:p>
            <w:pPr>
              <w:pStyle w:val="22"/>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rPr>
                <w:rFonts w:hint="eastAsia"/>
                <w:color w:val="auto"/>
                <w:highlight w:val="none"/>
                <w:lang w:val="en-US" w:eastAsia="zh-CN"/>
              </w:rPr>
            </w:pPr>
            <w:r>
              <w:rPr>
                <w:rFonts w:hint="eastAsia"/>
                <w:color w:val="auto"/>
                <w:highlight w:val="no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CODcr</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TP</w:t>
            </w:r>
          </w:p>
        </w:tc>
        <w:tc>
          <w:tcPr>
            <w:tcW w:w="667" w:type="dxa"/>
            <w:vAlign w:val="top"/>
          </w:tcPr>
          <w:p>
            <w:pPr>
              <w:pStyle w:val="22"/>
              <w:bidi w:val="0"/>
              <w:rPr>
                <w:rFonts w:hint="default"/>
                <w:b/>
                <w:bCs/>
                <w:color w:val="auto"/>
                <w:highlight w:val="none"/>
                <w:lang w:val="en-US" w:eastAsia="zh-CN"/>
              </w:rPr>
            </w:pPr>
            <w:r>
              <w:rPr>
                <w:rFonts w:hint="eastAsia"/>
                <w:b/>
                <w:bCs/>
                <w:color w:val="auto"/>
                <w:highlight w:val="none"/>
                <w:lang w:val="en-US" w:eastAsia="zh-CN"/>
              </w:rPr>
              <w:t>Ⅳ类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b/>
                <w:bCs/>
                <w:color w:val="auto"/>
                <w:highlight w:val="none"/>
                <w:lang w:val="en-US" w:eastAsia="zh-CN"/>
              </w:rPr>
              <w:t>Ⅴ类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NH3-N</w:t>
            </w:r>
          </w:p>
        </w:tc>
        <w:tc>
          <w:tcPr>
            <w:tcW w:w="667" w:type="dxa"/>
            <w:vAlign w:val="top"/>
          </w:tcPr>
          <w:p>
            <w:pPr>
              <w:pStyle w:val="22"/>
              <w:bidi w:val="0"/>
              <w:rPr>
                <w:rFonts w:hint="default"/>
                <w:b/>
                <w:bCs/>
                <w:color w:val="auto"/>
                <w:highlight w:val="none"/>
                <w:lang w:val="en-US" w:eastAsia="zh-CN"/>
              </w:rPr>
            </w:pPr>
            <w:r>
              <w:rPr>
                <w:rFonts w:hint="eastAsia"/>
                <w:b/>
                <w:bCs/>
                <w:color w:val="auto"/>
                <w:highlight w:val="none"/>
                <w:lang w:val="en-US" w:eastAsia="zh-CN"/>
              </w:rPr>
              <w:t>Ⅳ类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CODMn</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水质类别</w:t>
            </w:r>
          </w:p>
        </w:tc>
        <w:tc>
          <w:tcPr>
            <w:tcW w:w="667" w:type="dxa"/>
            <w:vAlign w:val="top"/>
          </w:tcPr>
          <w:p>
            <w:pPr>
              <w:pStyle w:val="22"/>
              <w:bidi w:val="0"/>
              <w:rPr>
                <w:rFonts w:hint="eastAsia"/>
                <w:color w:val="auto"/>
                <w:highlight w:val="none"/>
                <w:lang w:val="en-US" w:eastAsia="zh-CN"/>
              </w:rPr>
            </w:pPr>
            <w:r>
              <w:rPr>
                <w:rFonts w:hint="eastAsia"/>
                <w:b w:val="0"/>
                <w:bCs w:val="0"/>
                <w:color w:val="auto"/>
                <w:highlight w:val="none"/>
                <w:lang w:val="en-US" w:eastAsia="zh-CN"/>
              </w:rPr>
              <w:t>Ⅳ类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eastAsia"/>
                <w:color w:val="auto"/>
                <w:highlight w:val="none"/>
                <w:lang w:val="en-US" w:eastAsia="zh-CN"/>
              </w:rPr>
            </w:pPr>
            <w:r>
              <w:rPr>
                <w:rFonts w:hint="eastAsia"/>
                <w:color w:val="auto"/>
                <w:highlight w:val="none"/>
                <w:lang w:val="en-US" w:eastAsia="zh-CN"/>
              </w:rPr>
              <w:t>Ⅴ类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14"/>
            <w:vAlign w:val="top"/>
          </w:tcPr>
          <w:p>
            <w:pPr>
              <w:pStyle w:val="22"/>
              <w:bidi w:val="0"/>
              <w:rPr>
                <w:rFonts w:hint="eastAsia"/>
                <w:color w:val="auto"/>
                <w:highlight w:val="none"/>
                <w:lang w:val="en-US" w:eastAsia="zh-CN"/>
              </w:rPr>
            </w:pPr>
            <w:r>
              <w:rPr>
                <w:rFonts w:hint="eastAsia"/>
                <w:color w:val="auto"/>
                <w:highlight w:val="none"/>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CODcr</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TP</w:t>
            </w:r>
          </w:p>
        </w:tc>
        <w:tc>
          <w:tcPr>
            <w:tcW w:w="667" w:type="dxa"/>
            <w:vAlign w:val="top"/>
          </w:tcPr>
          <w:p>
            <w:pPr>
              <w:pStyle w:val="22"/>
              <w:bidi w:val="0"/>
              <w:rPr>
                <w:rFonts w:hint="default"/>
                <w:color w:val="auto"/>
                <w:highlight w:val="none"/>
                <w:lang w:val="en-US" w:eastAsia="zh-CN"/>
              </w:rPr>
            </w:pPr>
            <w:r>
              <w:rPr>
                <w:rFonts w:hint="eastAsia"/>
                <w:b/>
                <w:bCs/>
                <w:color w:val="auto"/>
                <w:highlight w:val="none"/>
                <w:lang w:val="en-US" w:eastAsia="zh-CN"/>
              </w:rPr>
              <w:t>Ⅳ类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b/>
                <w:bCs/>
                <w:color w:val="auto"/>
                <w:highlight w:val="none"/>
                <w:lang w:val="en-US" w:eastAsia="zh-CN"/>
              </w:rPr>
              <w:t>Ⅳ类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NH3-N</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CODMn</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pPr>
              <w:pStyle w:val="22"/>
              <w:bidi w:val="0"/>
              <w:rPr>
                <w:rFonts w:hint="eastAsia"/>
                <w:color w:val="auto"/>
                <w:highlight w:val="none"/>
                <w:lang w:val="en-US" w:eastAsia="zh-CN"/>
              </w:rPr>
            </w:pPr>
            <w:r>
              <w:rPr>
                <w:rFonts w:hint="eastAsia"/>
                <w:color w:val="auto"/>
                <w:highlight w:val="none"/>
                <w:lang w:val="en-US" w:eastAsia="zh-CN"/>
              </w:rPr>
              <w:t>水质类别</w:t>
            </w:r>
          </w:p>
        </w:tc>
        <w:tc>
          <w:tcPr>
            <w:tcW w:w="667" w:type="dxa"/>
            <w:vAlign w:val="top"/>
          </w:tcPr>
          <w:p>
            <w:pPr>
              <w:pStyle w:val="22"/>
              <w:bidi w:val="0"/>
              <w:rPr>
                <w:rFonts w:hint="eastAsia"/>
                <w:color w:val="auto"/>
                <w:highlight w:val="none"/>
                <w:lang w:val="en-US" w:eastAsia="zh-CN"/>
              </w:rPr>
            </w:pPr>
            <w:r>
              <w:rPr>
                <w:rFonts w:hint="eastAsia"/>
                <w:b w:val="0"/>
                <w:bCs w:val="0"/>
                <w:color w:val="auto"/>
                <w:highlight w:val="none"/>
                <w:lang w:val="en-US" w:eastAsia="zh-CN"/>
              </w:rPr>
              <w:t>Ⅳ类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default"/>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7" w:type="dxa"/>
            <w:vAlign w:val="top"/>
          </w:tcPr>
          <w:p>
            <w:pPr>
              <w:pStyle w:val="22"/>
              <w:bidi w:val="0"/>
              <w:rPr>
                <w:rFonts w:hint="eastAsia"/>
                <w:color w:val="auto"/>
                <w:highlight w:val="none"/>
                <w:lang w:val="en-US" w:eastAsia="zh-CN"/>
              </w:rPr>
            </w:pPr>
            <w:r>
              <w:rPr>
                <w:rFonts w:hint="eastAsia"/>
                <w:color w:val="auto"/>
                <w:highlight w:val="none"/>
                <w:lang w:val="en-US" w:eastAsia="zh-CN"/>
              </w:rPr>
              <w:t>Ⅲ类</w:t>
            </w:r>
          </w:p>
        </w:tc>
        <w:tc>
          <w:tcPr>
            <w:tcW w:w="668" w:type="dxa"/>
            <w:vAlign w:val="top"/>
          </w:tcPr>
          <w:p>
            <w:pPr>
              <w:pStyle w:val="22"/>
              <w:bidi w:val="0"/>
              <w:rPr>
                <w:rFonts w:hint="eastAsia"/>
                <w:color w:val="auto"/>
                <w:highlight w:val="none"/>
                <w:lang w:val="en-US" w:eastAsia="zh-CN"/>
              </w:rPr>
            </w:pPr>
            <w:r>
              <w:rPr>
                <w:rFonts w:hint="eastAsia"/>
                <w:b w:val="0"/>
                <w:bCs w:val="0"/>
                <w:color w:val="auto"/>
                <w:highlight w:val="none"/>
                <w:lang w:val="en-US" w:eastAsia="zh-CN"/>
              </w:rPr>
              <w:t>Ⅳ类</w:t>
            </w:r>
          </w:p>
        </w:tc>
        <w:tc>
          <w:tcPr>
            <w:tcW w:w="669" w:type="dxa"/>
            <w:vAlign w:val="top"/>
          </w:tcPr>
          <w:p>
            <w:pPr>
              <w:pStyle w:val="22"/>
              <w:bidi w:val="0"/>
              <w:rPr>
                <w:rFonts w:hint="default"/>
                <w:color w:val="auto"/>
                <w:highlight w:val="none"/>
                <w:lang w:val="en-US" w:eastAsia="zh-CN"/>
              </w:rPr>
            </w:pPr>
            <w:r>
              <w:rPr>
                <w:rFonts w:hint="eastAsia"/>
                <w:color w:val="auto"/>
                <w:highlight w:val="none"/>
                <w:lang w:val="en-US" w:eastAsia="zh-CN"/>
              </w:rPr>
              <w:t>/</w:t>
            </w:r>
          </w:p>
        </w:tc>
      </w:tr>
    </w:tbl>
    <w:p>
      <w:pPr>
        <w:pStyle w:val="22"/>
        <w:bidi w:val="0"/>
        <w:jc w:val="both"/>
        <w:rPr>
          <w:rFonts w:hint="default"/>
          <w:color w:val="auto"/>
          <w:highlight w:val="none"/>
          <w:lang w:val="en-US" w:eastAsia="zh-CN"/>
        </w:rPr>
      </w:pPr>
      <w:r>
        <w:rPr>
          <w:rFonts w:hint="eastAsia"/>
          <w:color w:val="auto"/>
          <w:highlight w:val="none"/>
          <w:lang w:val="en-US" w:eastAsia="zh-CN"/>
        </w:rPr>
        <w:t>（注：执行《地表水环境质量标准》（GB3838-2002）</w:t>
      </w:r>
      <w:r>
        <w:rPr>
          <w:rFonts w:hint="eastAsia" w:ascii="宋体" w:hAnsi="宋体" w:eastAsia="宋体" w:cs="宋体"/>
          <w:color w:val="auto"/>
          <w:highlight w:val="none"/>
          <w:lang w:val="en-US" w:eastAsia="zh-CN"/>
        </w:rPr>
        <w:t>Ⅲ</w:t>
      </w:r>
      <w:r>
        <w:rPr>
          <w:rFonts w:hint="eastAsia" w:ascii="宋体" w:hAnsi="宋体" w:cs="宋体"/>
          <w:color w:val="auto"/>
          <w:highlight w:val="none"/>
          <w:lang w:val="en-US" w:eastAsia="zh-CN"/>
        </w:rPr>
        <w:t>类水标准，即CODcr≤20mg/L、TP≤0.2mg/L、NH</w:t>
      </w:r>
      <w:r>
        <w:rPr>
          <w:rFonts w:hint="eastAsia" w:ascii="宋体" w:hAnsi="宋体" w:cs="宋体"/>
          <w:color w:val="auto"/>
          <w:highlight w:val="none"/>
          <w:vertAlign w:val="subscript"/>
          <w:lang w:val="en-US" w:eastAsia="zh-CN"/>
        </w:rPr>
        <w:t>3</w:t>
      </w:r>
      <w:r>
        <w:rPr>
          <w:rFonts w:hint="eastAsia" w:ascii="宋体" w:hAnsi="宋体" w:cs="宋体"/>
          <w:color w:val="auto"/>
          <w:highlight w:val="none"/>
          <w:lang w:val="en-US" w:eastAsia="zh-CN"/>
        </w:rPr>
        <w:t>-N≤1.0mg/L、COD</w:t>
      </w:r>
      <w:r>
        <w:rPr>
          <w:rFonts w:hint="eastAsia" w:ascii="宋体" w:hAnsi="宋体" w:cs="宋体"/>
          <w:color w:val="auto"/>
          <w:highlight w:val="none"/>
          <w:vertAlign w:val="subscript"/>
          <w:lang w:val="en-US" w:eastAsia="zh-CN"/>
        </w:rPr>
        <w:t>Mn</w:t>
      </w:r>
      <w:r>
        <w:rPr>
          <w:rFonts w:hint="eastAsia" w:ascii="宋体" w:hAnsi="宋体" w:cs="宋体"/>
          <w:color w:val="auto"/>
          <w:highlight w:val="none"/>
          <w:lang w:val="en-US" w:eastAsia="zh-CN"/>
        </w:rPr>
        <w:t>≤6mg/L</w:t>
      </w:r>
      <w:r>
        <w:rPr>
          <w:rFonts w:hint="eastAsia"/>
          <w:color w:val="auto"/>
          <w:highlight w:val="none"/>
          <w:lang w:val="en-US" w:eastAsia="zh-CN"/>
        </w:rPr>
        <w:t>）</w:t>
      </w:r>
    </w:p>
    <w:p>
      <w:pPr>
        <w:pStyle w:val="22"/>
        <w:bidi w:val="0"/>
        <w:rPr>
          <w:color w:val="auto"/>
          <w:highlight w:val="none"/>
        </w:rPr>
      </w:pPr>
    </w:p>
    <w:p>
      <w:pPr>
        <w:bidi w:val="0"/>
        <w:rPr>
          <w:rFonts w:hint="eastAsia"/>
          <w:color w:val="auto"/>
          <w:highlight w:val="none"/>
          <w:lang w:val="en-US" w:eastAsia="zh-CN"/>
        </w:rPr>
      </w:pPr>
      <w:r>
        <w:rPr>
          <w:rFonts w:hint="eastAsia"/>
          <w:color w:val="auto"/>
          <w:highlight w:val="none"/>
          <w:lang w:val="en-US" w:eastAsia="zh-CN"/>
        </w:rPr>
        <w:t>由上表分析可知，大竹县同心水库2018年~2020年各监测指标总体基本满足《地表水环境质量标准》（GB3838-2002）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类水质要求，个别月份存在超标情况，主要超标因子为TP和NH</w:t>
      </w:r>
      <w:r>
        <w:rPr>
          <w:rFonts w:hint="eastAsia"/>
          <w:color w:val="auto"/>
          <w:highlight w:val="none"/>
          <w:vertAlign w:val="subscript"/>
          <w:lang w:val="en-US" w:eastAsia="zh-CN"/>
        </w:rPr>
        <w:t>3</w:t>
      </w:r>
      <w:r>
        <w:rPr>
          <w:rFonts w:hint="eastAsia"/>
          <w:color w:val="auto"/>
          <w:highlight w:val="none"/>
          <w:lang w:val="en-US" w:eastAsia="zh-CN"/>
        </w:rPr>
        <w:t>-N，同心水库水质明显存在逐年改善的趋势。</w:t>
      </w:r>
    </w:p>
    <w:p>
      <w:pPr>
        <w:bidi w:val="0"/>
        <w:rPr>
          <w:rFonts w:hint="eastAsia"/>
          <w:color w:val="auto"/>
          <w:highlight w:val="none"/>
          <w:lang w:val="en-US" w:eastAsia="zh-CN"/>
        </w:rPr>
      </w:pPr>
      <w:r>
        <w:rPr>
          <w:rFonts w:hint="eastAsia"/>
          <w:color w:val="auto"/>
          <w:highlight w:val="none"/>
          <w:lang w:val="en-US" w:eastAsia="zh-CN"/>
        </w:rPr>
        <w:t>（8）乌木水库（乌木滩水库）</w:t>
      </w:r>
    </w:p>
    <w:p>
      <w:pPr>
        <w:bidi w:val="0"/>
        <w:rPr>
          <w:rFonts w:hint="eastAsia"/>
          <w:color w:val="auto"/>
          <w:highlight w:val="none"/>
          <w:lang w:val="en-US" w:eastAsia="zh-CN"/>
        </w:rPr>
      </w:pPr>
      <w:r>
        <w:rPr>
          <w:rFonts w:hint="eastAsia"/>
          <w:color w:val="auto"/>
          <w:highlight w:val="none"/>
          <w:lang w:val="en-US" w:eastAsia="zh-CN"/>
        </w:rPr>
        <w:t>乌木水库为大竹县城区饮用水水源，根据大竹生态环境局监测站提供数据，2018~2020年在取水口处设监测点位，各月水质均属于《地表水环境质量标准》（GB3838-2002）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类，不满足《地表水环境质量标准》（GB3838-2002）中集中式生活饮用水地表水源地一级保护区的</w:t>
      </w:r>
      <w:r>
        <w:rPr>
          <w:rFonts w:hint="eastAsia" w:ascii="宋体" w:hAnsi="宋体" w:eastAsia="宋体" w:cs="宋体"/>
          <w:color w:val="auto"/>
          <w:highlight w:val="none"/>
          <w:lang w:val="en-US" w:eastAsia="zh-CN"/>
        </w:rPr>
        <w:t>Ⅱ</w:t>
      </w:r>
      <w:r>
        <w:rPr>
          <w:rFonts w:hint="eastAsia"/>
          <w:color w:val="auto"/>
          <w:highlight w:val="none"/>
          <w:lang w:val="en-US" w:eastAsia="zh-CN"/>
        </w:rPr>
        <w:t>类水质要求。</w:t>
      </w:r>
    </w:p>
    <w:p>
      <w:pPr>
        <w:bidi w:val="0"/>
        <w:rPr>
          <w:rFonts w:hint="eastAsia"/>
          <w:color w:val="auto"/>
          <w:highlight w:val="none"/>
          <w:lang w:val="en-US" w:eastAsia="zh-CN"/>
        </w:rPr>
      </w:pPr>
      <w:r>
        <w:rPr>
          <w:rFonts w:hint="eastAsia"/>
          <w:color w:val="auto"/>
          <w:highlight w:val="none"/>
          <w:lang w:val="en-US" w:eastAsia="zh-CN"/>
        </w:rPr>
        <w:t>（9）龙潭水库</w:t>
      </w:r>
    </w:p>
    <w:p>
      <w:pPr>
        <w:bidi w:val="0"/>
        <w:rPr>
          <w:rFonts w:hint="eastAsia"/>
          <w:color w:val="auto"/>
          <w:highlight w:val="none"/>
          <w:lang w:val="en-US" w:eastAsia="zh-CN"/>
        </w:rPr>
      </w:pPr>
      <w:r>
        <w:rPr>
          <w:rFonts w:hint="eastAsia"/>
          <w:color w:val="auto"/>
          <w:highlight w:val="none"/>
          <w:lang w:val="en-US" w:eastAsia="zh-CN"/>
        </w:rPr>
        <w:t>龙潭水库也为大竹县城区饮用水水源，根据大竹生态环境局监测站提供数据，2018~2020年在取水口处设监测点位，各月水质均属于《地表水环境质量标准》（GB3838-2002）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类，不满足《地表水环境质量标准》（GB3838-2002）中集中式生活饮用水地表水源地一级保护区的</w:t>
      </w:r>
      <w:r>
        <w:rPr>
          <w:rFonts w:hint="eastAsia" w:ascii="宋体" w:hAnsi="宋体" w:eastAsia="宋体" w:cs="宋体"/>
          <w:color w:val="auto"/>
          <w:highlight w:val="none"/>
          <w:lang w:val="en-US" w:eastAsia="zh-CN"/>
        </w:rPr>
        <w:t>Ⅱ</w:t>
      </w:r>
      <w:r>
        <w:rPr>
          <w:rFonts w:hint="eastAsia"/>
          <w:color w:val="auto"/>
          <w:highlight w:val="none"/>
          <w:lang w:val="en-US" w:eastAsia="zh-CN"/>
        </w:rPr>
        <w:t>类水质要求。</w:t>
      </w:r>
    </w:p>
    <w:p>
      <w:pPr>
        <w:pStyle w:val="5"/>
        <w:numPr>
          <w:ilvl w:val="1"/>
          <w:numId w:val="5"/>
        </w:numPr>
        <w:bidi w:val="0"/>
        <w:rPr>
          <w:color w:val="auto"/>
          <w:highlight w:val="none"/>
        </w:rPr>
      </w:pPr>
      <w:bookmarkStart w:id="240" w:name="3.4 重要环境保护目标和环境敏感区分析"/>
      <w:bookmarkEnd w:id="240"/>
      <w:bookmarkStart w:id="241" w:name="_bookmark18"/>
      <w:bookmarkEnd w:id="241"/>
      <w:bookmarkStart w:id="242" w:name="_Toc1541"/>
      <w:bookmarkStart w:id="243" w:name="_Toc9723"/>
      <w:r>
        <w:rPr>
          <w:color w:val="auto"/>
          <w:highlight w:val="none"/>
        </w:rPr>
        <w:t>重要环境保护目标和环境敏感区分析</w:t>
      </w:r>
      <w:bookmarkEnd w:id="242"/>
      <w:bookmarkEnd w:id="243"/>
    </w:p>
    <w:p>
      <w:pPr>
        <w:bidi w:val="0"/>
        <w:rPr>
          <w:color w:val="auto"/>
          <w:highlight w:val="none"/>
        </w:rPr>
      </w:pPr>
      <w:r>
        <w:rPr>
          <w:color w:val="auto"/>
          <w:highlight w:val="none"/>
        </w:rPr>
        <w:t>根据《规划环境影响评价技术导则——煤炭工业矿区总体规划》</w:t>
      </w:r>
      <w:r>
        <w:rPr>
          <w:rFonts w:hint="eastAsia"/>
          <w:color w:val="auto"/>
          <w:highlight w:val="none"/>
          <w:lang w:eastAsia="zh-CN"/>
        </w:rPr>
        <w:t>（</w:t>
      </w:r>
      <w:r>
        <w:rPr>
          <w:color w:val="auto"/>
          <w:highlight w:val="none"/>
        </w:rPr>
        <w:t>HJ/463‐2009</w:t>
      </w:r>
      <w:r>
        <w:rPr>
          <w:rFonts w:hint="eastAsia"/>
          <w:color w:val="auto"/>
          <w:highlight w:val="none"/>
          <w:lang w:eastAsia="zh-CN"/>
        </w:rPr>
        <w:t>）</w:t>
      </w:r>
      <w:r>
        <w:rPr>
          <w:color w:val="auto"/>
          <w:highlight w:val="none"/>
        </w:rPr>
        <w:t>中关于生态敏感区（点）的定义，结合矿区及周边的自然环境与人文特征，经现场踏勘和调查分析发现，环境保护对象主要为规划区及评价范围内的基本农田、</w:t>
      </w:r>
      <w:r>
        <w:rPr>
          <w:rFonts w:hint="eastAsia"/>
          <w:color w:val="auto"/>
          <w:highlight w:val="none"/>
          <w:lang w:eastAsia="zh-CN"/>
        </w:rPr>
        <w:t>集中式</w:t>
      </w:r>
      <w:r>
        <w:rPr>
          <w:color w:val="auto"/>
          <w:highlight w:val="none"/>
        </w:rPr>
        <w:t>居民点、学校等</w:t>
      </w:r>
      <w:r>
        <w:rPr>
          <w:rFonts w:hint="eastAsia"/>
          <w:color w:val="auto"/>
          <w:highlight w:val="none"/>
          <w:lang w:eastAsia="zh-CN"/>
        </w:rPr>
        <w:t>，以及五峰山国家森林公园、乌木滩水库（大竹县县城饮用水水源地）和一些村镇集中式饮用水水源地等重要敏感目标</w:t>
      </w:r>
      <w:r>
        <w:rPr>
          <w:color w:val="auto"/>
          <w:highlight w:val="none"/>
        </w:rPr>
        <w:t>。</w:t>
      </w:r>
    </w:p>
    <w:p>
      <w:pPr>
        <w:pStyle w:val="11"/>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22"/>
        <w:bidi w:val="0"/>
        <w:rPr>
          <w:rFonts w:hint="default" w:eastAsia="宋体"/>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3.4-1  重要环境保护目标和环境敏感区</w:t>
      </w:r>
    </w:p>
    <w:tbl>
      <w:tblPr>
        <w:tblStyle w:val="17"/>
        <w:tblW w:w="52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836"/>
        <w:gridCol w:w="803"/>
        <w:gridCol w:w="108"/>
        <w:gridCol w:w="1533"/>
        <w:gridCol w:w="2681"/>
        <w:gridCol w:w="3291"/>
        <w:gridCol w:w="4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环境要素</w:t>
            </w:r>
            <w:r>
              <w:rPr>
                <w:color w:val="auto"/>
                <w:highlight w:val="none"/>
              </w:rPr>
              <w:t xml:space="preserve">/ </w:t>
            </w:r>
            <w:r>
              <w:rPr>
                <w:rFonts w:hint="eastAsia"/>
                <w:color w:val="auto"/>
                <w:highlight w:val="none"/>
              </w:rPr>
              <w:t>地面设施</w:t>
            </w:r>
          </w:p>
        </w:tc>
        <w:tc>
          <w:tcPr>
            <w:tcW w:w="3279" w:type="dxa"/>
            <w:gridSpan w:val="4"/>
            <w:vAlign w:val="center"/>
          </w:tcPr>
          <w:p>
            <w:pPr>
              <w:pStyle w:val="22"/>
              <w:bidi w:val="0"/>
              <w:rPr>
                <w:rFonts w:hint="eastAsia"/>
                <w:color w:val="auto"/>
                <w:highlight w:val="none"/>
              </w:rPr>
            </w:pPr>
            <w:r>
              <w:rPr>
                <w:rFonts w:hint="eastAsia"/>
                <w:color w:val="auto"/>
                <w:highlight w:val="none"/>
              </w:rPr>
              <w:t>环境保护目标</w:t>
            </w:r>
          </w:p>
        </w:tc>
        <w:tc>
          <w:tcPr>
            <w:tcW w:w="5969" w:type="dxa"/>
            <w:gridSpan w:val="2"/>
            <w:vAlign w:val="center"/>
          </w:tcPr>
          <w:p>
            <w:pPr>
              <w:pStyle w:val="22"/>
              <w:bidi w:val="0"/>
              <w:rPr>
                <w:rFonts w:hint="eastAsia"/>
                <w:color w:val="auto"/>
                <w:highlight w:val="none"/>
              </w:rPr>
            </w:pPr>
            <w:r>
              <w:rPr>
                <w:rFonts w:hint="eastAsia"/>
                <w:color w:val="auto"/>
                <w:highlight w:val="none"/>
              </w:rPr>
              <w:t>位置</w:t>
            </w:r>
          </w:p>
        </w:tc>
        <w:tc>
          <w:tcPr>
            <w:tcW w:w="4716" w:type="dxa"/>
            <w:vMerge w:val="restart"/>
            <w:vAlign w:val="center"/>
          </w:tcPr>
          <w:p>
            <w:pPr>
              <w:pStyle w:val="22"/>
              <w:bidi w:val="0"/>
              <w:rPr>
                <w:rFonts w:hint="eastAsia"/>
                <w:color w:val="auto"/>
                <w:highlight w:val="none"/>
              </w:rPr>
            </w:pPr>
            <w:r>
              <w:rPr>
                <w:rFonts w:hint="eastAsia"/>
                <w:color w:val="auto"/>
                <w:highlight w:val="none"/>
              </w:rPr>
              <w:t>保护要求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分类</w:t>
            </w:r>
            <w:r>
              <w:rPr>
                <w:rFonts w:hint="eastAsia"/>
                <w:color w:val="auto"/>
                <w:highlight w:val="none"/>
                <w:lang w:eastAsia="zh-CN"/>
              </w:rPr>
              <w:t>、</w:t>
            </w:r>
            <w:r>
              <w:rPr>
                <w:rFonts w:hint="eastAsia"/>
                <w:color w:val="auto"/>
                <w:highlight w:val="none"/>
              </w:rPr>
              <w:t>名称</w:t>
            </w:r>
          </w:p>
        </w:tc>
        <w:tc>
          <w:tcPr>
            <w:tcW w:w="2680" w:type="dxa"/>
            <w:tcBorders>
              <w:top w:val="nil"/>
            </w:tcBorders>
            <w:vAlign w:val="center"/>
          </w:tcPr>
          <w:p>
            <w:pPr>
              <w:pStyle w:val="22"/>
              <w:bidi w:val="0"/>
              <w:rPr>
                <w:rFonts w:hint="default" w:eastAsia="宋体"/>
                <w:color w:val="auto"/>
                <w:highlight w:val="none"/>
                <w:lang w:val="en-US" w:eastAsia="zh-CN"/>
              </w:rPr>
            </w:pPr>
            <w:r>
              <w:rPr>
                <w:rFonts w:hint="eastAsia"/>
                <w:color w:val="auto"/>
                <w:highlight w:val="none"/>
                <w:lang w:eastAsia="zh-CN"/>
              </w:rPr>
              <w:t>距离最近的矿段</w:t>
            </w:r>
            <w:r>
              <w:rPr>
                <w:rFonts w:hint="eastAsia"/>
                <w:color w:val="auto"/>
                <w:highlight w:val="none"/>
                <w:lang w:val="en-US" w:eastAsia="zh-CN"/>
              </w:rPr>
              <w:t>/片区</w:t>
            </w:r>
          </w:p>
        </w:tc>
        <w:tc>
          <w:tcPr>
            <w:tcW w:w="3289" w:type="dxa"/>
            <w:tcBorders>
              <w:top w:val="nil"/>
            </w:tcBorders>
            <w:vAlign w:val="center"/>
          </w:tcPr>
          <w:p>
            <w:pPr>
              <w:pStyle w:val="22"/>
              <w:bidi w:val="0"/>
              <w:rPr>
                <w:rFonts w:hint="eastAsia" w:eastAsia="宋体"/>
                <w:color w:val="auto"/>
                <w:highlight w:val="none"/>
                <w:lang w:eastAsia="zh-CN"/>
              </w:rPr>
            </w:pPr>
            <w:r>
              <w:rPr>
                <w:rFonts w:hint="eastAsia"/>
                <w:color w:val="auto"/>
                <w:highlight w:val="none"/>
                <w:lang w:eastAsia="zh-CN"/>
              </w:rPr>
              <w:t>最近距离</w:t>
            </w:r>
          </w:p>
        </w:tc>
        <w:tc>
          <w:tcPr>
            <w:tcW w:w="4716" w:type="dxa"/>
            <w:vMerge w:val="continue"/>
            <w:tcBorders>
              <w:top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shd w:val="clear" w:color="auto" w:fill="auto"/>
            <w:vAlign w:val="center"/>
          </w:tcPr>
          <w:p>
            <w:pPr>
              <w:pStyle w:val="22"/>
              <w:bidi w:val="0"/>
              <w:rPr>
                <w:rFonts w:hint="eastAsia"/>
                <w:color w:val="auto"/>
                <w:highlight w:val="none"/>
              </w:rPr>
            </w:pPr>
            <w:r>
              <w:rPr>
                <w:rFonts w:hint="eastAsia"/>
                <w:color w:val="auto"/>
                <w:highlight w:val="none"/>
              </w:rPr>
              <w:t>生态环境及其他</w:t>
            </w:r>
          </w:p>
        </w:tc>
        <w:tc>
          <w:tcPr>
            <w:tcW w:w="1639" w:type="dxa"/>
            <w:gridSpan w:val="2"/>
            <w:vMerge w:val="restart"/>
            <w:shd w:val="clear" w:color="auto" w:fill="auto"/>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五峰山国家森林公园</w:t>
            </w:r>
          </w:p>
        </w:tc>
        <w:tc>
          <w:tcPr>
            <w:tcW w:w="1640" w:type="dxa"/>
            <w:gridSpan w:val="2"/>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蒲包山片区</w:t>
            </w:r>
          </w:p>
        </w:tc>
        <w:tc>
          <w:tcPr>
            <w:tcW w:w="2680" w:type="dxa"/>
            <w:shd w:val="clear" w:color="auto" w:fill="auto"/>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shd w:val="clear" w:color="auto" w:fill="auto"/>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西侧紧邻</w:t>
            </w:r>
          </w:p>
        </w:tc>
        <w:tc>
          <w:tcPr>
            <w:tcW w:w="4716" w:type="dxa"/>
            <w:vMerge w:val="restart"/>
            <w:shd w:val="clear" w:color="auto" w:fill="auto"/>
            <w:vAlign w:val="center"/>
          </w:tcPr>
          <w:p>
            <w:pPr>
              <w:pStyle w:val="22"/>
              <w:bidi w:val="0"/>
              <w:rPr>
                <w:rFonts w:hint="eastAsia"/>
                <w:color w:val="auto"/>
                <w:highlight w:val="none"/>
              </w:rPr>
            </w:pPr>
            <w:r>
              <w:rPr>
                <w:color w:val="auto"/>
                <w:highlight w:val="none"/>
              </w:rPr>
              <w:t>不改变区域生态功能，使本次规划对当地生态系统的影响在可接受范围内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shd w:val="clear" w:color="auto" w:fill="auto"/>
            <w:vAlign w:val="center"/>
          </w:tcPr>
          <w:p>
            <w:pPr>
              <w:pStyle w:val="22"/>
              <w:bidi w:val="0"/>
              <w:rPr>
                <w:rFonts w:hint="eastAsia"/>
                <w:color w:val="auto"/>
                <w:highlight w:val="none"/>
              </w:rPr>
            </w:pPr>
          </w:p>
        </w:tc>
        <w:tc>
          <w:tcPr>
            <w:tcW w:w="1639" w:type="dxa"/>
            <w:gridSpan w:val="2"/>
            <w:vMerge w:val="continue"/>
            <w:shd w:val="clear" w:color="auto" w:fill="auto"/>
            <w:vAlign w:val="center"/>
          </w:tcPr>
          <w:p>
            <w:pPr>
              <w:pStyle w:val="22"/>
              <w:bidi w:val="0"/>
              <w:ind w:left="0" w:leftChars="0" w:right="0" w:rightChars="0" w:firstLine="0" w:firstLineChars="0"/>
              <w:rPr>
                <w:rFonts w:hint="eastAsia"/>
                <w:color w:val="auto"/>
                <w:highlight w:val="none"/>
                <w:lang w:eastAsia="zh-CN"/>
              </w:rPr>
            </w:pPr>
          </w:p>
        </w:tc>
        <w:tc>
          <w:tcPr>
            <w:tcW w:w="1640" w:type="dxa"/>
            <w:gridSpan w:val="2"/>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乌木湖片区</w:t>
            </w:r>
          </w:p>
        </w:tc>
        <w:tc>
          <w:tcPr>
            <w:tcW w:w="2680"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val="en-US" w:eastAsia="zh-CN"/>
              </w:rPr>
              <w:t>西北侧820m</w:t>
            </w:r>
          </w:p>
        </w:tc>
        <w:tc>
          <w:tcPr>
            <w:tcW w:w="4716" w:type="dxa"/>
            <w:vMerge w:val="continue"/>
            <w:shd w:val="clear" w:color="auto" w:fill="auto"/>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shd w:val="clear" w:color="auto" w:fill="auto"/>
            <w:vAlign w:val="center"/>
          </w:tcPr>
          <w:p>
            <w:pPr>
              <w:pStyle w:val="22"/>
              <w:bidi w:val="0"/>
              <w:rPr>
                <w:rFonts w:hint="eastAsia"/>
                <w:color w:val="auto"/>
                <w:highlight w:val="none"/>
              </w:rPr>
            </w:pPr>
          </w:p>
        </w:tc>
        <w:tc>
          <w:tcPr>
            <w:tcW w:w="1639" w:type="dxa"/>
            <w:gridSpan w:val="2"/>
            <w:vMerge w:val="continue"/>
            <w:shd w:val="clear" w:color="auto" w:fill="auto"/>
            <w:vAlign w:val="center"/>
          </w:tcPr>
          <w:p>
            <w:pPr>
              <w:pStyle w:val="22"/>
              <w:bidi w:val="0"/>
              <w:ind w:left="0" w:leftChars="0" w:right="0" w:rightChars="0" w:firstLine="0" w:firstLineChars="0"/>
              <w:rPr>
                <w:rFonts w:hint="eastAsia"/>
                <w:color w:val="auto"/>
                <w:highlight w:val="none"/>
                <w:lang w:eastAsia="zh-CN"/>
              </w:rPr>
            </w:pPr>
          </w:p>
        </w:tc>
        <w:tc>
          <w:tcPr>
            <w:tcW w:w="1640" w:type="dxa"/>
            <w:gridSpan w:val="2"/>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五峰山片区</w:t>
            </w:r>
          </w:p>
        </w:tc>
        <w:tc>
          <w:tcPr>
            <w:tcW w:w="2680"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shd w:val="clear" w:color="auto" w:fill="auto"/>
            <w:vAlign w:val="center"/>
          </w:tcPr>
          <w:p>
            <w:pPr>
              <w:pStyle w:val="22"/>
              <w:bidi w:val="0"/>
              <w:ind w:left="0" w:leftChars="0" w:right="0" w:rightChars="0" w:firstLine="0" w:firstLineChars="0"/>
              <w:rPr>
                <w:rFonts w:hint="eastAsia"/>
                <w:color w:val="auto"/>
                <w:highlight w:val="none"/>
                <w:lang w:eastAsia="zh-CN"/>
              </w:rPr>
            </w:pPr>
            <w:r>
              <w:rPr>
                <w:rFonts w:hint="eastAsia"/>
                <w:color w:val="auto"/>
                <w:highlight w:val="none"/>
                <w:lang w:eastAsia="zh-CN"/>
              </w:rPr>
              <w:t>西侧</w:t>
            </w:r>
            <w:r>
              <w:rPr>
                <w:rFonts w:hint="eastAsia"/>
                <w:color w:val="auto"/>
                <w:highlight w:val="none"/>
                <w:lang w:val="en-US" w:eastAsia="zh-CN"/>
              </w:rPr>
              <w:t>1.49km</w:t>
            </w:r>
          </w:p>
        </w:tc>
        <w:tc>
          <w:tcPr>
            <w:tcW w:w="4716" w:type="dxa"/>
            <w:vMerge w:val="continue"/>
            <w:shd w:val="clear" w:color="auto" w:fill="auto"/>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shd w:val="clear" w:color="auto" w:fill="auto"/>
            <w:vAlign w:val="center"/>
          </w:tcPr>
          <w:p>
            <w:pPr>
              <w:pStyle w:val="22"/>
              <w:bidi w:val="0"/>
              <w:rPr>
                <w:color w:val="auto"/>
                <w:highlight w:val="none"/>
              </w:rPr>
            </w:pPr>
          </w:p>
        </w:tc>
        <w:tc>
          <w:tcPr>
            <w:tcW w:w="3279" w:type="dxa"/>
            <w:gridSpan w:val="4"/>
            <w:tcBorders>
              <w:top w:val="nil"/>
            </w:tcBorders>
            <w:shd w:val="clear" w:color="auto" w:fill="auto"/>
            <w:vAlign w:val="center"/>
          </w:tcPr>
          <w:p>
            <w:pPr>
              <w:pStyle w:val="22"/>
              <w:bidi w:val="0"/>
              <w:rPr>
                <w:rFonts w:hint="eastAsia" w:eastAsia="宋体"/>
                <w:color w:val="auto"/>
                <w:highlight w:val="none"/>
                <w:lang w:eastAsia="zh-CN"/>
              </w:rPr>
            </w:pPr>
            <w:r>
              <w:rPr>
                <w:rFonts w:hint="eastAsia"/>
                <w:color w:val="auto"/>
                <w:highlight w:val="none"/>
                <w:lang w:eastAsia="zh-CN"/>
              </w:rPr>
              <w:t>百岛湖省级湿地公园</w:t>
            </w:r>
          </w:p>
        </w:tc>
        <w:tc>
          <w:tcPr>
            <w:tcW w:w="2680" w:type="dxa"/>
            <w:shd w:val="clear" w:color="auto" w:fill="auto"/>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shd w:val="clear" w:color="auto" w:fill="auto"/>
            <w:vAlign w:val="center"/>
          </w:tcPr>
          <w:p>
            <w:pPr>
              <w:pStyle w:val="22"/>
              <w:bidi w:val="0"/>
              <w:rPr>
                <w:rFonts w:hint="default" w:eastAsia="宋体"/>
                <w:color w:val="auto"/>
                <w:highlight w:val="none"/>
                <w:lang w:val="en-US" w:eastAsia="zh-CN"/>
              </w:rPr>
            </w:pPr>
            <w:r>
              <w:rPr>
                <w:rFonts w:hint="eastAsia"/>
                <w:color w:val="auto"/>
                <w:highlight w:val="none"/>
                <w:lang w:eastAsia="zh-CN"/>
              </w:rPr>
              <w:t>北侧</w:t>
            </w:r>
            <w:r>
              <w:rPr>
                <w:rFonts w:hint="eastAsia"/>
                <w:color w:val="auto"/>
                <w:highlight w:val="none"/>
                <w:lang w:val="en-US" w:eastAsia="zh-CN"/>
              </w:rPr>
              <w:t>500m</w:t>
            </w:r>
          </w:p>
        </w:tc>
        <w:tc>
          <w:tcPr>
            <w:tcW w:w="4716" w:type="dxa"/>
            <w:tcBorders>
              <w:top w:val="nil"/>
            </w:tcBorders>
            <w:shd w:val="clear" w:color="auto" w:fill="auto"/>
            <w:vAlign w:val="center"/>
          </w:tcPr>
          <w:p>
            <w:pPr>
              <w:pStyle w:val="22"/>
              <w:bidi w:val="0"/>
              <w:rPr>
                <w:color w:val="auto"/>
                <w:highlight w:val="none"/>
              </w:rPr>
            </w:pPr>
            <w:r>
              <w:rPr>
                <w:color w:val="auto"/>
                <w:highlight w:val="none"/>
              </w:rPr>
              <w:t>不改变区域生态功能，使本次规划对当地生态系统的影响在可接受范围内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shd w:val="clear" w:color="auto" w:fill="auto"/>
            <w:vAlign w:val="center"/>
          </w:tcPr>
          <w:p>
            <w:pPr>
              <w:pStyle w:val="22"/>
              <w:bidi w:val="0"/>
              <w:rPr>
                <w:color w:val="auto"/>
                <w:highlight w:val="none"/>
              </w:rPr>
            </w:pPr>
          </w:p>
        </w:tc>
        <w:tc>
          <w:tcPr>
            <w:tcW w:w="3279" w:type="dxa"/>
            <w:gridSpan w:val="4"/>
            <w:tcBorders>
              <w:top w:val="nil"/>
            </w:tcBorders>
            <w:shd w:val="clear" w:color="auto" w:fill="auto"/>
            <w:vAlign w:val="center"/>
          </w:tcPr>
          <w:p>
            <w:pPr>
              <w:pStyle w:val="22"/>
              <w:bidi w:val="0"/>
              <w:rPr>
                <w:rFonts w:hint="eastAsia"/>
                <w:color w:val="auto"/>
                <w:highlight w:val="none"/>
                <w:lang w:eastAsia="zh-CN"/>
              </w:rPr>
            </w:pPr>
            <w:r>
              <w:rPr>
                <w:rFonts w:hint="eastAsia"/>
                <w:color w:val="auto"/>
                <w:highlight w:val="none"/>
                <w:lang w:eastAsia="zh-CN"/>
              </w:rPr>
              <w:t>国家二级公益林</w:t>
            </w:r>
          </w:p>
        </w:tc>
        <w:tc>
          <w:tcPr>
            <w:tcW w:w="2680" w:type="dxa"/>
            <w:shd w:val="clear" w:color="auto" w:fill="auto"/>
            <w:vAlign w:val="center"/>
          </w:tcPr>
          <w:p>
            <w:pPr>
              <w:pStyle w:val="22"/>
              <w:bidi w:val="0"/>
              <w:rPr>
                <w:rFonts w:hint="eastAsia"/>
                <w:color w:val="auto"/>
                <w:highlight w:val="none"/>
                <w:lang w:eastAsia="zh-CN"/>
              </w:rPr>
            </w:pPr>
            <w:r>
              <w:rPr>
                <w:rFonts w:hint="eastAsia"/>
                <w:color w:val="auto"/>
                <w:highlight w:val="none"/>
              </w:rPr>
              <w:t>矿区范围</w:t>
            </w:r>
          </w:p>
        </w:tc>
        <w:tc>
          <w:tcPr>
            <w:tcW w:w="3289" w:type="dxa"/>
            <w:shd w:val="clear" w:color="auto" w:fill="auto"/>
            <w:vAlign w:val="center"/>
          </w:tcPr>
          <w:p>
            <w:pPr>
              <w:pStyle w:val="22"/>
              <w:bidi w:val="0"/>
              <w:rPr>
                <w:rFonts w:hint="eastAsia"/>
                <w:color w:val="auto"/>
                <w:highlight w:val="none"/>
                <w:lang w:eastAsia="zh-CN"/>
              </w:rPr>
            </w:pPr>
            <w:r>
              <w:rPr>
                <w:rFonts w:hint="eastAsia"/>
                <w:color w:val="auto"/>
                <w:highlight w:val="none"/>
                <w:lang w:eastAsia="zh-CN"/>
              </w:rPr>
              <w:t>规划范围内外均涉及</w:t>
            </w:r>
          </w:p>
        </w:tc>
        <w:tc>
          <w:tcPr>
            <w:tcW w:w="4716" w:type="dxa"/>
            <w:tcBorders>
              <w:top w:val="nil"/>
            </w:tcBorders>
            <w:shd w:val="clear" w:color="auto" w:fill="auto"/>
            <w:vAlign w:val="center"/>
          </w:tcPr>
          <w:p>
            <w:pPr>
              <w:pStyle w:val="22"/>
              <w:bidi w:val="0"/>
              <w:rPr>
                <w:rFonts w:hint="eastAsia" w:eastAsia="宋体"/>
                <w:color w:val="auto"/>
                <w:highlight w:val="none"/>
                <w:lang w:eastAsia="zh-CN"/>
              </w:rPr>
            </w:pPr>
            <w:r>
              <w:rPr>
                <w:rFonts w:hint="eastAsia"/>
                <w:color w:val="auto"/>
                <w:sz w:val="21"/>
                <w:szCs w:val="21"/>
                <w:highlight w:val="none"/>
              </w:rPr>
              <w:t>尽量减少植被破坏，降低水土流失，及时做好土地复垦和生态恢复工作</w:t>
            </w:r>
            <w:r>
              <w:rPr>
                <w:rFonts w:hint="eastAsia"/>
                <w:color w:val="auto"/>
                <w:sz w:val="21"/>
                <w:szCs w:val="21"/>
                <w:highlight w:val="none"/>
                <w:lang w:eastAsia="zh-CN"/>
              </w:rPr>
              <w:t>，不得影响整体森林生态系统功能发挥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tcBorders>
              <w:top w:val="nil"/>
            </w:tcBorders>
            <w:shd w:val="clear" w:color="auto" w:fill="auto"/>
            <w:vAlign w:val="center"/>
          </w:tcPr>
          <w:p>
            <w:pPr>
              <w:pStyle w:val="22"/>
              <w:bidi w:val="0"/>
              <w:rPr>
                <w:color w:val="auto"/>
                <w:highlight w:val="none"/>
              </w:rPr>
            </w:pPr>
          </w:p>
        </w:tc>
        <w:tc>
          <w:tcPr>
            <w:tcW w:w="3279" w:type="dxa"/>
            <w:gridSpan w:val="4"/>
            <w:shd w:val="clear" w:color="auto" w:fill="auto"/>
            <w:vAlign w:val="center"/>
          </w:tcPr>
          <w:p>
            <w:pPr>
              <w:pStyle w:val="22"/>
              <w:bidi w:val="0"/>
              <w:rPr>
                <w:rFonts w:hint="eastAsia"/>
                <w:color w:val="auto"/>
                <w:highlight w:val="none"/>
              </w:rPr>
            </w:pPr>
            <w:r>
              <w:rPr>
                <w:rFonts w:hint="eastAsia"/>
                <w:color w:val="auto"/>
                <w:highlight w:val="none"/>
              </w:rPr>
              <w:t>矿区范围生态系统、土壤、植被</w:t>
            </w:r>
          </w:p>
        </w:tc>
        <w:tc>
          <w:tcPr>
            <w:tcW w:w="2680" w:type="dxa"/>
            <w:shd w:val="clear" w:color="auto" w:fill="auto"/>
            <w:vAlign w:val="center"/>
          </w:tcPr>
          <w:p>
            <w:pPr>
              <w:pStyle w:val="22"/>
              <w:bidi w:val="0"/>
              <w:rPr>
                <w:rFonts w:hint="eastAsia"/>
                <w:color w:val="auto"/>
                <w:highlight w:val="none"/>
              </w:rPr>
            </w:pPr>
            <w:r>
              <w:rPr>
                <w:rFonts w:hint="eastAsia"/>
                <w:color w:val="auto"/>
                <w:highlight w:val="none"/>
              </w:rPr>
              <w:t>矿区范围</w:t>
            </w:r>
          </w:p>
        </w:tc>
        <w:tc>
          <w:tcPr>
            <w:tcW w:w="3289" w:type="dxa"/>
            <w:shd w:val="clear" w:color="auto" w:fill="auto"/>
            <w:vAlign w:val="center"/>
          </w:tcPr>
          <w:p>
            <w:pPr>
              <w:pStyle w:val="22"/>
              <w:bidi w:val="0"/>
              <w:rPr>
                <w:rFonts w:hint="default" w:eastAsia="宋体"/>
                <w:color w:val="auto"/>
                <w:highlight w:val="none"/>
                <w:lang w:val="en-US" w:eastAsia="zh-CN"/>
              </w:rPr>
            </w:pPr>
            <w:r>
              <w:rPr>
                <w:rFonts w:hint="eastAsia"/>
                <w:color w:val="auto"/>
                <w:highlight w:val="none"/>
                <w:lang w:eastAsia="zh-CN"/>
              </w:rPr>
              <w:t>规划区及外扩</w:t>
            </w:r>
            <w:r>
              <w:rPr>
                <w:rFonts w:hint="eastAsia"/>
                <w:color w:val="auto"/>
                <w:highlight w:val="none"/>
                <w:lang w:val="en-US" w:eastAsia="zh-CN"/>
              </w:rPr>
              <w:t>1km范围</w:t>
            </w:r>
          </w:p>
        </w:tc>
        <w:tc>
          <w:tcPr>
            <w:tcW w:w="4716" w:type="dxa"/>
            <w:shd w:val="clear" w:color="auto" w:fill="auto"/>
            <w:vAlign w:val="center"/>
          </w:tcPr>
          <w:p>
            <w:pPr>
              <w:pStyle w:val="22"/>
              <w:bidi w:val="0"/>
              <w:rPr>
                <w:rFonts w:hint="eastAsia"/>
                <w:color w:val="auto"/>
                <w:highlight w:val="none"/>
              </w:rPr>
            </w:pPr>
            <w:r>
              <w:rPr>
                <w:rFonts w:hint="eastAsia"/>
                <w:color w:val="auto"/>
                <w:highlight w:val="none"/>
              </w:rPr>
              <w:t>防止矿区煤炭开采地表沉陷（挖损）、固体废物堆存对矿区范围内植被大面积破坏；加强地表沉陷的治理和固体废物的合理处置与综合利用，保证区域生态功能不退化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地表水</w:t>
            </w: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东柳河支、干流水系</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干流自南向西于规划区东北角穿越，部分支流水系在规划区范围内</w:t>
            </w:r>
          </w:p>
        </w:tc>
        <w:tc>
          <w:tcPr>
            <w:tcW w:w="4716" w:type="dxa"/>
            <w:vMerge w:val="restart"/>
            <w:vAlign w:val="center"/>
          </w:tcPr>
          <w:p>
            <w:pPr>
              <w:pStyle w:val="22"/>
              <w:bidi w:val="0"/>
              <w:rPr>
                <w:rFonts w:hint="eastAsia" w:eastAsia="宋体"/>
                <w:color w:val="auto"/>
                <w:highlight w:val="none"/>
                <w:lang w:eastAsia="zh-CN"/>
              </w:rPr>
            </w:pPr>
            <w:r>
              <w:rPr>
                <w:rFonts w:hint="eastAsia"/>
                <w:color w:val="auto"/>
                <w:highlight w:val="none"/>
              </w:rPr>
              <w:t>留设保护煤柱，确保水域水体功能、水量不受矿区开发影响</w:t>
            </w:r>
            <w:r>
              <w:rPr>
                <w:rFonts w:hint="eastAsia"/>
                <w:color w:val="auto"/>
                <w:highlight w:val="none"/>
                <w:lang w:eastAsia="zh-CN"/>
              </w:rPr>
              <w:t>，保护饮用水水源安全，矿权范围均不涉及饮用水水源地取水口及保护区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lang w:eastAsia="zh-CN"/>
              </w:rPr>
              <w:t>冒水眼水库（村镇饮用水源地）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2.3km，距保护区1.9km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铁峰水库（村镇饮用水源地）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2.9km，距保护区2.6km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龙王庙河古耳寺（村镇饮用水源地）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及保护区250m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朱家沟倒桥儿（村镇饮用水源地）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80m，距保护区20m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拱桥坝水库（村镇饮用水源地）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750m，距保护区380m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default"/>
                <w:color w:val="auto"/>
                <w:highlight w:val="none"/>
                <w:lang w:val="en-US" w:eastAsia="zh-CN"/>
              </w:rPr>
            </w:pPr>
            <w:r>
              <w:rPr>
                <w:rFonts w:hint="eastAsia"/>
                <w:color w:val="auto"/>
                <w:highlight w:val="none"/>
                <w:lang w:val="en-US" w:eastAsia="zh-CN"/>
              </w:rPr>
              <w:t>煤炭沟徐家老屋</w:t>
            </w:r>
            <w:r>
              <w:rPr>
                <w:rFonts w:hint="eastAsia"/>
                <w:color w:val="auto"/>
                <w:highlight w:val="none"/>
                <w:lang w:eastAsia="zh-CN"/>
              </w:rPr>
              <w:t>（村镇饮用水源地）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2.6km，距保护区1.9km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半边街水库（村镇饮用水源地）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1.4km，距保护区1.2km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清水河陈家沟（村镇饮用水源地）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430m，距保护区350m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龙潭水库（县城饮用水水源地）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5.4km，部分准保护区在规划区范围内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黄滩河支、干流水系</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西侧</w:t>
            </w:r>
            <w:r>
              <w:rPr>
                <w:rFonts w:hint="eastAsia"/>
                <w:color w:val="auto"/>
                <w:highlight w:val="none"/>
                <w:lang w:val="en-US" w:eastAsia="zh-CN"/>
              </w:rPr>
              <w:t>1.4km为干流、部分支流水系在规划区范围内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刘家坝水库（村镇饮用水源地）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560m</w:t>
            </w:r>
            <w:r>
              <w:rPr>
                <w:rFonts w:hint="eastAsia"/>
                <w:color w:val="auto"/>
                <w:highlight w:val="none"/>
                <w:lang w:eastAsia="zh-CN"/>
              </w:rPr>
              <w:t>，一级保护区及部分二级保护区在规划区范围内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钟家沟（村镇饮用水源地）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340m，距保护区250m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乌木镇广子村水源地（村镇饮用水源地）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取水口、一级保护区及二级保护区均在规划区范围内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平桥水库（村镇饮用水源地）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500m，距保护区270m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青滩子水库（村镇饮用水源地）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1.38km，距保护区880m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兰家槽七吊钱（村镇饮用水源地）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距取水口及保护区</w:t>
            </w:r>
            <w:r>
              <w:rPr>
                <w:rFonts w:hint="eastAsia"/>
                <w:color w:val="auto"/>
                <w:highlight w:val="none"/>
                <w:lang w:val="en-US" w:eastAsia="zh-CN"/>
              </w:rPr>
              <w:t>380m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老龙洞水库（村镇饮用水源地）</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1.9km，距保护区1.38km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乌木滩水库（县城饮用水水源地）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2.8km，距保护区160m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同心桥水库（灌溉、防洪、发电）</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东侧</w:t>
            </w:r>
            <w:r>
              <w:rPr>
                <w:rFonts w:hint="eastAsia"/>
                <w:color w:val="auto"/>
                <w:highlight w:val="none"/>
                <w:lang w:val="en-US" w:eastAsia="zh-CN"/>
              </w:rPr>
              <w:t>125m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铜钵河（包括平滩河）支、干流</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西北侧</w:t>
            </w:r>
            <w:r>
              <w:rPr>
                <w:rFonts w:hint="eastAsia"/>
                <w:color w:val="auto"/>
                <w:highlight w:val="none"/>
                <w:lang w:val="en-US" w:eastAsia="zh-CN"/>
              </w:rPr>
              <w:t>3.3km为干流、部分支流水系在规划区范围内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东河支、干流</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西侧</w:t>
            </w:r>
            <w:r>
              <w:rPr>
                <w:rFonts w:hint="eastAsia"/>
                <w:color w:val="auto"/>
                <w:highlight w:val="none"/>
                <w:lang w:val="en-US" w:eastAsia="zh-CN"/>
              </w:rPr>
              <w:t>800m为干流、部分支流水系在规划区范围内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九龙水库（村镇饮用水源地）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2.0km，距保护区1.18km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猫儿沟（村镇饮用水源地）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距取水口及保护区</w:t>
            </w:r>
            <w:r>
              <w:rPr>
                <w:rFonts w:hint="eastAsia"/>
                <w:color w:val="auto"/>
                <w:highlight w:val="none"/>
                <w:lang w:val="en-US" w:eastAsia="zh-CN"/>
              </w:rPr>
              <w:t>2.6km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八渡乡花岩村饮用水源地（村镇饮用水源地）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110m，紧邻保护区（二级保护区）</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天城镇李子村饮用水源地（村镇饮用水源地）</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取水口、部分一级保护区及部分二级保护区均在规划区范围内</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地下水</w:t>
            </w:r>
          </w:p>
        </w:tc>
        <w:tc>
          <w:tcPr>
            <w:tcW w:w="3279" w:type="dxa"/>
            <w:gridSpan w:val="4"/>
            <w:vAlign w:val="center"/>
          </w:tcPr>
          <w:p>
            <w:pPr>
              <w:pStyle w:val="22"/>
              <w:bidi w:val="0"/>
              <w:rPr>
                <w:rFonts w:hint="eastAsia"/>
                <w:color w:val="auto"/>
                <w:highlight w:val="none"/>
              </w:rPr>
            </w:pPr>
            <w:r>
              <w:rPr>
                <w:rFonts w:hint="eastAsia"/>
                <w:color w:val="auto"/>
                <w:highlight w:val="none"/>
              </w:rPr>
              <w:t>第四系孔隙潜水中等</w:t>
            </w:r>
            <w:r>
              <w:rPr>
                <w:color w:val="auto"/>
                <w:highlight w:val="none"/>
              </w:rPr>
              <w:t>‐</w:t>
            </w:r>
            <w:r>
              <w:rPr>
                <w:rFonts w:hint="eastAsia"/>
                <w:color w:val="auto"/>
                <w:highlight w:val="none"/>
              </w:rPr>
              <w:t>强</w:t>
            </w:r>
          </w:p>
          <w:p>
            <w:pPr>
              <w:pStyle w:val="22"/>
              <w:bidi w:val="0"/>
              <w:rPr>
                <w:rFonts w:hint="eastAsia"/>
                <w:color w:val="auto"/>
                <w:highlight w:val="none"/>
              </w:rPr>
            </w:pPr>
            <w:r>
              <w:rPr>
                <w:rFonts w:hint="eastAsia"/>
                <w:color w:val="auto"/>
                <w:highlight w:val="none"/>
              </w:rPr>
              <w:t>富水含水层</w:t>
            </w:r>
          </w:p>
        </w:tc>
        <w:tc>
          <w:tcPr>
            <w:tcW w:w="5969" w:type="dxa"/>
            <w:gridSpan w:val="2"/>
            <w:vAlign w:val="center"/>
          </w:tcPr>
          <w:p>
            <w:pPr>
              <w:pStyle w:val="22"/>
              <w:bidi w:val="0"/>
              <w:rPr>
                <w:rFonts w:hint="eastAsia"/>
                <w:color w:val="auto"/>
                <w:highlight w:val="none"/>
              </w:rPr>
            </w:pPr>
            <w:r>
              <w:rPr>
                <w:rFonts w:hint="eastAsia"/>
                <w:color w:val="auto"/>
                <w:highlight w:val="none"/>
              </w:rPr>
              <w:t>矿区范围及地下水补径排关系密切的区域</w:t>
            </w:r>
          </w:p>
        </w:tc>
        <w:tc>
          <w:tcPr>
            <w:tcW w:w="4716" w:type="dxa"/>
            <w:vAlign w:val="center"/>
          </w:tcPr>
          <w:p>
            <w:pPr>
              <w:pStyle w:val="22"/>
              <w:bidi w:val="0"/>
              <w:rPr>
                <w:rFonts w:hint="eastAsia"/>
                <w:color w:val="auto"/>
                <w:highlight w:val="none"/>
              </w:rPr>
            </w:pPr>
            <w:r>
              <w:rPr>
                <w:rFonts w:hint="eastAsia"/>
                <w:color w:val="auto"/>
                <w:highlight w:val="none"/>
              </w:rPr>
              <w:t>尽量减少矿区开发对地下水资源的影响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高口滩（村镇饮用水源地）</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w:t>
            </w:r>
            <w:r>
              <w:rPr>
                <w:rFonts w:hint="eastAsia"/>
                <w:color w:val="auto"/>
                <w:highlight w:val="none"/>
                <w:lang w:val="en-US" w:eastAsia="zh-CN"/>
              </w:rPr>
              <w:t>/柏林-黑滩片区</w:t>
            </w:r>
          </w:p>
        </w:tc>
        <w:tc>
          <w:tcPr>
            <w:tcW w:w="3289" w:type="dxa"/>
            <w:vAlign w:val="center"/>
          </w:tcPr>
          <w:p>
            <w:pPr>
              <w:pStyle w:val="22"/>
              <w:bidi w:val="0"/>
              <w:rPr>
                <w:rFonts w:hint="eastAsia"/>
                <w:color w:val="auto"/>
                <w:highlight w:val="none"/>
              </w:rPr>
            </w:pPr>
            <w:r>
              <w:rPr>
                <w:rFonts w:hint="eastAsia"/>
                <w:color w:val="auto"/>
                <w:highlight w:val="none"/>
                <w:lang w:eastAsia="zh-CN"/>
              </w:rPr>
              <w:t>取水口、一级保护区均在规划区范围内</w:t>
            </w:r>
          </w:p>
        </w:tc>
        <w:tc>
          <w:tcPr>
            <w:tcW w:w="4716" w:type="dxa"/>
            <w:vMerge w:val="restart"/>
            <w:vAlign w:val="center"/>
          </w:tcPr>
          <w:p>
            <w:pPr>
              <w:pStyle w:val="22"/>
              <w:bidi w:val="0"/>
              <w:rPr>
                <w:rFonts w:hint="eastAsia"/>
                <w:color w:val="auto"/>
                <w:highlight w:val="none"/>
              </w:rPr>
            </w:pPr>
            <w:r>
              <w:rPr>
                <w:rFonts w:hint="eastAsia"/>
                <w:color w:val="auto"/>
                <w:highlight w:val="none"/>
                <w:lang w:eastAsia="zh-CN"/>
              </w:rPr>
              <w:t>保护饮用水水源安全，矿权范围均不涉及饮用水水源地取水口及保护区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lang w:eastAsia="zh-CN"/>
              </w:rPr>
              <w:t>青云洞（村镇饮用水源地）</w:t>
            </w:r>
          </w:p>
        </w:tc>
        <w:tc>
          <w:tcPr>
            <w:tcW w:w="2680" w:type="dxa"/>
            <w:vAlign w:val="center"/>
          </w:tcPr>
          <w:p>
            <w:pPr>
              <w:pStyle w:val="22"/>
              <w:bidi w:val="0"/>
              <w:rPr>
                <w:rFonts w:hint="eastAsia"/>
                <w:color w:val="auto"/>
                <w:highlight w:val="none"/>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1.06km，距保护区770m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团坝镇赵家村水源地（村镇饮用水源地）</w:t>
            </w:r>
          </w:p>
        </w:tc>
        <w:tc>
          <w:tcPr>
            <w:tcW w:w="2680" w:type="dxa"/>
            <w:vAlign w:val="center"/>
          </w:tcPr>
          <w:p>
            <w:pPr>
              <w:pStyle w:val="22"/>
              <w:bidi w:val="0"/>
              <w:rPr>
                <w:rFonts w:hint="default"/>
                <w:color w:val="auto"/>
                <w:highlight w:val="none"/>
                <w:lang w:val="en-US"/>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eastAsia" w:eastAsia="宋体"/>
                <w:color w:val="auto"/>
                <w:highlight w:val="none"/>
                <w:lang w:eastAsia="zh-CN"/>
              </w:rPr>
            </w:pPr>
            <w:r>
              <w:rPr>
                <w:rFonts w:hint="eastAsia"/>
                <w:color w:val="auto"/>
                <w:highlight w:val="none"/>
                <w:lang w:eastAsia="zh-CN"/>
              </w:rPr>
              <w:t>距取水口</w:t>
            </w:r>
            <w:r>
              <w:rPr>
                <w:rFonts w:hint="eastAsia"/>
                <w:color w:val="auto"/>
                <w:highlight w:val="none"/>
                <w:lang w:val="en-US" w:eastAsia="zh-CN"/>
              </w:rPr>
              <w:t>890m，距保护区600m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天城镇三元村饮用水源地（村镇饮用水源地）</w:t>
            </w:r>
          </w:p>
        </w:tc>
        <w:tc>
          <w:tcPr>
            <w:tcW w:w="2680" w:type="dxa"/>
            <w:vAlign w:val="center"/>
          </w:tcPr>
          <w:p>
            <w:pPr>
              <w:pStyle w:val="22"/>
              <w:bidi w:val="0"/>
              <w:rPr>
                <w:rFonts w:hint="eastAsia"/>
                <w:color w:val="auto"/>
                <w:highlight w:val="none"/>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距取水口</w:t>
            </w:r>
            <w:r>
              <w:rPr>
                <w:rFonts w:hint="eastAsia"/>
                <w:color w:val="auto"/>
                <w:highlight w:val="none"/>
                <w:lang w:val="en-US" w:eastAsia="zh-CN"/>
              </w:rPr>
              <w:t>1.7km，距保护区1.4km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环境空气</w:t>
            </w:r>
          </w:p>
        </w:tc>
        <w:tc>
          <w:tcPr>
            <w:tcW w:w="3279" w:type="dxa"/>
            <w:gridSpan w:val="4"/>
            <w:vAlign w:val="center"/>
          </w:tcPr>
          <w:p>
            <w:pPr>
              <w:pStyle w:val="22"/>
              <w:bidi w:val="0"/>
              <w:rPr>
                <w:rFonts w:hint="default"/>
                <w:color w:val="auto"/>
                <w:highlight w:val="none"/>
                <w:lang w:val="en-US" w:eastAsia="zh-CN"/>
              </w:rPr>
            </w:pPr>
            <w:r>
              <w:rPr>
                <w:rFonts w:hint="eastAsia"/>
                <w:color w:val="auto"/>
                <w:highlight w:val="none"/>
                <w:lang w:val="en-US" w:eastAsia="zh-CN"/>
              </w:rPr>
              <w:t>柏林镇（主要是场镇、观音村、洪河村、白马村）</w:t>
            </w:r>
          </w:p>
        </w:tc>
        <w:tc>
          <w:tcPr>
            <w:tcW w:w="2680" w:type="dxa"/>
            <w:vAlign w:val="center"/>
          </w:tcPr>
          <w:p>
            <w:pPr>
              <w:pStyle w:val="22"/>
              <w:bidi w:val="0"/>
              <w:rPr>
                <w:rFonts w:hint="eastAsia"/>
                <w:color w:val="auto"/>
                <w:highlight w:val="none"/>
                <w:lang w:val="en-US" w:eastAsia="zh-CN"/>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restart"/>
            <w:vAlign w:val="center"/>
          </w:tcPr>
          <w:p>
            <w:pPr>
              <w:pStyle w:val="22"/>
              <w:bidi w:val="0"/>
              <w:rPr>
                <w:rFonts w:hint="eastAsia"/>
                <w:color w:val="auto"/>
                <w:highlight w:val="none"/>
                <w:lang w:eastAsia="zh-CN"/>
              </w:rPr>
            </w:pPr>
            <w:r>
              <w:rPr>
                <w:rFonts w:hint="eastAsia"/>
                <w:color w:val="auto"/>
                <w:highlight w:val="none"/>
                <w:lang w:eastAsia="zh-CN"/>
              </w:rPr>
              <w:t>规划区范围内</w:t>
            </w:r>
          </w:p>
        </w:tc>
        <w:tc>
          <w:tcPr>
            <w:tcW w:w="4716" w:type="dxa"/>
            <w:vMerge w:val="restart"/>
            <w:vAlign w:val="center"/>
          </w:tcPr>
          <w:p>
            <w:pPr>
              <w:pStyle w:val="22"/>
              <w:bidi w:val="0"/>
              <w:rPr>
                <w:rFonts w:hint="eastAsia" w:eastAsia="宋体"/>
                <w:color w:val="auto"/>
                <w:highlight w:val="none"/>
                <w:lang w:eastAsia="zh-CN"/>
              </w:rPr>
            </w:pPr>
            <w:r>
              <w:rPr>
                <w:color w:val="auto"/>
                <w:highlight w:val="none"/>
              </w:rPr>
              <w:t>规划范围内大气污染物达标排放，保护区域环境空气</w:t>
            </w:r>
            <w:r>
              <w:rPr>
                <w:rFonts w:hint="eastAsia"/>
                <w:color w:val="auto"/>
                <w:highlight w:val="none"/>
                <w:lang w:eastAsia="zh-CN"/>
              </w:rPr>
              <w:t>质量</w:t>
            </w:r>
            <w:r>
              <w:rPr>
                <w:color w:val="auto"/>
                <w:highlight w:val="none"/>
              </w:rPr>
              <w:t>满足《环境空气质量标准》（GB3095-2012）二级标准要求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清河镇（主要是快活村、龙洞坝村、铁峰村、沙坝村、万里坪村）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清水镇（主要是偏岩村、何家村）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杨家镇（主要是龙台村、安山村、群英村、皂角村）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庙坝镇（主要是黑水村、长乐村、老场村、跃进村）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黄家乡（主要是红岭村）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中华乡（主要是中华村、桂花村）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乌木镇（主要是乌木村、广子村）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石桥铺镇（主要是指挥村、锁石村）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高穴镇（主要是荣华村、清滩村、月光村）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团坝镇（主要是场镇、大河村、赵家村、白坝村、新生村）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中和乡（主要是场镇、狮子村、牛心村、清凉村）</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永胜乡（主要是茨竹村、光明村）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新生乡（主要是高兴村、铁板村、工农村）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周家镇（主要是八角村、月岩村、龙虎村、龙头村、西河村）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lang w:eastAsia="zh-CN"/>
              </w:rPr>
            </w:pPr>
            <w:r>
              <w:rPr>
                <w:rFonts w:hint="eastAsia"/>
                <w:color w:val="auto"/>
                <w:highlight w:val="none"/>
                <w:lang w:eastAsia="zh-CN"/>
              </w:rPr>
              <w:t>黄滩乡（主要是汇水村）</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白坝乡（主要是高河村）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观音镇（主要是河石村）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天城镇（主要是场镇、龙滩村、李子村、天池村）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八渡乡（主要是华兴村、花岩村）</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各矿井工业场地周边居民聚居点</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各矿段</w:t>
            </w:r>
          </w:p>
        </w:tc>
        <w:tc>
          <w:tcPr>
            <w:tcW w:w="3289" w:type="dxa"/>
            <w:vMerge w:val="continue"/>
            <w:tcBorders>
              <w:bottom w:val="single" w:color="auto" w:sz="4" w:space="0"/>
            </w:tcBorders>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达州市百岛湖职业技术学校</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tcBorders>
              <w:top w:val="single" w:color="auto" w:sz="4" w:space="0"/>
            </w:tcBorders>
            <w:vAlign w:val="center"/>
          </w:tcPr>
          <w:p>
            <w:pPr>
              <w:pStyle w:val="22"/>
              <w:bidi w:val="0"/>
              <w:rPr>
                <w:rFonts w:hint="default"/>
                <w:color w:val="auto"/>
                <w:highlight w:val="none"/>
                <w:lang w:val="en-US" w:eastAsia="zh-CN"/>
              </w:rPr>
            </w:pPr>
            <w:r>
              <w:rPr>
                <w:rFonts w:hint="eastAsia"/>
                <w:color w:val="auto"/>
                <w:highlight w:val="none"/>
                <w:lang w:eastAsia="zh-CN"/>
              </w:rPr>
              <w:t>北侧</w:t>
            </w:r>
            <w:r>
              <w:rPr>
                <w:rFonts w:hint="eastAsia"/>
                <w:color w:val="auto"/>
                <w:highlight w:val="none"/>
                <w:lang w:val="en-US" w:eastAsia="zh-CN"/>
              </w:rPr>
              <w:t>470m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1747" w:type="dxa"/>
            <w:gridSpan w:val="3"/>
            <w:vMerge w:val="restart"/>
            <w:vAlign w:val="center"/>
          </w:tcPr>
          <w:p>
            <w:pPr>
              <w:pStyle w:val="22"/>
              <w:bidi w:val="0"/>
              <w:rPr>
                <w:rFonts w:hint="eastAsia"/>
                <w:color w:val="auto"/>
                <w:highlight w:val="none"/>
                <w:lang w:eastAsia="zh-CN"/>
              </w:rPr>
            </w:pPr>
            <w:r>
              <w:rPr>
                <w:rFonts w:hint="eastAsia"/>
                <w:color w:val="auto"/>
                <w:highlight w:val="none"/>
                <w:lang w:eastAsia="zh-CN"/>
              </w:rPr>
              <w:t>五峰山国家森林公园</w:t>
            </w:r>
          </w:p>
        </w:tc>
        <w:tc>
          <w:tcPr>
            <w:tcW w:w="1532" w:type="dxa"/>
            <w:vAlign w:val="center"/>
          </w:tcPr>
          <w:p>
            <w:pPr>
              <w:pStyle w:val="22"/>
              <w:bidi w:val="0"/>
              <w:rPr>
                <w:rFonts w:hint="eastAsia"/>
                <w:color w:val="auto"/>
                <w:highlight w:val="none"/>
                <w:lang w:eastAsia="zh-CN"/>
              </w:rPr>
            </w:pPr>
            <w:r>
              <w:rPr>
                <w:rFonts w:hint="eastAsia"/>
                <w:color w:val="auto"/>
                <w:highlight w:val="none"/>
                <w:lang w:eastAsia="zh-CN"/>
              </w:rPr>
              <w:t>蒲包山片区</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西侧紧邻</w:t>
            </w:r>
          </w:p>
        </w:tc>
        <w:tc>
          <w:tcPr>
            <w:tcW w:w="4716" w:type="dxa"/>
            <w:vMerge w:val="restart"/>
            <w:vAlign w:val="center"/>
          </w:tcPr>
          <w:p>
            <w:pPr>
              <w:pStyle w:val="22"/>
              <w:bidi w:val="0"/>
              <w:rPr>
                <w:rFonts w:hint="eastAsia"/>
                <w:color w:val="auto"/>
                <w:highlight w:val="none"/>
              </w:rPr>
            </w:pPr>
            <w:r>
              <w:rPr>
                <w:color w:val="auto"/>
                <w:highlight w:val="none"/>
              </w:rPr>
              <w:t>规划范围内大气污染物达标排放，保护区域环境空气</w:t>
            </w:r>
            <w:r>
              <w:rPr>
                <w:rFonts w:hint="eastAsia"/>
                <w:color w:val="auto"/>
                <w:highlight w:val="none"/>
                <w:lang w:eastAsia="zh-CN"/>
              </w:rPr>
              <w:t>质量</w:t>
            </w:r>
            <w:r>
              <w:rPr>
                <w:color w:val="auto"/>
                <w:highlight w:val="none"/>
              </w:rPr>
              <w:t>满足《环境空气质量标准》（GB3095-2012）</w:t>
            </w:r>
            <w:r>
              <w:rPr>
                <w:rFonts w:hint="eastAsia"/>
                <w:color w:val="auto"/>
                <w:highlight w:val="none"/>
                <w:lang w:eastAsia="zh-CN"/>
              </w:rPr>
              <w:t>一</w:t>
            </w:r>
            <w:r>
              <w:rPr>
                <w:color w:val="auto"/>
                <w:highlight w:val="none"/>
              </w:rPr>
              <w:t>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1747" w:type="dxa"/>
            <w:gridSpan w:val="3"/>
            <w:vMerge w:val="continue"/>
            <w:vAlign w:val="center"/>
          </w:tcPr>
          <w:p>
            <w:pPr>
              <w:pStyle w:val="22"/>
              <w:bidi w:val="0"/>
              <w:rPr>
                <w:rFonts w:hint="eastAsia"/>
                <w:color w:val="auto"/>
                <w:highlight w:val="none"/>
                <w:lang w:eastAsia="zh-CN"/>
              </w:rPr>
            </w:pPr>
          </w:p>
        </w:tc>
        <w:tc>
          <w:tcPr>
            <w:tcW w:w="1532" w:type="dxa"/>
            <w:vAlign w:val="center"/>
          </w:tcPr>
          <w:p>
            <w:pPr>
              <w:pStyle w:val="22"/>
              <w:bidi w:val="0"/>
              <w:rPr>
                <w:rFonts w:hint="eastAsia"/>
                <w:color w:val="auto"/>
                <w:highlight w:val="none"/>
                <w:lang w:eastAsia="zh-CN"/>
              </w:rPr>
            </w:pPr>
            <w:r>
              <w:rPr>
                <w:rFonts w:hint="eastAsia"/>
                <w:color w:val="auto"/>
                <w:highlight w:val="none"/>
                <w:lang w:eastAsia="zh-CN"/>
              </w:rPr>
              <w:t>乌木湖片区</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Align w:val="center"/>
          </w:tcPr>
          <w:p>
            <w:pPr>
              <w:pStyle w:val="22"/>
              <w:bidi w:val="0"/>
              <w:rPr>
                <w:rFonts w:hint="default"/>
                <w:color w:val="auto"/>
                <w:highlight w:val="none"/>
                <w:lang w:val="en-US" w:eastAsia="zh-CN"/>
              </w:rPr>
            </w:pPr>
            <w:r>
              <w:rPr>
                <w:rFonts w:hint="eastAsia"/>
                <w:color w:val="auto"/>
                <w:highlight w:val="none"/>
                <w:lang w:val="en-US" w:eastAsia="zh-CN"/>
              </w:rPr>
              <w:t>西北侧820m</w:t>
            </w:r>
          </w:p>
        </w:tc>
        <w:tc>
          <w:tcPr>
            <w:tcW w:w="4716"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1747" w:type="dxa"/>
            <w:gridSpan w:val="3"/>
            <w:vMerge w:val="continue"/>
            <w:vAlign w:val="center"/>
          </w:tcPr>
          <w:p>
            <w:pPr>
              <w:pStyle w:val="22"/>
              <w:bidi w:val="0"/>
              <w:rPr>
                <w:rFonts w:hint="eastAsia"/>
                <w:color w:val="auto"/>
                <w:highlight w:val="none"/>
                <w:lang w:eastAsia="zh-CN"/>
              </w:rPr>
            </w:pPr>
          </w:p>
        </w:tc>
        <w:tc>
          <w:tcPr>
            <w:tcW w:w="1532" w:type="dxa"/>
            <w:vAlign w:val="center"/>
          </w:tcPr>
          <w:p>
            <w:pPr>
              <w:pStyle w:val="22"/>
              <w:bidi w:val="0"/>
              <w:rPr>
                <w:rFonts w:hint="eastAsia"/>
                <w:color w:val="auto"/>
                <w:highlight w:val="none"/>
                <w:lang w:eastAsia="zh-CN"/>
              </w:rPr>
            </w:pPr>
            <w:r>
              <w:rPr>
                <w:rFonts w:hint="eastAsia"/>
                <w:color w:val="auto"/>
                <w:highlight w:val="none"/>
                <w:lang w:eastAsia="zh-CN"/>
              </w:rPr>
              <w:t>五峰山片区</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西侧</w:t>
            </w:r>
            <w:r>
              <w:rPr>
                <w:rFonts w:hint="eastAsia"/>
                <w:color w:val="auto"/>
                <w:highlight w:val="none"/>
                <w:lang w:val="en-US" w:eastAsia="zh-CN"/>
              </w:rPr>
              <w:t>1.49km</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1379" w:type="dxa"/>
            <w:vMerge w:val="restart"/>
            <w:vAlign w:val="center"/>
          </w:tcPr>
          <w:p>
            <w:pPr>
              <w:pStyle w:val="22"/>
              <w:bidi w:val="0"/>
              <w:rPr>
                <w:rFonts w:hint="eastAsia" w:eastAsia="宋体"/>
                <w:color w:val="auto"/>
                <w:highlight w:val="none"/>
                <w:lang w:eastAsia="zh-CN"/>
              </w:rPr>
            </w:pPr>
            <w:r>
              <w:rPr>
                <w:rFonts w:hint="eastAsia"/>
                <w:color w:val="auto"/>
                <w:highlight w:val="none"/>
                <w:lang w:eastAsia="zh-CN"/>
              </w:rPr>
              <w:t>声环境</w:t>
            </w: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柏林镇（主要是场镇、观音村、洪河村、白马村）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restart"/>
            <w:vAlign w:val="center"/>
          </w:tcPr>
          <w:p>
            <w:pPr>
              <w:pStyle w:val="22"/>
              <w:bidi w:val="0"/>
              <w:rPr>
                <w:rFonts w:hint="default"/>
                <w:color w:val="auto"/>
                <w:highlight w:val="none"/>
                <w:lang w:val="en-US" w:eastAsia="zh-CN"/>
              </w:rPr>
            </w:pPr>
            <w:r>
              <w:rPr>
                <w:rFonts w:hint="eastAsia"/>
                <w:color w:val="auto"/>
                <w:highlight w:val="none"/>
                <w:lang w:eastAsia="zh-CN"/>
              </w:rPr>
              <w:t>矿区外扩</w:t>
            </w:r>
            <w:r>
              <w:rPr>
                <w:rFonts w:hint="eastAsia"/>
                <w:color w:val="auto"/>
                <w:highlight w:val="none"/>
                <w:lang w:val="en-US" w:eastAsia="zh-CN"/>
              </w:rPr>
              <w:t>200m范围内</w:t>
            </w:r>
          </w:p>
        </w:tc>
        <w:tc>
          <w:tcPr>
            <w:tcW w:w="4716" w:type="dxa"/>
            <w:vMerge w:val="restart"/>
            <w:vAlign w:val="center"/>
          </w:tcPr>
          <w:p>
            <w:pPr>
              <w:pStyle w:val="22"/>
              <w:bidi w:val="0"/>
              <w:rPr>
                <w:rFonts w:hint="eastAsia"/>
                <w:color w:val="auto"/>
                <w:highlight w:val="none"/>
              </w:rPr>
            </w:pPr>
            <w:r>
              <w:rPr>
                <w:rFonts w:hint="eastAsia"/>
                <w:color w:val="auto"/>
                <w:highlight w:val="none"/>
                <w:lang w:eastAsia="zh-CN"/>
              </w:rPr>
              <w:t>矿区《声环境质量标准》（GB3096—2008）</w:t>
            </w:r>
            <w:r>
              <w:rPr>
                <w:rFonts w:hint="eastAsia"/>
                <w:color w:val="auto"/>
                <w:highlight w:val="none"/>
                <w:lang w:val="en-US" w:eastAsia="zh-CN"/>
              </w:rPr>
              <w:t>2类，主要公路、铁路干线两侧边界外35m内区域为4类，主要公路、铁路干线两侧边界外35m以外农村区域为1类，确保开发利用不改变声功能区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清河镇（主要是快活村、龙洞坝村、铁峰村、沙坝村、万里坪村）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清水镇（主要是偏岩村、何家村）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/大河沟-大硐坪片区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杨家镇（主要是龙台村、安山村、群英村、皂角村）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庙坝镇（主要是黑水村、长乐村、老场村、跃进村）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/新桥红星片区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黄家乡（主要是红岭村）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中华乡（主要是中华村、桂花村）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r>
              <w:rPr>
                <w:rFonts w:hint="eastAsia"/>
                <w:color w:val="auto"/>
                <w:highlight w:val="none"/>
                <w:lang w:val="en-US" w:eastAsia="zh-CN"/>
              </w:rPr>
              <w:t>/</w:t>
            </w:r>
            <w:r>
              <w:rPr>
                <w:rFonts w:hint="eastAsia"/>
                <w:color w:val="auto"/>
                <w:highlight w:val="none"/>
                <w:lang w:eastAsia="zh-CN"/>
              </w:rPr>
              <w:t>柏林</w:t>
            </w:r>
            <w:r>
              <w:rPr>
                <w:rFonts w:hint="eastAsia"/>
                <w:color w:val="auto"/>
                <w:highlight w:val="none"/>
                <w:lang w:val="en-US" w:eastAsia="zh-CN"/>
              </w:rPr>
              <w:t>-</w:t>
            </w:r>
            <w:r>
              <w:rPr>
                <w:rFonts w:hint="eastAsia"/>
                <w:color w:val="auto"/>
                <w:highlight w:val="none"/>
                <w:lang w:eastAsia="zh-CN"/>
              </w:rPr>
              <w:t>黑滩片区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乌木镇（主要是乌木村、广子村）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eastAsia="宋体"/>
                <w:color w:val="auto"/>
                <w:highlight w:val="none"/>
                <w:lang w:eastAsia="zh-CN"/>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石桥铺镇（主要是指挥村、锁石村）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高穴镇（主要是荣华村、清滩村、月光村）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团坝镇（主要是场镇、大河村、赵家村、白坝村、新生村）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中和乡（主要是场镇、狮子村、牛心村、清凉村）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永胜乡（主要是茨竹村、光明村）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新生乡（主要是高兴村、铁板村、工农村）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周家镇（主要是八角村、月岩村、龙虎村、龙头村、西河村）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黄滩乡（主要是汇水村）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白坝乡（主要是高河村）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观音镇（主要是河石村）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天城镇（主要是场镇、龙滩村、李子村、天池村）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八渡乡（主要是华兴村、花岩村）</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/城门洞片区、观音片区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各矿井工业场地周边居民聚居点</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各矿段</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达州市百岛湖职业技术学校</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/荣华-堡子片区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五峰山国家森林公园（蒲包山片区）</w:t>
            </w:r>
          </w:p>
        </w:tc>
        <w:tc>
          <w:tcPr>
            <w:tcW w:w="268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中山明月峡段</w:t>
            </w:r>
            <w:r>
              <w:rPr>
                <w:rFonts w:hint="eastAsia"/>
                <w:color w:val="auto"/>
                <w:highlight w:val="none"/>
                <w:lang w:val="en-US" w:eastAsia="zh-CN"/>
              </w:rPr>
              <w:t>/平桥-华家沟片区</w:t>
            </w:r>
          </w:p>
        </w:tc>
        <w:tc>
          <w:tcPr>
            <w:tcW w:w="3289" w:type="dxa"/>
            <w:vMerge w:val="continue"/>
            <w:vAlign w:val="center"/>
          </w:tcPr>
          <w:p>
            <w:pPr>
              <w:pStyle w:val="22"/>
              <w:bidi w:val="0"/>
              <w:rPr>
                <w:rFonts w:hint="eastAsia"/>
                <w:color w:val="auto"/>
                <w:highlight w:val="none"/>
                <w:lang w:eastAsia="zh-CN"/>
              </w:rPr>
            </w:pP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铁路及公路</w:t>
            </w:r>
          </w:p>
        </w:tc>
        <w:tc>
          <w:tcPr>
            <w:tcW w:w="836" w:type="dxa"/>
            <w:vAlign w:val="center"/>
          </w:tcPr>
          <w:p>
            <w:pPr>
              <w:pStyle w:val="22"/>
              <w:bidi w:val="0"/>
              <w:rPr>
                <w:rFonts w:hint="eastAsia"/>
                <w:color w:val="auto"/>
                <w:highlight w:val="none"/>
              </w:rPr>
            </w:pPr>
            <w:r>
              <w:rPr>
                <w:rFonts w:hint="eastAsia"/>
                <w:color w:val="auto"/>
                <w:highlight w:val="none"/>
              </w:rPr>
              <w:t>铁路</w:t>
            </w: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西达渝高铁（尚未实施）</w:t>
            </w:r>
          </w:p>
        </w:tc>
        <w:tc>
          <w:tcPr>
            <w:tcW w:w="2680" w:type="dxa"/>
            <w:vAlign w:val="center"/>
          </w:tcPr>
          <w:p>
            <w:pPr>
              <w:pStyle w:val="22"/>
              <w:bidi w:val="0"/>
              <w:rPr>
                <w:rFonts w:hint="default"/>
                <w:color w:val="auto"/>
                <w:highlight w:val="none"/>
                <w:lang w:val="en-US"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中偏南部东北至西南走向穿越</w:t>
            </w:r>
          </w:p>
        </w:tc>
        <w:tc>
          <w:tcPr>
            <w:tcW w:w="4716" w:type="dxa"/>
            <w:vMerge w:val="restart"/>
            <w:vAlign w:val="center"/>
          </w:tcPr>
          <w:p>
            <w:pPr>
              <w:pStyle w:val="22"/>
              <w:bidi w:val="0"/>
              <w:rPr>
                <w:rFonts w:hint="eastAsia"/>
                <w:color w:val="auto"/>
                <w:highlight w:val="none"/>
                <w:lang w:eastAsia="zh-CN"/>
              </w:rPr>
            </w:pPr>
            <w:r>
              <w:rPr>
                <w:rFonts w:hint="eastAsia"/>
                <w:color w:val="auto"/>
                <w:highlight w:val="none"/>
              </w:rPr>
              <w:t>留设保护煤柱</w:t>
            </w:r>
            <w:r>
              <w:rPr>
                <w:rFonts w:hint="eastAsia"/>
                <w:color w:val="auto"/>
                <w:highlight w:val="none"/>
                <w:lang w:eastAsia="zh-CN"/>
              </w:rPr>
              <w:t>，</w:t>
            </w:r>
            <w:r>
              <w:rPr>
                <w:rFonts w:hint="eastAsia"/>
                <w:color w:val="auto"/>
                <w:highlight w:val="none"/>
              </w:rPr>
              <w:t>不影响正常交通</w:t>
            </w:r>
            <w:r>
              <w:rPr>
                <w:rFonts w:hint="eastAsia"/>
                <w:color w:val="auto"/>
                <w:highlight w:val="none"/>
                <w:lang w:eastAsia="zh-CN"/>
              </w:rPr>
              <w:t>和交通安全，随沉随填，涉及禁采区须避让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restart"/>
            <w:vAlign w:val="center"/>
          </w:tcPr>
          <w:p>
            <w:pPr>
              <w:pStyle w:val="22"/>
              <w:bidi w:val="0"/>
              <w:rPr>
                <w:rFonts w:hint="eastAsia"/>
                <w:color w:val="auto"/>
                <w:highlight w:val="none"/>
              </w:rPr>
            </w:pPr>
            <w:r>
              <w:rPr>
                <w:rFonts w:hint="eastAsia"/>
                <w:color w:val="auto"/>
                <w:highlight w:val="none"/>
              </w:rPr>
              <w:t>高速公路</w:t>
            </w: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南大梁高速</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大垫高速（尚未实施）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restart"/>
            <w:vAlign w:val="center"/>
          </w:tcPr>
          <w:p>
            <w:pPr>
              <w:pStyle w:val="22"/>
              <w:bidi w:val="0"/>
              <w:rPr>
                <w:rFonts w:hint="eastAsia"/>
                <w:color w:val="auto"/>
                <w:highlight w:val="none"/>
              </w:rPr>
            </w:pPr>
            <w:r>
              <w:rPr>
                <w:rFonts w:hint="eastAsia"/>
                <w:color w:val="auto"/>
                <w:highlight w:val="none"/>
              </w:rPr>
              <w:t>公路</w:t>
            </w: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国道G318</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华蓥山北段中部以东西走向穿越，中山段中偏北部以东西走向穿越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国道G210</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东南部以南北走向穿越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省道S404（尚未实施）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东北角以东南至西北走向穿越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省道S507（尚未实施）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华蓥山北段南部以东西走向穿越，中山段南部以东北至西南走向穿越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default"/>
                <w:color w:val="auto"/>
                <w:highlight w:val="none"/>
                <w:lang w:val="en-US" w:eastAsia="zh-CN"/>
              </w:rPr>
            </w:pPr>
            <w:r>
              <w:rPr>
                <w:rFonts w:hint="eastAsia"/>
                <w:color w:val="auto"/>
                <w:highlight w:val="none"/>
                <w:lang w:val="en-US" w:eastAsia="zh-CN"/>
              </w:rPr>
              <w:t>省道S508（尚未实施）</w:t>
            </w:r>
          </w:p>
        </w:tc>
        <w:tc>
          <w:tcPr>
            <w:tcW w:w="2680" w:type="dxa"/>
            <w:vAlign w:val="center"/>
          </w:tcPr>
          <w:p>
            <w:pPr>
              <w:pStyle w:val="22"/>
              <w:bidi w:val="0"/>
              <w:rPr>
                <w:rFonts w:hint="eastAsia"/>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中偏南部以东西走向穿越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rFonts w:hint="eastAsia"/>
                <w:color w:val="auto"/>
                <w:highlight w:val="none"/>
              </w:rPr>
            </w:pPr>
          </w:p>
        </w:tc>
        <w:tc>
          <w:tcPr>
            <w:tcW w:w="2443" w:type="dxa"/>
            <w:gridSpan w:val="3"/>
            <w:vAlign w:val="center"/>
          </w:tcPr>
          <w:p>
            <w:pPr>
              <w:pStyle w:val="22"/>
              <w:bidi w:val="0"/>
              <w:rPr>
                <w:rFonts w:hint="eastAsia"/>
                <w:color w:val="auto"/>
                <w:highlight w:val="none"/>
                <w:lang w:eastAsia="zh-CN"/>
              </w:rPr>
            </w:pPr>
            <w:r>
              <w:rPr>
                <w:rFonts w:hint="eastAsia"/>
                <w:color w:val="auto"/>
                <w:highlight w:val="none"/>
                <w:lang w:eastAsia="zh-CN"/>
              </w:rPr>
              <w:t>竹周快速路</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中部以西北至东南走向穿越</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379" w:type="dxa"/>
            <w:vMerge w:val="continue"/>
            <w:vAlign w:val="center"/>
          </w:tcPr>
          <w:p>
            <w:pPr>
              <w:pStyle w:val="22"/>
              <w:bidi w:val="0"/>
              <w:rPr>
                <w:color w:val="auto"/>
                <w:highlight w:val="none"/>
              </w:rPr>
            </w:pPr>
          </w:p>
        </w:tc>
        <w:tc>
          <w:tcPr>
            <w:tcW w:w="836" w:type="dxa"/>
            <w:vMerge w:val="continue"/>
            <w:vAlign w:val="center"/>
          </w:tcPr>
          <w:p>
            <w:pPr>
              <w:pStyle w:val="22"/>
              <w:bidi w:val="0"/>
              <w:rPr>
                <w:color w:val="auto"/>
                <w:highlight w:val="none"/>
              </w:rPr>
            </w:pPr>
          </w:p>
        </w:tc>
        <w:tc>
          <w:tcPr>
            <w:tcW w:w="2443" w:type="dxa"/>
            <w:gridSpan w:val="3"/>
            <w:vAlign w:val="center"/>
          </w:tcPr>
          <w:p>
            <w:pPr>
              <w:pStyle w:val="22"/>
              <w:bidi w:val="0"/>
              <w:rPr>
                <w:rFonts w:hint="eastAsia"/>
                <w:color w:val="auto"/>
                <w:highlight w:val="none"/>
                <w:lang w:eastAsia="zh-CN"/>
              </w:rPr>
            </w:pPr>
            <w:r>
              <w:rPr>
                <w:rFonts w:hint="eastAsia"/>
                <w:color w:val="auto"/>
                <w:highlight w:val="none"/>
              </w:rPr>
              <w:t>县道</w:t>
            </w:r>
            <w:r>
              <w:rPr>
                <w:rFonts w:hint="eastAsia"/>
                <w:color w:val="auto"/>
                <w:highlight w:val="none"/>
                <w:lang w:eastAsia="zh-CN"/>
              </w:rPr>
              <w:t>、乡道</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华蓥山北段、中山明月峡段</w:t>
            </w:r>
          </w:p>
        </w:tc>
        <w:tc>
          <w:tcPr>
            <w:tcW w:w="3289" w:type="dxa"/>
            <w:vAlign w:val="center"/>
          </w:tcPr>
          <w:p>
            <w:pPr>
              <w:pStyle w:val="22"/>
              <w:bidi w:val="0"/>
              <w:rPr>
                <w:rFonts w:hint="eastAsia"/>
                <w:color w:val="auto"/>
                <w:highlight w:val="none"/>
                <w:lang w:eastAsia="zh-CN"/>
              </w:rPr>
            </w:pPr>
            <w:r>
              <w:rPr>
                <w:rFonts w:hint="eastAsia"/>
                <w:color w:val="auto"/>
                <w:highlight w:val="none"/>
                <w:lang w:eastAsia="zh-CN"/>
              </w:rPr>
              <w:t>穿越</w:t>
            </w:r>
          </w:p>
        </w:tc>
        <w:tc>
          <w:tcPr>
            <w:tcW w:w="4716" w:type="dxa"/>
            <w:vAlign w:val="center"/>
          </w:tcPr>
          <w:p>
            <w:pPr>
              <w:pStyle w:val="22"/>
              <w:bidi w:val="0"/>
              <w:rPr>
                <w:rFonts w:hint="eastAsia"/>
                <w:color w:val="auto"/>
                <w:highlight w:val="none"/>
              </w:rPr>
            </w:pPr>
            <w:r>
              <w:rPr>
                <w:rFonts w:hint="eastAsia"/>
                <w:color w:val="auto"/>
                <w:highlight w:val="none"/>
              </w:rPr>
              <w:t>留设保护煤柱</w:t>
            </w:r>
            <w:r>
              <w:rPr>
                <w:rFonts w:hint="eastAsia"/>
                <w:color w:val="auto"/>
                <w:highlight w:val="none"/>
                <w:lang w:eastAsia="zh-CN"/>
              </w:rPr>
              <w:t>，</w:t>
            </w:r>
            <w:r>
              <w:rPr>
                <w:rFonts w:hint="eastAsia"/>
                <w:color w:val="auto"/>
                <w:highlight w:val="none"/>
              </w:rPr>
              <w:t>不影响正常交通</w:t>
            </w:r>
            <w:r>
              <w:rPr>
                <w:rFonts w:hint="eastAsia"/>
                <w:color w:val="auto"/>
                <w:highlight w:val="none"/>
                <w:lang w:eastAsia="zh-CN"/>
              </w:rPr>
              <w:t>和交通安全，随沉随填，同时环评建议调整规划范围，避让营达高速隧道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79" w:type="dxa"/>
            <w:vMerge w:val="restart"/>
            <w:vAlign w:val="center"/>
          </w:tcPr>
          <w:p>
            <w:pPr>
              <w:pStyle w:val="22"/>
              <w:bidi w:val="0"/>
              <w:rPr>
                <w:rFonts w:hint="eastAsia"/>
                <w:color w:val="auto"/>
                <w:highlight w:val="none"/>
              </w:rPr>
            </w:pPr>
            <w:r>
              <w:rPr>
                <w:rFonts w:hint="eastAsia"/>
                <w:color w:val="auto"/>
                <w:highlight w:val="none"/>
              </w:rPr>
              <w:t>输</w:t>
            </w:r>
            <w:r>
              <w:rPr>
                <w:rFonts w:hint="eastAsia"/>
                <w:color w:val="auto"/>
                <w:highlight w:val="none"/>
                <w:lang w:eastAsia="zh-CN"/>
              </w:rPr>
              <w:t>供</w:t>
            </w:r>
            <w:r>
              <w:rPr>
                <w:rFonts w:hint="eastAsia"/>
                <w:color w:val="auto"/>
                <w:highlight w:val="none"/>
              </w:rPr>
              <w:t>电线路</w:t>
            </w: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清河变电站</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w:t>
            </w:r>
          </w:p>
        </w:tc>
        <w:tc>
          <w:tcPr>
            <w:tcW w:w="3289" w:type="dxa"/>
            <w:vAlign w:val="center"/>
          </w:tcPr>
          <w:p>
            <w:pPr>
              <w:pStyle w:val="22"/>
              <w:bidi w:val="0"/>
              <w:rPr>
                <w:rFonts w:hint="eastAsia" w:eastAsia="宋体"/>
                <w:color w:val="auto"/>
                <w:highlight w:val="none"/>
                <w:lang w:eastAsia="zh-CN"/>
              </w:rPr>
            </w:pPr>
            <w:r>
              <w:rPr>
                <w:rFonts w:hint="eastAsia"/>
                <w:color w:val="auto"/>
                <w:highlight w:val="none"/>
                <w:lang w:eastAsia="zh-CN"/>
              </w:rPr>
              <w:t>规划区内北部</w:t>
            </w:r>
          </w:p>
        </w:tc>
        <w:tc>
          <w:tcPr>
            <w:tcW w:w="4716" w:type="dxa"/>
            <w:vMerge w:val="restart"/>
            <w:vAlign w:val="center"/>
          </w:tcPr>
          <w:p>
            <w:pPr>
              <w:pStyle w:val="22"/>
              <w:bidi w:val="0"/>
              <w:rPr>
                <w:rFonts w:hint="eastAsia"/>
                <w:color w:val="auto"/>
                <w:highlight w:val="none"/>
              </w:rPr>
            </w:pPr>
            <w:r>
              <w:rPr>
                <w:rFonts w:hint="eastAsia"/>
                <w:color w:val="auto"/>
                <w:highlight w:val="none"/>
              </w:rPr>
              <w:t>确保</w:t>
            </w:r>
            <w:r>
              <w:rPr>
                <w:rFonts w:hint="eastAsia"/>
                <w:color w:val="auto"/>
                <w:highlight w:val="none"/>
                <w:lang w:eastAsia="zh-CN"/>
              </w:rPr>
              <w:t>输</w:t>
            </w:r>
            <w:r>
              <w:rPr>
                <w:rFonts w:hint="eastAsia"/>
                <w:color w:val="auto"/>
                <w:highlight w:val="none"/>
              </w:rPr>
              <w:t>供电工程不受采煤沉陷影响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中华变电站</w:t>
            </w:r>
          </w:p>
        </w:tc>
        <w:tc>
          <w:tcPr>
            <w:tcW w:w="2680" w:type="dxa"/>
            <w:vAlign w:val="center"/>
          </w:tcPr>
          <w:p>
            <w:pPr>
              <w:pStyle w:val="22"/>
              <w:bidi w:val="0"/>
              <w:rPr>
                <w:rFonts w:hint="eastAsia"/>
                <w:color w:val="auto"/>
                <w:highlight w:val="none"/>
              </w:rPr>
            </w:pPr>
            <w:r>
              <w:rPr>
                <w:rFonts w:hint="eastAsia"/>
                <w:color w:val="auto"/>
                <w:highlight w:val="none"/>
                <w:lang w:eastAsia="zh-CN"/>
              </w:rPr>
              <w:t>华蓥山北段</w:t>
            </w:r>
          </w:p>
        </w:tc>
        <w:tc>
          <w:tcPr>
            <w:tcW w:w="3289" w:type="dxa"/>
            <w:vAlign w:val="center"/>
          </w:tcPr>
          <w:p>
            <w:pPr>
              <w:pStyle w:val="22"/>
              <w:bidi w:val="0"/>
              <w:rPr>
                <w:rFonts w:hint="eastAsia"/>
                <w:color w:val="auto"/>
                <w:highlight w:val="none"/>
              </w:rPr>
            </w:pPr>
            <w:r>
              <w:rPr>
                <w:rFonts w:hint="eastAsia"/>
                <w:color w:val="auto"/>
                <w:highlight w:val="none"/>
                <w:lang w:eastAsia="zh-CN"/>
              </w:rPr>
              <w:t>规划区内中部</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清潭子变电站</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color w:val="auto"/>
                <w:highlight w:val="none"/>
              </w:rPr>
            </w:pPr>
            <w:r>
              <w:rPr>
                <w:rFonts w:hint="eastAsia"/>
                <w:color w:val="auto"/>
                <w:highlight w:val="none"/>
                <w:lang w:eastAsia="zh-CN"/>
              </w:rPr>
              <w:t>规划区内南部</w:t>
            </w:r>
          </w:p>
        </w:tc>
        <w:tc>
          <w:tcPr>
            <w:tcW w:w="4716" w:type="dxa"/>
            <w:vMerge w:val="continue"/>
            <w:vAlign w:val="center"/>
          </w:tcPr>
          <w:p>
            <w:pPr>
              <w:pStyle w:val="22"/>
              <w:bidi w:val="0"/>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restart"/>
            <w:vAlign w:val="center"/>
          </w:tcPr>
          <w:p>
            <w:pPr>
              <w:pStyle w:val="22"/>
              <w:bidi w:val="0"/>
              <w:rPr>
                <w:rFonts w:hint="eastAsia" w:eastAsia="宋体"/>
                <w:color w:val="auto"/>
                <w:highlight w:val="none"/>
                <w:lang w:eastAsia="zh-CN"/>
              </w:rPr>
            </w:pPr>
            <w:r>
              <w:rPr>
                <w:rFonts w:hint="eastAsia"/>
                <w:color w:val="auto"/>
                <w:highlight w:val="none"/>
              </w:rPr>
              <w:t>文物</w:t>
            </w: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清河街道建筑群</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北部东侧</w:t>
            </w:r>
            <w:r>
              <w:rPr>
                <w:rFonts w:hint="eastAsia"/>
                <w:color w:val="auto"/>
                <w:highlight w:val="none"/>
                <w:lang w:val="en-US" w:eastAsia="zh-CN"/>
              </w:rPr>
              <w:t>500m</w:t>
            </w:r>
          </w:p>
        </w:tc>
        <w:tc>
          <w:tcPr>
            <w:tcW w:w="4716" w:type="dxa"/>
            <w:vAlign w:val="center"/>
          </w:tcPr>
          <w:p>
            <w:pPr>
              <w:pStyle w:val="22"/>
              <w:bidi w:val="0"/>
              <w:rPr>
                <w:rFonts w:hint="eastAsia"/>
                <w:color w:val="auto"/>
                <w:highlight w:val="none"/>
              </w:rPr>
            </w:pPr>
            <w:r>
              <w:rPr>
                <w:rFonts w:hint="eastAsia"/>
                <w:color w:val="auto"/>
                <w:highlight w:val="none"/>
                <w:lang w:eastAsia="zh-CN"/>
              </w:rPr>
              <w:t>省级文物保护单位，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平滩河牌坊</w:t>
            </w:r>
          </w:p>
        </w:tc>
        <w:tc>
          <w:tcPr>
            <w:tcW w:w="2680"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华蓥山北段</w:t>
            </w:r>
          </w:p>
        </w:tc>
        <w:tc>
          <w:tcPr>
            <w:tcW w:w="3289"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eastAsia="zh-CN"/>
              </w:rPr>
              <w:t>中偏北部东侧</w:t>
            </w:r>
            <w:r>
              <w:rPr>
                <w:rFonts w:hint="eastAsia"/>
                <w:color w:val="auto"/>
                <w:highlight w:val="none"/>
                <w:lang w:val="en-US" w:eastAsia="zh-CN"/>
              </w:rPr>
              <w:t>790m</w:t>
            </w:r>
          </w:p>
        </w:tc>
        <w:tc>
          <w:tcPr>
            <w:tcW w:w="4716" w:type="dxa"/>
            <w:vAlign w:val="center"/>
          </w:tcPr>
          <w:p>
            <w:pPr>
              <w:pStyle w:val="22"/>
              <w:bidi w:val="0"/>
              <w:rPr>
                <w:rFonts w:hint="eastAsia"/>
                <w:color w:val="auto"/>
                <w:highlight w:val="none"/>
              </w:rPr>
            </w:pPr>
            <w:r>
              <w:rPr>
                <w:rFonts w:hint="eastAsia"/>
                <w:color w:val="auto"/>
                <w:highlight w:val="none"/>
                <w:lang w:eastAsia="zh-CN"/>
              </w:rPr>
              <w:t>省级文物保护单位，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观音村千佛岩摩崖造像</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北部西侧</w:t>
            </w:r>
            <w:r>
              <w:rPr>
                <w:rFonts w:hint="eastAsia"/>
                <w:color w:val="auto"/>
                <w:highlight w:val="none"/>
                <w:lang w:val="en-US" w:eastAsia="zh-CN"/>
              </w:rPr>
              <w:t>670m</w:t>
            </w:r>
          </w:p>
        </w:tc>
        <w:tc>
          <w:tcPr>
            <w:tcW w:w="4716" w:type="dxa"/>
            <w:vAlign w:val="center"/>
          </w:tcPr>
          <w:p>
            <w:pPr>
              <w:pStyle w:val="22"/>
              <w:bidi w:val="0"/>
              <w:rPr>
                <w:rFonts w:hint="eastAsia"/>
                <w:color w:val="auto"/>
                <w:highlight w:val="none"/>
              </w:rPr>
            </w:pPr>
            <w:r>
              <w:rPr>
                <w:rFonts w:hint="eastAsia"/>
                <w:color w:val="auto"/>
                <w:highlight w:val="none"/>
                <w:lang w:eastAsia="zh-CN"/>
              </w:rPr>
              <w:t>市级文物保护单位，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岩莲公塔</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中山明月峡段</w:t>
            </w:r>
          </w:p>
        </w:tc>
        <w:tc>
          <w:tcPr>
            <w:tcW w:w="3289" w:type="dxa"/>
            <w:vAlign w:val="center"/>
          </w:tcPr>
          <w:p>
            <w:pPr>
              <w:pStyle w:val="22"/>
              <w:bidi w:val="0"/>
              <w:rPr>
                <w:rFonts w:hint="eastAsia" w:eastAsia="宋体"/>
                <w:color w:val="auto"/>
                <w:highlight w:val="none"/>
                <w:lang w:eastAsia="zh-CN"/>
              </w:rPr>
            </w:pPr>
            <w:r>
              <w:rPr>
                <w:rFonts w:hint="eastAsia"/>
                <w:color w:val="auto"/>
                <w:highlight w:val="none"/>
                <w:lang w:eastAsia="zh-CN"/>
              </w:rPr>
              <w:t>规划区范围内中部</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color w:val="auto"/>
                <w:highlight w:val="none"/>
              </w:rPr>
            </w:pPr>
            <w:r>
              <w:rPr>
                <w:rFonts w:hint="eastAsia"/>
                <w:color w:val="auto"/>
                <w:highlight w:val="none"/>
              </w:rPr>
              <w:t>柏林范家院</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color w:val="auto"/>
                <w:highlight w:val="none"/>
              </w:rPr>
            </w:pPr>
            <w:r>
              <w:rPr>
                <w:rFonts w:hint="eastAsia"/>
                <w:color w:val="auto"/>
                <w:highlight w:val="none"/>
                <w:lang w:eastAsia="zh-CN"/>
              </w:rPr>
              <w:t>规划区范围内东北角</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踏水桥</w:t>
            </w:r>
          </w:p>
        </w:tc>
        <w:tc>
          <w:tcPr>
            <w:tcW w:w="2680"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3289" w:type="dxa"/>
            <w:vAlign w:val="center"/>
          </w:tcPr>
          <w:p>
            <w:pPr>
              <w:pStyle w:val="22"/>
              <w:bidi w:val="0"/>
              <w:rPr>
                <w:color w:val="auto"/>
                <w:highlight w:val="none"/>
              </w:rPr>
            </w:pPr>
            <w:r>
              <w:rPr>
                <w:rFonts w:hint="eastAsia"/>
                <w:color w:val="auto"/>
                <w:highlight w:val="none"/>
                <w:lang w:eastAsia="zh-CN"/>
              </w:rPr>
              <w:t>北部东侧</w:t>
            </w:r>
            <w:r>
              <w:rPr>
                <w:rFonts w:hint="eastAsia"/>
                <w:color w:val="auto"/>
                <w:highlight w:val="none"/>
                <w:lang w:val="en-US" w:eastAsia="zh-CN"/>
              </w:rPr>
              <w:t>620m</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379" w:type="dxa"/>
            <w:vMerge w:val="continue"/>
            <w:vAlign w:val="center"/>
          </w:tcPr>
          <w:p>
            <w:pPr>
              <w:pStyle w:val="22"/>
              <w:bidi w:val="0"/>
              <w:rPr>
                <w:rFonts w:hint="eastAsia"/>
                <w:color w:val="auto"/>
                <w:highlight w:val="none"/>
              </w:rPr>
            </w:pPr>
          </w:p>
        </w:tc>
        <w:tc>
          <w:tcPr>
            <w:tcW w:w="3279" w:type="dxa"/>
            <w:gridSpan w:val="4"/>
            <w:vAlign w:val="center"/>
          </w:tcPr>
          <w:p>
            <w:pPr>
              <w:pStyle w:val="22"/>
              <w:bidi w:val="0"/>
              <w:rPr>
                <w:rFonts w:hint="eastAsia" w:eastAsia="宋体"/>
                <w:color w:val="auto"/>
                <w:highlight w:val="none"/>
                <w:lang w:eastAsia="zh-CN"/>
              </w:rPr>
            </w:pPr>
            <w:r>
              <w:rPr>
                <w:rFonts w:hint="eastAsia"/>
                <w:color w:val="auto"/>
                <w:highlight w:val="none"/>
                <w:lang w:eastAsia="zh-CN"/>
              </w:rPr>
              <w:t>三拱桥</w:t>
            </w:r>
          </w:p>
        </w:tc>
        <w:tc>
          <w:tcPr>
            <w:tcW w:w="2680" w:type="dxa"/>
            <w:vAlign w:val="center"/>
          </w:tcPr>
          <w:p>
            <w:pPr>
              <w:pStyle w:val="22"/>
              <w:bidi w:val="0"/>
              <w:rPr>
                <w:color w:val="auto"/>
                <w:highlight w:val="none"/>
              </w:rPr>
            </w:pPr>
            <w:r>
              <w:rPr>
                <w:rFonts w:hint="eastAsia"/>
                <w:color w:val="auto"/>
                <w:highlight w:val="none"/>
                <w:lang w:eastAsia="zh-CN"/>
              </w:rPr>
              <w:t>华蓥山北段</w:t>
            </w:r>
          </w:p>
        </w:tc>
        <w:tc>
          <w:tcPr>
            <w:tcW w:w="3289"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中部东侧</w:t>
            </w:r>
            <w:r>
              <w:rPr>
                <w:rFonts w:hint="eastAsia"/>
                <w:color w:val="auto"/>
                <w:highlight w:val="none"/>
                <w:lang w:val="en-US" w:eastAsia="zh-CN"/>
              </w:rPr>
              <w:t>770m</w:t>
            </w:r>
          </w:p>
        </w:tc>
        <w:tc>
          <w:tcPr>
            <w:tcW w:w="4716" w:type="dxa"/>
            <w:vAlign w:val="center"/>
          </w:tcPr>
          <w:p>
            <w:pPr>
              <w:pStyle w:val="22"/>
              <w:bidi w:val="0"/>
              <w:rPr>
                <w:rFonts w:hint="eastAsia"/>
                <w:color w:val="auto"/>
                <w:highlight w:val="none"/>
              </w:rPr>
            </w:pPr>
            <w:r>
              <w:rPr>
                <w:rFonts w:hint="eastAsia"/>
                <w:color w:val="auto"/>
                <w:highlight w:val="none"/>
                <w:lang w:eastAsia="zh-CN"/>
              </w:rPr>
              <w:t>县级文物保护单位，</w:t>
            </w:r>
            <w:r>
              <w:rPr>
                <w:rFonts w:hint="eastAsia"/>
                <w:color w:val="auto"/>
                <w:highlight w:val="none"/>
              </w:rPr>
              <w:t>保证文物不受采煤沉陷</w:t>
            </w:r>
            <w:r>
              <w:rPr>
                <w:rFonts w:hint="eastAsia"/>
                <w:color w:val="auto"/>
                <w:highlight w:val="none"/>
                <w:lang w:eastAsia="zh-CN"/>
              </w:rPr>
              <w:t>等</w:t>
            </w:r>
            <w:r>
              <w:rPr>
                <w:rFonts w:hint="eastAsia"/>
                <w:color w:val="auto"/>
                <w:highlight w:val="none"/>
              </w:rPr>
              <w:t>影响</w:t>
            </w:r>
          </w:p>
        </w:tc>
      </w:tr>
    </w:tbl>
    <w:p>
      <w:pPr>
        <w:pStyle w:val="11"/>
        <w:rPr>
          <w:color w:val="auto"/>
          <w:highlight w:val="none"/>
        </w:rPr>
        <w:sectPr>
          <w:pgSz w:w="16840" w:h="11910" w:orient="landscape"/>
          <w:pgMar w:top="1260" w:right="1360" w:bottom="1240" w:left="1000" w:header="902" w:footer="804" w:gutter="0"/>
          <w:pgBorders>
            <w:top w:val="none" w:sz="0" w:space="0"/>
            <w:left w:val="none" w:sz="0" w:space="0"/>
            <w:bottom w:val="none" w:sz="0" w:space="0"/>
            <w:right w:val="none" w:sz="0" w:space="0"/>
          </w:pgBorders>
          <w:pgNumType w:fmt="decimal"/>
          <w:cols w:space="720" w:num="1"/>
        </w:sectPr>
      </w:pPr>
    </w:p>
    <w:p>
      <w:pPr>
        <w:pStyle w:val="5"/>
        <w:numPr>
          <w:ilvl w:val="1"/>
          <w:numId w:val="5"/>
        </w:numPr>
        <w:bidi w:val="0"/>
        <w:rPr>
          <w:color w:val="auto"/>
          <w:highlight w:val="none"/>
        </w:rPr>
      </w:pPr>
      <w:bookmarkStart w:id="244" w:name="3.5 规划实施的主要资源、环境限制因素分析与评价"/>
      <w:bookmarkEnd w:id="244"/>
      <w:bookmarkStart w:id="245" w:name="_bookmark19"/>
      <w:bookmarkEnd w:id="245"/>
      <w:bookmarkStart w:id="246" w:name="_Toc2999"/>
      <w:bookmarkStart w:id="247" w:name="_Toc26559"/>
      <w:r>
        <w:rPr>
          <w:color w:val="auto"/>
          <w:highlight w:val="none"/>
        </w:rPr>
        <w:t>规划实施的主要资源、环境限制因素分析与评价</w:t>
      </w:r>
      <w:bookmarkEnd w:id="246"/>
      <w:bookmarkEnd w:id="247"/>
    </w:p>
    <w:p>
      <w:pPr>
        <w:bidi w:val="0"/>
        <w:outlineLvl w:val="2"/>
        <w:rPr>
          <w:color w:val="auto"/>
          <w:highlight w:val="none"/>
        </w:rPr>
      </w:pPr>
      <w:bookmarkStart w:id="248" w:name="_Toc28125"/>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水资源</w:t>
      </w:r>
      <w:bookmarkEnd w:id="248"/>
    </w:p>
    <w:p>
      <w:pPr>
        <w:bidi w:val="0"/>
        <w:rPr>
          <w:color w:val="auto"/>
          <w:highlight w:val="none"/>
        </w:rPr>
      </w:pPr>
      <w:r>
        <w:rPr>
          <w:color w:val="auto"/>
          <w:highlight w:val="none"/>
        </w:rPr>
        <w:t>矿区各规划矿井均为已有矿井，根据各矿井实际情况，生活用水为各矿井工业场地附近山泉水</w:t>
      </w:r>
      <w:r>
        <w:rPr>
          <w:rFonts w:hint="eastAsia"/>
          <w:color w:val="auto"/>
          <w:highlight w:val="none"/>
          <w:lang w:eastAsia="zh-CN"/>
        </w:rPr>
        <w:t>、地下水、矿井水或自来水</w:t>
      </w:r>
      <w:r>
        <w:rPr>
          <w:color w:val="auto"/>
          <w:highlight w:val="none"/>
        </w:rPr>
        <w:t>，生产用水使用矿井涌水，污废水</w:t>
      </w:r>
      <w:r>
        <w:rPr>
          <w:rFonts w:hint="eastAsia"/>
          <w:color w:val="auto"/>
          <w:highlight w:val="none"/>
          <w:lang w:eastAsia="zh-CN"/>
        </w:rPr>
        <w:t>最大程度</w:t>
      </w:r>
      <w:r>
        <w:rPr>
          <w:color w:val="auto"/>
          <w:highlight w:val="none"/>
        </w:rPr>
        <w:t>综合利用，</w:t>
      </w:r>
      <w:r>
        <w:rPr>
          <w:rFonts w:hint="eastAsia"/>
          <w:color w:val="auto"/>
          <w:highlight w:val="none"/>
          <w:lang w:eastAsia="zh-CN"/>
        </w:rPr>
        <w:t>少量废水处理达标后</w:t>
      </w:r>
      <w:r>
        <w:rPr>
          <w:color w:val="auto"/>
          <w:highlight w:val="none"/>
        </w:rPr>
        <w:t>外排，这样一方面节约水资源，另一方面也不会对周边</w:t>
      </w:r>
      <w:r>
        <w:rPr>
          <w:rFonts w:hint="eastAsia"/>
          <w:color w:val="auto"/>
          <w:highlight w:val="none"/>
          <w:lang w:eastAsia="zh-CN"/>
        </w:rPr>
        <w:t>地表水环境、</w:t>
      </w:r>
      <w:r>
        <w:rPr>
          <w:color w:val="auto"/>
          <w:highlight w:val="none"/>
        </w:rPr>
        <w:t>土壤环境、地下水环境造成污染影响。</w:t>
      </w:r>
    </w:p>
    <w:p>
      <w:pPr>
        <w:bidi w:val="0"/>
        <w:rPr>
          <w:color w:val="auto"/>
          <w:highlight w:val="none"/>
        </w:rPr>
      </w:pPr>
      <w:r>
        <w:rPr>
          <w:color w:val="auto"/>
          <w:highlight w:val="none"/>
        </w:rPr>
        <w:t>但由于矿区长期的地下采煤活动，可能破坏地下含水层结构，造成地下水位下降或疏干，造成地表干旱现象，可能导致农作物及植被生长受到威胁，</w:t>
      </w:r>
      <w:r>
        <w:rPr>
          <w:rFonts w:hint="eastAsia"/>
          <w:color w:val="auto"/>
          <w:highlight w:val="none"/>
          <w:lang w:eastAsia="zh-CN"/>
        </w:rPr>
        <w:t>可能</w:t>
      </w:r>
      <w:r>
        <w:rPr>
          <w:color w:val="auto"/>
          <w:highlight w:val="none"/>
        </w:rPr>
        <w:t>呈逐年加重趋势。</w:t>
      </w:r>
    </w:p>
    <w:p>
      <w:pPr>
        <w:bidi w:val="0"/>
        <w:outlineLvl w:val="2"/>
        <w:rPr>
          <w:color w:val="auto"/>
          <w:highlight w:val="none"/>
        </w:rPr>
      </w:pPr>
      <w:bookmarkStart w:id="249" w:name="_Toc5873"/>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土地资源</w:t>
      </w:r>
      <w:bookmarkEnd w:id="249"/>
    </w:p>
    <w:p>
      <w:pPr>
        <w:bidi w:val="0"/>
        <w:rPr>
          <w:color w:val="auto"/>
          <w:highlight w:val="none"/>
        </w:rPr>
      </w:pPr>
      <w:r>
        <w:rPr>
          <w:color w:val="auto"/>
          <w:highlight w:val="none"/>
        </w:rPr>
        <w:t>矿区土地利用现状以</w:t>
      </w:r>
      <w:r>
        <w:rPr>
          <w:rFonts w:hint="eastAsia"/>
          <w:color w:val="auto"/>
          <w:highlight w:val="none"/>
          <w:lang w:eastAsia="zh-CN"/>
        </w:rPr>
        <w:t>耕地、林地</w:t>
      </w:r>
      <w:r>
        <w:rPr>
          <w:color w:val="auto"/>
          <w:highlight w:val="none"/>
        </w:rPr>
        <w:t>为主，旱地次之，煤炭开采地表变形移动对土地资源的破坏面积较大，沉陷区实施“边开采、边复垦、边利用”的生态综合防护与恢复措施，采煤过程会对土地资源产生影响，采煤结束、沉陷土地稳定后可恢复原有土地使用功能。因此，在按相关要求缴纳补偿费、对受影响居民的耕地做好补偿和土地复垦的情况下，土地资源对矿区开发制约程度不大。</w:t>
      </w:r>
    </w:p>
    <w:p>
      <w:pPr>
        <w:bidi w:val="0"/>
        <w:outlineLvl w:val="2"/>
        <w:rPr>
          <w:color w:val="auto"/>
          <w:highlight w:val="none"/>
        </w:rPr>
      </w:pPr>
      <w:bookmarkStart w:id="250" w:name="_Toc20574"/>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固体废物综合处置</w:t>
      </w:r>
      <w:bookmarkEnd w:id="250"/>
    </w:p>
    <w:p>
      <w:pPr>
        <w:bidi w:val="0"/>
        <w:rPr>
          <w:color w:val="auto"/>
          <w:highlight w:val="none"/>
        </w:rPr>
      </w:pPr>
      <w:r>
        <w:rPr>
          <w:color w:val="auto"/>
          <w:highlight w:val="none"/>
        </w:rPr>
        <w:t>矿区开发产生的固体废弃物，如矸石、生活垃圾等，若不能综合利用和安全处置，必然会给周边环境带来一定影响，如压占土地、污染地下水及扬尘等。因此，矿区固体废物综合利用和安全处置也是矿区发展的制约因子。</w:t>
      </w:r>
    </w:p>
    <w:p>
      <w:pPr>
        <w:bidi w:val="0"/>
        <w:outlineLvl w:val="2"/>
        <w:rPr>
          <w:color w:val="auto"/>
          <w:highlight w:val="none"/>
        </w:rPr>
      </w:pPr>
      <w:bookmarkStart w:id="251" w:name="_Toc4428"/>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生态环境</w:t>
      </w:r>
      <w:bookmarkEnd w:id="251"/>
    </w:p>
    <w:p>
      <w:pPr>
        <w:bidi w:val="0"/>
        <w:rPr>
          <w:rFonts w:hint="eastAsia"/>
          <w:color w:val="auto"/>
          <w:highlight w:val="none"/>
          <w:lang w:eastAsia="zh-CN"/>
        </w:rPr>
      </w:pPr>
      <w:r>
        <w:rPr>
          <w:color w:val="auto"/>
          <w:highlight w:val="none"/>
        </w:rPr>
        <w:t>查阅相关资料结合现场踏勘，</w:t>
      </w:r>
      <w:r>
        <w:rPr>
          <w:rFonts w:hint="eastAsia"/>
          <w:color w:val="auto"/>
          <w:highlight w:val="none"/>
          <w:lang w:eastAsia="zh-CN"/>
        </w:rPr>
        <w:t>本规划</w:t>
      </w:r>
      <w:r>
        <w:rPr>
          <w:color w:val="auto"/>
          <w:highlight w:val="none"/>
        </w:rPr>
        <w:t>矿区煤矿开采未对区域生态造成演替性破坏，但是由于煤矿开采强度的逐渐扩大，地表塌陷治理的相对滞后，煤矿开发引发的地面沉陷，导致局部区域土根据历年遥感影像对比调查可以看出，矿区（特别是沉陷区）地表植被呈逐年退化的趋势。壤侵蚀的加剧</w:t>
      </w:r>
      <w:r>
        <w:rPr>
          <w:rFonts w:hint="eastAsia"/>
          <w:color w:val="auto"/>
          <w:highlight w:val="none"/>
          <w:lang w:eastAsia="zh-CN"/>
        </w:rPr>
        <w:t>。</w:t>
      </w:r>
    </w:p>
    <w:p>
      <w:pPr>
        <w:bidi w:val="0"/>
        <w:outlineLvl w:val="2"/>
        <w:rPr>
          <w:rFonts w:hint="eastAsia"/>
          <w:color w:val="auto"/>
          <w:highlight w:val="none"/>
          <w:lang w:eastAsia="zh-CN"/>
        </w:rPr>
      </w:pPr>
      <w:bookmarkStart w:id="252" w:name="_Toc9553"/>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）环境空气</w:t>
      </w:r>
      <w:bookmarkEnd w:id="252"/>
    </w:p>
    <w:p>
      <w:pPr>
        <w:bidi w:val="0"/>
        <w:rPr>
          <w:rFonts w:hint="default"/>
          <w:color w:val="auto"/>
          <w:highlight w:val="none"/>
          <w:lang w:val="en-US" w:eastAsia="zh-CN"/>
        </w:rPr>
      </w:pPr>
      <w:r>
        <w:rPr>
          <w:rFonts w:hint="eastAsia"/>
          <w:color w:val="auto"/>
          <w:highlight w:val="none"/>
          <w:lang w:val="en-US" w:eastAsia="zh-CN"/>
        </w:rPr>
        <w:t>2020年</w:t>
      </w:r>
      <w:r>
        <w:rPr>
          <w:rFonts w:hint="eastAsia"/>
          <w:color w:val="auto"/>
          <w:highlight w:val="none"/>
          <w:lang w:eastAsia="zh-CN"/>
        </w:rPr>
        <w:t>大竹县环境空气质量评价为不达标区，主要超标因子为</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lang w:val="en-US" w:eastAsia="zh-CN"/>
        </w:rPr>
        <w:t>，本规划区煤矿开采过程中不可避免产生扬尘等颗粒物污染物，</w:t>
      </w:r>
      <w:r>
        <w:rPr>
          <w:color w:val="auto"/>
          <w:highlight w:val="none"/>
        </w:rPr>
        <w:t>因此，</w:t>
      </w:r>
      <w:r>
        <w:rPr>
          <w:rFonts w:hint="eastAsia"/>
          <w:color w:val="auto"/>
          <w:highlight w:val="none"/>
          <w:lang w:eastAsia="zh-CN"/>
        </w:rPr>
        <w:t>环境空气</w:t>
      </w:r>
      <w:r>
        <w:rPr>
          <w:color w:val="auto"/>
          <w:highlight w:val="none"/>
        </w:rPr>
        <w:t>也是矿区发展的制约因子</w:t>
      </w:r>
      <w:r>
        <w:rPr>
          <w:rFonts w:hint="eastAsia"/>
          <w:color w:val="auto"/>
          <w:highlight w:val="none"/>
          <w:lang w:eastAsia="zh-CN"/>
        </w:rPr>
        <w:t>之一</w:t>
      </w:r>
      <w:r>
        <w:rPr>
          <w:color w:val="auto"/>
          <w:highlight w:val="none"/>
        </w:rPr>
        <w:t>。</w:t>
      </w:r>
    </w:p>
    <w:p>
      <w:pPr>
        <w:bidi w:val="0"/>
        <w:outlineLvl w:val="2"/>
        <w:rPr>
          <w:rFonts w:hint="eastAsia"/>
          <w:color w:val="auto"/>
          <w:highlight w:val="none"/>
          <w:lang w:eastAsia="zh-CN"/>
        </w:rPr>
      </w:pPr>
      <w:bookmarkStart w:id="253" w:name="_Toc18814"/>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）地表水环境、水环境容量</w:t>
      </w:r>
      <w:bookmarkEnd w:id="253"/>
    </w:p>
    <w:p>
      <w:pPr>
        <w:bidi w:val="0"/>
        <w:rPr>
          <w:color w:val="auto"/>
          <w:highlight w:val="none"/>
        </w:rPr>
      </w:pPr>
      <w:r>
        <w:rPr>
          <w:rFonts w:hint="eastAsia"/>
          <w:color w:val="auto"/>
          <w:highlight w:val="none"/>
          <w:lang w:eastAsia="zh-CN"/>
        </w:rPr>
        <w:t>根据调查分析，大竹县无大江大河，仅有</w:t>
      </w:r>
      <w:r>
        <w:rPr>
          <w:rFonts w:hint="eastAsia"/>
          <w:color w:val="auto"/>
          <w:highlight w:val="none"/>
          <w:lang w:val="en-US" w:eastAsia="zh-CN"/>
        </w:rPr>
        <w:t>4条小河支撑整个县的发展，目前大竹县县域内的地表水系存在部分支、干流不满足《地表水环境质量标准》（GB3838-2002）</w:t>
      </w:r>
      <w:r>
        <w:rPr>
          <w:rFonts w:hint="eastAsia" w:ascii="宋体" w:hAnsi="宋体" w:eastAsia="宋体" w:cs="宋体"/>
          <w:color w:val="auto"/>
          <w:highlight w:val="none"/>
          <w:lang w:val="en-US" w:eastAsia="zh-CN"/>
        </w:rPr>
        <w:t>Ⅲ</w:t>
      </w:r>
      <w:r>
        <w:rPr>
          <w:rFonts w:hint="eastAsia"/>
          <w:color w:val="auto"/>
          <w:highlight w:val="none"/>
          <w:lang w:val="en-US" w:eastAsia="zh-CN"/>
        </w:rPr>
        <w:t>类水质要求，各水系的水环境承载力有限，各矿井的生产废水及生活污水都经处理</w:t>
      </w:r>
      <w:r>
        <w:rPr>
          <w:color w:val="auto"/>
          <w:highlight w:val="none"/>
        </w:rPr>
        <w:t>后</w:t>
      </w:r>
      <w:r>
        <w:rPr>
          <w:rFonts w:hint="eastAsia"/>
          <w:color w:val="auto"/>
          <w:highlight w:val="none"/>
          <w:lang w:eastAsia="zh-CN"/>
        </w:rPr>
        <w:t>最大程度</w:t>
      </w:r>
      <w:r>
        <w:rPr>
          <w:color w:val="auto"/>
          <w:highlight w:val="none"/>
        </w:rPr>
        <w:t>综合利用</w:t>
      </w:r>
      <w:r>
        <w:rPr>
          <w:rFonts w:hint="eastAsia"/>
          <w:color w:val="auto"/>
          <w:highlight w:val="none"/>
          <w:lang w:eastAsia="zh-CN"/>
        </w:rPr>
        <w:t>，少量外排（达标）</w:t>
      </w:r>
      <w:r>
        <w:rPr>
          <w:color w:val="auto"/>
          <w:highlight w:val="none"/>
        </w:rPr>
        <w:t>。</w:t>
      </w:r>
      <w:r>
        <w:rPr>
          <w:rFonts w:hint="eastAsia"/>
          <w:color w:val="auto"/>
          <w:highlight w:val="none"/>
          <w:lang w:eastAsia="zh-CN"/>
        </w:rPr>
        <w:t>地表水环境、水环境容量</w:t>
      </w:r>
      <w:r>
        <w:rPr>
          <w:color w:val="auto"/>
          <w:highlight w:val="none"/>
        </w:rPr>
        <w:t>也是矿区发展的制约因子</w:t>
      </w:r>
      <w:r>
        <w:rPr>
          <w:rFonts w:hint="eastAsia"/>
          <w:color w:val="auto"/>
          <w:highlight w:val="none"/>
          <w:lang w:eastAsia="zh-CN"/>
        </w:rPr>
        <w:t>之一</w:t>
      </w:r>
      <w:r>
        <w:rPr>
          <w:color w:val="auto"/>
          <w:highlight w:val="none"/>
        </w:rPr>
        <w:t>。</w:t>
      </w:r>
    </w:p>
    <w:p>
      <w:pPr>
        <w:bidi w:val="0"/>
        <w:rPr>
          <w:color w:val="auto"/>
          <w:highlight w:val="none"/>
        </w:rPr>
      </w:pPr>
      <w:r>
        <w:rPr>
          <w:color w:val="auto"/>
          <w:highlight w:val="none"/>
        </w:rPr>
        <w:t>综上，矿区所处地区是一个生态环境</w:t>
      </w:r>
      <w:r>
        <w:rPr>
          <w:rFonts w:hint="eastAsia"/>
          <w:color w:val="auto"/>
          <w:highlight w:val="none"/>
          <w:lang w:eastAsia="zh-CN"/>
        </w:rPr>
        <w:t>一般</w:t>
      </w:r>
      <w:r>
        <w:rPr>
          <w:color w:val="auto"/>
          <w:highlight w:val="none"/>
        </w:rPr>
        <w:t>的地区，</w:t>
      </w:r>
      <w:r>
        <w:rPr>
          <w:rFonts w:hint="eastAsia"/>
          <w:color w:val="auto"/>
          <w:highlight w:val="none"/>
          <w:lang w:eastAsia="zh-CN"/>
        </w:rPr>
        <w:t>有一定的</w:t>
      </w:r>
      <w:r>
        <w:rPr>
          <w:color w:val="auto"/>
          <w:highlight w:val="none"/>
        </w:rPr>
        <w:t>抗外来冲击的能力，生态环境保护和水资源承载力是制约本规划实施的主要因素，其它制约因素对规划实施的制约程度相对较小。</w:t>
      </w:r>
    </w:p>
    <w:p>
      <w:pPr>
        <w:pStyle w:val="22"/>
        <w:bidi w:val="0"/>
        <w:rPr>
          <w:b/>
          <w:color w:val="auto"/>
          <w:sz w:val="21"/>
          <w:highlight w:val="none"/>
        </w:rPr>
      </w:pPr>
      <w:r>
        <w:rPr>
          <w:b/>
          <w:color w:val="auto"/>
          <w:sz w:val="21"/>
          <w:highlight w:val="none"/>
        </w:rPr>
        <w:t>表</w:t>
      </w:r>
      <w:r>
        <w:rPr>
          <w:rFonts w:ascii="Times New Roman" w:eastAsia="Times New Roman"/>
          <w:b/>
          <w:color w:val="auto"/>
          <w:sz w:val="21"/>
          <w:highlight w:val="none"/>
        </w:rPr>
        <w:t>3-</w:t>
      </w:r>
      <w:r>
        <w:rPr>
          <w:rFonts w:hint="eastAsia"/>
          <w:b/>
          <w:color w:val="auto"/>
          <w:sz w:val="21"/>
          <w:highlight w:val="none"/>
          <w:lang w:val="en-US" w:eastAsia="zh-CN"/>
        </w:rPr>
        <w:t>5.</w:t>
      </w:r>
      <w:r>
        <w:rPr>
          <w:rFonts w:ascii="Times New Roman" w:eastAsia="Times New Roman"/>
          <w:b/>
          <w:color w:val="auto"/>
          <w:sz w:val="21"/>
          <w:highlight w:val="none"/>
        </w:rPr>
        <w:t xml:space="preserve">1 </w:t>
      </w:r>
      <w:r>
        <w:rPr>
          <w:b/>
          <w:color w:val="auto"/>
          <w:sz w:val="21"/>
          <w:highlight w:val="none"/>
        </w:rPr>
        <w:t>规划方案实施制约因素分析结果汇总表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1785"/>
        <w:gridCol w:w="917"/>
        <w:gridCol w:w="5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2912" w:type="dxa"/>
            <w:gridSpan w:val="2"/>
            <w:tcBorders>
              <w:left w:val="nil"/>
              <w:bottom w:val="single" w:color="000000" w:sz="6" w:space="0"/>
              <w:right w:val="single" w:color="000000" w:sz="6" w:space="0"/>
            </w:tcBorders>
            <w:vAlign w:val="center"/>
          </w:tcPr>
          <w:p>
            <w:pPr>
              <w:pStyle w:val="22"/>
              <w:bidi w:val="0"/>
              <w:rPr>
                <w:color w:val="auto"/>
                <w:highlight w:val="none"/>
              </w:rPr>
            </w:pPr>
            <w:r>
              <w:rPr>
                <w:color w:val="auto"/>
                <w:highlight w:val="none"/>
              </w:rPr>
              <w:t>制约因素</w:t>
            </w:r>
          </w:p>
        </w:tc>
        <w:tc>
          <w:tcPr>
            <w:tcW w:w="917" w:type="dxa"/>
            <w:tcBorders>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制约程度</w:t>
            </w:r>
          </w:p>
        </w:tc>
        <w:tc>
          <w:tcPr>
            <w:tcW w:w="5211" w:type="dxa"/>
            <w:tcBorders>
              <w:left w:val="single" w:color="000000" w:sz="6" w:space="0"/>
              <w:bottom w:val="single" w:color="000000" w:sz="6" w:space="0"/>
              <w:right w:val="nil"/>
            </w:tcBorders>
            <w:vAlign w:val="center"/>
          </w:tcPr>
          <w:p>
            <w:pPr>
              <w:pStyle w:val="22"/>
              <w:bidi w:val="0"/>
              <w:rPr>
                <w:color w:val="auto"/>
                <w:highlight w:val="none"/>
              </w:rPr>
            </w:pPr>
            <w:r>
              <w:rPr>
                <w:color w:val="auto"/>
                <w:highlight w:val="none"/>
              </w:rPr>
              <w:t>缓解方案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restart"/>
            <w:tcBorders>
              <w:top w:val="single" w:color="000000" w:sz="6" w:space="0"/>
              <w:left w:val="nil"/>
              <w:bottom w:val="single" w:color="000000" w:sz="6" w:space="0"/>
              <w:right w:val="single" w:color="000000" w:sz="6" w:space="0"/>
            </w:tcBorders>
            <w:vAlign w:val="center"/>
          </w:tcPr>
          <w:p>
            <w:pPr>
              <w:pStyle w:val="22"/>
              <w:bidi w:val="0"/>
              <w:rPr>
                <w:color w:val="auto"/>
                <w:highlight w:val="none"/>
              </w:rPr>
            </w:pPr>
            <w:r>
              <w:rPr>
                <w:color w:val="auto"/>
                <w:highlight w:val="none"/>
              </w:rPr>
              <w:t>基础设施</w:t>
            </w: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供水</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水资源合理调配，优先使用矿井水，提高矿井水回用率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供电</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0</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交通运输</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0</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公共服务设施</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0</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127" w:type="dxa"/>
            <w:vMerge w:val="restart"/>
            <w:tcBorders>
              <w:top w:val="single" w:color="000000" w:sz="6" w:space="0"/>
              <w:left w:val="nil"/>
              <w:bottom w:val="single" w:color="000000" w:sz="6" w:space="0"/>
              <w:right w:val="single" w:color="000000" w:sz="6" w:space="0"/>
            </w:tcBorders>
            <w:vAlign w:val="center"/>
          </w:tcPr>
          <w:p>
            <w:pPr>
              <w:pStyle w:val="22"/>
              <w:bidi w:val="0"/>
              <w:rPr>
                <w:color w:val="auto"/>
                <w:highlight w:val="none"/>
              </w:rPr>
            </w:pPr>
            <w:r>
              <w:rPr>
                <w:color w:val="auto"/>
                <w:highlight w:val="none"/>
              </w:rPr>
              <w:t>自然资源承载力</w:t>
            </w: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水资源</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矿井生产水源利用矿井水，生活用水采用</w:t>
            </w:r>
            <w:r>
              <w:rPr>
                <w:rFonts w:hint="eastAsia"/>
                <w:color w:val="auto"/>
                <w:highlight w:val="none"/>
                <w:lang w:eastAsia="zh-CN"/>
              </w:rPr>
              <w:t>山泉水、矿井水、地下水</w:t>
            </w:r>
            <w:r>
              <w:rPr>
                <w:color w:val="auto"/>
                <w:highlight w:val="none"/>
              </w:rPr>
              <w:t>，缓解区域水资源压力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土地资源</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项目占地补偿；对沉陷区和排土场采取“边开采、边恢复、边利用”综合整治措施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矿产资源</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采用先进采煤工艺技术，提高资源回收率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大气环境容量</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val="en-US" w:eastAsia="zh-CN"/>
              </w:rPr>
              <w:t>0</w:t>
            </w:r>
          </w:p>
        </w:tc>
        <w:tc>
          <w:tcPr>
            <w:tcW w:w="5211" w:type="dxa"/>
            <w:tcBorders>
              <w:top w:val="single" w:color="000000" w:sz="6" w:space="0"/>
              <w:left w:val="single" w:color="000000" w:sz="6" w:space="0"/>
              <w:bottom w:val="single" w:color="000000" w:sz="6" w:space="0"/>
              <w:right w:val="nil"/>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水环境容量</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rFonts w:hint="eastAsia" w:eastAsia="宋体"/>
                <w:color w:val="auto"/>
                <w:highlight w:val="none"/>
                <w:lang w:eastAsia="zh-CN"/>
              </w:rPr>
            </w:pPr>
            <w:r>
              <w:rPr>
                <w:color w:val="auto"/>
                <w:highlight w:val="none"/>
              </w:rPr>
              <w:t>污废水处理后</w:t>
            </w:r>
            <w:r>
              <w:rPr>
                <w:rFonts w:hint="eastAsia"/>
                <w:color w:val="auto"/>
                <w:highlight w:val="none"/>
                <w:lang w:eastAsia="zh-CN"/>
              </w:rPr>
              <w:t>最大程度</w:t>
            </w:r>
            <w:r>
              <w:rPr>
                <w:color w:val="auto"/>
                <w:highlight w:val="none"/>
              </w:rPr>
              <w:t>综合利用</w:t>
            </w:r>
            <w:r>
              <w:rPr>
                <w:rFonts w:hint="eastAsia"/>
                <w:color w:val="auto"/>
                <w:highlight w:val="none"/>
                <w:lang w:eastAsia="zh-CN"/>
              </w:rPr>
              <w:t>，少量外排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127" w:type="dxa"/>
            <w:vMerge w:val="restart"/>
            <w:tcBorders>
              <w:top w:val="single" w:color="000000" w:sz="6" w:space="0"/>
              <w:left w:val="nil"/>
              <w:bottom w:val="single" w:color="000000" w:sz="6" w:space="0"/>
              <w:right w:val="single" w:color="000000" w:sz="6" w:space="0"/>
            </w:tcBorders>
            <w:vAlign w:val="center"/>
          </w:tcPr>
          <w:p>
            <w:pPr>
              <w:pStyle w:val="22"/>
              <w:bidi w:val="0"/>
              <w:rPr>
                <w:color w:val="auto"/>
                <w:highlight w:val="none"/>
              </w:rPr>
            </w:pPr>
            <w:r>
              <w:rPr>
                <w:color w:val="auto"/>
                <w:highlight w:val="none"/>
              </w:rPr>
              <w:t>环境质量</w:t>
            </w: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生态环境</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做好生态补偿，实施生态综合防护与恢复措施，缓解生态环境影响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地表水环境</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rFonts w:hint="eastAsia" w:eastAsia="宋体"/>
                <w:color w:val="auto"/>
                <w:highlight w:val="none"/>
                <w:lang w:eastAsia="zh-CN"/>
              </w:rPr>
            </w:pPr>
            <w:r>
              <w:rPr>
                <w:color w:val="auto"/>
                <w:highlight w:val="none"/>
              </w:rPr>
              <w:t>污废水全部处理，积极寻求回用途径，充分回用，</w:t>
            </w:r>
            <w:r>
              <w:rPr>
                <w:rFonts w:hint="eastAsia"/>
                <w:color w:val="auto"/>
                <w:highlight w:val="none"/>
                <w:lang w:eastAsia="zh-CN"/>
              </w:rPr>
              <w:t>少量外排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地下水环境</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污废水全部处理，处理设施防渗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环境空气</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rFonts w:hint="eastAsia"/>
                <w:color w:val="auto"/>
                <w:highlight w:val="none"/>
                <w:lang w:eastAsia="zh-CN"/>
              </w:rPr>
              <w:t>均为井矿开采，</w:t>
            </w:r>
            <w:r>
              <w:rPr>
                <w:color w:val="auto"/>
                <w:highlight w:val="none"/>
              </w:rPr>
              <w:t>物料不露天堆放</w:t>
            </w:r>
            <w:r>
              <w:rPr>
                <w:rFonts w:hint="eastAsia"/>
                <w:color w:val="auto"/>
                <w:highlight w:val="none"/>
                <w:lang w:eastAsia="zh-CN"/>
              </w:rPr>
              <w:t>，</w:t>
            </w:r>
            <w:r>
              <w:rPr>
                <w:color w:val="auto"/>
                <w:highlight w:val="none"/>
              </w:rPr>
              <w:t>生产运输封闭、洒水</w:t>
            </w:r>
            <w:r>
              <w:rPr>
                <w:rFonts w:hint="eastAsia"/>
                <w:color w:val="auto"/>
                <w:highlight w:val="none"/>
                <w:lang w:eastAsia="zh-CN"/>
              </w:rPr>
              <w:t>，规范堆场、运输，最大程度减少扬尘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声环境</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避让、补偿，合理规划声环境敏感目标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op w:val="nil"/>
              <w:left w:val="nil"/>
              <w:bottom w:val="single" w:color="000000" w:sz="6" w:space="0"/>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固体废物</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矸石制砖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restart"/>
            <w:tcBorders>
              <w:top w:val="single" w:color="000000" w:sz="6" w:space="0"/>
              <w:left w:val="nil"/>
              <w:right w:val="single" w:color="000000" w:sz="6" w:space="0"/>
            </w:tcBorders>
            <w:vAlign w:val="center"/>
          </w:tcPr>
          <w:p>
            <w:pPr>
              <w:pStyle w:val="22"/>
              <w:bidi w:val="0"/>
              <w:rPr>
                <w:color w:val="auto"/>
                <w:highlight w:val="none"/>
              </w:rPr>
            </w:pPr>
            <w:r>
              <w:rPr>
                <w:color w:val="auto"/>
                <w:highlight w:val="none"/>
              </w:rPr>
              <w:t>社会环境</w:t>
            </w: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区域经济</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0</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127" w:type="dxa"/>
            <w:vMerge w:val="continue"/>
            <w:tcBorders>
              <w:top w:val="nil"/>
              <w:left w:val="nil"/>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政策规划一致性</w:t>
            </w:r>
          </w:p>
        </w:tc>
        <w:tc>
          <w:tcPr>
            <w:tcW w:w="917"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bottom w:val="single" w:color="000000" w:sz="6" w:space="0"/>
              <w:right w:val="nil"/>
            </w:tcBorders>
            <w:vAlign w:val="center"/>
          </w:tcPr>
          <w:p>
            <w:pPr>
              <w:pStyle w:val="22"/>
              <w:bidi w:val="0"/>
              <w:rPr>
                <w:color w:val="auto"/>
                <w:highlight w:val="none"/>
              </w:rPr>
            </w:pPr>
            <w:r>
              <w:rPr>
                <w:color w:val="auto"/>
                <w:highlight w:val="none"/>
              </w:rPr>
              <w:t>矿区开发建设符合相关政策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127" w:type="dxa"/>
            <w:vMerge w:val="continue"/>
            <w:tcBorders>
              <w:top w:val="nil"/>
              <w:left w:val="nil"/>
              <w:right w:val="single" w:color="000000" w:sz="6" w:space="0"/>
            </w:tcBorders>
            <w:vAlign w:val="center"/>
          </w:tcPr>
          <w:p>
            <w:pPr>
              <w:pStyle w:val="22"/>
              <w:bidi w:val="0"/>
              <w:rPr>
                <w:color w:val="auto"/>
                <w:highlight w:val="none"/>
              </w:rPr>
            </w:pPr>
          </w:p>
        </w:tc>
        <w:tc>
          <w:tcPr>
            <w:tcW w:w="1785" w:type="dxa"/>
            <w:tcBorders>
              <w:top w:val="single" w:color="000000" w:sz="6" w:space="0"/>
              <w:left w:val="single" w:color="000000" w:sz="6" w:space="0"/>
              <w:right w:val="single" w:color="000000" w:sz="6" w:space="0"/>
            </w:tcBorders>
            <w:vAlign w:val="center"/>
          </w:tcPr>
          <w:p>
            <w:pPr>
              <w:pStyle w:val="22"/>
              <w:bidi w:val="0"/>
              <w:rPr>
                <w:color w:val="auto"/>
                <w:highlight w:val="none"/>
              </w:rPr>
            </w:pPr>
            <w:r>
              <w:rPr>
                <w:color w:val="auto"/>
                <w:highlight w:val="none"/>
              </w:rPr>
              <w:t>特殊环境</w:t>
            </w:r>
          </w:p>
        </w:tc>
        <w:tc>
          <w:tcPr>
            <w:tcW w:w="917" w:type="dxa"/>
            <w:tcBorders>
              <w:top w:val="single" w:color="000000" w:sz="6" w:space="0"/>
              <w:left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top w:val="single" w:color="000000" w:sz="6" w:space="0"/>
              <w:left w:val="single" w:color="000000" w:sz="6" w:space="0"/>
              <w:right w:val="nil"/>
            </w:tcBorders>
            <w:vAlign w:val="center"/>
          </w:tcPr>
          <w:p>
            <w:pPr>
              <w:pStyle w:val="22"/>
              <w:bidi w:val="0"/>
              <w:rPr>
                <w:color w:val="auto"/>
                <w:highlight w:val="none"/>
              </w:rPr>
            </w:pPr>
            <w:r>
              <w:rPr>
                <w:color w:val="auto"/>
                <w:highlight w:val="none"/>
              </w:rPr>
              <w:t>敏感目标采取留设保护煤柱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jc w:val="center"/>
        </w:trPr>
        <w:tc>
          <w:tcPr>
            <w:tcW w:w="1127" w:type="dxa"/>
            <w:tcBorders>
              <w:left w:val="nil"/>
              <w:bottom w:val="single" w:color="000000" w:sz="6" w:space="0"/>
              <w:right w:val="single" w:color="000000" w:sz="6" w:space="0"/>
            </w:tcBorders>
            <w:vAlign w:val="center"/>
          </w:tcPr>
          <w:p>
            <w:pPr>
              <w:pStyle w:val="22"/>
              <w:bidi w:val="0"/>
              <w:rPr>
                <w:color w:val="auto"/>
                <w:highlight w:val="none"/>
              </w:rPr>
            </w:pPr>
            <w:r>
              <w:rPr>
                <w:rFonts w:hint="eastAsia"/>
                <w:color w:val="auto"/>
                <w:highlight w:val="none"/>
                <w:lang w:eastAsia="zh-CN"/>
              </w:rPr>
              <w:t>不</w:t>
            </w:r>
            <w:r>
              <w:rPr>
                <w:color w:val="auto"/>
                <w:highlight w:val="none"/>
              </w:rPr>
              <w:t>确定性因素</w:t>
            </w:r>
          </w:p>
        </w:tc>
        <w:tc>
          <w:tcPr>
            <w:tcW w:w="1785" w:type="dxa"/>
            <w:tcBorders>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政策、规划等变更</w:t>
            </w:r>
          </w:p>
        </w:tc>
        <w:tc>
          <w:tcPr>
            <w:tcW w:w="917" w:type="dxa"/>
            <w:tcBorders>
              <w:left w:val="single" w:color="000000" w:sz="6" w:space="0"/>
              <w:bottom w:val="single" w:color="000000" w:sz="6" w:space="0"/>
              <w:right w:val="single" w:color="000000" w:sz="6" w:space="0"/>
            </w:tcBorders>
            <w:vAlign w:val="center"/>
          </w:tcPr>
          <w:p>
            <w:pPr>
              <w:pStyle w:val="22"/>
              <w:bidi w:val="0"/>
              <w:rPr>
                <w:color w:val="auto"/>
                <w:highlight w:val="none"/>
              </w:rPr>
            </w:pPr>
            <w:r>
              <w:rPr>
                <w:color w:val="auto"/>
                <w:highlight w:val="none"/>
              </w:rPr>
              <w:t>▲</w:t>
            </w:r>
          </w:p>
        </w:tc>
        <w:tc>
          <w:tcPr>
            <w:tcW w:w="5211" w:type="dxa"/>
            <w:tcBorders>
              <w:left w:val="single" w:color="000000" w:sz="6" w:space="0"/>
              <w:bottom w:val="single" w:color="000000" w:sz="6" w:space="0"/>
              <w:right w:val="nil"/>
            </w:tcBorders>
            <w:vAlign w:val="center"/>
          </w:tcPr>
          <w:p>
            <w:pPr>
              <w:pStyle w:val="22"/>
              <w:bidi w:val="0"/>
              <w:rPr>
                <w:color w:val="auto"/>
                <w:highlight w:val="none"/>
              </w:rPr>
            </w:pPr>
            <w:r>
              <w:rPr>
                <w:color w:val="auto"/>
                <w:highlight w:val="none"/>
              </w:rPr>
              <w:t>及时调整规划方案</w:t>
            </w:r>
          </w:p>
        </w:tc>
      </w:tr>
    </w:tbl>
    <w:p>
      <w:pPr>
        <w:spacing w:before="78"/>
        <w:ind w:left="199" w:right="0" w:firstLine="0"/>
        <w:jc w:val="left"/>
        <w:rPr>
          <w:color w:val="auto"/>
          <w:sz w:val="21"/>
          <w:highlight w:val="none"/>
        </w:rPr>
      </w:pPr>
      <w:r>
        <w:rPr>
          <w:color w:val="auto"/>
          <w:sz w:val="21"/>
          <w:highlight w:val="none"/>
        </w:rPr>
        <w:t>注：图中“</w:t>
      </w:r>
      <w:r>
        <w:rPr>
          <w:rFonts w:ascii="Times New Roman" w:hAnsi="Times New Roman" w:eastAsia="Times New Roman"/>
          <w:color w:val="auto"/>
          <w:sz w:val="21"/>
          <w:highlight w:val="none"/>
        </w:rPr>
        <w:t>0</w:t>
      </w:r>
      <w:r>
        <w:rPr>
          <w:color w:val="auto"/>
          <w:sz w:val="21"/>
          <w:highlight w:val="none"/>
        </w:rPr>
        <w:t>”为无，“▲”为轻度，“▲▲”为中度，“▲▲▲”为重度。</w:t>
      </w:r>
    </w:p>
    <w:p>
      <w:pPr>
        <w:pStyle w:val="5"/>
        <w:numPr>
          <w:ilvl w:val="1"/>
          <w:numId w:val="5"/>
        </w:numPr>
        <w:bidi w:val="0"/>
        <w:rPr>
          <w:color w:val="auto"/>
          <w:highlight w:val="none"/>
        </w:rPr>
      </w:pPr>
      <w:bookmarkStart w:id="254" w:name="3.6 矿区环境影响回顾分析与评价"/>
      <w:bookmarkEnd w:id="254"/>
      <w:bookmarkStart w:id="255" w:name="_bookmark20"/>
      <w:bookmarkEnd w:id="255"/>
      <w:bookmarkStart w:id="256" w:name="_Toc20021"/>
      <w:bookmarkStart w:id="257" w:name="_Toc18913"/>
      <w:r>
        <w:rPr>
          <w:color w:val="auto"/>
          <w:highlight w:val="none"/>
        </w:rPr>
        <w:t>矿区环境影响回顾分析与评价</w:t>
      </w:r>
      <w:bookmarkEnd w:id="256"/>
      <w:bookmarkEnd w:id="257"/>
    </w:p>
    <w:p>
      <w:pPr>
        <w:bidi w:val="0"/>
        <w:rPr>
          <w:color w:val="auto"/>
          <w:highlight w:val="none"/>
        </w:rPr>
      </w:pPr>
      <w:r>
        <w:rPr>
          <w:rFonts w:hint="eastAsia"/>
          <w:color w:val="auto"/>
          <w:spacing w:val="-3"/>
          <w:highlight w:val="none"/>
          <w:lang w:eastAsia="zh-CN"/>
        </w:rPr>
        <w:t>大竹县从上世纪五十年代开始了煤炭工业的发展，发展历史久远</w:t>
      </w:r>
      <w:r>
        <w:rPr>
          <w:rFonts w:hint="eastAsia"/>
          <w:color w:val="auto"/>
          <w:spacing w:val="-6"/>
          <w:highlight w:val="none"/>
          <w:lang w:eastAsia="zh-CN"/>
        </w:rPr>
        <w:t>，最多的时候有</w:t>
      </w:r>
      <w:r>
        <w:rPr>
          <w:rFonts w:hint="eastAsia"/>
          <w:color w:val="auto"/>
          <w:spacing w:val="-6"/>
          <w:highlight w:val="none"/>
          <w:lang w:val="en-US" w:eastAsia="zh-CN"/>
        </w:rPr>
        <w:t>368个煤矿。</w:t>
      </w:r>
      <w:r>
        <w:rPr>
          <w:color w:val="auto"/>
          <w:spacing w:val="-6"/>
          <w:highlight w:val="none"/>
        </w:rPr>
        <w:t>本次评价通过对以往历史资料及</w:t>
      </w:r>
      <w:r>
        <w:rPr>
          <w:color w:val="auto"/>
          <w:spacing w:val="-8"/>
          <w:highlight w:val="none"/>
        </w:rPr>
        <w:t>现状进行调查，从环境保护的角度对矿区开发造成的环境影响和生态破坏进行了回顾性</w:t>
      </w:r>
      <w:r>
        <w:rPr>
          <w:color w:val="auto"/>
          <w:spacing w:val="-6"/>
          <w:highlight w:val="none"/>
        </w:rPr>
        <w:t>分析与评价，了解现状存在的主要环境问题，同时，为环境影响识别及环境影响评价提</w:t>
      </w:r>
      <w:r>
        <w:rPr>
          <w:color w:val="auto"/>
          <w:highlight w:val="none"/>
        </w:rPr>
        <w:t>供依据。</w:t>
      </w:r>
    </w:p>
    <w:p>
      <w:pPr>
        <w:pStyle w:val="6"/>
        <w:numPr>
          <w:ilvl w:val="2"/>
          <w:numId w:val="5"/>
        </w:numPr>
        <w:bidi w:val="0"/>
        <w:rPr>
          <w:color w:val="auto"/>
          <w:highlight w:val="none"/>
        </w:rPr>
      </w:pPr>
      <w:bookmarkStart w:id="258" w:name="_Toc11927"/>
      <w:bookmarkStart w:id="259" w:name="_Toc30346"/>
      <w:r>
        <w:rPr>
          <w:rFonts w:hint="eastAsia"/>
          <w:color w:val="auto"/>
          <w:highlight w:val="none"/>
          <w:lang w:eastAsia="zh-CN"/>
        </w:rPr>
        <w:t>矿区开发历史与现状</w:t>
      </w:r>
      <w:bookmarkEnd w:id="258"/>
      <w:bookmarkEnd w:id="259"/>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 xml:space="preserve">3.6.1.1 </w:t>
      </w:r>
      <w:r>
        <w:rPr>
          <w:rFonts w:hint="eastAsia"/>
          <w:color w:val="auto"/>
          <w:highlight w:val="none"/>
          <w:lang w:eastAsia="zh-CN"/>
        </w:rPr>
        <w:t>矿区开发历史</w:t>
      </w:r>
    </w:p>
    <w:p>
      <w:pPr>
        <w:bidi w:val="0"/>
        <w:rPr>
          <w:rFonts w:hint="eastAsia"/>
          <w:color w:val="auto"/>
          <w:spacing w:val="-6"/>
          <w:highlight w:val="none"/>
        </w:rPr>
      </w:pPr>
      <w:r>
        <w:rPr>
          <w:rFonts w:hint="eastAsia"/>
          <w:color w:val="auto"/>
          <w:spacing w:val="-6"/>
          <w:highlight w:val="none"/>
        </w:rPr>
        <w:t>大竹县的煤炭工业从</w:t>
      </w:r>
      <w:r>
        <w:rPr>
          <w:color w:val="auto"/>
          <w:spacing w:val="-6"/>
          <w:highlight w:val="none"/>
        </w:rPr>
        <w:t>1958</w:t>
      </w:r>
      <w:r>
        <w:rPr>
          <w:rFonts w:hint="eastAsia"/>
          <w:color w:val="auto"/>
          <w:spacing w:val="-6"/>
          <w:highlight w:val="none"/>
        </w:rPr>
        <w:t>年到</w:t>
      </w:r>
      <w:r>
        <w:rPr>
          <w:color w:val="auto"/>
          <w:spacing w:val="-6"/>
          <w:highlight w:val="none"/>
        </w:rPr>
        <w:t>1979</w:t>
      </w:r>
      <w:r>
        <w:rPr>
          <w:rFonts w:hint="eastAsia"/>
          <w:color w:val="auto"/>
          <w:spacing w:val="-6"/>
          <w:highlight w:val="none"/>
        </w:rPr>
        <w:t>年属发展高潮，特别是</w:t>
      </w:r>
      <w:r>
        <w:rPr>
          <w:color w:val="auto"/>
          <w:spacing w:val="-6"/>
          <w:highlight w:val="none"/>
        </w:rPr>
        <w:t>1974</w:t>
      </w:r>
      <w:r>
        <w:rPr>
          <w:rFonts w:hint="eastAsia"/>
          <w:color w:val="auto"/>
          <w:spacing w:val="-6"/>
          <w:highlight w:val="none"/>
        </w:rPr>
        <w:t>年至</w:t>
      </w:r>
      <w:r>
        <w:rPr>
          <w:color w:val="auto"/>
          <w:spacing w:val="-6"/>
          <w:highlight w:val="none"/>
        </w:rPr>
        <w:t>1975</w:t>
      </w:r>
      <w:r>
        <w:rPr>
          <w:rFonts w:hint="eastAsia"/>
          <w:color w:val="auto"/>
          <w:spacing w:val="-6"/>
          <w:highlight w:val="none"/>
        </w:rPr>
        <w:t>年，由于社队企业小煤窑的发展较快，全县达</w:t>
      </w:r>
      <w:r>
        <w:rPr>
          <w:color w:val="auto"/>
          <w:spacing w:val="-6"/>
          <w:highlight w:val="none"/>
        </w:rPr>
        <w:t>300</w:t>
      </w:r>
      <w:r>
        <w:rPr>
          <w:rFonts w:hint="eastAsia"/>
          <w:color w:val="auto"/>
          <w:spacing w:val="-6"/>
          <w:highlight w:val="none"/>
        </w:rPr>
        <w:t>多个煤矿，</w:t>
      </w:r>
      <w:r>
        <w:rPr>
          <w:color w:val="auto"/>
          <w:spacing w:val="-6"/>
          <w:highlight w:val="none"/>
        </w:rPr>
        <w:t>1994</w:t>
      </w:r>
      <w:r>
        <w:rPr>
          <w:rFonts w:hint="eastAsia"/>
          <w:color w:val="auto"/>
          <w:spacing w:val="-6"/>
          <w:highlight w:val="none"/>
        </w:rPr>
        <w:t>年发展到</w:t>
      </w:r>
      <w:r>
        <w:rPr>
          <w:color w:val="auto"/>
          <w:spacing w:val="-6"/>
          <w:highlight w:val="none"/>
        </w:rPr>
        <w:t>368</w:t>
      </w:r>
      <w:r>
        <w:rPr>
          <w:rFonts w:hint="eastAsia"/>
          <w:color w:val="auto"/>
          <w:spacing w:val="-6"/>
          <w:highlight w:val="none"/>
        </w:rPr>
        <w:t>个煤矿；从</w:t>
      </w:r>
      <w:r>
        <w:rPr>
          <w:color w:val="auto"/>
          <w:spacing w:val="-6"/>
          <w:highlight w:val="none"/>
        </w:rPr>
        <w:t>1970</w:t>
      </w:r>
      <w:r>
        <w:rPr>
          <w:rFonts w:hint="eastAsia"/>
          <w:color w:val="auto"/>
          <w:spacing w:val="-6"/>
          <w:highlight w:val="none"/>
        </w:rPr>
        <w:t>年末到</w:t>
      </w:r>
      <w:r>
        <w:rPr>
          <w:color w:val="auto"/>
          <w:spacing w:val="-6"/>
          <w:highlight w:val="none"/>
        </w:rPr>
        <w:t>2003</w:t>
      </w:r>
      <w:r>
        <w:rPr>
          <w:rFonts w:hint="eastAsia"/>
          <w:color w:val="auto"/>
          <w:spacing w:val="-6"/>
          <w:highlight w:val="none"/>
        </w:rPr>
        <w:t>年间曾多次清理、整顿、整合，到</w:t>
      </w:r>
      <w:r>
        <w:rPr>
          <w:color w:val="auto"/>
          <w:spacing w:val="-6"/>
          <w:highlight w:val="none"/>
        </w:rPr>
        <w:t>2006</w:t>
      </w:r>
      <w:r>
        <w:rPr>
          <w:rFonts w:hint="eastAsia"/>
          <w:color w:val="auto"/>
          <w:spacing w:val="-6"/>
          <w:highlight w:val="none"/>
        </w:rPr>
        <w:t>年全县保留了</w:t>
      </w:r>
      <w:r>
        <w:rPr>
          <w:color w:val="auto"/>
          <w:spacing w:val="-6"/>
          <w:highlight w:val="none"/>
        </w:rPr>
        <w:t>86</w:t>
      </w:r>
      <w:r>
        <w:rPr>
          <w:rFonts w:hint="eastAsia"/>
          <w:color w:val="auto"/>
          <w:spacing w:val="-6"/>
          <w:highlight w:val="none"/>
        </w:rPr>
        <w:t>个煤矿；</w:t>
      </w:r>
      <w:r>
        <w:rPr>
          <w:color w:val="auto"/>
          <w:spacing w:val="-6"/>
          <w:highlight w:val="none"/>
        </w:rPr>
        <w:t>2007</w:t>
      </w:r>
      <w:r>
        <w:rPr>
          <w:rFonts w:hint="eastAsia"/>
          <w:color w:val="auto"/>
          <w:spacing w:val="-6"/>
          <w:highlight w:val="none"/>
        </w:rPr>
        <w:t>年资源整合后剩余</w:t>
      </w:r>
      <w:r>
        <w:rPr>
          <w:color w:val="auto"/>
          <w:spacing w:val="-6"/>
          <w:highlight w:val="none"/>
        </w:rPr>
        <w:t>45</w:t>
      </w:r>
      <w:r>
        <w:rPr>
          <w:rFonts w:hint="eastAsia"/>
          <w:color w:val="auto"/>
          <w:spacing w:val="-6"/>
          <w:highlight w:val="none"/>
        </w:rPr>
        <w:t>个煤矿，生产规模</w:t>
      </w:r>
      <w:r>
        <w:rPr>
          <w:color w:val="auto"/>
          <w:spacing w:val="-6"/>
          <w:highlight w:val="none"/>
        </w:rPr>
        <w:t>378</w:t>
      </w:r>
      <w:r>
        <w:rPr>
          <w:rFonts w:hint="eastAsia"/>
          <w:color w:val="auto"/>
          <w:spacing w:val="-6"/>
          <w:highlight w:val="none"/>
        </w:rPr>
        <w:t>万吨/年。目前大竹县仅剩余14个煤矿。</w:t>
      </w:r>
    </w:p>
    <w:p>
      <w:pPr>
        <w:bidi w:val="0"/>
        <w:rPr>
          <w:rFonts w:hint="eastAsia" w:eastAsia="宋体"/>
          <w:color w:val="auto"/>
          <w:spacing w:val="-6"/>
          <w:highlight w:val="none"/>
          <w:lang w:eastAsia="zh-CN"/>
        </w:rPr>
      </w:pPr>
      <w:r>
        <w:rPr>
          <w:rFonts w:hint="eastAsia"/>
          <w:color w:val="auto"/>
          <w:spacing w:val="-6"/>
          <w:highlight w:val="none"/>
        </w:rPr>
        <w:t>大竹县近年主要关闭煤矿见</w:t>
      </w:r>
      <w:r>
        <w:rPr>
          <w:rFonts w:hint="eastAsia"/>
          <w:color w:val="auto"/>
          <w:spacing w:val="-6"/>
          <w:highlight w:val="none"/>
          <w:lang w:eastAsia="zh-CN"/>
        </w:rPr>
        <w:t>下</w:t>
      </w:r>
      <w:r>
        <w:rPr>
          <w:rFonts w:hint="eastAsia"/>
          <w:color w:val="auto"/>
          <w:spacing w:val="-6"/>
          <w:highlight w:val="none"/>
        </w:rPr>
        <w:t>表</w:t>
      </w:r>
      <w:r>
        <w:rPr>
          <w:rFonts w:hint="eastAsia"/>
          <w:color w:val="auto"/>
          <w:spacing w:val="-6"/>
          <w:highlight w:val="none"/>
          <w:lang w:eastAsia="zh-CN"/>
        </w:rPr>
        <w:t>。</w:t>
      </w:r>
    </w:p>
    <w:p>
      <w:pPr>
        <w:pStyle w:val="11"/>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22"/>
        <w:bidi w:val="0"/>
        <w:rPr>
          <w:rFonts w:hint="default" w:eastAsia="宋体"/>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3.6-1   大竹县近年关闭煤矿情况表</w:t>
      </w:r>
    </w:p>
    <w:tbl>
      <w:tblPr>
        <w:tblStyle w:val="17"/>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355"/>
        <w:gridCol w:w="1045"/>
        <w:gridCol w:w="1306"/>
        <w:gridCol w:w="3086"/>
        <w:gridCol w:w="882"/>
        <w:gridCol w:w="881"/>
        <w:gridCol w:w="1176"/>
        <w:gridCol w:w="1176"/>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29" w:type="dxa"/>
            <w:vMerge w:val="restart"/>
            <w:noWrap w:val="0"/>
            <w:vAlign w:val="center"/>
          </w:tcPr>
          <w:p>
            <w:pPr>
              <w:pStyle w:val="22"/>
              <w:bidi w:val="0"/>
              <w:rPr>
                <w:color w:val="auto"/>
                <w:highlight w:val="none"/>
              </w:rPr>
            </w:pPr>
            <w:r>
              <w:rPr>
                <w:rFonts w:hint="eastAsia"/>
                <w:color w:val="auto"/>
                <w:highlight w:val="none"/>
              </w:rPr>
              <w:t>序号</w:t>
            </w:r>
          </w:p>
        </w:tc>
        <w:tc>
          <w:tcPr>
            <w:tcW w:w="3236" w:type="dxa"/>
            <w:vMerge w:val="restart"/>
            <w:noWrap w:val="0"/>
            <w:vAlign w:val="center"/>
          </w:tcPr>
          <w:p>
            <w:pPr>
              <w:pStyle w:val="22"/>
              <w:bidi w:val="0"/>
              <w:rPr>
                <w:color w:val="auto"/>
                <w:highlight w:val="none"/>
              </w:rPr>
            </w:pPr>
            <w:r>
              <w:rPr>
                <w:rFonts w:hint="eastAsia"/>
                <w:color w:val="auto"/>
                <w:highlight w:val="none"/>
              </w:rPr>
              <w:t>矿井名称</w:t>
            </w:r>
          </w:p>
        </w:tc>
        <w:tc>
          <w:tcPr>
            <w:tcW w:w="1008" w:type="dxa"/>
            <w:vMerge w:val="restart"/>
            <w:noWrap w:val="0"/>
            <w:vAlign w:val="center"/>
          </w:tcPr>
          <w:p>
            <w:pPr>
              <w:pStyle w:val="22"/>
              <w:bidi w:val="0"/>
              <w:rPr>
                <w:color w:val="auto"/>
                <w:highlight w:val="none"/>
              </w:rPr>
            </w:pPr>
            <w:r>
              <w:rPr>
                <w:rFonts w:hint="eastAsia"/>
                <w:color w:val="auto"/>
                <w:highlight w:val="none"/>
              </w:rPr>
              <w:t>矿权面积(km</w:t>
            </w:r>
            <w:r>
              <w:rPr>
                <w:rFonts w:hint="eastAsia"/>
                <w:color w:val="auto"/>
                <w:highlight w:val="none"/>
                <w:vertAlign w:val="superscript"/>
              </w:rPr>
              <w:t>2</w:t>
            </w:r>
            <w:r>
              <w:rPr>
                <w:rFonts w:hint="eastAsia"/>
                <w:color w:val="auto"/>
                <w:highlight w:val="none"/>
              </w:rPr>
              <w:t>)</w:t>
            </w:r>
          </w:p>
        </w:tc>
        <w:tc>
          <w:tcPr>
            <w:tcW w:w="1260" w:type="dxa"/>
            <w:vMerge w:val="restart"/>
            <w:noWrap w:val="0"/>
            <w:vAlign w:val="center"/>
          </w:tcPr>
          <w:p>
            <w:pPr>
              <w:pStyle w:val="22"/>
              <w:bidi w:val="0"/>
              <w:rPr>
                <w:color w:val="auto"/>
                <w:highlight w:val="none"/>
              </w:rPr>
            </w:pPr>
            <w:r>
              <w:rPr>
                <w:rFonts w:hint="eastAsia"/>
                <w:color w:val="auto"/>
                <w:highlight w:val="none"/>
              </w:rPr>
              <w:t>开采标高</w:t>
            </w:r>
          </w:p>
          <w:p>
            <w:pPr>
              <w:pStyle w:val="22"/>
              <w:bidi w:val="0"/>
              <w:rPr>
                <w:color w:val="auto"/>
                <w:highlight w:val="none"/>
              </w:rPr>
            </w:pPr>
            <w:r>
              <w:rPr>
                <w:rFonts w:hint="eastAsia"/>
                <w:color w:val="auto"/>
                <w:highlight w:val="none"/>
              </w:rPr>
              <w:t>（m）</w:t>
            </w:r>
          </w:p>
        </w:tc>
        <w:tc>
          <w:tcPr>
            <w:tcW w:w="2976" w:type="dxa"/>
            <w:vMerge w:val="restart"/>
            <w:noWrap w:val="0"/>
            <w:vAlign w:val="center"/>
          </w:tcPr>
          <w:p>
            <w:pPr>
              <w:pStyle w:val="22"/>
              <w:bidi w:val="0"/>
              <w:rPr>
                <w:color w:val="auto"/>
                <w:highlight w:val="none"/>
              </w:rPr>
            </w:pPr>
            <w:r>
              <w:rPr>
                <w:rFonts w:hint="eastAsia"/>
                <w:color w:val="auto"/>
                <w:highlight w:val="none"/>
              </w:rPr>
              <w:t>开采煤层</w:t>
            </w:r>
          </w:p>
        </w:tc>
        <w:tc>
          <w:tcPr>
            <w:tcW w:w="851" w:type="dxa"/>
            <w:vMerge w:val="restart"/>
            <w:noWrap w:val="0"/>
            <w:vAlign w:val="center"/>
          </w:tcPr>
          <w:p>
            <w:pPr>
              <w:pStyle w:val="22"/>
              <w:bidi w:val="0"/>
              <w:rPr>
                <w:color w:val="auto"/>
                <w:highlight w:val="none"/>
              </w:rPr>
            </w:pPr>
            <w:r>
              <w:rPr>
                <w:rFonts w:hint="eastAsia"/>
                <w:color w:val="auto"/>
                <w:highlight w:val="none"/>
              </w:rPr>
              <w:t>生产能力（万吨/年）</w:t>
            </w:r>
          </w:p>
        </w:tc>
        <w:tc>
          <w:tcPr>
            <w:tcW w:w="1984" w:type="dxa"/>
            <w:gridSpan w:val="2"/>
            <w:noWrap w:val="0"/>
            <w:vAlign w:val="center"/>
          </w:tcPr>
          <w:p>
            <w:pPr>
              <w:pStyle w:val="22"/>
              <w:bidi w:val="0"/>
              <w:rPr>
                <w:color w:val="auto"/>
                <w:highlight w:val="none"/>
              </w:rPr>
            </w:pPr>
            <w:r>
              <w:rPr>
                <w:rFonts w:hint="eastAsia"/>
                <w:color w:val="auto"/>
                <w:highlight w:val="none"/>
              </w:rPr>
              <w:t>关闭原因</w:t>
            </w:r>
          </w:p>
        </w:tc>
        <w:tc>
          <w:tcPr>
            <w:tcW w:w="1134" w:type="dxa"/>
            <w:vMerge w:val="restart"/>
            <w:noWrap w:val="0"/>
            <w:vAlign w:val="center"/>
          </w:tcPr>
          <w:p>
            <w:pPr>
              <w:pStyle w:val="22"/>
              <w:bidi w:val="0"/>
              <w:rPr>
                <w:color w:val="auto"/>
                <w:highlight w:val="none"/>
              </w:rPr>
            </w:pPr>
            <w:r>
              <w:rPr>
                <w:rFonts w:hint="eastAsia"/>
                <w:color w:val="auto"/>
                <w:highlight w:val="none"/>
              </w:rPr>
              <w:t>关闭时间</w:t>
            </w:r>
          </w:p>
        </w:tc>
        <w:tc>
          <w:tcPr>
            <w:tcW w:w="954" w:type="dxa"/>
            <w:vMerge w:val="restart"/>
            <w:noWrap w:val="0"/>
            <w:vAlign w:val="center"/>
          </w:tcPr>
          <w:p>
            <w:pPr>
              <w:pStyle w:val="22"/>
              <w:bidi w:val="0"/>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29" w:type="dxa"/>
            <w:vMerge w:val="continue"/>
            <w:noWrap w:val="0"/>
            <w:vAlign w:val="center"/>
          </w:tcPr>
          <w:p>
            <w:pPr>
              <w:pStyle w:val="22"/>
              <w:bidi w:val="0"/>
              <w:rPr>
                <w:color w:val="auto"/>
                <w:highlight w:val="none"/>
              </w:rPr>
            </w:pPr>
          </w:p>
        </w:tc>
        <w:tc>
          <w:tcPr>
            <w:tcW w:w="3236" w:type="dxa"/>
            <w:vMerge w:val="continue"/>
            <w:noWrap w:val="0"/>
            <w:vAlign w:val="center"/>
          </w:tcPr>
          <w:p>
            <w:pPr>
              <w:pStyle w:val="22"/>
              <w:bidi w:val="0"/>
              <w:rPr>
                <w:color w:val="auto"/>
                <w:highlight w:val="none"/>
              </w:rPr>
            </w:pPr>
          </w:p>
        </w:tc>
        <w:tc>
          <w:tcPr>
            <w:tcW w:w="1008" w:type="dxa"/>
            <w:vMerge w:val="continue"/>
            <w:noWrap w:val="0"/>
            <w:vAlign w:val="center"/>
          </w:tcPr>
          <w:p>
            <w:pPr>
              <w:pStyle w:val="22"/>
              <w:bidi w:val="0"/>
              <w:rPr>
                <w:color w:val="auto"/>
                <w:highlight w:val="none"/>
              </w:rPr>
            </w:pPr>
          </w:p>
        </w:tc>
        <w:tc>
          <w:tcPr>
            <w:tcW w:w="1260" w:type="dxa"/>
            <w:vMerge w:val="continue"/>
            <w:noWrap w:val="0"/>
            <w:vAlign w:val="center"/>
          </w:tcPr>
          <w:p>
            <w:pPr>
              <w:pStyle w:val="22"/>
              <w:bidi w:val="0"/>
              <w:rPr>
                <w:color w:val="auto"/>
                <w:highlight w:val="none"/>
              </w:rPr>
            </w:pPr>
          </w:p>
        </w:tc>
        <w:tc>
          <w:tcPr>
            <w:tcW w:w="2976" w:type="dxa"/>
            <w:vMerge w:val="continue"/>
            <w:noWrap w:val="0"/>
            <w:vAlign w:val="center"/>
          </w:tcPr>
          <w:p>
            <w:pPr>
              <w:pStyle w:val="22"/>
              <w:bidi w:val="0"/>
              <w:rPr>
                <w:color w:val="auto"/>
                <w:highlight w:val="none"/>
              </w:rPr>
            </w:pPr>
          </w:p>
        </w:tc>
        <w:tc>
          <w:tcPr>
            <w:tcW w:w="851" w:type="dxa"/>
            <w:vMerge w:val="continue"/>
            <w:noWrap w:val="0"/>
            <w:vAlign w:val="center"/>
          </w:tcPr>
          <w:p>
            <w:pPr>
              <w:pStyle w:val="22"/>
              <w:bidi w:val="0"/>
              <w:rPr>
                <w:color w:val="auto"/>
                <w:highlight w:val="none"/>
              </w:rPr>
            </w:pPr>
          </w:p>
        </w:tc>
        <w:tc>
          <w:tcPr>
            <w:tcW w:w="850" w:type="dxa"/>
            <w:noWrap w:val="0"/>
            <w:vAlign w:val="center"/>
          </w:tcPr>
          <w:p>
            <w:pPr>
              <w:pStyle w:val="22"/>
              <w:bidi w:val="0"/>
              <w:rPr>
                <w:color w:val="auto"/>
                <w:highlight w:val="none"/>
              </w:rPr>
            </w:pPr>
            <w:r>
              <w:rPr>
                <w:rFonts w:hint="eastAsia"/>
                <w:color w:val="auto"/>
                <w:highlight w:val="none"/>
              </w:rPr>
              <w:t>政策性关闭</w:t>
            </w:r>
          </w:p>
        </w:tc>
        <w:tc>
          <w:tcPr>
            <w:tcW w:w="1134" w:type="dxa"/>
            <w:noWrap w:val="0"/>
            <w:vAlign w:val="center"/>
          </w:tcPr>
          <w:p>
            <w:pPr>
              <w:pStyle w:val="22"/>
              <w:bidi w:val="0"/>
              <w:rPr>
                <w:color w:val="auto"/>
                <w:highlight w:val="none"/>
              </w:rPr>
            </w:pPr>
            <w:r>
              <w:rPr>
                <w:rFonts w:hint="eastAsia"/>
                <w:color w:val="auto"/>
                <w:highlight w:val="none"/>
              </w:rPr>
              <w:t>资源枯竭关闭</w:t>
            </w:r>
          </w:p>
        </w:tc>
        <w:tc>
          <w:tcPr>
            <w:tcW w:w="1134" w:type="dxa"/>
            <w:vMerge w:val="continue"/>
            <w:noWrap w:val="0"/>
            <w:vAlign w:val="center"/>
          </w:tcPr>
          <w:p>
            <w:pPr>
              <w:pStyle w:val="22"/>
              <w:bidi w:val="0"/>
              <w:rPr>
                <w:color w:val="auto"/>
                <w:highlight w:val="none"/>
              </w:rPr>
            </w:pPr>
          </w:p>
        </w:tc>
        <w:tc>
          <w:tcPr>
            <w:tcW w:w="954" w:type="dxa"/>
            <w:vMerge w:val="continue"/>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w:t>
            </w:r>
          </w:p>
        </w:tc>
        <w:tc>
          <w:tcPr>
            <w:tcW w:w="3236" w:type="dxa"/>
            <w:noWrap w:val="0"/>
            <w:vAlign w:val="center"/>
          </w:tcPr>
          <w:p>
            <w:pPr>
              <w:pStyle w:val="22"/>
              <w:bidi w:val="0"/>
              <w:rPr>
                <w:color w:val="auto"/>
                <w:highlight w:val="none"/>
              </w:rPr>
            </w:pPr>
            <w:r>
              <w:rPr>
                <w:rFonts w:hint="eastAsia"/>
                <w:color w:val="auto"/>
                <w:highlight w:val="none"/>
              </w:rPr>
              <w:t>大竹县民主乡大河煤矿</w:t>
            </w:r>
          </w:p>
        </w:tc>
        <w:tc>
          <w:tcPr>
            <w:tcW w:w="1008" w:type="dxa"/>
            <w:noWrap w:val="0"/>
            <w:vAlign w:val="center"/>
          </w:tcPr>
          <w:p>
            <w:pPr>
              <w:pStyle w:val="22"/>
              <w:bidi w:val="0"/>
              <w:rPr>
                <w:color w:val="auto"/>
                <w:highlight w:val="none"/>
              </w:rPr>
            </w:pPr>
            <w:r>
              <w:rPr>
                <w:rFonts w:hint="eastAsia"/>
                <w:color w:val="auto"/>
                <w:highlight w:val="none"/>
              </w:rPr>
              <w:t>0.7773</w:t>
            </w:r>
          </w:p>
        </w:tc>
        <w:tc>
          <w:tcPr>
            <w:tcW w:w="1260" w:type="dxa"/>
            <w:noWrap w:val="0"/>
            <w:vAlign w:val="center"/>
          </w:tcPr>
          <w:p>
            <w:pPr>
              <w:pStyle w:val="22"/>
              <w:bidi w:val="0"/>
              <w:rPr>
                <w:color w:val="auto"/>
                <w:highlight w:val="none"/>
              </w:rPr>
            </w:pPr>
            <w:r>
              <w:rPr>
                <w:rFonts w:hint="eastAsia"/>
                <w:color w:val="auto"/>
                <w:highlight w:val="none"/>
              </w:rPr>
              <w:t>878/763</w:t>
            </w:r>
          </w:p>
        </w:tc>
        <w:tc>
          <w:tcPr>
            <w:tcW w:w="2976" w:type="dxa"/>
            <w:noWrap w:val="0"/>
            <w:vAlign w:val="center"/>
          </w:tcPr>
          <w:p>
            <w:pPr>
              <w:pStyle w:val="22"/>
              <w:bidi w:val="0"/>
              <w:rPr>
                <w:color w:val="auto"/>
                <w:highlight w:val="none"/>
              </w:rPr>
            </w:pPr>
            <w:r>
              <w:rPr>
                <w:rFonts w:hint="eastAsia"/>
                <w:color w:val="auto"/>
                <w:highlight w:val="none"/>
              </w:rPr>
              <w:t>内双连</w:t>
            </w:r>
          </w:p>
        </w:tc>
        <w:tc>
          <w:tcPr>
            <w:tcW w:w="851" w:type="dxa"/>
            <w:noWrap w:val="0"/>
            <w:vAlign w:val="center"/>
          </w:tcPr>
          <w:p>
            <w:pPr>
              <w:pStyle w:val="22"/>
              <w:bidi w:val="0"/>
              <w:rPr>
                <w:color w:val="auto"/>
                <w:highlight w:val="none"/>
              </w:rPr>
            </w:pPr>
            <w:r>
              <w:rPr>
                <w:rFonts w:hint="eastAsia"/>
                <w:color w:val="auto"/>
                <w:highlight w:val="none"/>
              </w:rPr>
              <w:t>6</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w:t>
            </w:r>
          </w:p>
        </w:tc>
        <w:tc>
          <w:tcPr>
            <w:tcW w:w="3236" w:type="dxa"/>
            <w:noWrap w:val="0"/>
            <w:vAlign w:val="center"/>
          </w:tcPr>
          <w:p>
            <w:pPr>
              <w:pStyle w:val="22"/>
              <w:bidi w:val="0"/>
              <w:rPr>
                <w:color w:val="auto"/>
                <w:highlight w:val="none"/>
              </w:rPr>
            </w:pPr>
            <w:r>
              <w:rPr>
                <w:rFonts w:hint="eastAsia"/>
                <w:color w:val="auto"/>
                <w:highlight w:val="none"/>
              </w:rPr>
              <w:t>大竹县柏家乡五煤厂</w:t>
            </w:r>
          </w:p>
        </w:tc>
        <w:tc>
          <w:tcPr>
            <w:tcW w:w="1008" w:type="dxa"/>
            <w:noWrap w:val="0"/>
            <w:vAlign w:val="center"/>
          </w:tcPr>
          <w:p>
            <w:pPr>
              <w:pStyle w:val="22"/>
              <w:bidi w:val="0"/>
              <w:rPr>
                <w:color w:val="auto"/>
                <w:highlight w:val="none"/>
              </w:rPr>
            </w:pPr>
            <w:r>
              <w:rPr>
                <w:rFonts w:hint="eastAsia"/>
                <w:color w:val="auto"/>
                <w:highlight w:val="none"/>
              </w:rPr>
              <w:t>1.0047</w:t>
            </w:r>
          </w:p>
        </w:tc>
        <w:tc>
          <w:tcPr>
            <w:tcW w:w="1260" w:type="dxa"/>
            <w:noWrap w:val="0"/>
            <w:vAlign w:val="center"/>
          </w:tcPr>
          <w:p>
            <w:pPr>
              <w:pStyle w:val="22"/>
              <w:bidi w:val="0"/>
              <w:rPr>
                <w:color w:val="auto"/>
                <w:highlight w:val="none"/>
              </w:rPr>
            </w:pPr>
            <w:r>
              <w:rPr>
                <w:rFonts w:hint="eastAsia"/>
                <w:color w:val="auto"/>
                <w:highlight w:val="none"/>
              </w:rPr>
              <w:t>860/650</w:t>
            </w:r>
          </w:p>
        </w:tc>
        <w:tc>
          <w:tcPr>
            <w:tcW w:w="2976" w:type="dxa"/>
            <w:noWrap w:val="0"/>
            <w:vAlign w:val="center"/>
          </w:tcPr>
          <w:p>
            <w:pPr>
              <w:pStyle w:val="22"/>
              <w:bidi w:val="0"/>
              <w:rPr>
                <w:color w:val="auto"/>
                <w:highlight w:val="none"/>
              </w:rPr>
            </w:pPr>
            <w:r>
              <w:rPr>
                <w:rFonts w:hint="eastAsia"/>
                <w:color w:val="auto"/>
                <w:highlight w:val="none"/>
              </w:rPr>
              <w:t>K16、K18</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w:t>
            </w:r>
          </w:p>
        </w:tc>
        <w:tc>
          <w:tcPr>
            <w:tcW w:w="3236" w:type="dxa"/>
            <w:noWrap w:val="0"/>
            <w:vAlign w:val="center"/>
          </w:tcPr>
          <w:p>
            <w:pPr>
              <w:pStyle w:val="22"/>
              <w:bidi w:val="0"/>
              <w:rPr>
                <w:color w:val="auto"/>
                <w:highlight w:val="none"/>
              </w:rPr>
            </w:pPr>
            <w:r>
              <w:rPr>
                <w:rFonts w:hint="eastAsia"/>
                <w:color w:val="auto"/>
                <w:highlight w:val="none"/>
              </w:rPr>
              <w:t>大竹县田坝筲箕湾联办煤矿</w:t>
            </w:r>
          </w:p>
        </w:tc>
        <w:tc>
          <w:tcPr>
            <w:tcW w:w="1008" w:type="dxa"/>
            <w:noWrap w:val="0"/>
            <w:vAlign w:val="center"/>
          </w:tcPr>
          <w:p>
            <w:pPr>
              <w:pStyle w:val="22"/>
              <w:bidi w:val="0"/>
              <w:rPr>
                <w:color w:val="auto"/>
                <w:highlight w:val="none"/>
              </w:rPr>
            </w:pPr>
            <w:r>
              <w:rPr>
                <w:rFonts w:hint="eastAsia"/>
                <w:color w:val="auto"/>
                <w:highlight w:val="none"/>
              </w:rPr>
              <w:t>0.3132</w:t>
            </w:r>
          </w:p>
        </w:tc>
        <w:tc>
          <w:tcPr>
            <w:tcW w:w="1260" w:type="dxa"/>
            <w:noWrap w:val="0"/>
            <w:vAlign w:val="center"/>
          </w:tcPr>
          <w:p>
            <w:pPr>
              <w:pStyle w:val="22"/>
              <w:bidi w:val="0"/>
              <w:rPr>
                <w:color w:val="auto"/>
                <w:highlight w:val="none"/>
              </w:rPr>
            </w:pPr>
            <w:r>
              <w:rPr>
                <w:rFonts w:hint="eastAsia"/>
                <w:color w:val="auto"/>
                <w:highlight w:val="none"/>
              </w:rPr>
              <w:t>915/880</w:t>
            </w:r>
          </w:p>
        </w:tc>
        <w:tc>
          <w:tcPr>
            <w:tcW w:w="2976" w:type="dxa"/>
            <w:noWrap w:val="0"/>
            <w:vAlign w:val="center"/>
          </w:tcPr>
          <w:p>
            <w:pPr>
              <w:pStyle w:val="22"/>
              <w:bidi w:val="0"/>
              <w:rPr>
                <w:color w:val="auto"/>
                <w:highlight w:val="none"/>
              </w:rPr>
            </w:pPr>
            <w:r>
              <w:rPr>
                <w:rFonts w:hint="eastAsia"/>
                <w:color w:val="auto"/>
                <w:highlight w:val="none"/>
              </w:rPr>
              <w:t>内正连、底连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w:t>
            </w:r>
          </w:p>
        </w:tc>
        <w:tc>
          <w:tcPr>
            <w:tcW w:w="3236" w:type="dxa"/>
            <w:noWrap w:val="0"/>
            <w:vAlign w:val="center"/>
          </w:tcPr>
          <w:p>
            <w:pPr>
              <w:pStyle w:val="22"/>
              <w:bidi w:val="0"/>
              <w:rPr>
                <w:color w:val="auto"/>
                <w:highlight w:val="none"/>
              </w:rPr>
            </w:pPr>
            <w:r>
              <w:rPr>
                <w:rFonts w:hint="eastAsia"/>
                <w:color w:val="auto"/>
                <w:highlight w:val="none"/>
              </w:rPr>
              <w:t>大竹县福利煤厂</w:t>
            </w:r>
          </w:p>
        </w:tc>
        <w:tc>
          <w:tcPr>
            <w:tcW w:w="1008" w:type="dxa"/>
            <w:noWrap w:val="0"/>
            <w:vAlign w:val="center"/>
          </w:tcPr>
          <w:p>
            <w:pPr>
              <w:pStyle w:val="22"/>
              <w:bidi w:val="0"/>
              <w:rPr>
                <w:color w:val="auto"/>
                <w:highlight w:val="none"/>
              </w:rPr>
            </w:pPr>
            <w:r>
              <w:rPr>
                <w:rFonts w:hint="eastAsia"/>
                <w:color w:val="auto"/>
                <w:highlight w:val="none"/>
              </w:rPr>
              <w:t>0.2328</w:t>
            </w:r>
          </w:p>
        </w:tc>
        <w:tc>
          <w:tcPr>
            <w:tcW w:w="1260" w:type="dxa"/>
            <w:noWrap w:val="0"/>
            <w:vAlign w:val="center"/>
          </w:tcPr>
          <w:p>
            <w:pPr>
              <w:pStyle w:val="22"/>
              <w:bidi w:val="0"/>
              <w:rPr>
                <w:color w:val="auto"/>
                <w:highlight w:val="none"/>
              </w:rPr>
            </w:pPr>
            <w:r>
              <w:rPr>
                <w:rFonts w:hint="eastAsia"/>
                <w:color w:val="auto"/>
                <w:highlight w:val="none"/>
              </w:rPr>
              <w:t>940/890</w:t>
            </w:r>
          </w:p>
        </w:tc>
        <w:tc>
          <w:tcPr>
            <w:tcW w:w="2976" w:type="dxa"/>
            <w:noWrap w:val="0"/>
            <w:vAlign w:val="center"/>
          </w:tcPr>
          <w:p>
            <w:pPr>
              <w:pStyle w:val="22"/>
              <w:bidi w:val="0"/>
              <w:rPr>
                <w:color w:val="auto"/>
                <w:highlight w:val="none"/>
              </w:rPr>
            </w:pPr>
            <w:r>
              <w:rPr>
                <w:rFonts w:hint="eastAsia"/>
                <w:color w:val="auto"/>
                <w:highlight w:val="none"/>
              </w:rPr>
              <w:t>内双连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w:t>
            </w:r>
          </w:p>
        </w:tc>
        <w:tc>
          <w:tcPr>
            <w:tcW w:w="3236" w:type="dxa"/>
            <w:noWrap w:val="0"/>
            <w:vAlign w:val="center"/>
          </w:tcPr>
          <w:p>
            <w:pPr>
              <w:pStyle w:val="22"/>
              <w:bidi w:val="0"/>
              <w:rPr>
                <w:color w:val="auto"/>
                <w:highlight w:val="none"/>
              </w:rPr>
            </w:pPr>
            <w:r>
              <w:rPr>
                <w:rFonts w:hint="eastAsia"/>
                <w:color w:val="auto"/>
                <w:highlight w:val="none"/>
              </w:rPr>
              <w:t>大竹县清水乡铁厂沟二煤厂</w:t>
            </w:r>
          </w:p>
        </w:tc>
        <w:tc>
          <w:tcPr>
            <w:tcW w:w="1008" w:type="dxa"/>
            <w:noWrap w:val="0"/>
            <w:vAlign w:val="center"/>
          </w:tcPr>
          <w:p>
            <w:pPr>
              <w:pStyle w:val="22"/>
              <w:bidi w:val="0"/>
              <w:rPr>
                <w:color w:val="auto"/>
                <w:highlight w:val="none"/>
              </w:rPr>
            </w:pPr>
            <w:r>
              <w:rPr>
                <w:rFonts w:hint="eastAsia"/>
                <w:color w:val="auto"/>
                <w:highlight w:val="none"/>
              </w:rPr>
              <w:t>0.2503</w:t>
            </w:r>
          </w:p>
        </w:tc>
        <w:tc>
          <w:tcPr>
            <w:tcW w:w="1260" w:type="dxa"/>
            <w:noWrap w:val="0"/>
            <w:vAlign w:val="center"/>
          </w:tcPr>
          <w:p>
            <w:pPr>
              <w:pStyle w:val="22"/>
              <w:bidi w:val="0"/>
              <w:rPr>
                <w:color w:val="auto"/>
                <w:highlight w:val="none"/>
              </w:rPr>
            </w:pPr>
            <w:r>
              <w:rPr>
                <w:rFonts w:hint="eastAsia"/>
                <w:color w:val="auto"/>
                <w:highlight w:val="none"/>
              </w:rPr>
              <w:t>835/770</w:t>
            </w:r>
          </w:p>
        </w:tc>
        <w:tc>
          <w:tcPr>
            <w:tcW w:w="2976" w:type="dxa"/>
            <w:noWrap w:val="0"/>
            <w:vAlign w:val="center"/>
          </w:tcPr>
          <w:p>
            <w:pPr>
              <w:pStyle w:val="22"/>
              <w:bidi w:val="0"/>
              <w:rPr>
                <w:color w:val="auto"/>
                <w:highlight w:val="none"/>
              </w:rPr>
            </w:pPr>
            <w:r>
              <w:rPr>
                <w:rFonts w:hint="eastAsia"/>
                <w:color w:val="auto"/>
                <w:highlight w:val="none"/>
              </w:rPr>
              <w:t>三夹连、内连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6</w:t>
            </w:r>
          </w:p>
        </w:tc>
        <w:tc>
          <w:tcPr>
            <w:tcW w:w="3236" w:type="dxa"/>
            <w:noWrap w:val="0"/>
            <w:vAlign w:val="center"/>
          </w:tcPr>
          <w:p>
            <w:pPr>
              <w:pStyle w:val="22"/>
              <w:bidi w:val="0"/>
              <w:rPr>
                <w:color w:val="auto"/>
                <w:highlight w:val="none"/>
              </w:rPr>
            </w:pPr>
            <w:r>
              <w:rPr>
                <w:rFonts w:hint="eastAsia"/>
                <w:color w:val="auto"/>
                <w:highlight w:val="none"/>
              </w:rPr>
              <w:t>大竹县蓥清联营煤矿</w:t>
            </w:r>
          </w:p>
        </w:tc>
        <w:tc>
          <w:tcPr>
            <w:tcW w:w="1008" w:type="dxa"/>
            <w:noWrap w:val="0"/>
            <w:vAlign w:val="center"/>
          </w:tcPr>
          <w:p>
            <w:pPr>
              <w:pStyle w:val="22"/>
              <w:bidi w:val="0"/>
              <w:rPr>
                <w:color w:val="auto"/>
                <w:highlight w:val="none"/>
              </w:rPr>
            </w:pPr>
            <w:r>
              <w:rPr>
                <w:rFonts w:hint="eastAsia"/>
                <w:color w:val="auto"/>
                <w:highlight w:val="none"/>
              </w:rPr>
              <w:t>0.4944</w:t>
            </w:r>
          </w:p>
        </w:tc>
        <w:tc>
          <w:tcPr>
            <w:tcW w:w="1260" w:type="dxa"/>
            <w:noWrap w:val="0"/>
            <w:vAlign w:val="center"/>
          </w:tcPr>
          <w:p>
            <w:pPr>
              <w:pStyle w:val="22"/>
              <w:bidi w:val="0"/>
              <w:rPr>
                <w:color w:val="auto"/>
                <w:highlight w:val="none"/>
              </w:rPr>
            </w:pPr>
            <w:r>
              <w:rPr>
                <w:rFonts w:hint="eastAsia"/>
                <w:color w:val="auto"/>
                <w:highlight w:val="none"/>
              </w:rPr>
              <w:t>585/535</w:t>
            </w:r>
          </w:p>
        </w:tc>
        <w:tc>
          <w:tcPr>
            <w:tcW w:w="2976" w:type="dxa"/>
            <w:noWrap w:val="0"/>
            <w:vAlign w:val="center"/>
          </w:tcPr>
          <w:p>
            <w:pPr>
              <w:pStyle w:val="22"/>
              <w:bidi w:val="0"/>
              <w:rPr>
                <w:color w:val="auto"/>
                <w:highlight w:val="none"/>
              </w:rPr>
            </w:pPr>
            <w:r>
              <w:rPr>
                <w:rFonts w:hint="eastAsia"/>
                <w:color w:val="auto"/>
                <w:highlight w:val="none"/>
              </w:rPr>
              <w:t>泡独连，硬独连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7</w:t>
            </w:r>
          </w:p>
        </w:tc>
        <w:tc>
          <w:tcPr>
            <w:tcW w:w="3236" w:type="dxa"/>
            <w:noWrap w:val="0"/>
            <w:vAlign w:val="center"/>
          </w:tcPr>
          <w:p>
            <w:pPr>
              <w:pStyle w:val="22"/>
              <w:bidi w:val="0"/>
              <w:rPr>
                <w:color w:val="auto"/>
                <w:highlight w:val="none"/>
              </w:rPr>
            </w:pPr>
            <w:r>
              <w:rPr>
                <w:rFonts w:hint="eastAsia"/>
                <w:color w:val="auto"/>
                <w:highlight w:val="none"/>
              </w:rPr>
              <w:t>大竹县小枫树煤矿</w:t>
            </w:r>
          </w:p>
        </w:tc>
        <w:tc>
          <w:tcPr>
            <w:tcW w:w="1008" w:type="dxa"/>
            <w:noWrap w:val="0"/>
            <w:vAlign w:val="center"/>
          </w:tcPr>
          <w:p>
            <w:pPr>
              <w:pStyle w:val="22"/>
              <w:bidi w:val="0"/>
              <w:rPr>
                <w:color w:val="auto"/>
                <w:highlight w:val="none"/>
              </w:rPr>
            </w:pPr>
            <w:r>
              <w:rPr>
                <w:rFonts w:hint="eastAsia"/>
                <w:color w:val="auto"/>
                <w:highlight w:val="none"/>
              </w:rPr>
              <w:t>0.5457</w:t>
            </w:r>
          </w:p>
        </w:tc>
        <w:tc>
          <w:tcPr>
            <w:tcW w:w="1260" w:type="dxa"/>
            <w:noWrap w:val="0"/>
            <w:vAlign w:val="center"/>
          </w:tcPr>
          <w:p>
            <w:pPr>
              <w:pStyle w:val="22"/>
              <w:bidi w:val="0"/>
              <w:rPr>
                <w:color w:val="auto"/>
                <w:highlight w:val="none"/>
              </w:rPr>
            </w:pPr>
            <w:r>
              <w:rPr>
                <w:rFonts w:hint="eastAsia"/>
                <w:color w:val="auto"/>
                <w:highlight w:val="none"/>
              </w:rPr>
              <w:t>740/650</w:t>
            </w:r>
          </w:p>
        </w:tc>
        <w:tc>
          <w:tcPr>
            <w:tcW w:w="2976" w:type="dxa"/>
            <w:noWrap w:val="0"/>
            <w:vAlign w:val="center"/>
          </w:tcPr>
          <w:p>
            <w:pPr>
              <w:pStyle w:val="22"/>
              <w:bidi w:val="0"/>
              <w:rPr>
                <w:color w:val="auto"/>
                <w:highlight w:val="none"/>
              </w:rPr>
            </w:pPr>
            <w:r>
              <w:rPr>
                <w:rFonts w:hint="eastAsia"/>
                <w:color w:val="auto"/>
                <w:highlight w:val="none"/>
              </w:rPr>
              <w:t>三夹连、内连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8</w:t>
            </w:r>
          </w:p>
        </w:tc>
        <w:tc>
          <w:tcPr>
            <w:tcW w:w="3236" w:type="dxa"/>
            <w:noWrap w:val="0"/>
            <w:vAlign w:val="center"/>
          </w:tcPr>
          <w:p>
            <w:pPr>
              <w:pStyle w:val="22"/>
              <w:bidi w:val="0"/>
              <w:rPr>
                <w:color w:val="auto"/>
                <w:highlight w:val="none"/>
              </w:rPr>
            </w:pPr>
            <w:r>
              <w:rPr>
                <w:rFonts w:hint="eastAsia"/>
                <w:color w:val="auto"/>
                <w:highlight w:val="none"/>
              </w:rPr>
              <w:t>大竹县大枫树矿业有限责任公司黑水河煤矿</w:t>
            </w:r>
          </w:p>
        </w:tc>
        <w:tc>
          <w:tcPr>
            <w:tcW w:w="1008" w:type="dxa"/>
            <w:noWrap w:val="0"/>
            <w:vAlign w:val="center"/>
          </w:tcPr>
          <w:p>
            <w:pPr>
              <w:pStyle w:val="22"/>
              <w:bidi w:val="0"/>
              <w:rPr>
                <w:color w:val="auto"/>
                <w:highlight w:val="none"/>
              </w:rPr>
            </w:pPr>
            <w:r>
              <w:rPr>
                <w:rFonts w:hint="eastAsia"/>
                <w:color w:val="auto"/>
                <w:highlight w:val="none"/>
              </w:rPr>
              <w:t>0.41</w:t>
            </w:r>
          </w:p>
        </w:tc>
        <w:tc>
          <w:tcPr>
            <w:tcW w:w="1260" w:type="dxa"/>
            <w:noWrap w:val="0"/>
            <w:vAlign w:val="center"/>
          </w:tcPr>
          <w:p>
            <w:pPr>
              <w:pStyle w:val="22"/>
              <w:bidi w:val="0"/>
              <w:rPr>
                <w:color w:val="auto"/>
                <w:highlight w:val="none"/>
              </w:rPr>
            </w:pPr>
            <w:r>
              <w:rPr>
                <w:rFonts w:hint="eastAsia"/>
                <w:color w:val="auto"/>
                <w:highlight w:val="none"/>
              </w:rPr>
              <w:t>580/459</w:t>
            </w:r>
          </w:p>
        </w:tc>
        <w:tc>
          <w:tcPr>
            <w:tcW w:w="2976" w:type="dxa"/>
            <w:noWrap w:val="0"/>
            <w:vAlign w:val="center"/>
          </w:tcPr>
          <w:p>
            <w:pPr>
              <w:pStyle w:val="22"/>
              <w:bidi w:val="0"/>
              <w:rPr>
                <w:color w:val="auto"/>
                <w:highlight w:val="none"/>
              </w:rPr>
            </w:pPr>
            <w:r>
              <w:rPr>
                <w:rFonts w:hint="eastAsia"/>
                <w:color w:val="auto"/>
                <w:highlight w:val="none"/>
              </w:rPr>
              <w:t>三夹连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9</w:t>
            </w:r>
          </w:p>
        </w:tc>
        <w:tc>
          <w:tcPr>
            <w:tcW w:w="3236" w:type="dxa"/>
            <w:noWrap w:val="0"/>
            <w:vAlign w:val="center"/>
          </w:tcPr>
          <w:p>
            <w:pPr>
              <w:pStyle w:val="22"/>
              <w:bidi w:val="0"/>
              <w:rPr>
                <w:color w:val="auto"/>
                <w:highlight w:val="none"/>
              </w:rPr>
            </w:pPr>
            <w:r>
              <w:rPr>
                <w:rFonts w:hint="eastAsia"/>
                <w:color w:val="auto"/>
                <w:highlight w:val="none"/>
              </w:rPr>
              <w:t>大竹县中华油坊沟联合煤厂</w:t>
            </w:r>
          </w:p>
        </w:tc>
        <w:tc>
          <w:tcPr>
            <w:tcW w:w="1008" w:type="dxa"/>
            <w:noWrap w:val="0"/>
            <w:vAlign w:val="center"/>
          </w:tcPr>
          <w:p>
            <w:pPr>
              <w:pStyle w:val="22"/>
              <w:bidi w:val="0"/>
              <w:rPr>
                <w:color w:val="auto"/>
                <w:highlight w:val="none"/>
              </w:rPr>
            </w:pPr>
            <w:r>
              <w:rPr>
                <w:rFonts w:hint="eastAsia"/>
                <w:color w:val="auto"/>
                <w:highlight w:val="none"/>
              </w:rPr>
              <w:t>0.1351</w:t>
            </w:r>
          </w:p>
        </w:tc>
        <w:tc>
          <w:tcPr>
            <w:tcW w:w="1260" w:type="dxa"/>
            <w:noWrap w:val="0"/>
            <w:vAlign w:val="center"/>
          </w:tcPr>
          <w:p>
            <w:pPr>
              <w:pStyle w:val="22"/>
              <w:bidi w:val="0"/>
              <w:rPr>
                <w:color w:val="auto"/>
                <w:highlight w:val="none"/>
              </w:rPr>
            </w:pPr>
            <w:r>
              <w:rPr>
                <w:rFonts w:hint="eastAsia"/>
                <w:color w:val="auto"/>
                <w:highlight w:val="none"/>
              </w:rPr>
              <w:t>489/455</w:t>
            </w:r>
          </w:p>
        </w:tc>
        <w:tc>
          <w:tcPr>
            <w:tcW w:w="2976" w:type="dxa"/>
            <w:noWrap w:val="0"/>
            <w:vAlign w:val="center"/>
          </w:tcPr>
          <w:p>
            <w:pPr>
              <w:pStyle w:val="22"/>
              <w:bidi w:val="0"/>
              <w:rPr>
                <w:color w:val="auto"/>
                <w:highlight w:val="none"/>
              </w:rPr>
            </w:pPr>
            <w:r>
              <w:rPr>
                <w:rFonts w:hint="eastAsia"/>
                <w:color w:val="auto"/>
                <w:highlight w:val="none"/>
              </w:rPr>
              <w:t>三夹连、内正连</w:t>
            </w:r>
          </w:p>
        </w:tc>
        <w:tc>
          <w:tcPr>
            <w:tcW w:w="851" w:type="dxa"/>
            <w:noWrap w:val="0"/>
            <w:vAlign w:val="center"/>
          </w:tcPr>
          <w:p>
            <w:pPr>
              <w:pStyle w:val="22"/>
              <w:bidi w:val="0"/>
              <w:rPr>
                <w:color w:val="auto"/>
                <w:highlight w:val="none"/>
              </w:rPr>
            </w:pPr>
            <w:r>
              <w:rPr>
                <w:rFonts w:hint="eastAsia"/>
                <w:color w:val="auto"/>
                <w:highlight w:val="none"/>
              </w:rPr>
              <w:t>2</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10</w:t>
            </w:r>
          </w:p>
        </w:tc>
        <w:tc>
          <w:tcPr>
            <w:tcW w:w="3236" w:type="dxa"/>
            <w:noWrap w:val="0"/>
            <w:vAlign w:val="center"/>
          </w:tcPr>
          <w:p>
            <w:pPr>
              <w:pStyle w:val="22"/>
              <w:bidi w:val="0"/>
              <w:rPr>
                <w:color w:val="auto"/>
                <w:highlight w:val="none"/>
              </w:rPr>
            </w:pPr>
            <w:r>
              <w:rPr>
                <w:rFonts w:hint="eastAsia"/>
                <w:color w:val="auto"/>
                <w:highlight w:val="none"/>
              </w:rPr>
              <w:t>大竹县柏林镇柏树村聂家湾煤厂</w:t>
            </w:r>
          </w:p>
        </w:tc>
        <w:tc>
          <w:tcPr>
            <w:tcW w:w="1008" w:type="dxa"/>
            <w:noWrap w:val="0"/>
            <w:vAlign w:val="center"/>
          </w:tcPr>
          <w:p>
            <w:pPr>
              <w:pStyle w:val="22"/>
              <w:bidi w:val="0"/>
              <w:rPr>
                <w:color w:val="auto"/>
                <w:highlight w:val="none"/>
              </w:rPr>
            </w:pPr>
            <w:r>
              <w:rPr>
                <w:rFonts w:hint="eastAsia"/>
                <w:color w:val="auto"/>
                <w:highlight w:val="none"/>
              </w:rPr>
              <w:t>0.1869</w:t>
            </w:r>
          </w:p>
        </w:tc>
        <w:tc>
          <w:tcPr>
            <w:tcW w:w="1260" w:type="dxa"/>
            <w:noWrap w:val="0"/>
            <w:vAlign w:val="center"/>
          </w:tcPr>
          <w:p>
            <w:pPr>
              <w:pStyle w:val="22"/>
              <w:bidi w:val="0"/>
              <w:rPr>
                <w:color w:val="auto"/>
                <w:highlight w:val="none"/>
              </w:rPr>
            </w:pPr>
            <w:r>
              <w:rPr>
                <w:rFonts w:hint="eastAsia"/>
                <w:color w:val="auto"/>
                <w:highlight w:val="none"/>
              </w:rPr>
              <w:t>790/745</w:t>
            </w:r>
          </w:p>
        </w:tc>
        <w:tc>
          <w:tcPr>
            <w:tcW w:w="2976" w:type="dxa"/>
            <w:noWrap w:val="0"/>
            <w:vAlign w:val="center"/>
          </w:tcPr>
          <w:p>
            <w:pPr>
              <w:pStyle w:val="22"/>
              <w:bidi w:val="0"/>
              <w:rPr>
                <w:color w:val="auto"/>
                <w:highlight w:val="none"/>
              </w:rPr>
            </w:pPr>
            <w:r>
              <w:rPr>
                <w:rFonts w:hint="eastAsia"/>
                <w:color w:val="auto"/>
                <w:highlight w:val="none"/>
              </w:rPr>
              <w:t>K16</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11</w:t>
            </w:r>
          </w:p>
        </w:tc>
        <w:tc>
          <w:tcPr>
            <w:tcW w:w="3236" w:type="dxa"/>
            <w:noWrap w:val="0"/>
            <w:vAlign w:val="center"/>
          </w:tcPr>
          <w:p>
            <w:pPr>
              <w:pStyle w:val="22"/>
              <w:bidi w:val="0"/>
              <w:rPr>
                <w:color w:val="auto"/>
                <w:highlight w:val="none"/>
              </w:rPr>
            </w:pPr>
            <w:r>
              <w:rPr>
                <w:rFonts w:hint="eastAsia"/>
                <w:color w:val="auto"/>
                <w:highlight w:val="none"/>
              </w:rPr>
              <w:t>大竹县柏林镇柏树村二工区煤厂</w:t>
            </w:r>
          </w:p>
        </w:tc>
        <w:tc>
          <w:tcPr>
            <w:tcW w:w="1008" w:type="dxa"/>
            <w:noWrap w:val="0"/>
            <w:vAlign w:val="center"/>
          </w:tcPr>
          <w:p>
            <w:pPr>
              <w:pStyle w:val="22"/>
              <w:bidi w:val="0"/>
              <w:rPr>
                <w:color w:val="auto"/>
                <w:highlight w:val="none"/>
              </w:rPr>
            </w:pPr>
            <w:r>
              <w:rPr>
                <w:rFonts w:hint="eastAsia"/>
                <w:color w:val="auto"/>
                <w:highlight w:val="none"/>
              </w:rPr>
              <w:t>0.0865</w:t>
            </w:r>
          </w:p>
        </w:tc>
        <w:tc>
          <w:tcPr>
            <w:tcW w:w="1260" w:type="dxa"/>
            <w:noWrap w:val="0"/>
            <w:vAlign w:val="center"/>
          </w:tcPr>
          <w:p>
            <w:pPr>
              <w:pStyle w:val="22"/>
              <w:bidi w:val="0"/>
              <w:rPr>
                <w:color w:val="auto"/>
                <w:highlight w:val="none"/>
              </w:rPr>
            </w:pPr>
            <w:r>
              <w:rPr>
                <w:rFonts w:hint="eastAsia"/>
                <w:color w:val="auto"/>
                <w:highlight w:val="none"/>
              </w:rPr>
              <w:t>466/430</w:t>
            </w:r>
          </w:p>
        </w:tc>
        <w:tc>
          <w:tcPr>
            <w:tcW w:w="2976" w:type="dxa"/>
            <w:noWrap w:val="0"/>
            <w:vAlign w:val="center"/>
          </w:tcPr>
          <w:p>
            <w:pPr>
              <w:pStyle w:val="22"/>
              <w:bidi w:val="0"/>
              <w:rPr>
                <w:color w:val="auto"/>
                <w:highlight w:val="none"/>
              </w:rPr>
            </w:pPr>
            <w:r>
              <w:rPr>
                <w:rFonts w:hint="eastAsia"/>
                <w:color w:val="auto"/>
                <w:highlight w:val="none"/>
              </w:rPr>
              <w:t>K22</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12</w:t>
            </w:r>
          </w:p>
        </w:tc>
        <w:tc>
          <w:tcPr>
            <w:tcW w:w="3236" w:type="dxa"/>
            <w:noWrap w:val="0"/>
            <w:vAlign w:val="center"/>
          </w:tcPr>
          <w:p>
            <w:pPr>
              <w:pStyle w:val="22"/>
              <w:bidi w:val="0"/>
              <w:rPr>
                <w:color w:val="auto"/>
                <w:highlight w:val="none"/>
              </w:rPr>
            </w:pPr>
            <w:r>
              <w:rPr>
                <w:rFonts w:hint="eastAsia"/>
                <w:color w:val="auto"/>
                <w:highlight w:val="none"/>
              </w:rPr>
              <w:t>大竹县清河乡二马门煤矿</w:t>
            </w:r>
          </w:p>
        </w:tc>
        <w:tc>
          <w:tcPr>
            <w:tcW w:w="1008" w:type="dxa"/>
            <w:noWrap w:val="0"/>
            <w:vAlign w:val="center"/>
          </w:tcPr>
          <w:p>
            <w:pPr>
              <w:pStyle w:val="22"/>
              <w:bidi w:val="0"/>
              <w:rPr>
                <w:color w:val="auto"/>
                <w:highlight w:val="none"/>
              </w:rPr>
            </w:pPr>
            <w:r>
              <w:rPr>
                <w:rFonts w:hint="eastAsia"/>
                <w:color w:val="auto"/>
                <w:highlight w:val="none"/>
              </w:rPr>
              <w:t>0.4836</w:t>
            </w:r>
          </w:p>
        </w:tc>
        <w:tc>
          <w:tcPr>
            <w:tcW w:w="1260" w:type="dxa"/>
            <w:noWrap w:val="0"/>
            <w:vAlign w:val="center"/>
          </w:tcPr>
          <w:p>
            <w:pPr>
              <w:pStyle w:val="22"/>
              <w:bidi w:val="0"/>
              <w:rPr>
                <w:color w:val="auto"/>
                <w:highlight w:val="none"/>
              </w:rPr>
            </w:pPr>
            <w:r>
              <w:rPr>
                <w:rFonts w:hint="eastAsia"/>
                <w:color w:val="auto"/>
                <w:highlight w:val="none"/>
              </w:rPr>
              <w:t>500/282</w:t>
            </w:r>
          </w:p>
        </w:tc>
        <w:tc>
          <w:tcPr>
            <w:tcW w:w="2976" w:type="dxa"/>
            <w:noWrap w:val="0"/>
            <w:vAlign w:val="center"/>
          </w:tcPr>
          <w:p>
            <w:pPr>
              <w:pStyle w:val="22"/>
              <w:bidi w:val="0"/>
              <w:rPr>
                <w:color w:val="auto"/>
                <w:highlight w:val="none"/>
              </w:rPr>
            </w:pPr>
            <w:r>
              <w:rPr>
                <w:rFonts w:hint="eastAsia"/>
                <w:color w:val="auto"/>
                <w:highlight w:val="none"/>
              </w:rPr>
              <w:t>K22、K24</w:t>
            </w:r>
          </w:p>
        </w:tc>
        <w:tc>
          <w:tcPr>
            <w:tcW w:w="851" w:type="dxa"/>
            <w:noWrap w:val="0"/>
            <w:vAlign w:val="center"/>
          </w:tcPr>
          <w:p>
            <w:pPr>
              <w:pStyle w:val="22"/>
              <w:bidi w:val="0"/>
              <w:rPr>
                <w:color w:val="auto"/>
                <w:highlight w:val="none"/>
              </w:rPr>
            </w:pPr>
            <w:r>
              <w:rPr>
                <w:rFonts w:hint="eastAsia"/>
                <w:color w:val="auto"/>
                <w:highlight w:val="none"/>
              </w:rPr>
              <w:t>2</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13</w:t>
            </w:r>
          </w:p>
        </w:tc>
        <w:tc>
          <w:tcPr>
            <w:tcW w:w="3236" w:type="dxa"/>
            <w:noWrap w:val="0"/>
            <w:vAlign w:val="center"/>
          </w:tcPr>
          <w:p>
            <w:pPr>
              <w:pStyle w:val="22"/>
              <w:bidi w:val="0"/>
              <w:rPr>
                <w:color w:val="auto"/>
                <w:highlight w:val="none"/>
              </w:rPr>
            </w:pPr>
            <w:r>
              <w:rPr>
                <w:rFonts w:hint="eastAsia"/>
                <w:color w:val="auto"/>
                <w:highlight w:val="none"/>
              </w:rPr>
              <w:t>大竹县清河镇一煤矿</w:t>
            </w:r>
          </w:p>
        </w:tc>
        <w:tc>
          <w:tcPr>
            <w:tcW w:w="1008" w:type="dxa"/>
            <w:noWrap w:val="0"/>
            <w:vAlign w:val="center"/>
          </w:tcPr>
          <w:p>
            <w:pPr>
              <w:pStyle w:val="22"/>
              <w:bidi w:val="0"/>
              <w:rPr>
                <w:color w:val="auto"/>
                <w:highlight w:val="none"/>
              </w:rPr>
            </w:pPr>
            <w:r>
              <w:rPr>
                <w:rFonts w:hint="eastAsia"/>
                <w:color w:val="auto"/>
                <w:highlight w:val="none"/>
              </w:rPr>
              <w:t>1.065</w:t>
            </w:r>
          </w:p>
        </w:tc>
        <w:tc>
          <w:tcPr>
            <w:tcW w:w="1260" w:type="dxa"/>
            <w:noWrap w:val="0"/>
            <w:vAlign w:val="center"/>
          </w:tcPr>
          <w:p>
            <w:pPr>
              <w:pStyle w:val="22"/>
              <w:bidi w:val="0"/>
              <w:rPr>
                <w:color w:val="auto"/>
                <w:highlight w:val="none"/>
              </w:rPr>
            </w:pPr>
            <w:r>
              <w:rPr>
                <w:rFonts w:hint="eastAsia"/>
                <w:color w:val="auto"/>
                <w:highlight w:val="none"/>
              </w:rPr>
              <w:t>500/310</w:t>
            </w:r>
          </w:p>
        </w:tc>
        <w:tc>
          <w:tcPr>
            <w:tcW w:w="2976" w:type="dxa"/>
            <w:noWrap w:val="0"/>
            <w:vAlign w:val="center"/>
          </w:tcPr>
          <w:p>
            <w:pPr>
              <w:pStyle w:val="22"/>
              <w:bidi w:val="0"/>
              <w:rPr>
                <w:color w:val="auto"/>
                <w:highlight w:val="none"/>
              </w:rPr>
            </w:pPr>
            <w:r>
              <w:rPr>
                <w:rFonts w:hint="eastAsia"/>
                <w:color w:val="auto"/>
                <w:highlight w:val="none"/>
              </w:rPr>
              <w:t>K22、K24、K25、K16</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2008</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14</w:t>
            </w:r>
          </w:p>
        </w:tc>
        <w:tc>
          <w:tcPr>
            <w:tcW w:w="3236" w:type="dxa"/>
            <w:noWrap w:val="0"/>
            <w:vAlign w:val="center"/>
          </w:tcPr>
          <w:p>
            <w:pPr>
              <w:pStyle w:val="22"/>
              <w:bidi w:val="0"/>
              <w:rPr>
                <w:color w:val="auto"/>
                <w:highlight w:val="none"/>
              </w:rPr>
            </w:pPr>
            <w:r>
              <w:rPr>
                <w:rFonts w:hint="eastAsia"/>
                <w:color w:val="auto"/>
                <w:highlight w:val="none"/>
              </w:rPr>
              <w:t>大竹县清河戌佛煤厂</w:t>
            </w:r>
          </w:p>
        </w:tc>
        <w:tc>
          <w:tcPr>
            <w:tcW w:w="1008" w:type="dxa"/>
            <w:noWrap w:val="0"/>
            <w:vAlign w:val="center"/>
          </w:tcPr>
          <w:p>
            <w:pPr>
              <w:pStyle w:val="22"/>
              <w:bidi w:val="0"/>
              <w:rPr>
                <w:color w:val="auto"/>
                <w:highlight w:val="none"/>
              </w:rPr>
            </w:pPr>
            <w:r>
              <w:rPr>
                <w:rFonts w:hint="eastAsia"/>
                <w:color w:val="auto"/>
                <w:highlight w:val="none"/>
              </w:rPr>
              <w:t>0.0865</w:t>
            </w:r>
          </w:p>
        </w:tc>
        <w:tc>
          <w:tcPr>
            <w:tcW w:w="1260" w:type="dxa"/>
            <w:noWrap w:val="0"/>
            <w:vAlign w:val="center"/>
          </w:tcPr>
          <w:p>
            <w:pPr>
              <w:pStyle w:val="22"/>
              <w:bidi w:val="0"/>
              <w:rPr>
                <w:color w:val="auto"/>
                <w:highlight w:val="none"/>
              </w:rPr>
            </w:pPr>
            <w:r>
              <w:rPr>
                <w:rFonts w:hint="eastAsia"/>
                <w:color w:val="auto"/>
                <w:highlight w:val="none"/>
              </w:rPr>
              <w:t>565/450</w:t>
            </w:r>
          </w:p>
        </w:tc>
        <w:tc>
          <w:tcPr>
            <w:tcW w:w="2976" w:type="dxa"/>
            <w:noWrap w:val="0"/>
            <w:vAlign w:val="center"/>
          </w:tcPr>
          <w:p>
            <w:pPr>
              <w:pStyle w:val="22"/>
              <w:bidi w:val="0"/>
              <w:rPr>
                <w:color w:val="auto"/>
                <w:highlight w:val="none"/>
              </w:rPr>
            </w:pPr>
            <w:r>
              <w:rPr>
                <w:rFonts w:hint="eastAsia"/>
                <w:color w:val="auto"/>
                <w:highlight w:val="none"/>
              </w:rPr>
              <w:t>K22</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15</w:t>
            </w:r>
          </w:p>
        </w:tc>
        <w:tc>
          <w:tcPr>
            <w:tcW w:w="3236" w:type="dxa"/>
            <w:noWrap w:val="0"/>
            <w:vAlign w:val="center"/>
          </w:tcPr>
          <w:p>
            <w:pPr>
              <w:pStyle w:val="22"/>
              <w:bidi w:val="0"/>
              <w:rPr>
                <w:color w:val="auto"/>
                <w:highlight w:val="none"/>
              </w:rPr>
            </w:pPr>
            <w:r>
              <w:rPr>
                <w:rFonts w:hint="eastAsia"/>
                <w:color w:val="auto"/>
                <w:highlight w:val="none"/>
              </w:rPr>
              <w:t>大竹县清河银庄煤厂</w:t>
            </w:r>
          </w:p>
        </w:tc>
        <w:tc>
          <w:tcPr>
            <w:tcW w:w="1008" w:type="dxa"/>
            <w:noWrap w:val="0"/>
            <w:vAlign w:val="center"/>
          </w:tcPr>
          <w:p>
            <w:pPr>
              <w:pStyle w:val="22"/>
              <w:bidi w:val="0"/>
              <w:rPr>
                <w:color w:val="auto"/>
                <w:highlight w:val="none"/>
              </w:rPr>
            </w:pPr>
            <w:r>
              <w:rPr>
                <w:rFonts w:hint="eastAsia"/>
                <w:color w:val="auto"/>
                <w:highlight w:val="none"/>
              </w:rPr>
              <w:t>0.5334</w:t>
            </w:r>
          </w:p>
        </w:tc>
        <w:tc>
          <w:tcPr>
            <w:tcW w:w="1260" w:type="dxa"/>
            <w:noWrap w:val="0"/>
            <w:vAlign w:val="center"/>
          </w:tcPr>
          <w:p>
            <w:pPr>
              <w:pStyle w:val="22"/>
              <w:bidi w:val="0"/>
              <w:rPr>
                <w:color w:val="auto"/>
                <w:highlight w:val="none"/>
              </w:rPr>
            </w:pPr>
            <w:r>
              <w:rPr>
                <w:rFonts w:hint="eastAsia"/>
                <w:color w:val="auto"/>
                <w:highlight w:val="none"/>
              </w:rPr>
              <w:t>500/310</w:t>
            </w:r>
          </w:p>
        </w:tc>
        <w:tc>
          <w:tcPr>
            <w:tcW w:w="2976" w:type="dxa"/>
            <w:noWrap w:val="0"/>
            <w:vAlign w:val="center"/>
          </w:tcPr>
          <w:p>
            <w:pPr>
              <w:pStyle w:val="22"/>
              <w:bidi w:val="0"/>
              <w:rPr>
                <w:color w:val="auto"/>
                <w:highlight w:val="none"/>
              </w:rPr>
            </w:pPr>
            <w:r>
              <w:rPr>
                <w:rFonts w:hint="eastAsia"/>
                <w:color w:val="auto"/>
                <w:highlight w:val="none"/>
              </w:rPr>
              <w:t>K15、K16</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16</w:t>
            </w:r>
          </w:p>
        </w:tc>
        <w:tc>
          <w:tcPr>
            <w:tcW w:w="3236" w:type="dxa"/>
            <w:noWrap w:val="0"/>
            <w:vAlign w:val="center"/>
          </w:tcPr>
          <w:p>
            <w:pPr>
              <w:pStyle w:val="22"/>
              <w:bidi w:val="0"/>
              <w:rPr>
                <w:color w:val="auto"/>
                <w:highlight w:val="none"/>
              </w:rPr>
            </w:pPr>
            <w:r>
              <w:rPr>
                <w:rFonts w:hint="eastAsia"/>
                <w:color w:val="auto"/>
                <w:highlight w:val="none"/>
              </w:rPr>
              <w:t>大竹县清河区洞子沟煤矿</w:t>
            </w:r>
          </w:p>
        </w:tc>
        <w:tc>
          <w:tcPr>
            <w:tcW w:w="1008" w:type="dxa"/>
            <w:noWrap w:val="0"/>
            <w:vAlign w:val="center"/>
          </w:tcPr>
          <w:p>
            <w:pPr>
              <w:pStyle w:val="22"/>
              <w:bidi w:val="0"/>
              <w:rPr>
                <w:color w:val="auto"/>
                <w:highlight w:val="none"/>
              </w:rPr>
            </w:pPr>
            <w:r>
              <w:rPr>
                <w:rFonts w:hint="eastAsia"/>
                <w:color w:val="auto"/>
                <w:highlight w:val="none"/>
              </w:rPr>
              <w:t>0.6607</w:t>
            </w:r>
          </w:p>
        </w:tc>
        <w:tc>
          <w:tcPr>
            <w:tcW w:w="1260" w:type="dxa"/>
            <w:noWrap w:val="0"/>
            <w:vAlign w:val="center"/>
          </w:tcPr>
          <w:p>
            <w:pPr>
              <w:pStyle w:val="22"/>
              <w:bidi w:val="0"/>
              <w:rPr>
                <w:color w:val="auto"/>
                <w:highlight w:val="none"/>
              </w:rPr>
            </w:pPr>
            <w:r>
              <w:rPr>
                <w:rFonts w:hint="eastAsia"/>
                <w:color w:val="auto"/>
                <w:highlight w:val="none"/>
              </w:rPr>
              <w:t>875/813</w:t>
            </w:r>
          </w:p>
        </w:tc>
        <w:tc>
          <w:tcPr>
            <w:tcW w:w="2976" w:type="dxa"/>
            <w:noWrap w:val="0"/>
            <w:vAlign w:val="center"/>
          </w:tcPr>
          <w:p>
            <w:pPr>
              <w:pStyle w:val="22"/>
              <w:bidi w:val="0"/>
              <w:rPr>
                <w:color w:val="auto"/>
                <w:highlight w:val="none"/>
              </w:rPr>
            </w:pPr>
            <w:r>
              <w:rPr>
                <w:rFonts w:hint="eastAsia"/>
                <w:color w:val="auto"/>
                <w:highlight w:val="none"/>
              </w:rPr>
              <w:t>正连、底连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629" w:type="dxa"/>
            <w:noWrap w:val="0"/>
            <w:vAlign w:val="center"/>
          </w:tcPr>
          <w:p>
            <w:pPr>
              <w:pStyle w:val="22"/>
              <w:bidi w:val="0"/>
              <w:rPr>
                <w:color w:val="auto"/>
                <w:highlight w:val="none"/>
              </w:rPr>
            </w:pPr>
            <w:r>
              <w:rPr>
                <w:rFonts w:hint="eastAsia"/>
                <w:color w:val="auto"/>
                <w:highlight w:val="none"/>
              </w:rPr>
              <w:t>17</w:t>
            </w:r>
          </w:p>
        </w:tc>
        <w:tc>
          <w:tcPr>
            <w:tcW w:w="3236" w:type="dxa"/>
            <w:noWrap w:val="0"/>
            <w:vAlign w:val="center"/>
          </w:tcPr>
          <w:p>
            <w:pPr>
              <w:pStyle w:val="22"/>
              <w:bidi w:val="0"/>
              <w:rPr>
                <w:color w:val="auto"/>
                <w:highlight w:val="none"/>
              </w:rPr>
            </w:pPr>
            <w:r>
              <w:rPr>
                <w:rFonts w:hint="eastAsia"/>
                <w:color w:val="auto"/>
                <w:highlight w:val="none"/>
              </w:rPr>
              <w:t>大竹县清河王家山煤厂</w:t>
            </w:r>
          </w:p>
        </w:tc>
        <w:tc>
          <w:tcPr>
            <w:tcW w:w="1008" w:type="dxa"/>
            <w:noWrap w:val="0"/>
            <w:vAlign w:val="center"/>
          </w:tcPr>
          <w:p>
            <w:pPr>
              <w:pStyle w:val="22"/>
              <w:bidi w:val="0"/>
              <w:rPr>
                <w:color w:val="auto"/>
                <w:highlight w:val="none"/>
              </w:rPr>
            </w:pPr>
            <w:r>
              <w:rPr>
                <w:rFonts w:hint="eastAsia"/>
                <w:color w:val="auto"/>
                <w:highlight w:val="none"/>
              </w:rPr>
              <w:t>0.5565</w:t>
            </w:r>
          </w:p>
        </w:tc>
        <w:tc>
          <w:tcPr>
            <w:tcW w:w="1260" w:type="dxa"/>
            <w:noWrap w:val="0"/>
            <w:vAlign w:val="center"/>
          </w:tcPr>
          <w:p>
            <w:pPr>
              <w:pStyle w:val="22"/>
              <w:bidi w:val="0"/>
              <w:rPr>
                <w:color w:val="auto"/>
                <w:highlight w:val="none"/>
              </w:rPr>
            </w:pPr>
            <w:r>
              <w:rPr>
                <w:rFonts w:hint="eastAsia"/>
                <w:color w:val="auto"/>
                <w:highlight w:val="none"/>
              </w:rPr>
              <w:t>940/870</w:t>
            </w:r>
          </w:p>
        </w:tc>
        <w:tc>
          <w:tcPr>
            <w:tcW w:w="2976" w:type="dxa"/>
            <w:noWrap w:val="0"/>
            <w:vAlign w:val="center"/>
          </w:tcPr>
          <w:p>
            <w:pPr>
              <w:pStyle w:val="22"/>
              <w:bidi w:val="0"/>
              <w:rPr>
                <w:color w:val="auto"/>
                <w:highlight w:val="none"/>
              </w:rPr>
            </w:pPr>
            <w:r>
              <w:rPr>
                <w:rFonts w:hint="eastAsia"/>
                <w:color w:val="auto"/>
                <w:highlight w:val="none"/>
              </w:rPr>
              <w:t>K8</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18</w:t>
            </w:r>
          </w:p>
        </w:tc>
        <w:tc>
          <w:tcPr>
            <w:tcW w:w="3236" w:type="dxa"/>
            <w:noWrap w:val="0"/>
            <w:vAlign w:val="center"/>
          </w:tcPr>
          <w:p>
            <w:pPr>
              <w:pStyle w:val="22"/>
              <w:bidi w:val="0"/>
              <w:rPr>
                <w:color w:val="auto"/>
                <w:highlight w:val="none"/>
              </w:rPr>
            </w:pPr>
            <w:r>
              <w:rPr>
                <w:rFonts w:hint="eastAsia"/>
                <w:color w:val="auto"/>
                <w:highlight w:val="none"/>
              </w:rPr>
              <w:t>大竹县华清联营煤矿</w:t>
            </w:r>
          </w:p>
        </w:tc>
        <w:tc>
          <w:tcPr>
            <w:tcW w:w="1008" w:type="dxa"/>
            <w:noWrap w:val="0"/>
            <w:vAlign w:val="center"/>
          </w:tcPr>
          <w:p>
            <w:pPr>
              <w:pStyle w:val="22"/>
              <w:bidi w:val="0"/>
              <w:rPr>
                <w:color w:val="auto"/>
                <w:highlight w:val="none"/>
              </w:rPr>
            </w:pPr>
            <w:r>
              <w:rPr>
                <w:rFonts w:hint="eastAsia"/>
                <w:color w:val="auto"/>
                <w:highlight w:val="none"/>
              </w:rPr>
              <w:t>0.5365</w:t>
            </w:r>
          </w:p>
        </w:tc>
        <w:tc>
          <w:tcPr>
            <w:tcW w:w="1260" w:type="dxa"/>
            <w:noWrap w:val="0"/>
            <w:vAlign w:val="center"/>
          </w:tcPr>
          <w:p>
            <w:pPr>
              <w:pStyle w:val="22"/>
              <w:bidi w:val="0"/>
              <w:rPr>
                <w:color w:val="auto"/>
                <w:highlight w:val="none"/>
              </w:rPr>
            </w:pPr>
            <w:r>
              <w:rPr>
                <w:rFonts w:hint="eastAsia"/>
                <w:color w:val="auto"/>
                <w:highlight w:val="none"/>
              </w:rPr>
              <w:t>690/637</w:t>
            </w:r>
          </w:p>
        </w:tc>
        <w:tc>
          <w:tcPr>
            <w:tcW w:w="2976" w:type="dxa"/>
            <w:noWrap w:val="0"/>
            <w:vAlign w:val="center"/>
          </w:tcPr>
          <w:p>
            <w:pPr>
              <w:pStyle w:val="22"/>
              <w:bidi w:val="0"/>
              <w:rPr>
                <w:color w:val="auto"/>
                <w:highlight w:val="none"/>
              </w:rPr>
            </w:pPr>
            <w:r>
              <w:rPr>
                <w:rFonts w:hint="eastAsia"/>
                <w:color w:val="auto"/>
                <w:highlight w:val="none"/>
              </w:rPr>
              <w:t>内夹连、双连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19</w:t>
            </w:r>
          </w:p>
        </w:tc>
        <w:tc>
          <w:tcPr>
            <w:tcW w:w="3236" w:type="dxa"/>
            <w:noWrap w:val="0"/>
            <w:vAlign w:val="center"/>
          </w:tcPr>
          <w:p>
            <w:pPr>
              <w:pStyle w:val="22"/>
              <w:bidi w:val="0"/>
              <w:rPr>
                <w:color w:val="auto"/>
                <w:highlight w:val="none"/>
              </w:rPr>
            </w:pPr>
            <w:r>
              <w:rPr>
                <w:rFonts w:hint="eastAsia"/>
                <w:color w:val="auto"/>
                <w:highlight w:val="none"/>
              </w:rPr>
              <w:t>大竹县田坝乡高口滩煤矿</w:t>
            </w:r>
          </w:p>
        </w:tc>
        <w:tc>
          <w:tcPr>
            <w:tcW w:w="1008" w:type="dxa"/>
            <w:noWrap w:val="0"/>
            <w:vAlign w:val="center"/>
          </w:tcPr>
          <w:p>
            <w:pPr>
              <w:pStyle w:val="22"/>
              <w:bidi w:val="0"/>
              <w:rPr>
                <w:color w:val="auto"/>
                <w:highlight w:val="none"/>
              </w:rPr>
            </w:pPr>
            <w:r>
              <w:rPr>
                <w:rFonts w:hint="eastAsia"/>
                <w:color w:val="auto"/>
                <w:highlight w:val="none"/>
              </w:rPr>
              <w:t>0.4169</w:t>
            </w:r>
          </w:p>
        </w:tc>
        <w:tc>
          <w:tcPr>
            <w:tcW w:w="1260" w:type="dxa"/>
            <w:noWrap w:val="0"/>
            <w:vAlign w:val="center"/>
          </w:tcPr>
          <w:p>
            <w:pPr>
              <w:pStyle w:val="22"/>
              <w:bidi w:val="0"/>
              <w:rPr>
                <w:color w:val="auto"/>
                <w:highlight w:val="none"/>
              </w:rPr>
            </w:pPr>
            <w:r>
              <w:rPr>
                <w:rFonts w:hint="eastAsia"/>
                <w:color w:val="auto"/>
                <w:highlight w:val="none"/>
              </w:rPr>
              <w:t>428/383</w:t>
            </w:r>
          </w:p>
        </w:tc>
        <w:tc>
          <w:tcPr>
            <w:tcW w:w="2976" w:type="dxa"/>
            <w:noWrap w:val="0"/>
            <w:vAlign w:val="center"/>
          </w:tcPr>
          <w:p>
            <w:pPr>
              <w:pStyle w:val="22"/>
              <w:bidi w:val="0"/>
              <w:rPr>
                <w:color w:val="auto"/>
                <w:highlight w:val="none"/>
              </w:rPr>
            </w:pPr>
            <w:r>
              <w:rPr>
                <w:rFonts w:hint="eastAsia"/>
                <w:color w:val="auto"/>
                <w:highlight w:val="none"/>
              </w:rPr>
              <w:t>正连、阴土</w:t>
            </w:r>
          </w:p>
        </w:tc>
        <w:tc>
          <w:tcPr>
            <w:tcW w:w="851" w:type="dxa"/>
            <w:noWrap w:val="0"/>
            <w:vAlign w:val="center"/>
          </w:tcPr>
          <w:p>
            <w:pPr>
              <w:pStyle w:val="22"/>
              <w:bidi w:val="0"/>
              <w:rPr>
                <w:color w:val="auto"/>
                <w:highlight w:val="none"/>
              </w:rPr>
            </w:pPr>
            <w:r>
              <w:rPr>
                <w:rFonts w:hint="eastAsia"/>
                <w:color w:val="auto"/>
                <w:highlight w:val="none"/>
              </w:rPr>
              <w:t>2</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20</w:t>
            </w:r>
          </w:p>
        </w:tc>
        <w:tc>
          <w:tcPr>
            <w:tcW w:w="3236" w:type="dxa"/>
            <w:noWrap w:val="0"/>
            <w:vAlign w:val="center"/>
          </w:tcPr>
          <w:p>
            <w:pPr>
              <w:pStyle w:val="22"/>
              <w:bidi w:val="0"/>
              <w:rPr>
                <w:color w:val="auto"/>
                <w:highlight w:val="none"/>
              </w:rPr>
            </w:pPr>
            <w:r>
              <w:rPr>
                <w:rFonts w:hint="eastAsia"/>
                <w:color w:val="auto"/>
                <w:highlight w:val="none"/>
              </w:rPr>
              <w:t>大竹县川主乡煤矿</w:t>
            </w:r>
          </w:p>
        </w:tc>
        <w:tc>
          <w:tcPr>
            <w:tcW w:w="1008" w:type="dxa"/>
            <w:noWrap w:val="0"/>
            <w:vAlign w:val="center"/>
          </w:tcPr>
          <w:p>
            <w:pPr>
              <w:pStyle w:val="22"/>
              <w:bidi w:val="0"/>
              <w:rPr>
                <w:color w:val="auto"/>
                <w:highlight w:val="none"/>
              </w:rPr>
            </w:pPr>
            <w:r>
              <w:rPr>
                <w:rFonts w:hint="eastAsia"/>
                <w:color w:val="auto"/>
                <w:highlight w:val="none"/>
              </w:rPr>
              <w:t>0.6919</w:t>
            </w:r>
          </w:p>
        </w:tc>
        <w:tc>
          <w:tcPr>
            <w:tcW w:w="1260" w:type="dxa"/>
            <w:noWrap w:val="0"/>
            <w:vAlign w:val="center"/>
          </w:tcPr>
          <w:p>
            <w:pPr>
              <w:pStyle w:val="22"/>
              <w:bidi w:val="0"/>
              <w:rPr>
                <w:color w:val="auto"/>
                <w:highlight w:val="none"/>
              </w:rPr>
            </w:pPr>
            <w:r>
              <w:rPr>
                <w:rFonts w:hint="eastAsia"/>
                <w:color w:val="auto"/>
                <w:highlight w:val="none"/>
              </w:rPr>
              <w:t>560/485</w:t>
            </w:r>
          </w:p>
        </w:tc>
        <w:tc>
          <w:tcPr>
            <w:tcW w:w="2976" w:type="dxa"/>
            <w:noWrap w:val="0"/>
            <w:vAlign w:val="center"/>
          </w:tcPr>
          <w:p>
            <w:pPr>
              <w:pStyle w:val="22"/>
              <w:bidi w:val="0"/>
              <w:rPr>
                <w:color w:val="auto"/>
                <w:highlight w:val="none"/>
              </w:rPr>
            </w:pPr>
            <w:r>
              <w:rPr>
                <w:rFonts w:hint="eastAsia"/>
                <w:color w:val="auto"/>
                <w:highlight w:val="none"/>
              </w:rPr>
              <w:t>三夹连、双连、硬炭</w:t>
            </w:r>
          </w:p>
        </w:tc>
        <w:tc>
          <w:tcPr>
            <w:tcW w:w="851" w:type="dxa"/>
            <w:noWrap w:val="0"/>
            <w:vAlign w:val="center"/>
          </w:tcPr>
          <w:p>
            <w:pPr>
              <w:pStyle w:val="22"/>
              <w:bidi w:val="0"/>
              <w:rPr>
                <w:color w:val="auto"/>
                <w:highlight w:val="none"/>
              </w:rPr>
            </w:pPr>
            <w:r>
              <w:rPr>
                <w:rFonts w:hint="eastAsia"/>
                <w:color w:val="auto"/>
                <w:highlight w:val="none"/>
              </w:rPr>
              <w:t>2</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21</w:t>
            </w:r>
          </w:p>
        </w:tc>
        <w:tc>
          <w:tcPr>
            <w:tcW w:w="3236" w:type="dxa"/>
            <w:noWrap w:val="0"/>
            <w:vAlign w:val="center"/>
          </w:tcPr>
          <w:p>
            <w:pPr>
              <w:pStyle w:val="22"/>
              <w:bidi w:val="0"/>
              <w:rPr>
                <w:color w:val="auto"/>
                <w:highlight w:val="none"/>
              </w:rPr>
            </w:pPr>
            <w:r>
              <w:rPr>
                <w:rFonts w:hint="eastAsia"/>
                <w:color w:val="auto"/>
                <w:highlight w:val="none"/>
              </w:rPr>
              <w:t>大竹县柏家乡马安村大岩煤厂</w:t>
            </w:r>
          </w:p>
        </w:tc>
        <w:tc>
          <w:tcPr>
            <w:tcW w:w="1008" w:type="dxa"/>
            <w:noWrap w:val="0"/>
            <w:vAlign w:val="center"/>
          </w:tcPr>
          <w:p>
            <w:pPr>
              <w:pStyle w:val="22"/>
              <w:bidi w:val="0"/>
              <w:rPr>
                <w:color w:val="auto"/>
                <w:highlight w:val="none"/>
              </w:rPr>
            </w:pPr>
            <w:r>
              <w:rPr>
                <w:rFonts w:hint="eastAsia"/>
                <w:color w:val="auto"/>
                <w:highlight w:val="none"/>
              </w:rPr>
              <w:t>1.219</w:t>
            </w:r>
          </w:p>
        </w:tc>
        <w:tc>
          <w:tcPr>
            <w:tcW w:w="1260" w:type="dxa"/>
            <w:noWrap w:val="0"/>
            <w:vAlign w:val="center"/>
          </w:tcPr>
          <w:p>
            <w:pPr>
              <w:pStyle w:val="22"/>
              <w:bidi w:val="0"/>
              <w:rPr>
                <w:color w:val="auto"/>
                <w:highlight w:val="none"/>
              </w:rPr>
            </w:pPr>
            <w:r>
              <w:rPr>
                <w:rFonts w:hint="eastAsia"/>
                <w:color w:val="auto"/>
                <w:highlight w:val="none"/>
              </w:rPr>
              <w:t>787/725</w:t>
            </w:r>
          </w:p>
        </w:tc>
        <w:tc>
          <w:tcPr>
            <w:tcW w:w="2976" w:type="dxa"/>
            <w:noWrap w:val="0"/>
            <w:vAlign w:val="center"/>
          </w:tcPr>
          <w:p>
            <w:pPr>
              <w:pStyle w:val="22"/>
              <w:bidi w:val="0"/>
              <w:rPr>
                <w:color w:val="auto"/>
                <w:highlight w:val="none"/>
              </w:rPr>
            </w:pPr>
            <w:r>
              <w:rPr>
                <w:rFonts w:hint="eastAsia"/>
                <w:color w:val="auto"/>
                <w:highlight w:val="none"/>
              </w:rPr>
              <w:t>K17</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22</w:t>
            </w:r>
          </w:p>
        </w:tc>
        <w:tc>
          <w:tcPr>
            <w:tcW w:w="3236" w:type="dxa"/>
            <w:noWrap w:val="0"/>
            <w:vAlign w:val="center"/>
          </w:tcPr>
          <w:p>
            <w:pPr>
              <w:pStyle w:val="22"/>
              <w:bidi w:val="0"/>
              <w:rPr>
                <w:color w:val="auto"/>
                <w:highlight w:val="none"/>
              </w:rPr>
            </w:pPr>
            <w:r>
              <w:rPr>
                <w:rFonts w:hint="eastAsia"/>
                <w:color w:val="auto"/>
                <w:highlight w:val="none"/>
              </w:rPr>
              <w:t>大竹县民主乡二煤厂</w:t>
            </w:r>
          </w:p>
        </w:tc>
        <w:tc>
          <w:tcPr>
            <w:tcW w:w="1008" w:type="dxa"/>
            <w:noWrap w:val="0"/>
            <w:vAlign w:val="center"/>
          </w:tcPr>
          <w:p>
            <w:pPr>
              <w:pStyle w:val="22"/>
              <w:bidi w:val="0"/>
              <w:rPr>
                <w:color w:val="auto"/>
                <w:highlight w:val="none"/>
              </w:rPr>
            </w:pPr>
            <w:r>
              <w:rPr>
                <w:rFonts w:hint="eastAsia"/>
                <w:color w:val="auto"/>
                <w:highlight w:val="none"/>
              </w:rPr>
              <w:t>0.247</w:t>
            </w:r>
          </w:p>
        </w:tc>
        <w:tc>
          <w:tcPr>
            <w:tcW w:w="1260" w:type="dxa"/>
            <w:noWrap w:val="0"/>
            <w:vAlign w:val="center"/>
          </w:tcPr>
          <w:p>
            <w:pPr>
              <w:pStyle w:val="22"/>
              <w:bidi w:val="0"/>
              <w:rPr>
                <w:color w:val="auto"/>
                <w:highlight w:val="none"/>
              </w:rPr>
            </w:pPr>
            <w:r>
              <w:rPr>
                <w:rFonts w:hint="eastAsia"/>
                <w:color w:val="auto"/>
                <w:highlight w:val="none"/>
              </w:rPr>
              <w:t>626/570</w:t>
            </w:r>
          </w:p>
        </w:tc>
        <w:tc>
          <w:tcPr>
            <w:tcW w:w="2976" w:type="dxa"/>
            <w:noWrap w:val="0"/>
            <w:vAlign w:val="center"/>
          </w:tcPr>
          <w:p>
            <w:pPr>
              <w:pStyle w:val="22"/>
              <w:bidi w:val="0"/>
              <w:rPr>
                <w:color w:val="auto"/>
                <w:highlight w:val="none"/>
              </w:rPr>
            </w:pPr>
            <w:r>
              <w:rPr>
                <w:rFonts w:hint="eastAsia"/>
                <w:color w:val="auto"/>
                <w:highlight w:val="none"/>
              </w:rPr>
              <w:t>三夹连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23</w:t>
            </w:r>
          </w:p>
        </w:tc>
        <w:tc>
          <w:tcPr>
            <w:tcW w:w="3236" w:type="dxa"/>
            <w:noWrap w:val="0"/>
            <w:vAlign w:val="center"/>
          </w:tcPr>
          <w:p>
            <w:pPr>
              <w:pStyle w:val="22"/>
              <w:bidi w:val="0"/>
              <w:rPr>
                <w:color w:val="auto"/>
                <w:highlight w:val="none"/>
              </w:rPr>
            </w:pPr>
            <w:r>
              <w:rPr>
                <w:rFonts w:hint="eastAsia"/>
                <w:color w:val="auto"/>
                <w:highlight w:val="none"/>
              </w:rPr>
              <w:t>大竹县县城西乡马龙村一煤厂</w:t>
            </w:r>
          </w:p>
        </w:tc>
        <w:tc>
          <w:tcPr>
            <w:tcW w:w="1008" w:type="dxa"/>
            <w:noWrap w:val="0"/>
            <w:vAlign w:val="center"/>
          </w:tcPr>
          <w:p>
            <w:pPr>
              <w:pStyle w:val="22"/>
              <w:bidi w:val="0"/>
              <w:rPr>
                <w:color w:val="auto"/>
                <w:highlight w:val="none"/>
              </w:rPr>
            </w:pPr>
            <w:r>
              <w:rPr>
                <w:rFonts w:hint="eastAsia"/>
                <w:color w:val="auto"/>
                <w:highlight w:val="none"/>
              </w:rPr>
              <w:t>0.3144</w:t>
            </w:r>
          </w:p>
        </w:tc>
        <w:tc>
          <w:tcPr>
            <w:tcW w:w="1260" w:type="dxa"/>
            <w:noWrap w:val="0"/>
            <w:vAlign w:val="center"/>
          </w:tcPr>
          <w:p>
            <w:pPr>
              <w:pStyle w:val="22"/>
              <w:bidi w:val="0"/>
              <w:rPr>
                <w:color w:val="auto"/>
                <w:highlight w:val="none"/>
              </w:rPr>
            </w:pPr>
            <w:r>
              <w:rPr>
                <w:rFonts w:hint="eastAsia"/>
                <w:color w:val="auto"/>
                <w:highlight w:val="none"/>
              </w:rPr>
              <w:t>640/560</w:t>
            </w:r>
          </w:p>
        </w:tc>
        <w:tc>
          <w:tcPr>
            <w:tcW w:w="2976" w:type="dxa"/>
            <w:noWrap w:val="0"/>
            <w:vAlign w:val="center"/>
          </w:tcPr>
          <w:p>
            <w:pPr>
              <w:pStyle w:val="22"/>
              <w:bidi w:val="0"/>
              <w:rPr>
                <w:color w:val="auto"/>
                <w:highlight w:val="none"/>
              </w:rPr>
            </w:pPr>
            <w:r>
              <w:rPr>
                <w:rFonts w:hint="eastAsia"/>
                <w:color w:val="auto"/>
                <w:highlight w:val="none"/>
              </w:rPr>
              <w:t>硬炭</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24</w:t>
            </w:r>
          </w:p>
        </w:tc>
        <w:tc>
          <w:tcPr>
            <w:tcW w:w="3236" w:type="dxa"/>
            <w:noWrap w:val="0"/>
            <w:vAlign w:val="center"/>
          </w:tcPr>
          <w:p>
            <w:pPr>
              <w:pStyle w:val="22"/>
              <w:bidi w:val="0"/>
              <w:rPr>
                <w:color w:val="auto"/>
                <w:highlight w:val="none"/>
              </w:rPr>
            </w:pPr>
            <w:r>
              <w:rPr>
                <w:rFonts w:hint="eastAsia"/>
                <w:color w:val="auto"/>
                <w:highlight w:val="none"/>
              </w:rPr>
              <w:t>大竹县杨家区茶盘岩煤矿</w:t>
            </w:r>
          </w:p>
        </w:tc>
        <w:tc>
          <w:tcPr>
            <w:tcW w:w="1008" w:type="dxa"/>
            <w:noWrap w:val="0"/>
            <w:vAlign w:val="center"/>
          </w:tcPr>
          <w:p>
            <w:pPr>
              <w:pStyle w:val="22"/>
              <w:bidi w:val="0"/>
              <w:rPr>
                <w:color w:val="auto"/>
                <w:highlight w:val="none"/>
              </w:rPr>
            </w:pPr>
            <w:r>
              <w:rPr>
                <w:rFonts w:hint="eastAsia"/>
                <w:color w:val="auto"/>
                <w:highlight w:val="none"/>
              </w:rPr>
              <w:t>0.3286</w:t>
            </w:r>
          </w:p>
        </w:tc>
        <w:tc>
          <w:tcPr>
            <w:tcW w:w="1260" w:type="dxa"/>
            <w:noWrap w:val="0"/>
            <w:vAlign w:val="center"/>
          </w:tcPr>
          <w:p>
            <w:pPr>
              <w:pStyle w:val="22"/>
              <w:bidi w:val="0"/>
              <w:rPr>
                <w:color w:val="auto"/>
                <w:highlight w:val="none"/>
              </w:rPr>
            </w:pPr>
            <w:r>
              <w:rPr>
                <w:rFonts w:hint="eastAsia"/>
                <w:color w:val="auto"/>
                <w:highlight w:val="none"/>
              </w:rPr>
              <w:t>718/625</w:t>
            </w:r>
          </w:p>
        </w:tc>
        <w:tc>
          <w:tcPr>
            <w:tcW w:w="2976" w:type="dxa"/>
            <w:noWrap w:val="0"/>
            <w:vAlign w:val="center"/>
          </w:tcPr>
          <w:p>
            <w:pPr>
              <w:pStyle w:val="22"/>
              <w:bidi w:val="0"/>
              <w:rPr>
                <w:color w:val="auto"/>
                <w:highlight w:val="none"/>
              </w:rPr>
            </w:pPr>
            <w:r>
              <w:rPr>
                <w:rFonts w:hint="eastAsia"/>
                <w:color w:val="auto"/>
                <w:highlight w:val="none"/>
              </w:rPr>
              <w:t>正连</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25</w:t>
            </w:r>
          </w:p>
        </w:tc>
        <w:tc>
          <w:tcPr>
            <w:tcW w:w="3236" w:type="dxa"/>
            <w:noWrap w:val="0"/>
            <w:vAlign w:val="center"/>
          </w:tcPr>
          <w:p>
            <w:pPr>
              <w:pStyle w:val="22"/>
              <w:bidi w:val="0"/>
              <w:rPr>
                <w:color w:val="auto"/>
                <w:highlight w:val="none"/>
              </w:rPr>
            </w:pPr>
            <w:r>
              <w:rPr>
                <w:rFonts w:hint="eastAsia"/>
                <w:color w:val="auto"/>
                <w:highlight w:val="none"/>
              </w:rPr>
              <w:t>达州地区团坝煤矿</w:t>
            </w:r>
          </w:p>
        </w:tc>
        <w:tc>
          <w:tcPr>
            <w:tcW w:w="1008" w:type="dxa"/>
            <w:noWrap w:val="0"/>
            <w:vAlign w:val="center"/>
          </w:tcPr>
          <w:p>
            <w:pPr>
              <w:pStyle w:val="22"/>
              <w:bidi w:val="0"/>
              <w:rPr>
                <w:color w:val="auto"/>
                <w:highlight w:val="none"/>
              </w:rPr>
            </w:pPr>
            <w:r>
              <w:rPr>
                <w:rFonts w:hint="eastAsia"/>
                <w:color w:val="auto"/>
                <w:highlight w:val="none"/>
              </w:rPr>
              <w:t>4.47</w:t>
            </w:r>
          </w:p>
        </w:tc>
        <w:tc>
          <w:tcPr>
            <w:tcW w:w="1260" w:type="dxa"/>
            <w:noWrap w:val="0"/>
            <w:vAlign w:val="center"/>
          </w:tcPr>
          <w:p>
            <w:pPr>
              <w:pStyle w:val="22"/>
              <w:bidi w:val="0"/>
              <w:rPr>
                <w:color w:val="auto"/>
                <w:highlight w:val="none"/>
              </w:rPr>
            </w:pPr>
            <w:r>
              <w:rPr>
                <w:rFonts w:hint="eastAsia"/>
                <w:color w:val="auto"/>
                <w:highlight w:val="none"/>
              </w:rPr>
              <w:t>460/0</w:t>
            </w:r>
          </w:p>
        </w:tc>
        <w:tc>
          <w:tcPr>
            <w:tcW w:w="2976" w:type="dxa"/>
            <w:noWrap w:val="0"/>
            <w:vAlign w:val="center"/>
          </w:tcPr>
          <w:p>
            <w:pPr>
              <w:pStyle w:val="22"/>
              <w:bidi w:val="0"/>
              <w:rPr>
                <w:color w:val="auto"/>
                <w:highlight w:val="none"/>
              </w:rPr>
            </w:pPr>
            <w:r>
              <w:rPr>
                <w:rFonts w:hint="eastAsia"/>
                <w:color w:val="auto"/>
                <w:highlight w:val="none"/>
              </w:rPr>
              <w:t>外大连、内大连、蛮炭、四夹连、三连子、夹子连、泡炭、背影</w:t>
            </w:r>
          </w:p>
        </w:tc>
        <w:tc>
          <w:tcPr>
            <w:tcW w:w="851" w:type="dxa"/>
            <w:noWrap w:val="0"/>
            <w:vAlign w:val="center"/>
          </w:tcPr>
          <w:p>
            <w:pPr>
              <w:pStyle w:val="22"/>
              <w:bidi w:val="0"/>
              <w:rPr>
                <w:color w:val="auto"/>
                <w:highlight w:val="none"/>
              </w:rPr>
            </w:pPr>
            <w:r>
              <w:rPr>
                <w:rFonts w:hint="eastAsia"/>
                <w:color w:val="auto"/>
                <w:highlight w:val="none"/>
              </w:rPr>
              <w:t>21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2015</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26</w:t>
            </w:r>
          </w:p>
        </w:tc>
        <w:tc>
          <w:tcPr>
            <w:tcW w:w="3236" w:type="dxa"/>
            <w:noWrap w:val="0"/>
            <w:vAlign w:val="center"/>
          </w:tcPr>
          <w:p>
            <w:pPr>
              <w:pStyle w:val="22"/>
              <w:bidi w:val="0"/>
              <w:rPr>
                <w:color w:val="auto"/>
                <w:highlight w:val="none"/>
              </w:rPr>
            </w:pPr>
            <w:r>
              <w:rPr>
                <w:rFonts w:hint="eastAsia"/>
                <w:color w:val="auto"/>
                <w:highlight w:val="none"/>
              </w:rPr>
              <w:t>大竹县栗家村上茶园煤厂</w:t>
            </w:r>
          </w:p>
        </w:tc>
        <w:tc>
          <w:tcPr>
            <w:tcW w:w="1008" w:type="dxa"/>
            <w:noWrap w:val="0"/>
            <w:vAlign w:val="center"/>
          </w:tcPr>
          <w:p>
            <w:pPr>
              <w:pStyle w:val="22"/>
              <w:bidi w:val="0"/>
              <w:rPr>
                <w:color w:val="auto"/>
                <w:highlight w:val="none"/>
              </w:rPr>
            </w:pPr>
            <w:r>
              <w:rPr>
                <w:rFonts w:hint="eastAsia"/>
                <w:color w:val="auto"/>
                <w:highlight w:val="none"/>
              </w:rPr>
              <w:t>0.1877</w:t>
            </w:r>
          </w:p>
        </w:tc>
        <w:tc>
          <w:tcPr>
            <w:tcW w:w="1260" w:type="dxa"/>
            <w:noWrap w:val="0"/>
            <w:vAlign w:val="center"/>
          </w:tcPr>
          <w:p>
            <w:pPr>
              <w:pStyle w:val="22"/>
              <w:bidi w:val="0"/>
              <w:rPr>
                <w:color w:val="auto"/>
                <w:highlight w:val="none"/>
              </w:rPr>
            </w:pPr>
            <w:r>
              <w:rPr>
                <w:rFonts w:hint="eastAsia"/>
                <w:color w:val="auto"/>
                <w:highlight w:val="none"/>
              </w:rPr>
              <w:t>760/705</w:t>
            </w:r>
          </w:p>
        </w:tc>
        <w:tc>
          <w:tcPr>
            <w:tcW w:w="2976" w:type="dxa"/>
            <w:noWrap w:val="0"/>
            <w:vAlign w:val="center"/>
          </w:tcPr>
          <w:p>
            <w:pPr>
              <w:pStyle w:val="22"/>
              <w:bidi w:val="0"/>
              <w:rPr>
                <w:color w:val="auto"/>
                <w:highlight w:val="none"/>
              </w:rPr>
            </w:pPr>
            <w:r>
              <w:rPr>
                <w:rFonts w:hint="eastAsia"/>
                <w:color w:val="auto"/>
                <w:highlight w:val="none"/>
              </w:rPr>
              <w:t>K18</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27</w:t>
            </w:r>
          </w:p>
        </w:tc>
        <w:tc>
          <w:tcPr>
            <w:tcW w:w="3236" w:type="dxa"/>
            <w:noWrap w:val="0"/>
            <w:vAlign w:val="center"/>
          </w:tcPr>
          <w:p>
            <w:pPr>
              <w:pStyle w:val="22"/>
              <w:bidi w:val="0"/>
              <w:rPr>
                <w:color w:val="auto"/>
                <w:highlight w:val="none"/>
              </w:rPr>
            </w:pPr>
            <w:r>
              <w:rPr>
                <w:rFonts w:hint="eastAsia"/>
                <w:color w:val="auto"/>
                <w:highlight w:val="none"/>
              </w:rPr>
              <w:t>大竹县柏林镇161煤矿</w:t>
            </w:r>
          </w:p>
        </w:tc>
        <w:tc>
          <w:tcPr>
            <w:tcW w:w="1008" w:type="dxa"/>
            <w:noWrap w:val="0"/>
            <w:vAlign w:val="center"/>
          </w:tcPr>
          <w:p>
            <w:pPr>
              <w:pStyle w:val="22"/>
              <w:bidi w:val="0"/>
              <w:rPr>
                <w:color w:val="auto"/>
                <w:highlight w:val="none"/>
              </w:rPr>
            </w:pPr>
            <w:r>
              <w:rPr>
                <w:rFonts w:hint="eastAsia"/>
                <w:color w:val="auto"/>
                <w:highlight w:val="none"/>
              </w:rPr>
              <w:t>0.4149</w:t>
            </w:r>
          </w:p>
        </w:tc>
        <w:tc>
          <w:tcPr>
            <w:tcW w:w="1260" w:type="dxa"/>
            <w:noWrap w:val="0"/>
            <w:vAlign w:val="center"/>
          </w:tcPr>
          <w:p>
            <w:pPr>
              <w:pStyle w:val="22"/>
              <w:bidi w:val="0"/>
              <w:rPr>
                <w:color w:val="auto"/>
                <w:highlight w:val="none"/>
              </w:rPr>
            </w:pPr>
            <w:r>
              <w:rPr>
                <w:rFonts w:hint="eastAsia"/>
                <w:color w:val="auto"/>
                <w:highlight w:val="none"/>
              </w:rPr>
              <w:t>457/310</w:t>
            </w:r>
          </w:p>
        </w:tc>
        <w:tc>
          <w:tcPr>
            <w:tcW w:w="2976" w:type="dxa"/>
            <w:noWrap w:val="0"/>
            <w:vAlign w:val="center"/>
          </w:tcPr>
          <w:p>
            <w:pPr>
              <w:pStyle w:val="22"/>
              <w:bidi w:val="0"/>
              <w:rPr>
                <w:color w:val="auto"/>
                <w:highlight w:val="none"/>
              </w:rPr>
            </w:pPr>
            <w:r>
              <w:rPr>
                <w:rFonts w:hint="eastAsia"/>
                <w:color w:val="auto"/>
                <w:highlight w:val="none"/>
              </w:rPr>
              <w:t>K16</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28</w:t>
            </w:r>
          </w:p>
        </w:tc>
        <w:tc>
          <w:tcPr>
            <w:tcW w:w="3236" w:type="dxa"/>
            <w:noWrap w:val="0"/>
            <w:vAlign w:val="center"/>
          </w:tcPr>
          <w:p>
            <w:pPr>
              <w:pStyle w:val="22"/>
              <w:bidi w:val="0"/>
              <w:rPr>
                <w:color w:val="auto"/>
                <w:highlight w:val="none"/>
              </w:rPr>
            </w:pPr>
            <w:r>
              <w:rPr>
                <w:rFonts w:hint="eastAsia"/>
                <w:color w:val="auto"/>
                <w:highlight w:val="none"/>
              </w:rPr>
              <w:t>大竹县牌坊乡石马门一煤厂</w:t>
            </w:r>
          </w:p>
        </w:tc>
        <w:tc>
          <w:tcPr>
            <w:tcW w:w="1008" w:type="dxa"/>
            <w:noWrap w:val="0"/>
            <w:vAlign w:val="center"/>
          </w:tcPr>
          <w:p>
            <w:pPr>
              <w:pStyle w:val="22"/>
              <w:bidi w:val="0"/>
              <w:rPr>
                <w:color w:val="auto"/>
                <w:highlight w:val="none"/>
              </w:rPr>
            </w:pPr>
            <w:r>
              <w:rPr>
                <w:rFonts w:hint="eastAsia"/>
                <w:color w:val="auto"/>
                <w:highlight w:val="none"/>
              </w:rPr>
              <w:t>2.013</w:t>
            </w:r>
          </w:p>
        </w:tc>
        <w:tc>
          <w:tcPr>
            <w:tcW w:w="1260" w:type="dxa"/>
            <w:noWrap w:val="0"/>
            <w:vAlign w:val="center"/>
          </w:tcPr>
          <w:p>
            <w:pPr>
              <w:pStyle w:val="22"/>
              <w:bidi w:val="0"/>
              <w:rPr>
                <w:color w:val="auto"/>
                <w:highlight w:val="none"/>
              </w:rPr>
            </w:pPr>
            <w:r>
              <w:rPr>
                <w:rFonts w:hint="eastAsia"/>
                <w:color w:val="auto"/>
                <w:highlight w:val="none"/>
              </w:rPr>
              <w:t>500/200</w:t>
            </w:r>
          </w:p>
        </w:tc>
        <w:tc>
          <w:tcPr>
            <w:tcW w:w="2976" w:type="dxa"/>
            <w:noWrap w:val="0"/>
            <w:vAlign w:val="center"/>
          </w:tcPr>
          <w:p>
            <w:pPr>
              <w:pStyle w:val="22"/>
              <w:bidi w:val="0"/>
              <w:rPr>
                <w:color w:val="auto"/>
                <w:highlight w:val="none"/>
              </w:rPr>
            </w:pPr>
            <w:r>
              <w:rPr>
                <w:rFonts w:hint="eastAsia"/>
                <w:color w:val="auto"/>
                <w:highlight w:val="none"/>
              </w:rPr>
              <w:t>五大连、大独连</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29</w:t>
            </w:r>
          </w:p>
        </w:tc>
        <w:tc>
          <w:tcPr>
            <w:tcW w:w="3236" w:type="dxa"/>
            <w:noWrap w:val="0"/>
            <w:vAlign w:val="center"/>
          </w:tcPr>
          <w:p>
            <w:pPr>
              <w:pStyle w:val="22"/>
              <w:bidi w:val="0"/>
              <w:rPr>
                <w:color w:val="auto"/>
                <w:highlight w:val="none"/>
              </w:rPr>
            </w:pPr>
            <w:r>
              <w:rPr>
                <w:rFonts w:hint="eastAsia"/>
                <w:color w:val="auto"/>
                <w:highlight w:val="none"/>
              </w:rPr>
              <w:t>大竹县泰安煤业有限公司欧家煤矿</w:t>
            </w:r>
          </w:p>
        </w:tc>
        <w:tc>
          <w:tcPr>
            <w:tcW w:w="1008" w:type="dxa"/>
            <w:noWrap w:val="0"/>
            <w:vAlign w:val="center"/>
          </w:tcPr>
          <w:p>
            <w:pPr>
              <w:pStyle w:val="22"/>
              <w:bidi w:val="0"/>
              <w:rPr>
                <w:color w:val="auto"/>
                <w:highlight w:val="none"/>
              </w:rPr>
            </w:pPr>
            <w:r>
              <w:rPr>
                <w:rFonts w:hint="eastAsia"/>
                <w:color w:val="auto"/>
                <w:highlight w:val="none"/>
              </w:rPr>
              <w:t>0.7275</w:t>
            </w:r>
          </w:p>
        </w:tc>
        <w:tc>
          <w:tcPr>
            <w:tcW w:w="1260" w:type="dxa"/>
            <w:noWrap w:val="0"/>
            <w:vAlign w:val="center"/>
          </w:tcPr>
          <w:p>
            <w:pPr>
              <w:pStyle w:val="22"/>
              <w:bidi w:val="0"/>
              <w:rPr>
                <w:color w:val="auto"/>
                <w:highlight w:val="none"/>
              </w:rPr>
            </w:pPr>
            <w:r>
              <w:rPr>
                <w:rFonts w:hint="eastAsia"/>
                <w:color w:val="auto"/>
                <w:highlight w:val="none"/>
              </w:rPr>
              <w:t>473/0</w:t>
            </w:r>
          </w:p>
        </w:tc>
        <w:tc>
          <w:tcPr>
            <w:tcW w:w="2976" w:type="dxa"/>
            <w:noWrap w:val="0"/>
            <w:vAlign w:val="center"/>
          </w:tcPr>
          <w:p>
            <w:pPr>
              <w:pStyle w:val="22"/>
              <w:bidi w:val="0"/>
              <w:rPr>
                <w:color w:val="auto"/>
                <w:highlight w:val="none"/>
              </w:rPr>
            </w:pPr>
            <w:r>
              <w:rPr>
                <w:rFonts w:hint="eastAsia"/>
                <w:color w:val="auto"/>
                <w:highlight w:val="none"/>
              </w:rPr>
              <w:t>四夹连、独连</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30</w:t>
            </w:r>
          </w:p>
        </w:tc>
        <w:tc>
          <w:tcPr>
            <w:tcW w:w="3236" w:type="dxa"/>
            <w:noWrap w:val="0"/>
            <w:vAlign w:val="center"/>
          </w:tcPr>
          <w:p>
            <w:pPr>
              <w:pStyle w:val="22"/>
              <w:bidi w:val="0"/>
              <w:rPr>
                <w:color w:val="auto"/>
                <w:highlight w:val="none"/>
              </w:rPr>
            </w:pPr>
            <w:r>
              <w:rPr>
                <w:rFonts w:hint="eastAsia"/>
                <w:color w:val="auto"/>
                <w:highlight w:val="none"/>
              </w:rPr>
              <w:t>大竹县黄家乡红花山联办煤矿</w:t>
            </w:r>
          </w:p>
        </w:tc>
        <w:tc>
          <w:tcPr>
            <w:tcW w:w="1008" w:type="dxa"/>
            <w:noWrap w:val="0"/>
            <w:vAlign w:val="center"/>
          </w:tcPr>
          <w:p>
            <w:pPr>
              <w:pStyle w:val="22"/>
              <w:bidi w:val="0"/>
              <w:rPr>
                <w:color w:val="auto"/>
                <w:highlight w:val="none"/>
              </w:rPr>
            </w:pPr>
            <w:r>
              <w:rPr>
                <w:rFonts w:hint="eastAsia"/>
                <w:color w:val="auto"/>
                <w:highlight w:val="none"/>
              </w:rPr>
              <w:t>1.7481</w:t>
            </w:r>
          </w:p>
        </w:tc>
        <w:tc>
          <w:tcPr>
            <w:tcW w:w="1260" w:type="dxa"/>
            <w:noWrap w:val="0"/>
            <w:vAlign w:val="center"/>
          </w:tcPr>
          <w:p>
            <w:pPr>
              <w:pStyle w:val="22"/>
              <w:bidi w:val="0"/>
              <w:rPr>
                <w:color w:val="auto"/>
                <w:highlight w:val="none"/>
              </w:rPr>
            </w:pPr>
            <w:r>
              <w:rPr>
                <w:rFonts w:hint="eastAsia"/>
                <w:color w:val="auto"/>
                <w:highlight w:val="none"/>
              </w:rPr>
              <w:t>473/0</w:t>
            </w:r>
          </w:p>
        </w:tc>
        <w:tc>
          <w:tcPr>
            <w:tcW w:w="2976" w:type="dxa"/>
            <w:noWrap w:val="0"/>
            <w:vAlign w:val="center"/>
          </w:tcPr>
          <w:p>
            <w:pPr>
              <w:pStyle w:val="22"/>
              <w:bidi w:val="0"/>
              <w:rPr>
                <w:color w:val="auto"/>
                <w:highlight w:val="none"/>
              </w:rPr>
            </w:pPr>
            <w:r>
              <w:rPr>
                <w:rFonts w:hint="eastAsia"/>
                <w:color w:val="auto"/>
                <w:highlight w:val="none"/>
              </w:rPr>
              <w:t>双连、内正连</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31</w:t>
            </w:r>
          </w:p>
        </w:tc>
        <w:tc>
          <w:tcPr>
            <w:tcW w:w="3236" w:type="dxa"/>
            <w:noWrap w:val="0"/>
            <w:vAlign w:val="center"/>
          </w:tcPr>
          <w:p>
            <w:pPr>
              <w:pStyle w:val="22"/>
              <w:bidi w:val="0"/>
              <w:rPr>
                <w:color w:val="auto"/>
                <w:highlight w:val="none"/>
              </w:rPr>
            </w:pPr>
            <w:r>
              <w:rPr>
                <w:rFonts w:hint="eastAsia"/>
                <w:color w:val="auto"/>
                <w:highlight w:val="none"/>
              </w:rPr>
              <w:t>大竹县隆源煤业有限公司桂花煤矿</w:t>
            </w:r>
          </w:p>
        </w:tc>
        <w:tc>
          <w:tcPr>
            <w:tcW w:w="1008" w:type="dxa"/>
            <w:noWrap w:val="0"/>
            <w:vAlign w:val="center"/>
          </w:tcPr>
          <w:p>
            <w:pPr>
              <w:pStyle w:val="22"/>
              <w:bidi w:val="0"/>
              <w:rPr>
                <w:color w:val="auto"/>
                <w:highlight w:val="none"/>
              </w:rPr>
            </w:pPr>
            <w:r>
              <w:rPr>
                <w:rFonts w:hint="eastAsia"/>
                <w:color w:val="auto"/>
                <w:highlight w:val="none"/>
              </w:rPr>
              <w:t>2.3888</w:t>
            </w:r>
          </w:p>
        </w:tc>
        <w:tc>
          <w:tcPr>
            <w:tcW w:w="1260" w:type="dxa"/>
            <w:noWrap w:val="0"/>
            <w:vAlign w:val="center"/>
          </w:tcPr>
          <w:p>
            <w:pPr>
              <w:pStyle w:val="22"/>
              <w:bidi w:val="0"/>
              <w:rPr>
                <w:color w:val="auto"/>
                <w:highlight w:val="none"/>
              </w:rPr>
            </w:pPr>
            <w:r>
              <w:rPr>
                <w:rFonts w:hint="eastAsia"/>
                <w:color w:val="auto"/>
                <w:highlight w:val="none"/>
              </w:rPr>
              <w:t>387/0</w:t>
            </w:r>
          </w:p>
        </w:tc>
        <w:tc>
          <w:tcPr>
            <w:tcW w:w="2976" w:type="dxa"/>
            <w:noWrap w:val="0"/>
            <w:vAlign w:val="center"/>
          </w:tcPr>
          <w:p>
            <w:pPr>
              <w:pStyle w:val="22"/>
              <w:bidi w:val="0"/>
              <w:rPr>
                <w:color w:val="auto"/>
                <w:highlight w:val="none"/>
              </w:rPr>
            </w:pPr>
            <w:r>
              <w:rPr>
                <w:rFonts w:hint="eastAsia"/>
                <w:color w:val="auto"/>
                <w:highlight w:val="none"/>
              </w:rPr>
              <w:t>内正连、三夹连</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32</w:t>
            </w:r>
          </w:p>
        </w:tc>
        <w:tc>
          <w:tcPr>
            <w:tcW w:w="3236" w:type="dxa"/>
            <w:noWrap w:val="0"/>
            <w:vAlign w:val="center"/>
          </w:tcPr>
          <w:p>
            <w:pPr>
              <w:pStyle w:val="22"/>
              <w:bidi w:val="0"/>
              <w:rPr>
                <w:color w:val="auto"/>
                <w:highlight w:val="none"/>
              </w:rPr>
            </w:pPr>
            <w:r>
              <w:rPr>
                <w:rFonts w:hint="eastAsia"/>
                <w:color w:val="auto"/>
                <w:highlight w:val="none"/>
              </w:rPr>
              <w:t>大竹县红旗煤业有限责任公司城西煤矿</w:t>
            </w:r>
          </w:p>
        </w:tc>
        <w:tc>
          <w:tcPr>
            <w:tcW w:w="1008" w:type="dxa"/>
            <w:noWrap w:val="0"/>
            <w:vAlign w:val="center"/>
          </w:tcPr>
          <w:p>
            <w:pPr>
              <w:pStyle w:val="22"/>
              <w:bidi w:val="0"/>
              <w:rPr>
                <w:color w:val="auto"/>
                <w:highlight w:val="none"/>
              </w:rPr>
            </w:pPr>
            <w:r>
              <w:rPr>
                <w:rFonts w:hint="eastAsia"/>
                <w:color w:val="auto"/>
                <w:highlight w:val="none"/>
              </w:rPr>
              <w:t>7.802</w:t>
            </w:r>
          </w:p>
        </w:tc>
        <w:tc>
          <w:tcPr>
            <w:tcW w:w="1260" w:type="dxa"/>
            <w:noWrap w:val="0"/>
            <w:vAlign w:val="center"/>
          </w:tcPr>
          <w:p>
            <w:pPr>
              <w:pStyle w:val="22"/>
              <w:bidi w:val="0"/>
              <w:rPr>
                <w:color w:val="auto"/>
                <w:highlight w:val="none"/>
              </w:rPr>
            </w:pPr>
            <w:r>
              <w:rPr>
                <w:color w:val="auto"/>
                <w:highlight w:val="none"/>
              </w:rPr>
              <w:t>480/0</w:t>
            </w:r>
          </w:p>
        </w:tc>
        <w:tc>
          <w:tcPr>
            <w:tcW w:w="2976" w:type="dxa"/>
            <w:noWrap w:val="0"/>
            <w:vAlign w:val="center"/>
          </w:tcPr>
          <w:p>
            <w:pPr>
              <w:pStyle w:val="22"/>
              <w:bidi w:val="0"/>
              <w:rPr>
                <w:color w:val="auto"/>
                <w:highlight w:val="none"/>
              </w:rPr>
            </w:pPr>
            <w:r>
              <w:rPr>
                <w:rFonts w:hint="eastAsia"/>
                <w:color w:val="auto"/>
                <w:highlight w:val="none"/>
              </w:rPr>
              <w:t>双连、硬炭、三夹连</w:t>
            </w:r>
          </w:p>
        </w:tc>
        <w:tc>
          <w:tcPr>
            <w:tcW w:w="851" w:type="dxa"/>
            <w:noWrap w:val="0"/>
            <w:vAlign w:val="center"/>
          </w:tcPr>
          <w:p>
            <w:pPr>
              <w:pStyle w:val="22"/>
              <w:bidi w:val="0"/>
              <w:rPr>
                <w:color w:val="auto"/>
                <w:highlight w:val="none"/>
              </w:rPr>
            </w:pPr>
            <w:r>
              <w:rPr>
                <w:rFonts w:hint="eastAsia"/>
                <w:color w:val="auto"/>
                <w:highlight w:val="none"/>
              </w:rPr>
              <w:t>6</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2021</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rFonts w:hint="eastAsia"/>
                <w:color w:val="auto"/>
                <w:highlight w:val="none"/>
              </w:rPr>
            </w:pPr>
            <w:r>
              <w:rPr>
                <w:rFonts w:hint="eastAsia"/>
                <w:color w:val="auto"/>
                <w:highlight w:val="none"/>
              </w:rPr>
              <w:t>33</w:t>
            </w:r>
          </w:p>
        </w:tc>
        <w:tc>
          <w:tcPr>
            <w:tcW w:w="3236" w:type="dxa"/>
            <w:noWrap w:val="0"/>
            <w:vAlign w:val="center"/>
          </w:tcPr>
          <w:p>
            <w:pPr>
              <w:pStyle w:val="22"/>
              <w:bidi w:val="0"/>
              <w:rPr>
                <w:rFonts w:hint="eastAsia"/>
                <w:color w:val="auto"/>
                <w:highlight w:val="none"/>
              </w:rPr>
            </w:pPr>
            <w:r>
              <w:rPr>
                <w:rFonts w:hint="eastAsia"/>
                <w:color w:val="auto"/>
                <w:highlight w:val="none"/>
              </w:rPr>
              <w:t>大竹县大枫树矿业有限责任公司大枫树煤矿</w:t>
            </w:r>
          </w:p>
        </w:tc>
        <w:tc>
          <w:tcPr>
            <w:tcW w:w="1008" w:type="dxa"/>
            <w:noWrap w:val="0"/>
            <w:vAlign w:val="center"/>
          </w:tcPr>
          <w:p>
            <w:pPr>
              <w:pStyle w:val="22"/>
              <w:bidi w:val="0"/>
              <w:rPr>
                <w:rFonts w:hint="eastAsia"/>
                <w:color w:val="auto"/>
                <w:highlight w:val="none"/>
              </w:rPr>
            </w:pPr>
            <w:r>
              <w:rPr>
                <w:rFonts w:hint="eastAsia"/>
                <w:color w:val="auto"/>
                <w:highlight w:val="none"/>
              </w:rPr>
              <w:t>3.8182</w:t>
            </w:r>
          </w:p>
        </w:tc>
        <w:tc>
          <w:tcPr>
            <w:tcW w:w="1260" w:type="dxa"/>
            <w:noWrap w:val="0"/>
            <w:vAlign w:val="center"/>
          </w:tcPr>
          <w:p>
            <w:pPr>
              <w:pStyle w:val="22"/>
              <w:bidi w:val="0"/>
              <w:rPr>
                <w:color w:val="auto"/>
                <w:highlight w:val="none"/>
              </w:rPr>
            </w:pPr>
            <w:r>
              <w:rPr>
                <w:rFonts w:hint="eastAsia"/>
                <w:color w:val="auto"/>
                <w:highlight w:val="none"/>
              </w:rPr>
              <w:t>580/100</w:t>
            </w:r>
          </w:p>
        </w:tc>
        <w:tc>
          <w:tcPr>
            <w:tcW w:w="2976" w:type="dxa"/>
            <w:noWrap w:val="0"/>
            <w:vAlign w:val="center"/>
          </w:tcPr>
          <w:p>
            <w:pPr>
              <w:pStyle w:val="22"/>
              <w:bidi w:val="0"/>
              <w:rPr>
                <w:rFonts w:hint="eastAsia"/>
                <w:color w:val="auto"/>
                <w:highlight w:val="none"/>
              </w:rPr>
            </w:pPr>
            <w:r>
              <w:rPr>
                <w:rFonts w:hint="eastAsia"/>
                <w:color w:val="auto"/>
                <w:highlight w:val="none"/>
              </w:rPr>
              <w:t>五大连、三夹连</w:t>
            </w:r>
          </w:p>
        </w:tc>
        <w:tc>
          <w:tcPr>
            <w:tcW w:w="851" w:type="dxa"/>
            <w:noWrap w:val="0"/>
            <w:vAlign w:val="center"/>
          </w:tcPr>
          <w:p>
            <w:pPr>
              <w:pStyle w:val="22"/>
              <w:bidi w:val="0"/>
              <w:rPr>
                <w:rFonts w:hint="eastAsia"/>
                <w:color w:val="auto"/>
                <w:highlight w:val="none"/>
              </w:rPr>
            </w:pPr>
            <w:r>
              <w:rPr>
                <w:rFonts w:hint="eastAsia"/>
                <w:color w:val="auto"/>
                <w:highlight w:val="none"/>
              </w:rPr>
              <w:t>9</w:t>
            </w:r>
          </w:p>
        </w:tc>
        <w:tc>
          <w:tcPr>
            <w:tcW w:w="850" w:type="dxa"/>
            <w:noWrap w:val="0"/>
            <w:vAlign w:val="center"/>
          </w:tcPr>
          <w:p>
            <w:pPr>
              <w:pStyle w:val="22"/>
              <w:bidi w:val="0"/>
              <w:rPr>
                <w:rFonts w:hint="eastAsia"/>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rFonts w:hint="eastAsia"/>
                <w:color w:val="auto"/>
                <w:highlight w:val="none"/>
              </w:rPr>
            </w:pPr>
            <w:r>
              <w:rPr>
                <w:rFonts w:hint="eastAsia"/>
                <w:color w:val="auto"/>
                <w:highlight w:val="none"/>
              </w:rPr>
              <w:t>2021</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rFonts w:hint="eastAsia"/>
                <w:color w:val="auto"/>
                <w:highlight w:val="none"/>
              </w:rPr>
            </w:pPr>
            <w:r>
              <w:rPr>
                <w:rFonts w:hint="eastAsia"/>
                <w:color w:val="auto"/>
                <w:highlight w:val="none"/>
              </w:rPr>
              <w:t>34</w:t>
            </w:r>
          </w:p>
        </w:tc>
        <w:tc>
          <w:tcPr>
            <w:tcW w:w="3236" w:type="dxa"/>
            <w:noWrap w:val="0"/>
            <w:vAlign w:val="center"/>
          </w:tcPr>
          <w:p>
            <w:pPr>
              <w:pStyle w:val="22"/>
              <w:bidi w:val="0"/>
              <w:rPr>
                <w:rFonts w:hint="eastAsia"/>
                <w:color w:val="auto"/>
                <w:highlight w:val="none"/>
              </w:rPr>
            </w:pPr>
            <w:r>
              <w:rPr>
                <w:rFonts w:hint="eastAsia"/>
                <w:color w:val="auto"/>
                <w:highlight w:val="none"/>
              </w:rPr>
              <w:t>大竹县牌坊乡石马门一煤厂</w:t>
            </w:r>
          </w:p>
        </w:tc>
        <w:tc>
          <w:tcPr>
            <w:tcW w:w="1008" w:type="dxa"/>
            <w:noWrap w:val="0"/>
            <w:vAlign w:val="center"/>
          </w:tcPr>
          <w:p>
            <w:pPr>
              <w:pStyle w:val="22"/>
              <w:bidi w:val="0"/>
              <w:rPr>
                <w:rFonts w:hint="eastAsia"/>
                <w:color w:val="auto"/>
                <w:highlight w:val="none"/>
              </w:rPr>
            </w:pPr>
            <w:r>
              <w:rPr>
                <w:rFonts w:hint="eastAsia"/>
                <w:color w:val="auto"/>
                <w:highlight w:val="none"/>
              </w:rPr>
              <w:t>2.013</w:t>
            </w:r>
          </w:p>
        </w:tc>
        <w:tc>
          <w:tcPr>
            <w:tcW w:w="1260" w:type="dxa"/>
            <w:noWrap w:val="0"/>
            <w:vAlign w:val="center"/>
          </w:tcPr>
          <w:p>
            <w:pPr>
              <w:pStyle w:val="22"/>
              <w:bidi w:val="0"/>
              <w:rPr>
                <w:color w:val="auto"/>
                <w:highlight w:val="none"/>
              </w:rPr>
            </w:pPr>
            <w:r>
              <w:rPr>
                <w:rFonts w:hint="eastAsia"/>
                <w:color w:val="auto"/>
                <w:highlight w:val="none"/>
              </w:rPr>
              <w:t>500/200</w:t>
            </w:r>
          </w:p>
        </w:tc>
        <w:tc>
          <w:tcPr>
            <w:tcW w:w="2976" w:type="dxa"/>
            <w:noWrap w:val="0"/>
            <w:vAlign w:val="center"/>
          </w:tcPr>
          <w:p>
            <w:pPr>
              <w:pStyle w:val="22"/>
              <w:bidi w:val="0"/>
              <w:rPr>
                <w:rFonts w:hint="eastAsia"/>
                <w:color w:val="auto"/>
                <w:highlight w:val="none"/>
              </w:rPr>
            </w:pPr>
            <w:r>
              <w:rPr>
                <w:rFonts w:hint="eastAsia"/>
                <w:color w:val="auto"/>
                <w:highlight w:val="none"/>
              </w:rPr>
              <w:t>五大连、大独连</w:t>
            </w:r>
          </w:p>
        </w:tc>
        <w:tc>
          <w:tcPr>
            <w:tcW w:w="851" w:type="dxa"/>
            <w:noWrap w:val="0"/>
            <w:vAlign w:val="center"/>
          </w:tcPr>
          <w:p>
            <w:pPr>
              <w:pStyle w:val="22"/>
              <w:bidi w:val="0"/>
              <w:rPr>
                <w:rFonts w:hint="eastAsia"/>
                <w:color w:val="auto"/>
                <w:highlight w:val="none"/>
              </w:rPr>
            </w:pPr>
            <w:r>
              <w:rPr>
                <w:rFonts w:hint="eastAsia"/>
                <w:color w:val="auto"/>
                <w:highlight w:val="none"/>
              </w:rPr>
              <w:t>9</w:t>
            </w:r>
          </w:p>
        </w:tc>
        <w:tc>
          <w:tcPr>
            <w:tcW w:w="850" w:type="dxa"/>
            <w:noWrap w:val="0"/>
            <w:vAlign w:val="center"/>
          </w:tcPr>
          <w:p>
            <w:pPr>
              <w:pStyle w:val="22"/>
              <w:bidi w:val="0"/>
              <w:rPr>
                <w:rFonts w:hint="eastAsia"/>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rFonts w:hint="eastAsia"/>
                <w:color w:val="auto"/>
                <w:highlight w:val="none"/>
              </w:rPr>
            </w:pPr>
            <w:r>
              <w:rPr>
                <w:rFonts w:hint="eastAsia"/>
                <w:color w:val="auto"/>
                <w:highlight w:val="none"/>
              </w:rPr>
              <w:t>2021</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35</w:t>
            </w:r>
          </w:p>
        </w:tc>
        <w:tc>
          <w:tcPr>
            <w:tcW w:w="3236" w:type="dxa"/>
            <w:noWrap w:val="0"/>
            <w:vAlign w:val="center"/>
          </w:tcPr>
          <w:p>
            <w:pPr>
              <w:pStyle w:val="22"/>
              <w:bidi w:val="0"/>
              <w:rPr>
                <w:color w:val="auto"/>
                <w:highlight w:val="none"/>
              </w:rPr>
            </w:pPr>
            <w:r>
              <w:rPr>
                <w:rFonts w:hint="eastAsia"/>
                <w:color w:val="auto"/>
                <w:highlight w:val="none"/>
              </w:rPr>
              <w:t>大竹县五仓煤矿</w:t>
            </w:r>
          </w:p>
        </w:tc>
        <w:tc>
          <w:tcPr>
            <w:tcW w:w="1008" w:type="dxa"/>
            <w:noWrap w:val="0"/>
            <w:vAlign w:val="center"/>
          </w:tcPr>
          <w:p>
            <w:pPr>
              <w:pStyle w:val="22"/>
              <w:bidi w:val="0"/>
              <w:rPr>
                <w:color w:val="auto"/>
                <w:highlight w:val="none"/>
              </w:rPr>
            </w:pPr>
            <w:r>
              <w:rPr>
                <w:rFonts w:hint="eastAsia"/>
                <w:color w:val="auto"/>
                <w:highlight w:val="none"/>
              </w:rPr>
              <w:t>1.1077</w:t>
            </w:r>
          </w:p>
        </w:tc>
        <w:tc>
          <w:tcPr>
            <w:tcW w:w="1260" w:type="dxa"/>
            <w:noWrap w:val="0"/>
            <w:vAlign w:val="center"/>
          </w:tcPr>
          <w:p>
            <w:pPr>
              <w:pStyle w:val="22"/>
              <w:bidi w:val="0"/>
              <w:rPr>
                <w:color w:val="auto"/>
                <w:highlight w:val="none"/>
              </w:rPr>
            </w:pPr>
            <w:r>
              <w:rPr>
                <w:rFonts w:hint="eastAsia"/>
                <w:color w:val="auto"/>
                <w:highlight w:val="none"/>
              </w:rPr>
              <w:t>350/0</w:t>
            </w:r>
          </w:p>
        </w:tc>
        <w:tc>
          <w:tcPr>
            <w:tcW w:w="2976" w:type="dxa"/>
            <w:noWrap w:val="0"/>
            <w:vAlign w:val="center"/>
          </w:tcPr>
          <w:p>
            <w:pPr>
              <w:pStyle w:val="22"/>
              <w:bidi w:val="0"/>
              <w:rPr>
                <w:color w:val="auto"/>
                <w:highlight w:val="none"/>
              </w:rPr>
            </w:pPr>
            <w:r>
              <w:rPr>
                <w:rFonts w:hint="eastAsia"/>
                <w:color w:val="auto"/>
                <w:highlight w:val="none"/>
              </w:rPr>
              <w:t>正连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36</w:t>
            </w:r>
          </w:p>
        </w:tc>
        <w:tc>
          <w:tcPr>
            <w:tcW w:w="3236" w:type="dxa"/>
            <w:noWrap w:val="0"/>
            <w:vAlign w:val="center"/>
          </w:tcPr>
          <w:p>
            <w:pPr>
              <w:pStyle w:val="22"/>
              <w:bidi w:val="0"/>
              <w:rPr>
                <w:color w:val="auto"/>
                <w:highlight w:val="none"/>
              </w:rPr>
            </w:pPr>
            <w:r>
              <w:rPr>
                <w:rFonts w:hint="eastAsia"/>
                <w:color w:val="auto"/>
                <w:highlight w:val="none"/>
              </w:rPr>
              <w:t>大竹县曾家沟煤矿</w:t>
            </w:r>
          </w:p>
        </w:tc>
        <w:tc>
          <w:tcPr>
            <w:tcW w:w="1008" w:type="dxa"/>
            <w:noWrap w:val="0"/>
            <w:vAlign w:val="center"/>
          </w:tcPr>
          <w:p>
            <w:pPr>
              <w:pStyle w:val="22"/>
              <w:bidi w:val="0"/>
              <w:rPr>
                <w:color w:val="auto"/>
                <w:highlight w:val="none"/>
              </w:rPr>
            </w:pPr>
            <w:r>
              <w:rPr>
                <w:rFonts w:hint="eastAsia"/>
                <w:color w:val="auto"/>
                <w:highlight w:val="none"/>
              </w:rPr>
              <w:t>1.1414</w:t>
            </w:r>
          </w:p>
        </w:tc>
        <w:tc>
          <w:tcPr>
            <w:tcW w:w="1260" w:type="dxa"/>
            <w:noWrap w:val="0"/>
            <w:vAlign w:val="center"/>
          </w:tcPr>
          <w:p>
            <w:pPr>
              <w:pStyle w:val="22"/>
              <w:bidi w:val="0"/>
              <w:rPr>
                <w:color w:val="auto"/>
                <w:highlight w:val="none"/>
              </w:rPr>
            </w:pPr>
            <w:r>
              <w:rPr>
                <w:rFonts w:hint="eastAsia"/>
                <w:color w:val="auto"/>
                <w:highlight w:val="none"/>
              </w:rPr>
              <w:t>420/270</w:t>
            </w:r>
          </w:p>
        </w:tc>
        <w:tc>
          <w:tcPr>
            <w:tcW w:w="2976" w:type="dxa"/>
            <w:noWrap w:val="0"/>
            <w:vAlign w:val="center"/>
          </w:tcPr>
          <w:p>
            <w:pPr>
              <w:pStyle w:val="22"/>
              <w:bidi w:val="0"/>
              <w:rPr>
                <w:color w:val="auto"/>
                <w:highlight w:val="none"/>
              </w:rPr>
            </w:pPr>
            <w:r>
              <w:rPr>
                <w:rFonts w:hint="eastAsia"/>
                <w:color w:val="auto"/>
                <w:highlight w:val="none"/>
              </w:rPr>
              <w:t>三夹连、四夹连，内、外大连</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37</w:t>
            </w:r>
          </w:p>
        </w:tc>
        <w:tc>
          <w:tcPr>
            <w:tcW w:w="3236" w:type="dxa"/>
            <w:noWrap w:val="0"/>
            <w:vAlign w:val="center"/>
          </w:tcPr>
          <w:p>
            <w:pPr>
              <w:pStyle w:val="22"/>
              <w:bidi w:val="0"/>
              <w:rPr>
                <w:color w:val="auto"/>
                <w:highlight w:val="none"/>
              </w:rPr>
            </w:pPr>
            <w:r>
              <w:rPr>
                <w:rFonts w:hint="eastAsia"/>
                <w:color w:val="auto"/>
                <w:highlight w:val="none"/>
              </w:rPr>
              <w:t>大竹县滑炭沟大河村煤厂</w:t>
            </w:r>
          </w:p>
        </w:tc>
        <w:tc>
          <w:tcPr>
            <w:tcW w:w="1008" w:type="dxa"/>
            <w:noWrap w:val="0"/>
            <w:vAlign w:val="center"/>
          </w:tcPr>
          <w:p>
            <w:pPr>
              <w:pStyle w:val="22"/>
              <w:bidi w:val="0"/>
              <w:rPr>
                <w:color w:val="auto"/>
                <w:highlight w:val="none"/>
              </w:rPr>
            </w:pPr>
            <w:r>
              <w:rPr>
                <w:rFonts w:hint="eastAsia"/>
                <w:color w:val="auto"/>
                <w:highlight w:val="none"/>
              </w:rPr>
              <w:t>0.0647</w:t>
            </w:r>
          </w:p>
        </w:tc>
        <w:tc>
          <w:tcPr>
            <w:tcW w:w="1260" w:type="dxa"/>
            <w:noWrap w:val="0"/>
            <w:vAlign w:val="center"/>
          </w:tcPr>
          <w:p>
            <w:pPr>
              <w:pStyle w:val="22"/>
              <w:bidi w:val="0"/>
              <w:rPr>
                <w:color w:val="auto"/>
                <w:highlight w:val="none"/>
              </w:rPr>
            </w:pPr>
            <w:r>
              <w:rPr>
                <w:rFonts w:hint="eastAsia"/>
                <w:color w:val="auto"/>
                <w:highlight w:val="none"/>
              </w:rPr>
              <w:t>460/430</w:t>
            </w:r>
          </w:p>
        </w:tc>
        <w:tc>
          <w:tcPr>
            <w:tcW w:w="2976" w:type="dxa"/>
            <w:noWrap w:val="0"/>
            <w:vAlign w:val="center"/>
          </w:tcPr>
          <w:p>
            <w:pPr>
              <w:pStyle w:val="22"/>
              <w:bidi w:val="0"/>
              <w:rPr>
                <w:color w:val="auto"/>
                <w:highlight w:val="none"/>
              </w:rPr>
            </w:pPr>
            <w:r>
              <w:rPr>
                <w:rFonts w:hint="eastAsia"/>
                <w:color w:val="auto"/>
                <w:highlight w:val="none"/>
              </w:rPr>
              <w:t>双连</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38</w:t>
            </w:r>
          </w:p>
        </w:tc>
        <w:tc>
          <w:tcPr>
            <w:tcW w:w="3236" w:type="dxa"/>
            <w:noWrap w:val="0"/>
            <w:vAlign w:val="center"/>
          </w:tcPr>
          <w:p>
            <w:pPr>
              <w:pStyle w:val="22"/>
              <w:bidi w:val="0"/>
              <w:rPr>
                <w:color w:val="auto"/>
                <w:highlight w:val="none"/>
              </w:rPr>
            </w:pPr>
            <w:r>
              <w:rPr>
                <w:rFonts w:hint="eastAsia"/>
                <w:color w:val="auto"/>
                <w:highlight w:val="none"/>
              </w:rPr>
              <w:t>重庆市东印煤矿</w:t>
            </w:r>
          </w:p>
        </w:tc>
        <w:tc>
          <w:tcPr>
            <w:tcW w:w="1008" w:type="dxa"/>
            <w:noWrap w:val="0"/>
            <w:vAlign w:val="center"/>
          </w:tcPr>
          <w:p>
            <w:pPr>
              <w:pStyle w:val="22"/>
              <w:bidi w:val="0"/>
              <w:rPr>
                <w:color w:val="auto"/>
                <w:highlight w:val="none"/>
              </w:rPr>
            </w:pPr>
            <w:r>
              <w:rPr>
                <w:rFonts w:hint="eastAsia"/>
                <w:color w:val="auto"/>
                <w:highlight w:val="none"/>
              </w:rPr>
              <w:t>0.563</w:t>
            </w:r>
          </w:p>
        </w:tc>
        <w:tc>
          <w:tcPr>
            <w:tcW w:w="1260" w:type="dxa"/>
            <w:noWrap w:val="0"/>
            <w:vAlign w:val="center"/>
          </w:tcPr>
          <w:p>
            <w:pPr>
              <w:pStyle w:val="22"/>
              <w:bidi w:val="0"/>
              <w:rPr>
                <w:color w:val="auto"/>
                <w:highlight w:val="none"/>
              </w:rPr>
            </w:pPr>
            <w:r>
              <w:rPr>
                <w:rFonts w:hint="eastAsia"/>
                <w:color w:val="auto"/>
                <w:highlight w:val="none"/>
              </w:rPr>
              <w:t>380/280</w:t>
            </w:r>
          </w:p>
        </w:tc>
        <w:tc>
          <w:tcPr>
            <w:tcW w:w="2976" w:type="dxa"/>
            <w:noWrap w:val="0"/>
            <w:vAlign w:val="center"/>
          </w:tcPr>
          <w:p>
            <w:pPr>
              <w:pStyle w:val="22"/>
              <w:bidi w:val="0"/>
              <w:rPr>
                <w:color w:val="auto"/>
                <w:highlight w:val="none"/>
              </w:rPr>
            </w:pPr>
            <w:r>
              <w:rPr>
                <w:rFonts w:hint="eastAsia"/>
                <w:color w:val="auto"/>
                <w:highlight w:val="none"/>
              </w:rPr>
              <w:t>K2</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39</w:t>
            </w:r>
          </w:p>
        </w:tc>
        <w:tc>
          <w:tcPr>
            <w:tcW w:w="3236" w:type="dxa"/>
            <w:noWrap w:val="0"/>
            <w:vAlign w:val="center"/>
          </w:tcPr>
          <w:p>
            <w:pPr>
              <w:pStyle w:val="22"/>
              <w:bidi w:val="0"/>
              <w:rPr>
                <w:color w:val="auto"/>
                <w:highlight w:val="none"/>
              </w:rPr>
            </w:pPr>
            <w:r>
              <w:rPr>
                <w:rFonts w:hint="eastAsia"/>
                <w:color w:val="auto"/>
                <w:highlight w:val="none"/>
              </w:rPr>
              <w:t>大竹县朝阳乡坠石岩煤厂</w:t>
            </w:r>
          </w:p>
        </w:tc>
        <w:tc>
          <w:tcPr>
            <w:tcW w:w="1008" w:type="dxa"/>
            <w:noWrap w:val="0"/>
            <w:vAlign w:val="center"/>
          </w:tcPr>
          <w:p>
            <w:pPr>
              <w:pStyle w:val="22"/>
              <w:bidi w:val="0"/>
              <w:rPr>
                <w:color w:val="auto"/>
                <w:highlight w:val="none"/>
              </w:rPr>
            </w:pPr>
            <w:r>
              <w:rPr>
                <w:rFonts w:hint="eastAsia"/>
                <w:color w:val="auto"/>
                <w:highlight w:val="none"/>
              </w:rPr>
              <w:t>0.1396</w:t>
            </w:r>
          </w:p>
        </w:tc>
        <w:tc>
          <w:tcPr>
            <w:tcW w:w="1260" w:type="dxa"/>
            <w:noWrap w:val="0"/>
            <w:vAlign w:val="center"/>
          </w:tcPr>
          <w:p>
            <w:pPr>
              <w:pStyle w:val="22"/>
              <w:bidi w:val="0"/>
              <w:rPr>
                <w:color w:val="auto"/>
                <w:highlight w:val="none"/>
              </w:rPr>
            </w:pPr>
            <w:r>
              <w:rPr>
                <w:rFonts w:hint="eastAsia"/>
                <w:color w:val="auto"/>
                <w:highlight w:val="none"/>
              </w:rPr>
              <w:t>480/350</w:t>
            </w:r>
          </w:p>
        </w:tc>
        <w:tc>
          <w:tcPr>
            <w:tcW w:w="2976" w:type="dxa"/>
            <w:noWrap w:val="0"/>
            <w:vAlign w:val="center"/>
          </w:tcPr>
          <w:p>
            <w:pPr>
              <w:pStyle w:val="22"/>
              <w:bidi w:val="0"/>
              <w:rPr>
                <w:color w:val="auto"/>
                <w:highlight w:val="none"/>
              </w:rPr>
            </w:pPr>
            <w:r>
              <w:rPr>
                <w:rFonts w:hint="eastAsia"/>
                <w:color w:val="auto"/>
                <w:highlight w:val="none"/>
              </w:rPr>
              <w:t>夹子连、外泡槽、正连、三夹连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2008</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40</w:t>
            </w:r>
          </w:p>
        </w:tc>
        <w:tc>
          <w:tcPr>
            <w:tcW w:w="3236" w:type="dxa"/>
            <w:noWrap w:val="0"/>
            <w:vAlign w:val="center"/>
          </w:tcPr>
          <w:p>
            <w:pPr>
              <w:pStyle w:val="22"/>
              <w:bidi w:val="0"/>
              <w:rPr>
                <w:color w:val="auto"/>
                <w:highlight w:val="none"/>
              </w:rPr>
            </w:pPr>
            <w:r>
              <w:rPr>
                <w:rFonts w:hint="eastAsia"/>
                <w:color w:val="auto"/>
                <w:highlight w:val="none"/>
              </w:rPr>
              <w:t>大竹县金鸡煤矿</w:t>
            </w:r>
          </w:p>
        </w:tc>
        <w:tc>
          <w:tcPr>
            <w:tcW w:w="1008" w:type="dxa"/>
            <w:noWrap w:val="0"/>
            <w:vAlign w:val="center"/>
          </w:tcPr>
          <w:p>
            <w:pPr>
              <w:pStyle w:val="22"/>
              <w:bidi w:val="0"/>
              <w:rPr>
                <w:color w:val="auto"/>
                <w:highlight w:val="none"/>
              </w:rPr>
            </w:pPr>
            <w:r>
              <w:rPr>
                <w:rFonts w:hint="eastAsia"/>
                <w:color w:val="auto"/>
                <w:highlight w:val="none"/>
              </w:rPr>
              <w:t>0.3074</w:t>
            </w:r>
          </w:p>
        </w:tc>
        <w:tc>
          <w:tcPr>
            <w:tcW w:w="1260" w:type="dxa"/>
            <w:noWrap w:val="0"/>
            <w:vAlign w:val="center"/>
          </w:tcPr>
          <w:p>
            <w:pPr>
              <w:pStyle w:val="22"/>
              <w:bidi w:val="0"/>
              <w:rPr>
                <w:color w:val="auto"/>
                <w:highlight w:val="none"/>
              </w:rPr>
            </w:pPr>
            <w:r>
              <w:rPr>
                <w:rFonts w:hint="eastAsia"/>
                <w:color w:val="auto"/>
                <w:highlight w:val="none"/>
              </w:rPr>
              <w:t>235/100</w:t>
            </w:r>
          </w:p>
        </w:tc>
        <w:tc>
          <w:tcPr>
            <w:tcW w:w="2976" w:type="dxa"/>
            <w:noWrap w:val="0"/>
            <w:vAlign w:val="center"/>
          </w:tcPr>
          <w:p>
            <w:pPr>
              <w:pStyle w:val="22"/>
              <w:bidi w:val="0"/>
              <w:rPr>
                <w:color w:val="auto"/>
                <w:highlight w:val="none"/>
              </w:rPr>
            </w:pPr>
            <w:r>
              <w:rPr>
                <w:rFonts w:hint="eastAsia"/>
                <w:color w:val="auto"/>
                <w:highlight w:val="none"/>
              </w:rPr>
              <w:t>正连、正二连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41</w:t>
            </w:r>
          </w:p>
        </w:tc>
        <w:tc>
          <w:tcPr>
            <w:tcW w:w="3236" w:type="dxa"/>
            <w:noWrap w:val="0"/>
            <w:vAlign w:val="center"/>
          </w:tcPr>
          <w:p>
            <w:pPr>
              <w:pStyle w:val="22"/>
              <w:bidi w:val="0"/>
              <w:rPr>
                <w:color w:val="auto"/>
                <w:highlight w:val="none"/>
              </w:rPr>
            </w:pPr>
            <w:r>
              <w:rPr>
                <w:rFonts w:hint="eastAsia"/>
                <w:color w:val="auto"/>
                <w:highlight w:val="none"/>
              </w:rPr>
              <w:t>大竹县金龙煤矿</w:t>
            </w:r>
          </w:p>
        </w:tc>
        <w:tc>
          <w:tcPr>
            <w:tcW w:w="1008" w:type="dxa"/>
            <w:noWrap w:val="0"/>
            <w:vAlign w:val="center"/>
          </w:tcPr>
          <w:p>
            <w:pPr>
              <w:pStyle w:val="22"/>
              <w:bidi w:val="0"/>
              <w:rPr>
                <w:color w:val="auto"/>
                <w:highlight w:val="none"/>
              </w:rPr>
            </w:pPr>
            <w:r>
              <w:rPr>
                <w:rFonts w:hint="eastAsia"/>
                <w:color w:val="auto"/>
                <w:highlight w:val="none"/>
              </w:rPr>
              <w:t>0.178</w:t>
            </w:r>
          </w:p>
        </w:tc>
        <w:tc>
          <w:tcPr>
            <w:tcW w:w="1260" w:type="dxa"/>
            <w:noWrap w:val="0"/>
            <w:vAlign w:val="center"/>
          </w:tcPr>
          <w:p>
            <w:pPr>
              <w:pStyle w:val="22"/>
              <w:bidi w:val="0"/>
              <w:rPr>
                <w:color w:val="auto"/>
                <w:highlight w:val="none"/>
              </w:rPr>
            </w:pPr>
            <w:r>
              <w:rPr>
                <w:rFonts w:hint="eastAsia"/>
                <w:color w:val="auto"/>
                <w:highlight w:val="none"/>
              </w:rPr>
              <w:t>400/300</w:t>
            </w:r>
          </w:p>
        </w:tc>
        <w:tc>
          <w:tcPr>
            <w:tcW w:w="2976" w:type="dxa"/>
            <w:noWrap w:val="0"/>
            <w:vAlign w:val="center"/>
          </w:tcPr>
          <w:p>
            <w:pPr>
              <w:pStyle w:val="22"/>
              <w:bidi w:val="0"/>
              <w:rPr>
                <w:color w:val="auto"/>
                <w:highlight w:val="none"/>
              </w:rPr>
            </w:pPr>
            <w:r>
              <w:rPr>
                <w:rFonts w:hint="eastAsia"/>
                <w:color w:val="auto"/>
                <w:highlight w:val="none"/>
              </w:rPr>
              <w:t>外大连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42</w:t>
            </w:r>
          </w:p>
        </w:tc>
        <w:tc>
          <w:tcPr>
            <w:tcW w:w="3236" w:type="dxa"/>
            <w:noWrap w:val="0"/>
            <w:vAlign w:val="center"/>
          </w:tcPr>
          <w:p>
            <w:pPr>
              <w:pStyle w:val="22"/>
              <w:bidi w:val="0"/>
              <w:rPr>
                <w:color w:val="auto"/>
                <w:highlight w:val="none"/>
              </w:rPr>
            </w:pPr>
            <w:r>
              <w:rPr>
                <w:rFonts w:hint="eastAsia"/>
                <w:color w:val="auto"/>
                <w:highlight w:val="none"/>
              </w:rPr>
              <w:t>大竹县童家乡盐井沟煤矿</w:t>
            </w:r>
          </w:p>
        </w:tc>
        <w:tc>
          <w:tcPr>
            <w:tcW w:w="1008" w:type="dxa"/>
            <w:noWrap w:val="0"/>
            <w:vAlign w:val="center"/>
          </w:tcPr>
          <w:p>
            <w:pPr>
              <w:pStyle w:val="22"/>
              <w:bidi w:val="0"/>
              <w:rPr>
                <w:color w:val="auto"/>
                <w:highlight w:val="none"/>
              </w:rPr>
            </w:pPr>
            <w:r>
              <w:rPr>
                <w:rFonts w:hint="eastAsia"/>
                <w:color w:val="auto"/>
                <w:highlight w:val="none"/>
              </w:rPr>
              <w:t>0.0071</w:t>
            </w:r>
          </w:p>
        </w:tc>
        <w:tc>
          <w:tcPr>
            <w:tcW w:w="1260" w:type="dxa"/>
            <w:noWrap w:val="0"/>
            <w:vAlign w:val="center"/>
          </w:tcPr>
          <w:p>
            <w:pPr>
              <w:pStyle w:val="22"/>
              <w:bidi w:val="0"/>
              <w:rPr>
                <w:color w:val="auto"/>
                <w:highlight w:val="none"/>
              </w:rPr>
            </w:pPr>
            <w:r>
              <w:rPr>
                <w:rFonts w:hint="eastAsia"/>
                <w:color w:val="auto"/>
                <w:highlight w:val="none"/>
              </w:rPr>
              <w:t>565/460</w:t>
            </w:r>
          </w:p>
        </w:tc>
        <w:tc>
          <w:tcPr>
            <w:tcW w:w="2976" w:type="dxa"/>
            <w:noWrap w:val="0"/>
            <w:vAlign w:val="center"/>
          </w:tcPr>
          <w:p>
            <w:pPr>
              <w:pStyle w:val="22"/>
              <w:bidi w:val="0"/>
              <w:rPr>
                <w:color w:val="auto"/>
                <w:highlight w:val="none"/>
              </w:rPr>
            </w:pPr>
            <w:r>
              <w:rPr>
                <w:rFonts w:hint="eastAsia"/>
                <w:color w:val="auto"/>
                <w:highlight w:val="none"/>
              </w:rPr>
              <w:t>K2</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43</w:t>
            </w:r>
          </w:p>
        </w:tc>
        <w:tc>
          <w:tcPr>
            <w:tcW w:w="3236" w:type="dxa"/>
            <w:noWrap w:val="0"/>
            <w:vAlign w:val="center"/>
          </w:tcPr>
          <w:p>
            <w:pPr>
              <w:pStyle w:val="22"/>
              <w:bidi w:val="0"/>
              <w:rPr>
                <w:color w:val="auto"/>
                <w:highlight w:val="none"/>
              </w:rPr>
            </w:pPr>
            <w:r>
              <w:rPr>
                <w:rFonts w:hint="eastAsia"/>
                <w:color w:val="auto"/>
                <w:highlight w:val="none"/>
              </w:rPr>
              <w:t>大竹县团坝曾家沟煤矿（黄泥磅分厂）</w:t>
            </w:r>
          </w:p>
        </w:tc>
        <w:tc>
          <w:tcPr>
            <w:tcW w:w="1008" w:type="dxa"/>
            <w:noWrap w:val="0"/>
            <w:vAlign w:val="center"/>
          </w:tcPr>
          <w:p>
            <w:pPr>
              <w:pStyle w:val="22"/>
              <w:bidi w:val="0"/>
              <w:rPr>
                <w:color w:val="auto"/>
                <w:highlight w:val="none"/>
              </w:rPr>
            </w:pPr>
            <w:r>
              <w:rPr>
                <w:rFonts w:hint="eastAsia"/>
                <w:color w:val="auto"/>
                <w:highlight w:val="none"/>
              </w:rPr>
              <w:t>0.8411</w:t>
            </w:r>
          </w:p>
        </w:tc>
        <w:tc>
          <w:tcPr>
            <w:tcW w:w="1260" w:type="dxa"/>
            <w:noWrap w:val="0"/>
            <w:vAlign w:val="center"/>
          </w:tcPr>
          <w:p>
            <w:pPr>
              <w:pStyle w:val="22"/>
              <w:bidi w:val="0"/>
              <w:rPr>
                <w:color w:val="auto"/>
                <w:highlight w:val="none"/>
              </w:rPr>
            </w:pPr>
            <w:r>
              <w:rPr>
                <w:rFonts w:hint="eastAsia"/>
                <w:color w:val="auto"/>
                <w:highlight w:val="none"/>
              </w:rPr>
              <w:t>540/270</w:t>
            </w:r>
          </w:p>
        </w:tc>
        <w:tc>
          <w:tcPr>
            <w:tcW w:w="2976" w:type="dxa"/>
            <w:noWrap w:val="0"/>
            <w:vAlign w:val="center"/>
          </w:tcPr>
          <w:p>
            <w:pPr>
              <w:pStyle w:val="22"/>
              <w:bidi w:val="0"/>
              <w:rPr>
                <w:color w:val="auto"/>
                <w:highlight w:val="none"/>
              </w:rPr>
            </w:pPr>
            <w:r>
              <w:rPr>
                <w:rFonts w:hint="eastAsia"/>
                <w:color w:val="auto"/>
                <w:highlight w:val="none"/>
              </w:rPr>
              <w:t>四夹连</w:t>
            </w:r>
          </w:p>
        </w:tc>
        <w:tc>
          <w:tcPr>
            <w:tcW w:w="851" w:type="dxa"/>
            <w:noWrap w:val="0"/>
            <w:vAlign w:val="center"/>
          </w:tcPr>
          <w:p>
            <w:pPr>
              <w:pStyle w:val="22"/>
              <w:bidi w:val="0"/>
              <w:rPr>
                <w:color w:val="auto"/>
                <w:highlight w:val="none"/>
              </w:rPr>
            </w:pPr>
            <w:r>
              <w:rPr>
                <w:rFonts w:hint="eastAsia"/>
                <w:color w:val="auto"/>
                <w:highlight w:val="none"/>
              </w:rPr>
              <w:t>1</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44</w:t>
            </w:r>
          </w:p>
        </w:tc>
        <w:tc>
          <w:tcPr>
            <w:tcW w:w="3236" w:type="dxa"/>
            <w:noWrap w:val="0"/>
            <w:vAlign w:val="center"/>
          </w:tcPr>
          <w:p>
            <w:pPr>
              <w:pStyle w:val="22"/>
              <w:bidi w:val="0"/>
              <w:rPr>
                <w:color w:val="auto"/>
                <w:highlight w:val="none"/>
              </w:rPr>
            </w:pPr>
            <w:r>
              <w:rPr>
                <w:rFonts w:hint="eastAsia"/>
                <w:color w:val="auto"/>
                <w:highlight w:val="none"/>
              </w:rPr>
              <w:t>大竹县八渡乡秦家沟煤矿</w:t>
            </w:r>
          </w:p>
        </w:tc>
        <w:tc>
          <w:tcPr>
            <w:tcW w:w="1008" w:type="dxa"/>
            <w:noWrap w:val="0"/>
            <w:vAlign w:val="center"/>
          </w:tcPr>
          <w:p>
            <w:pPr>
              <w:pStyle w:val="22"/>
              <w:bidi w:val="0"/>
              <w:rPr>
                <w:color w:val="auto"/>
                <w:highlight w:val="none"/>
              </w:rPr>
            </w:pPr>
            <w:r>
              <w:rPr>
                <w:rFonts w:hint="eastAsia"/>
                <w:color w:val="auto"/>
                <w:highlight w:val="none"/>
              </w:rPr>
              <w:t>0.4678</w:t>
            </w:r>
          </w:p>
        </w:tc>
        <w:tc>
          <w:tcPr>
            <w:tcW w:w="1260" w:type="dxa"/>
            <w:noWrap w:val="0"/>
            <w:vAlign w:val="center"/>
          </w:tcPr>
          <w:p>
            <w:pPr>
              <w:pStyle w:val="22"/>
              <w:bidi w:val="0"/>
              <w:rPr>
                <w:color w:val="auto"/>
                <w:highlight w:val="none"/>
              </w:rPr>
            </w:pPr>
            <w:r>
              <w:rPr>
                <w:rFonts w:hint="eastAsia"/>
                <w:color w:val="auto"/>
                <w:highlight w:val="none"/>
              </w:rPr>
              <w:t>526/460</w:t>
            </w:r>
          </w:p>
        </w:tc>
        <w:tc>
          <w:tcPr>
            <w:tcW w:w="2976" w:type="dxa"/>
            <w:noWrap w:val="0"/>
            <w:vAlign w:val="center"/>
          </w:tcPr>
          <w:p>
            <w:pPr>
              <w:pStyle w:val="22"/>
              <w:bidi w:val="0"/>
              <w:rPr>
                <w:color w:val="auto"/>
                <w:highlight w:val="none"/>
              </w:rPr>
            </w:pPr>
            <w:r>
              <w:rPr>
                <w:rFonts w:hint="eastAsia"/>
                <w:color w:val="auto"/>
                <w:highlight w:val="none"/>
              </w:rPr>
              <w:t>K7、K6、K6-1</w:t>
            </w:r>
          </w:p>
        </w:tc>
        <w:tc>
          <w:tcPr>
            <w:tcW w:w="851" w:type="dxa"/>
            <w:noWrap w:val="0"/>
            <w:vAlign w:val="center"/>
          </w:tcPr>
          <w:p>
            <w:pPr>
              <w:pStyle w:val="22"/>
              <w:bidi w:val="0"/>
              <w:rPr>
                <w:color w:val="auto"/>
                <w:highlight w:val="none"/>
              </w:rPr>
            </w:pPr>
            <w:r>
              <w:rPr>
                <w:rFonts w:hint="eastAsia"/>
                <w:color w:val="auto"/>
                <w:highlight w:val="none"/>
              </w:rPr>
              <w:t>6</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45</w:t>
            </w:r>
          </w:p>
        </w:tc>
        <w:tc>
          <w:tcPr>
            <w:tcW w:w="3236" w:type="dxa"/>
            <w:noWrap w:val="0"/>
            <w:vAlign w:val="center"/>
          </w:tcPr>
          <w:p>
            <w:pPr>
              <w:pStyle w:val="22"/>
              <w:bidi w:val="0"/>
              <w:rPr>
                <w:color w:val="auto"/>
                <w:highlight w:val="none"/>
              </w:rPr>
            </w:pPr>
            <w:r>
              <w:rPr>
                <w:rFonts w:hint="eastAsia"/>
                <w:color w:val="auto"/>
                <w:highlight w:val="none"/>
              </w:rPr>
              <w:t>达州市林峰实业有限责任公司（八发煤矿）</w:t>
            </w:r>
          </w:p>
        </w:tc>
        <w:tc>
          <w:tcPr>
            <w:tcW w:w="1008" w:type="dxa"/>
            <w:noWrap w:val="0"/>
            <w:vAlign w:val="center"/>
          </w:tcPr>
          <w:p>
            <w:pPr>
              <w:pStyle w:val="22"/>
              <w:bidi w:val="0"/>
              <w:rPr>
                <w:color w:val="auto"/>
                <w:highlight w:val="none"/>
              </w:rPr>
            </w:pPr>
            <w:r>
              <w:rPr>
                <w:rFonts w:hint="eastAsia"/>
                <w:color w:val="auto"/>
                <w:highlight w:val="none"/>
              </w:rPr>
              <w:t>0.8632</w:t>
            </w:r>
          </w:p>
        </w:tc>
        <w:tc>
          <w:tcPr>
            <w:tcW w:w="1260" w:type="dxa"/>
            <w:noWrap w:val="0"/>
            <w:vAlign w:val="center"/>
          </w:tcPr>
          <w:p>
            <w:pPr>
              <w:pStyle w:val="22"/>
              <w:bidi w:val="0"/>
              <w:rPr>
                <w:color w:val="auto"/>
                <w:highlight w:val="none"/>
              </w:rPr>
            </w:pPr>
            <w:r>
              <w:rPr>
                <w:rFonts w:hint="eastAsia"/>
                <w:color w:val="auto"/>
                <w:highlight w:val="none"/>
              </w:rPr>
              <w:t>480/200</w:t>
            </w:r>
          </w:p>
        </w:tc>
        <w:tc>
          <w:tcPr>
            <w:tcW w:w="2976" w:type="dxa"/>
            <w:noWrap w:val="0"/>
            <w:vAlign w:val="center"/>
          </w:tcPr>
          <w:p>
            <w:pPr>
              <w:pStyle w:val="22"/>
              <w:bidi w:val="0"/>
              <w:rPr>
                <w:color w:val="auto"/>
                <w:highlight w:val="none"/>
              </w:rPr>
            </w:pPr>
            <w:r>
              <w:rPr>
                <w:rFonts w:hint="eastAsia"/>
                <w:color w:val="auto"/>
                <w:highlight w:val="none"/>
              </w:rPr>
              <w:t>K7</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2013</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46</w:t>
            </w:r>
          </w:p>
        </w:tc>
        <w:tc>
          <w:tcPr>
            <w:tcW w:w="3236" w:type="dxa"/>
            <w:noWrap w:val="0"/>
            <w:vAlign w:val="center"/>
          </w:tcPr>
          <w:p>
            <w:pPr>
              <w:pStyle w:val="22"/>
              <w:bidi w:val="0"/>
              <w:rPr>
                <w:color w:val="auto"/>
                <w:highlight w:val="none"/>
              </w:rPr>
            </w:pPr>
            <w:r>
              <w:rPr>
                <w:rFonts w:hint="eastAsia"/>
                <w:color w:val="auto"/>
                <w:highlight w:val="none"/>
              </w:rPr>
              <w:t>大竹县乌木乡芭蕉湾煤厂</w:t>
            </w:r>
          </w:p>
        </w:tc>
        <w:tc>
          <w:tcPr>
            <w:tcW w:w="1008" w:type="dxa"/>
            <w:noWrap w:val="0"/>
            <w:vAlign w:val="center"/>
          </w:tcPr>
          <w:p>
            <w:pPr>
              <w:pStyle w:val="22"/>
              <w:bidi w:val="0"/>
              <w:rPr>
                <w:color w:val="auto"/>
                <w:highlight w:val="none"/>
              </w:rPr>
            </w:pPr>
            <w:r>
              <w:rPr>
                <w:rFonts w:hint="eastAsia"/>
                <w:color w:val="auto"/>
                <w:highlight w:val="none"/>
              </w:rPr>
              <w:t>0.4006</w:t>
            </w:r>
          </w:p>
        </w:tc>
        <w:tc>
          <w:tcPr>
            <w:tcW w:w="1260" w:type="dxa"/>
            <w:noWrap w:val="0"/>
            <w:vAlign w:val="center"/>
          </w:tcPr>
          <w:p>
            <w:pPr>
              <w:pStyle w:val="22"/>
              <w:bidi w:val="0"/>
              <w:rPr>
                <w:color w:val="auto"/>
                <w:highlight w:val="none"/>
              </w:rPr>
            </w:pPr>
            <w:r>
              <w:rPr>
                <w:rFonts w:hint="eastAsia"/>
                <w:color w:val="auto"/>
                <w:highlight w:val="none"/>
              </w:rPr>
              <w:t>551/383</w:t>
            </w:r>
          </w:p>
        </w:tc>
        <w:tc>
          <w:tcPr>
            <w:tcW w:w="2976" w:type="dxa"/>
            <w:noWrap w:val="0"/>
            <w:vAlign w:val="center"/>
          </w:tcPr>
          <w:p>
            <w:pPr>
              <w:pStyle w:val="22"/>
              <w:bidi w:val="0"/>
              <w:rPr>
                <w:color w:val="auto"/>
                <w:highlight w:val="none"/>
              </w:rPr>
            </w:pPr>
            <w:r>
              <w:rPr>
                <w:rFonts w:hint="eastAsia"/>
                <w:color w:val="auto"/>
                <w:highlight w:val="none"/>
              </w:rPr>
              <w:t>三夹连、内大连、蛮碳</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2014</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47</w:t>
            </w:r>
          </w:p>
        </w:tc>
        <w:tc>
          <w:tcPr>
            <w:tcW w:w="3236" w:type="dxa"/>
            <w:noWrap w:val="0"/>
            <w:vAlign w:val="center"/>
          </w:tcPr>
          <w:p>
            <w:pPr>
              <w:pStyle w:val="22"/>
              <w:bidi w:val="0"/>
              <w:rPr>
                <w:color w:val="auto"/>
                <w:highlight w:val="none"/>
              </w:rPr>
            </w:pPr>
            <w:r>
              <w:rPr>
                <w:rFonts w:hint="eastAsia"/>
                <w:color w:val="auto"/>
                <w:highlight w:val="none"/>
              </w:rPr>
              <w:t>大竹县黄滩煤矿</w:t>
            </w:r>
          </w:p>
        </w:tc>
        <w:tc>
          <w:tcPr>
            <w:tcW w:w="1008" w:type="dxa"/>
            <w:noWrap w:val="0"/>
            <w:vAlign w:val="center"/>
          </w:tcPr>
          <w:p>
            <w:pPr>
              <w:pStyle w:val="22"/>
              <w:bidi w:val="0"/>
              <w:rPr>
                <w:color w:val="auto"/>
                <w:highlight w:val="none"/>
              </w:rPr>
            </w:pPr>
            <w:r>
              <w:rPr>
                <w:rFonts w:hint="eastAsia"/>
                <w:color w:val="auto"/>
                <w:highlight w:val="none"/>
              </w:rPr>
              <w:t>0.3866</w:t>
            </w:r>
          </w:p>
        </w:tc>
        <w:tc>
          <w:tcPr>
            <w:tcW w:w="1260" w:type="dxa"/>
            <w:noWrap w:val="0"/>
            <w:vAlign w:val="center"/>
          </w:tcPr>
          <w:p>
            <w:pPr>
              <w:pStyle w:val="22"/>
              <w:bidi w:val="0"/>
              <w:rPr>
                <w:color w:val="auto"/>
                <w:highlight w:val="none"/>
              </w:rPr>
            </w:pPr>
            <w:r>
              <w:rPr>
                <w:rFonts w:hint="eastAsia"/>
                <w:color w:val="auto"/>
                <w:highlight w:val="none"/>
              </w:rPr>
              <w:t>400/300</w:t>
            </w:r>
          </w:p>
        </w:tc>
        <w:tc>
          <w:tcPr>
            <w:tcW w:w="2976" w:type="dxa"/>
            <w:noWrap w:val="0"/>
            <w:vAlign w:val="center"/>
          </w:tcPr>
          <w:p>
            <w:pPr>
              <w:pStyle w:val="22"/>
              <w:bidi w:val="0"/>
              <w:rPr>
                <w:color w:val="auto"/>
                <w:highlight w:val="none"/>
              </w:rPr>
            </w:pPr>
            <w:r>
              <w:rPr>
                <w:rFonts w:hint="eastAsia"/>
                <w:color w:val="auto"/>
                <w:highlight w:val="none"/>
              </w:rPr>
              <w:t>内三夹连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2014</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48</w:t>
            </w:r>
          </w:p>
        </w:tc>
        <w:tc>
          <w:tcPr>
            <w:tcW w:w="3236" w:type="dxa"/>
            <w:noWrap w:val="0"/>
            <w:vAlign w:val="center"/>
          </w:tcPr>
          <w:p>
            <w:pPr>
              <w:pStyle w:val="22"/>
              <w:bidi w:val="0"/>
              <w:rPr>
                <w:color w:val="auto"/>
                <w:highlight w:val="none"/>
              </w:rPr>
            </w:pPr>
            <w:r>
              <w:rPr>
                <w:rFonts w:hint="eastAsia"/>
                <w:color w:val="auto"/>
                <w:highlight w:val="none"/>
              </w:rPr>
              <w:t>大竹县中和乡宝尔石煤矿</w:t>
            </w:r>
          </w:p>
        </w:tc>
        <w:tc>
          <w:tcPr>
            <w:tcW w:w="1008" w:type="dxa"/>
            <w:noWrap w:val="0"/>
            <w:vAlign w:val="center"/>
          </w:tcPr>
          <w:p>
            <w:pPr>
              <w:pStyle w:val="22"/>
              <w:bidi w:val="0"/>
              <w:rPr>
                <w:color w:val="auto"/>
                <w:highlight w:val="none"/>
              </w:rPr>
            </w:pPr>
            <w:r>
              <w:rPr>
                <w:rFonts w:hint="eastAsia"/>
                <w:color w:val="auto"/>
                <w:highlight w:val="none"/>
              </w:rPr>
              <w:t>0.4688</w:t>
            </w:r>
          </w:p>
        </w:tc>
        <w:tc>
          <w:tcPr>
            <w:tcW w:w="1260" w:type="dxa"/>
            <w:noWrap w:val="0"/>
            <w:vAlign w:val="center"/>
          </w:tcPr>
          <w:p>
            <w:pPr>
              <w:pStyle w:val="22"/>
              <w:bidi w:val="0"/>
              <w:rPr>
                <w:color w:val="auto"/>
                <w:highlight w:val="none"/>
              </w:rPr>
            </w:pPr>
            <w:r>
              <w:rPr>
                <w:rFonts w:hint="eastAsia"/>
                <w:color w:val="auto"/>
                <w:highlight w:val="none"/>
              </w:rPr>
              <w:t>635/590</w:t>
            </w:r>
          </w:p>
        </w:tc>
        <w:tc>
          <w:tcPr>
            <w:tcW w:w="2976" w:type="dxa"/>
            <w:noWrap w:val="0"/>
            <w:vAlign w:val="center"/>
          </w:tcPr>
          <w:p>
            <w:pPr>
              <w:pStyle w:val="22"/>
              <w:bidi w:val="0"/>
              <w:rPr>
                <w:color w:val="auto"/>
                <w:highlight w:val="none"/>
              </w:rPr>
            </w:pPr>
            <w:r>
              <w:rPr>
                <w:rFonts w:hint="eastAsia"/>
                <w:color w:val="auto"/>
                <w:highlight w:val="none"/>
              </w:rPr>
              <w:t>K8、K11、K15</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2014</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49</w:t>
            </w:r>
          </w:p>
        </w:tc>
        <w:tc>
          <w:tcPr>
            <w:tcW w:w="3236" w:type="dxa"/>
            <w:noWrap w:val="0"/>
            <w:vAlign w:val="center"/>
          </w:tcPr>
          <w:p>
            <w:pPr>
              <w:pStyle w:val="22"/>
              <w:bidi w:val="0"/>
              <w:rPr>
                <w:color w:val="auto"/>
                <w:highlight w:val="none"/>
              </w:rPr>
            </w:pPr>
            <w:r>
              <w:rPr>
                <w:rFonts w:hint="eastAsia"/>
                <w:color w:val="auto"/>
                <w:highlight w:val="none"/>
              </w:rPr>
              <w:t>大竹县天城乡九龙煤矿</w:t>
            </w:r>
          </w:p>
        </w:tc>
        <w:tc>
          <w:tcPr>
            <w:tcW w:w="1008" w:type="dxa"/>
            <w:noWrap w:val="0"/>
            <w:vAlign w:val="center"/>
          </w:tcPr>
          <w:p>
            <w:pPr>
              <w:pStyle w:val="22"/>
              <w:bidi w:val="0"/>
              <w:rPr>
                <w:color w:val="auto"/>
                <w:highlight w:val="none"/>
              </w:rPr>
            </w:pPr>
            <w:r>
              <w:rPr>
                <w:rFonts w:hint="eastAsia"/>
                <w:color w:val="auto"/>
                <w:highlight w:val="none"/>
              </w:rPr>
              <w:t>0.8047</w:t>
            </w:r>
          </w:p>
        </w:tc>
        <w:tc>
          <w:tcPr>
            <w:tcW w:w="1260" w:type="dxa"/>
            <w:noWrap w:val="0"/>
            <w:vAlign w:val="center"/>
          </w:tcPr>
          <w:p>
            <w:pPr>
              <w:pStyle w:val="22"/>
              <w:bidi w:val="0"/>
              <w:rPr>
                <w:color w:val="auto"/>
                <w:highlight w:val="none"/>
              </w:rPr>
            </w:pPr>
            <w:r>
              <w:rPr>
                <w:rFonts w:hint="eastAsia"/>
                <w:color w:val="auto"/>
                <w:highlight w:val="none"/>
              </w:rPr>
              <w:t>690/400</w:t>
            </w:r>
          </w:p>
        </w:tc>
        <w:tc>
          <w:tcPr>
            <w:tcW w:w="2976" w:type="dxa"/>
            <w:noWrap w:val="0"/>
            <w:vAlign w:val="center"/>
          </w:tcPr>
          <w:p>
            <w:pPr>
              <w:pStyle w:val="22"/>
              <w:bidi w:val="0"/>
              <w:rPr>
                <w:color w:val="auto"/>
                <w:highlight w:val="none"/>
              </w:rPr>
            </w:pPr>
            <w:r>
              <w:rPr>
                <w:rFonts w:hint="eastAsia"/>
                <w:color w:val="auto"/>
                <w:highlight w:val="none"/>
              </w:rPr>
              <w:t>七连子</w:t>
            </w:r>
          </w:p>
        </w:tc>
        <w:tc>
          <w:tcPr>
            <w:tcW w:w="851" w:type="dxa"/>
            <w:noWrap w:val="0"/>
            <w:vAlign w:val="center"/>
          </w:tcPr>
          <w:p>
            <w:pPr>
              <w:pStyle w:val="22"/>
              <w:bidi w:val="0"/>
              <w:rPr>
                <w:color w:val="auto"/>
                <w:highlight w:val="none"/>
              </w:rPr>
            </w:pPr>
            <w:r>
              <w:rPr>
                <w:rFonts w:hint="eastAsia"/>
                <w:color w:val="auto"/>
                <w:highlight w:val="none"/>
              </w:rPr>
              <w:t>6</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2014</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50</w:t>
            </w:r>
          </w:p>
        </w:tc>
        <w:tc>
          <w:tcPr>
            <w:tcW w:w="3236" w:type="dxa"/>
            <w:noWrap w:val="0"/>
            <w:vAlign w:val="center"/>
          </w:tcPr>
          <w:p>
            <w:pPr>
              <w:pStyle w:val="22"/>
              <w:bidi w:val="0"/>
              <w:rPr>
                <w:color w:val="auto"/>
                <w:highlight w:val="none"/>
              </w:rPr>
            </w:pPr>
            <w:r>
              <w:rPr>
                <w:rFonts w:hint="eastAsia"/>
                <w:color w:val="auto"/>
                <w:highlight w:val="none"/>
              </w:rPr>
              <w:t>大竹县石子区城门洞联办煤矿</w:t>
            </w:r>
          </w:p>
        </w:tc>
        <w:tc>
          <w:tcPr>
            <w:tcW w:w="1008" w:type="dxa"/>
            <w:noWrap w:val="0"/>
            <w:vAlign w:val="center"/>
          </w:tcPr>
          <w:p>
            <w:pPr>
              <w:pStyle w:val="22"/>
              <w:bidi w:val="0"/>
              <w:rPr>
                <w:color w:val="auto"/>
                <w:highlight w:val="none"/>
              </w:rPr>
            </w:pPr>
            <w:r>
              <w:rPr>
                <w:rFonts w:hint="eastAsia"/>
                <w:color w:val="auto"/>
                <w:highlight w:val="none"/>
              </w:rPr>
              <w:t>1.0099</w:t>
            </w:r>
          </w:p>
        </w:tc>
        <w:tc>
          <w:tcPr>
            <w:tcW w:w="1260" w:type="dxa"/>
            <w:noWrap w:val="0"/>
            <w:vAlign w:val="center"/>
          </w:tcPr>
          <w:p>
            <w:pPr>
              <w:pStyle w:val="22"/>
              <w:bidi w:val="0"/>
              <w:rPr>
                <w:color w:val="auto"/>
                <w:highlight w:val="none"/>
              </w:rPr>
            </w:pPr>
            <w:r>
              <w:rPr>
                <w:rFonts w:hint="eastAsia"/>
                <w:color w:val="auto"/>
                <w:highlight w:val="none"/>
              </w:rPr>
              <w:t>718/560</w:t>
            </w:r>
          </w:p>
        </w:tc>
        <w:tc>
          <w:tcPr>
            <w:tcW w:w="2976" w:type="dxa"/>
            <w:noWrap w:val="0"/>
            <w:vAlign w:val="center"/>
          </w:tcPr>
          <w:p>
            <w:pPr>
              <w:pStyle w:val="22"/>
              <w:bidi w:val="0"/>
              <w:rPr>
                <w:color w:val="auto"/>
                <w:highlight w:val="none"/>
              </w:rPr>
            </w:pPr>
            <w:r>
              <w:rPr>
                <w:rFonts w:hint="eastAsia"/>
                <w:color w:val="auto"/>
                <w:highlight w:val="none"/>
              </w:rPr>
              <w:t>正连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2014</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51</w:t>
            </w:r>
          </w:p>
        </w:tc>
        <w:tc>
          <w:tcPr>
            <w:tcW w:w="3236" w:type="dxa"/>
            <w:noWrap w:val="0"/>
            <w:vAlign w:val="center"/>
          </w:tcPr>
          <w:p>
            <w:pPr>
              <w:pStyle w:val="22"/>
              <w:bidi w:val="0"/>
              <w:rPr>
                <w:color w:val="auto"/>
                <w:highlight w:val="none"/>
              </w:rPr>
            </w:pPr>
            <w:r>
              <w:rPr>
                <w:rFonts w:hint="eastAsia"/>
                <w:color w:val="auto"/>
                <w:highlight w:val="none"/>
              </w:rPr>
              <w:t>大竹县安吉乡清塘坝煤矿</w:t>
            </w:r>
          </w:p>
        </w:tc>
        <w:tc>
          <w:tcPr>
            <w:tcW w:w="1008" w:type="dxa"/>
            <w:noWrap w:val="0"/>
            <w:vAlign w:val="center"/>
          </w:tcPr>
          <w:p>
            <w:pPr>
              <w:pStyle w:val="22"/>
              <w:bidi w:val="0"/>
              <w:rPr>
                <w:color w:val="auto"/>
                <w:highlight w:val="none"/>
              </w:rPr>
            </w:pPr>
            <w:r>
              <w:rPr>
                <w:rFonts w:hint="eastAsia"/>
                <w:color w:val="auto"/>
                <w:highlight w:val="none"/>
              </w:rPr>
              <w:t>3.434</w:t>
            </w:r>
          </w:p>
        </w:tc>
        <w:tc>
          <w:tcPr>
            <w:tcW w:w="1260" w:type="dxa"/>
            <w:noWrap w:val="0"/>
            <w:vAlign w:val="center"/>
          </w:tcPr>
          <w:p>
            <w:pPr>
              <w:pStyle w:val="22"/>
              <w:bidi w:val="0"/>
              <w:rPr>
                <w:color w:val="auto"/>
                <w:highlight w:val="none"/>
              </w:rPr>
            </w:pPr>
          </w:p>
        </w:tc>
        <w:tc>
          <w:tcPr>
            <w:tcW w:w="2976" w:type="dxa"/>
            <w:noWrap w:val="0"/>
            <w:vAlign w:val="center"/>
          </w:tcPr>
          <w:p>
            <w:pPr>
              <w:pStyle w:val="22"/>
              <w:bidi w:val="0"/>
              <w:rPr>
                <w:color w:val="auto"/>
                <w:highlight w:val="none"/>
              </w:rPr>
            </w:pPr>
            <w:r>
              <w:rPr>
                <w:rFonts w:hint="eastAsia"/>
                <w:color w:val="auto"/>
                <w:highlight w:val="none"/>
              </w:rPr>
              <w:t>K4、K7</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2014</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52</w:t>
            </w:r>
          </w:p>
        </w:tc>
        <w:tc>
          <w:tcPr>
            <w:tcW w:w="3236" w:type="dxa"/>
            <w:noWrap w:val="0"/>
            <w:vAlign w:val="center"/>
          </w:tcPr>
          <w:p>
            <w:pPr>
              <w:pStyle w:val="22"/>
              <w:bidi w:val="0"/>
              <w:rPr>
                <w:color w:val="auto"/>
                <w:highlight w:val="none"/>
              </w:rPr>
            </w:pPr>
            <w:r>
              <w:rPr>
                <w:rFonts w:hint="eastAsia"/>
                <w:color w:val="auto"/>
                <w:highlight w:val="none"/>
              </w:rPr>
              <w:t>大竹县月华乡硝水泗煤矿</w:t>
            </w:r>
          </w:p>
        </w:tc>
        <w:tc>
          <w:tcPr>
            <w:tcW w:w="1008" w:type="dxa"/>
            <w:noWrap w:val="0"/>
            <w:vAlign w:val="center"/>
          </w:tcPr>
          <w:p>
            <w:pPr>
              <w:pStyle w:val="22"/>
              <w:bidi w:val="0"/>
              <w:rPr>
                <w:color w:val="auto"/>
                <w:highlight w:val="none"/>
              </w:rPr>
            </w:pPr>
            <w:r>
              <w:rPr>
                <w:rFonts w:hint="eastAsia"/>
                <w:color w:val="auto"/>
                <w:highlight w:val="none"/>
              </w:rPr>
              <w:t>0.2336</w:t>
            </w:r>
          </w:p>
        </w:tc>
        <w:tc>
          <w:tcPr>
            <w:tcW w:w="1260" w:type="dxa"/>
            <w:noWrap w:val="0"/>
            <w:vAlign w:val="center"/>
          </w:tcPr>
          <w:p>
            <w:pPr>
              <w:pStyle w:val="22"/>
              <w:bidi w:val="0"/>
              <w:rPr>
                <w:color w:val="auto"/>
                <w:highlight w:val="none"/>
              </w:rPr>
            </w:pPr>
            <w:r>
              <w:rPr>
                <w:rFonts w:hint="eastAsia"/>
                <w:color w:val="auto"/>
                <w:highlight w:val="none"/>
              </w:rPr>
              <w:t>460/282</w:t>
            </w:r>
          </w:p>
        </w:tc>
        <w:tc>
          <w:tcPr>
            <w:tcW w:w="2976" w:type="dxa"/>
            <w:noWrap w:val="0"/>
            <w:vAlign w:val="center"/>
          </w:tcPr>
          <w:p>
            <w:pPr>
              <w:pStyle w:val="22"/>
              <w:bidi w:val="0"/>
              <w:rPr>
                <w:color w:val="auto"/>
                <w:highlight w:val="none"/>
              </w:rPr>
            </w:pPr>
            <w:r>
              <w:rPr>
                <w:rFonts w:hint="eastAsia"/>
                <w:color w:val="auto"/>
                <w:highlight w:val="none"/>
              </w:rPr>
              <w:t>K7、K8</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53</w:t>
            </w:r>
          </w:p>
        </w:tc>
        <w:tc>
          <w:tcPr>
            <w:tcW w:w="3236" w:type="dxa"/>
            <w:noWrap w:val="0"/>
            <w:vAlign w:val="center"/>
          </w:tcPr>
          <w:p>
            <w:pPr>
              <w:pStyle w:val="22"/>
              <w:bidi w:val="0"/>
              <w:rPr>
                <w:color w:val="auto"/>
                <w:highlight w:val="none"/>
              </w:rPr>
            </w:pPr>
            <w:r>
              <w:rPr>
                <w:rFonts w:hint="eastAsia"/>
                <w:color w:val="auto"/>
                <w:highlight w:val="none"/>
              </w:rPr>
              <w:t>大竹县石桥铺煤矿</w:t>
            </w:r>
          </w:p>
        </w:tc>
        <w:tc>
          <w:tcPr>
            <w:tcW w:w="1008" w:type="dxa"/>
            <w:noWrap w:val="0"/>
            <w:vAlign w:val="center"/>
          </w:tcPr>
          <w:p>
            <w:pPr>
              <w:pStyle w:val="22"/>
              <w:bidi w:val="0"/>
              <w:rPr>
                <w:color w:val="auto"/>
                <w:highlight w:val="none"/>
              </w:rPr>
            </w:pPr>
            <w:r>
              <w:rPr>
                <w:rFonts w:hint="eastAsia"/>
                <w:color w:val="auto"/>
                <w:highlight w:val="none"/>
              </w:rPr>
              <w:t>0.7936</w:t>
            </w:r>
          </w:p>
        </w:tc>
        <w:tc>
          <w:tcPr>
            <w:tcW w:w="1260" w:type="dxa"/>
            <w:noWrap w:val="0"/>
            <w:vAlign w:val="center"/>
          </w:tcPr>
          <w:p>
            <w:pPr>
              <w:pStyle w:val="22"/>
              <w:bidi w:val="0"/>
              <w:rPr>
                <w:color w:val="auto"/>
                <w:highlight w:val="none"/>
              </w:rPr>
            </w:pPr>
            <w:r>
              <w:rPr>
                <w:rFonts w:hint="eastAsia"/>
                <w:color w:val="auto"/>
                <w:highlight w:val="none"/>
              </w:rPr>
              <w:t>478/333</w:t>
            </w:r>
          </w:p>
        </w:tc>
        <w:tc>
          <w:tcPr>
            <w:tcW w:w="2976" w:type="dxa"/>
            <w:noWrap w:val="0"/>
            <w:vAlign w:val="center"/>
          </w:tcPr>
          <w:p>
            <w:pPr>
              <w:pStyle w:val="22"/>
              <w:bidi w:val="0"/>
              <w:rPr>
                <w:color w:val="auto"/>
                <w:highlight w:val="none"/>
              </w:rPr>
            </w:pPr>
            <w:r>
              <w:rPr>
                <w:rFonts w:hint="eastAsia"/>
                <w:color w:val="auto"/>
                <w:highlight w:val="none"/>
              </w:rPr>
              <w:t>二连子、三夹连</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54</w:t>
            </w:r>
          </w:p>
        </w:tc>
        <w:tc>
          <w:tcPr>
            <w:tcW w:w="3236" w:type="dxa"/>
            <w:noWrap w:val="0"/>
            <w:vAlign w:val="center"/>
          </w:tcPr>
          <w:p>
            <w:pPr>
              <w:pStyle w:val="22"/>
              <w:bidi w:val="0"/>
              <w:rPr>
                <w:color w:val="auto"/>
                <w:highlight w:val="none"/>
              </w:rPr>
            </w:pPr>
            <w:r>
              <w:rPr>
                <w:rFonts w:hint="eastAsia"/>
                <w:color w:val="auto"/>
                <w:highlight w:val="none"/>
              </w:rPr>
              <w:t>大竹县中和乡陈家河煤矿</w:t>
            </w:r>
          </w:p>
        </w:tc>
        <w:tc>
          <w:tcPr>
            <w:tcW w:w="1008" w:type="dxa"/>
            <w:noWrap w:val="0"/>
            <w:vAlign w:val="center"/>
          </w:tcPr>
          <w:p>
            <w:pPr>
              <w:pStyle w:val="22"/>
              <w:bidi w:val="0"/>
              <w:rPr>
                <w:color w:val="auto"/>
                <w:highlight w:val="none"/>
              </w:rPr>
            </w:pPr>
            <w:r>
              <w:rPr>
                <w:rFonts w:hint="eastAsia"/>
                <w:color w:val="auto"/>
                <w:highlight w:val="none"/>
              </w:rPr>
              <w:t>0.3991</w:t>
            </w:r>
          </w:p>
        </w:tc>
        <w:tc>
          <w:tcPr>
            <w:tcW w:w="1260" w:type="dxa"/>
            <w:noWrap w:val="0"/>
            <w:vAlign w:val="center"/>
          </w:tcPr>
          <w:p>
            <w:pPr>
              <w:pStyle w:val="22"/>
              <w:bidi w:val="0"/>
              <w:rPr>
                <w:color w:val="auto"/>
                <w:highlight w:val="none"/>
              </w:rPr>
            </w:pPr>
            <w:r>
              <w:rPr>
                <w:rFonts w:hint="eastAsia"/>
                <w:color w:val="auto"/>
                <w:highlight w:val="none"/>
              </w:rPr>
              <w:t>480/300</w:t>
            </w:r>
          </w:p>
        </w:tc>
        <w:tc>
          <w:tcPr>
            <w:tcW w:w="2976" w:type="dxa"/>
            <w:noWrap w:val="0"/>
            <w:vAlign w:val="center"/>
          </w:tcPr>
          <w:p>
            <w:pPr>
              <w:pStyle w:val="22"/>
              <w:bidi w:val="0"/>
              <w:rPr>
                <w:color w:val="auto"/>
                <w:highlight w:val="none"/>
              </w:rPr>
            </w:pPr>
            <w:r>
              <w:rPr>
                <w:rFonts w:hint="eastAsia"/>
                <w:color w:val="auto"/>
                <w:highlight w:val="none"/>
              </w:rPr>
              <w:t>K15、K11、K8</w:t>
            </w:r>
          </w:p>
        </w:tc>
        <w:tc>
          <w:tcPr>
            <w:tcW w:w="851" w:type="dxa"/>
            <w:noWrap w:val="0"/>
            <w:vAlign w:val="center"/>
          </w:tcPr>
          <w:p>
            <w:pPr>
              <w:pStyle w:val="22"/>
              <w:bidi w:val="0"/>
              <w:rPr>
                <w:color w:val="auto"/>
                <w:highlight w:val="none"/>
              </w:rPr>
            </w:pPr>
            <w:r>
              <w:rPr>
                <w:rFonts w:hint="eastAsia"/>
                <w:color w:val="auto"/>
                <w:highlight w:val="none"/>
              </w:rPr>
              <w:t>3</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55</w:t>
            </w:r>
          </w:p>
        </w:tc>
        <w:tc>
          <w:tcPr>
            <w:tcW w:w="3236" w:type="dxa"/>
            <w:noWrap w:val="0"/>
            <w:vAlign w:val="center"/>
          </w:tcPr>
          <w:p>
            <w:pPr>
              <w:pStyle w:val="22"/>
              <w:bidi w:val="0"/>
              <w:rPr>
                <w:color w:val="auto"/>
                <w:highlight w:val="none"/>
              </w:rPr>
            </w:pPr>
            <w:r>
              <w:rPr>
                <w:rFonts w:hint="eastAsia"/>
                <w:color w:val="auto"/>
                <w:highlight w:val="none"/>
              </w:rPr>
              <w:t>大竹县花岩煤业有限责任公司花岩煤矿</w:t>
            </w:r>
          </w:p>
        </w:tc>
        <w:tc>
          <w:tcPr>
            <w:tcW w:w="1008" w:type="dxa"/>
            <w:noWrap w:val="0"/>
            <w:vAlign w:val="center"/>
          </w:tcPr>
          <w:p>
            <w:pPr>
              <w:pStyle w:val="22"/>
              <w:bidi w:val="0"/>
              <w:rPr>
                <w:color w:val="auto"/>
                <w:highlight w:val="none"/>
              </w:rPr>
            </w:pPr>
            <w:r>
              <w:rPr>
                <w:rFonts w:hint="eastAsia"/>
                <w:color w:val="auto"/>
                <w:highlight w:val="none"/>
              </w:rPr>
              <w:t>1.3323</w:t>
            </w:r>
          </w:p>
        </w:tc>
        <w:tc>
          <w:tcPr>
            <w:tcW w:w="1260" w:type="dxa"/>
            <w:noWrap w:val="0"/>
            <w:vAlign w:val="center"/>
          </w:tcPr>
          <w:p>
            <w:pPr>
              <w:pStyle w:val="22"/>
              <w:bidi w:val="0"/>
              <w:rPr>
                <w:color w:val="auto"/>
                <w:highlight w:val="none"/>
              </w:rPr>
            </w:pPr>
            <w:r>
              <w:rPr>
                <w:rFonts w:hint="eastAsia"/>
                <w:color w:val="auto"/>
                <w:highlight w:val="none"/>
              </w:rPr>
              <w:t>510/360</w:t>
            </w:r>
          </w:p>
        </w:tc>
        <w:tc>
          <w:tcPr>
            <w:tcW w:w="2976" w:type="dxa"/>
            <w:noWrap w:val="0"/>
            <w:vAlign w:val="center"/>
          </w:tcPr>
          <w:p>
            <w:pPr>
              <w:pStyle w:val="22"/>
              <w:bidi w:val="0"/>
              <w:rPr>
                <w:color w:val="auto"/>
                <w:highlight w:val="none"/>
              </w:rPr>
            </w:pPr>
            <w:r>
              <w:rPr>
                <w:rFonts w:hint="eastAsia"/>
                <w:color w:val="auto"/>
                <w:highlight w:val="none"/>
              </w:rPr>
              <w:t>K7、K6、K5</w:t>
            </w:r>
          </w:p>
        </w:tc>
        <w:tc>
          <w:tcPr>
            <w:tcW w:w="851" w:type="dxa"/>
            <w:noWrap w:val="0"/>
            <w:vAlign w:val="center"/>
          </w:tcPr>
          <w:p>
            <w:pPr>
              <w:pStyle w:val="22"/>
              <w:bidi w:val="0"/>
              <w:rPr>
                <w:color w:val="auto"/>
                <w:highlight w:val="none"/>
              </w:rPr>
            </w:pPr>
            <w:r>
              <w:rPr>
                <w:rFonts w:hint="eastAsia"/>
                <w:color w:val="auto"/>
                <w:highlight w:val="none"/>
              </w:rPr>
              <w:t>6</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56</w:t>
            </w:r>
          </w:p>
        </w:tc>
        <w:tc>
          <w:tcPr>
            <w:tcW w:w="3236" w:type="dxa"/>
            <w:noWrap w:val="0"/>
            <w:vAlign w:val="center"/>
          </w:tcPr>
          <w:p>
            <w:pPr>
              <w:pStyle w:val="22"/>
              <w:bidi w:val="0"/>
              <w:rPr>
                <w:color w:val="auto"/>
                <w:highlight w:val="none"/>
              </w:rPr>
            </w:pPr>
            <w:r>
              <w:rPr>
                <w:rFonts w:hint="eastAsia"/>
                <w:color w:val="auto"/>
                <w:highlight w:val="none"/>
              </w:rPr>
              <w:t>大竹县西河芋子沟煤矿</w:t>
            </w:r>
          </w:p>
        </w:tc>
        <w:tc>
          <w:tcPr>
            <w:tcW w:w="1008" w:type="dxa"/>
            <w:noWrap w:val="0"/>
            <w:vAlign w:val="center"/>
          </w:tcPr>
          <w:p>
            <w:pPr>
              <w:pStyle w:val="22"/>
              <w:bidi w:val="0"/>
              <w:rPr>
                <w:color w:val="auto"/>
                <w:highlight w:val="none"/>
              </w:rPr>
            </w:pPr>
            <w:r>
              <w:rPr>
                <w:rFonts w:hint="eastAsia"/>
                <w:color w:val="auto"/>
                <w:highlight w:val="none"/>
              </w:rPr>
              <w:t>0.5374</w:t>
            </w:r>
          </w:p>
        </w:tc>
        <w:tc>
          <w:tcPr>
            <w:tcW w:w="1260" w:type="dxa"/>
            <w:noWrap w:val="0"/>
            <w:vAlign w:val="center"/>
          </w:tcPr>
          <w:p>
            <w:pPr>
              <w:pStyle w:val="22"/>
              <w:bidi w:val="0"/>
              <w:rPr>
                <w:color w:val="auto"/>
                <w:highlight w:val="none"/>
              </w:rPr>
            </w:pPr>
            <w:r>
              <w:rPr>
                <w:rFonts w:hint="eastAsia"/>
                <w:color w:val="auto"/>
                <w:highlight w:val="none"/>
              </w:rPr>
              <w:t>530/320</w:t>
            </w:r>
          </w:p>
        </w:tc>
        <w:tc>
          <w:tcPr>
            <w:tcW w:w="2976" w:type="dxa"/>
            <w:noWrap w:val="0"/>
            <w:vAlign w:val="center"/>
          </w:tcPr>
          <w:p>
            <w:pPr>
              <w:pStyle w:val="22"/>
              <w:bidi w:val="0"/>
              <w:rPr>
                <w:color w:val="auto"/>
                <w:highlight w:val="none"/>
              </w:rPr>
            </w:pPr>
            <w:r>
              <w:rPr>
                <w:rFonts w:hint="eastAsia"/>
                <w:color w:val="auto"/>
                <w:highlight w:val="none"/>
              </w:rPr>
              <w:t>K14、K13、K5、K4</w:t>
            </w:r>
          </w:p>
        </w:tc>
        <w:tc>
          <w:tcPr>
            <w:tcW w:w="851" w:type="dxa"/>
            <w:noWrap w:val="0"/>
            <w:vAlign w:val="center"/>
          </w:tcPr>
          <w:p>
            <w:pPr>
              <w:pStyle w:val="22"/>
              <w:bidi w:val="0"/>
              <w:rPr>
                <w:color w:val="auto"/>
                <w:highlight w:val="none"/>
              </w:rPr>
            </w:pPr>
            <w:r>
              <w:rPr>
                <w:rFonts w:hint="eastAsia"/>
                <w:color w:val="auto"/>
                <w:highlight w:val="none"/>
              </w:rPr>
              <w:t>6</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rFonts w:hint="eastAsia" w:eastAsia="宋体"/>
                <w:color w:val="auto"/>
                <w:highlight w:val="none"/>
                <w:lang w:val="en-US" w:eastAsia="zh-CN"/>
              </w:rPr>
            </w:pPr>
            <w:r>
              <w:rPr>
                <w:rFonts w:hint="eastAsia"/>
                <w:color w:val="auto"/>
                <w:highlight w:val="none"/>
              </w:rPr>
              <w:t>201</w:t>
            </w:r>
            <w:r>
              <w:rPr>
                <w:rFonts w:hint="eastAsia"/>
                <w:color w:val="auto"/>
                <w:highlight w:val="none"/>
                <w:lang w:val="en-US" w:eastAsia="zh-CN"/>
              </w:rPr>
              <w:t>8</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57</w:t>
            </w:r>
          </w:p>
        </w:tc>
        <w:tc>
          <w:tcPr>
            <w:tcW w:w="3236" w:type="dxa"/>
            <w:noWrap w:val="0"/>
            <w:vAlign w:val="center"/>
          </w:tcPr>
          <w:p>
            <w:pPr>
              <w:pStyle w:val="22"/>
              <w:bidi w:val="0"/>
              <w:rPr>
                <w:color w:val="auto"/>
                <w:highlight w:val="none"/>
              </w:rPr>
            </w:pPr>
            <w:r>
              <w:rPr>
                <w:rFonts w:hint="eastAsia"/>
                <w:color w:val="auto"/>
                <w:highlight w:val="none"/>
              </w:rPr>
              <w:t>大竹县贺家湾煤矿</w:t>
            </w:r>
          </w:p>
        </w:tc>
        <w:tc>
          <w:tcPr>
            <w:tcW w:w="1008" w:type="dxa"/>
            <w:noWrap w:val="0"/>
            <w:vAlign w:val="center"/>
          </w:tcPr>
          <w:p>
            <w:pPr>
              <w:pStyle w:val="22"/>
              <w:bidi w:val="0"/>
              <w:rPr>
                <w:color w:val="auto"/>
                <w:highlight w:val="none"/>
              </w:rPr>
            </w:pPr>
            <w:r>
              <w:rPr>
                <w:rFonts w:hint="eastAsia"/>
                <w:color w:val="auto"/>
                <w:highlight w:val="none"/>
              </w:rPr>
              <w:t>2.2851</w:t>
            </w:r>
          </w:p>
        </w:tc>
        <w:tc>
          <w:tcPr>
            <w:tcW w:w="1260" w:type="dxa"/>
            <w:noWrap w:val="0"/>
            <w:vAlign w:val="center"/>
          </w:tcPr>
          <w:p>
            <w:pPr>
              <w:pStyle w:val="22"/>
              <w:bidi w:val="0"/>
              <w:rPr>
                <w:color w:val="auto"/>
                <w:highlight w:val="none"/>
              </w:rPr>
            </w:pPr>
            <w:r>
              <w:rPr>
                <w:rFonts w:hint="eastAsia"/>
                <w:color w:val="auto"/>
                <w:highlight w:val="none"/>
              </w:rPr>
              <w:t>826/300</w:t>
            </w:r>
          </w:p>
        </w:tc>
        <w:tc>
          <w:tcPr>
            <w:tcW w:w="2976" w:type="dxa"/>
            <w:noWrap w:val="0"/>
            <w:vAlign w:val="center"/>
          </w:tcPr>
          <w:p>
            <w:pPr>
              <w:pStyle w:val="22"/>
              <w:bidi w:val="0"/>
              <w:rPr>
                <w:color w:val="auto"/>
                <w:highlight w:val="none"/>
              </w:rPr>
            </w:pPr>
            <w:r>
              <w:rPr>
                <w:rFonts w:hint="eastAsia"/>
                <w:color w:val="auto"/>
                <w:highlight w:val="none"/>
              </w:rPr>
              <w:t>K6-1、K7</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2017</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58</w:t>
            </w:r>
          </w:p>
        </w:tc>
        <w:tc>
          <w:tcPr>
            <w:tcW w:w="3236" w:type="dxa"/>
            <w:noWrap w:val="0"/>
            <w:vAlign w:val="center"/>
          </w:tcPr>
          <w:p>
            <w:pPr>
              <w:pStyle w:val="22"/>
              <w:bidi w:val="0"/>
              <w:rPr>
                <w:color w:val="auto"/>
                <w:highlight w:val="none"/>
              </w:rPr>
            </w:pPr>
            <w:r>
              <w:rPr>
                <w:rFonts w:hint="eastAsia"/>
                <w:color w:val="auto"/>
                <w:highlight w:val="none"/>
              </w:rPr>
              <w:t>大竹县肖家沟煤矿</w:t>
            </w:r>
          </w:p>
        </w:tc>
        <w:tc>
          <w:tcPr>
            <w:tcW w:w="1008" w:type="dxa"/>
            <w:noWrap w:val="0"/>
            <w:vAlign w:val="center"/>
          </w:tcPr>
          <w:p>
            <w:pPr>
              <w:pStyle w:val="22"/>
              <w:bidi w:val="0"/>
              <w:rPr>
                <w:color w:val="auto"/>
                <w:highlight w:val="none"/>
              </w:rPr>
            </w:pPr>
            <w:r>
              <w:rPr>
                <w:rFonts w:hint="eastAsia"/>
                <w:color w:val="auto"/>
                <w:highlight w:val="none"/>
              </w:rPr>
              <w:t>1.1983</w:t>
            </w:r>
          </w:p>
        </w:tc>
        <w:tc>
          <w:tcPr>
            <w:tcW w:w="1260" w:type="dxa"/>
            <w:noWrap w:val="0"/>
            <w:vAlign w:val="center"/>
          </w:tcPr>
          <w:p>
            <w:pPr>
              <w:pStyle w:val="22"/>
              <w:bidi w:val="0"/>
              <w:rPr>
                <w:color w:val="auto"/>
                <w:highlight w:val="none"/>
              </w:rPr>
            </w:pPr>
            <w:r>
              <w:rPr>
                <w:rFonts w:hint="eastAsia"/>
                <w:color w:val="auto"/>
                <w:highlight w:val="none"/>
              </w:rPr>
              <w:t>750/400</w:t>
            </w:r>
          </w:p>
        </w:tc>
        <w:tc>
          <w:tcPr>
            <w:tcW w:w="2976" w:type="dxa"/>
            <w:noWrap w:val="0"/>
            <w:vAlign w:val="center"/>
          </w:tcPr>
          <w:p>
            <w:pPr>
              <w:pStyle w:val="22"/>
              <w:bidi w:val="0"/>
              <w:rPr>
                <w:color w:val="auto"/>
                <w:highlight w:val="none"/>
              </w:rPr>
            </w:pPr>
            <w:r>
              <w:rPr>
                <w:rFonts w:hint="eastAsia"/>
                <w:color w:val="auto"/>
                <w:highlight w:val="none"/>
              </w:rPr>
              <w:t>K10、K8、K6、K4</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59</w:t>
            </w:r>
          </w:p>
        </w:tc>
        <w:tc>
          <w:tcPr>
            <w:tcW w:w="3236" w:type="dxa"/>
            <w:noWrap w:val="0"/>
            <w:vAlign w:val="center"/>
          </w:tcPr>
          <w:p>
            <w:pPr>
              <w:pStyle w:val="22"/>
              <w:bidi w:val="0"/>
              <w:rPr>
                <w:color w:val="auto"/>
                <w:highlight w:val="none"/>
              </w:rPr>
            </w:pPr>
            <w:r>
              <w:rPr>
                <w:rFonts w:hint="eastAsia"/>
                <w:color w:val="auto"/>
                <w:highlight w:val="none"/>
              </w:rPr>
              <w:t>达州市元亨能源有限责任公司（大竹县榆邻煤矿）</w:t>
            </w:r>
          </w:p>
        </w:tc>
        <w:tc>
          <w:tcPr>
            <w:tcW w:w="1008" w:type="dxa"/>
            <w:noWrap w:val="0"/>
            <w:vAlign w:val="center"/>
          </w:tcPr>
          <w:p>
            <w:pPr>
              <w:pStyle w:val="22"/>
              <w:bidi w:val="0"/>
              <w:rPr>
                <w:color w:val="auto"/>
                <w:highlight w:val="none"/>
              </w:rPr>
            </w:pPr>
            <w:r>
              <w:rPr>
                <w:rFonts w:hint="eastAsia"/>
                <w:color w:val="auto"/>
                <w:highlight w:val="none"/>
              </w:rPr>
              <w:t>0.3534</w:t>
            </w:r>
          </w:p>
        </w:tc>
        <w:tc>
          <w:tcPr>
            <w:tcW w:w="1260" w:type="dxa"/>
            <w:noWrap w:val="0"/>
            <w:vAlign w:val="center"/>
          </w:tcPr>
          <w:p>
            <w:pPr>
              <w:pStyle w:val="22"/>
              <w:bidi w:val="0"/>
              <w:rPr>
                <w:color w:val="auto"/>
                <w:highlight w:val="none"/>
              </w:rPr>
            </w:pPr>
            <w:r>
              <w:rPr>
                <w:rFonts w:hint="eastAsia"/>
                <w:color w:val="auto"/>
                <w:highlight w:val="none"/>
              </w:rPr>
              <w:t>462/183</w:t>
            </w:r>
          </w:p>
        </w:tc>
        <w:tc>
          <w:tcPr>
            <w:tcW w:w="2976" w:type="dxa"/>
            <w:noWrap w:val="0"/>
            <w:vAlign w:val="center"/>
          </w:tcPr>
          <w:p>
            <w:pPr>
              <w:pStyle w:val="22"/>
              <w:bidi w:val="0"/>
              <w:rPr>
                <w:color w:val="auto"/>
                <w:highlight w:val="none"/>
              </w:rPr>
            </w:pPr>
            <w:r>
              <w:rPr>
                <w:rFonts w:hint="eastAsia"/>
                <w:color w:val="auto"/>
                <w:highlight w:val="none"/>
              </w:rPr>
              <w:t>K2、K4、K5</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color w:val="auto"/>
                <w:highlight w:val="none"/>
              </w:rPr>
            </w:pPr>
            <w:r>
              <w:rPr>
                <w:rFonts w:hint="eastAsia"/>
                <w:color w:val="auto"/>
                <w:highlight w:val="none"/>
              </w:rPr>
              <w:t>60</w:t>
            </w:r>
          </w:p>
        </w:tc>
        <w:tc>
          <w:tcPr>
            <w:tcW w:w="3236" w:type="dxa"/>
            <w:noWrap w:val="0"/>
            <w:vAlign w:val="center"/>
          </w:tcPr>
          <w:p>
            <w:pPr>
              <w:pStyle w:val="22"/>
              <w:bidi w:val="0"/>
              <w:rPr>
                <w:color w:val="auto"/>
                <w:highlight w:val="none"/>
              </w:rPr>
            </w:pPr>
            <w:r>
              <w:rPr>
                <w:rFonts w:hint="eastAsia"/>
                <w:color w:val="auto"/>
                <w:highlight w:val="none"/>
              </w:rPr>
              <w:t>大竹县久通煤业有限公司麂子坝煤矿</w:t>
            </w:r>
          </w:p>
        </w:tc>
        <w:tc>
          <w:tcPr>
            <w:tcW w:w="1008" w:type="dxa"/>
            <w:noWrap w:val="0"/>
            <w:vAlign w:val="center"/>
          </w:tcPr>
          <w:p>
            <w:pPr>
              <w:pStyle w:val="22"/>
              <w:bidi w:val="0"/>
              <w:rPr>
                <w:color w:val="auto"/>
                <w:highlight w:val="none"/>
              </w:rPr>
            </w:pPr>
            <w:r>
              <w:rPr>
                <w:rFonts w:hint="eastAsia"/>
                <w:color w:val="auto"/>
                <w:highlight w:val="none"/>
              </w:rPr>
              <w:t>3.1146</w:t>
            </w:r>
          </w:p>
        </w:tc>
        <w:tc>
          <w:tcPr>
            <w:tcW w:w="1260" w:type="dxa"/>
            <w:noWrap w:val="0"/>
            <w:vAlign w:val="center"/>
          </w:tcPr>
          <w:p>
            <w:pPr>
              <w:pStyle w:val="22"/>
              <w:bidi w:val="0"/>
              <w:rPr>
                <w:color w:val="auto"/>
                <w:highlight w:val="none"/>
              </w:rPr>
            </w:pPr>
            <w:r>
              <w:rPr>
                <w:rFonts w:hint="eastAsia"/>
                <w:color w:val="auto"/>
                <w:highlight w:val="none"/>
              </w:rPr>
              <w:t>403/-100</w:t>
            </w:r>
          </w:p>
        </w:tc>
        <w:tc>
          <w:tcPr>
            <w:tcW w:w="2976" w:type="dxa"/>
            <w:noWrap w:val="0"/>
            <w:vAlign w:val="center"/>
          </w:tcPr>
          <w:p>
            <w:pPr>
              <w:pStyle w:val="22"/>
              <w:bidi w:val="0"/>
              <w:rPr>
                <w:color w:val="auto"/>
                <w:highlight w:val="none"/>
              </w:rPr>
            </w:pPr>
            <w:r>
              <w:rPr>
                <w:rFonts w:hint="eastAsia"/>
                <w:color w:val="auto"/>
                <w:highlight w:val="none"/>
              </w:rPr>
              <w:t>K4、K2</w:t>
            </w:r>
          </w:p>
        </w:tc>
        <w:tc>
          <w:tcPr>
            <w:tcW w:w="851" w:type="dxa"/>
            <w:noWrap w:val="0"/>
            <w:vAlign w:val="center"/>
          </w:tcPr>
          <w:p>
            <w:pPr>
              <w:pStyle w:val="22"/>
              <w:bidi w:val="0"/>
              <w:rPr>
                <w:color w:val="auto"/>
                <w:highlight w:val="none"/>
              </w:rPr>
            </w:pPr>
            <w:r>
              <w:rPr>
                <w:rFonts w:hint="eastAsia"/>
                <w:color w:val="auto"/>
                <w:highlight w:val="none"/>
              </w:rPr>
              <w:t>9</w:t>
            </w:r>
          </w:p>
        </w:tc>
        <w:tc>
          <w:tcPr>
            <w:tcW w:w="850" w:type="dxa"/>
            <w:noWrap w:val="0"/>
            <w:vAlign w:val="center"/>
          </w:tcPr>
          <w:p>
            <w:pPr>
              <w:pStyle w:val="22"/>
              <w:bidi w:val="0"/>
              <w:rPr>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r>
              <w:rPr>
                <w:rFonts w:hint="eastAsia"/>
                <w:color w:val="auto"/>
                <w:highlight w:val="none"/>
              </w:rPr>
              <w:t>2020</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9"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61</w:t>
            </w:r>
          </w:p>
        </w:tc>
        <w:tc>
          <w:tcPr>
            <w:tcW w:w="3236" w:type="dxa"/>
            <w:noWrap w:val="0"/>
            <w:vAlign w:val="center"/>
          </w:tcPr>
          <w:p>
            <w:pPr>
              <w:pStyle w:val="22"/>
              <w:bidi w:val="0"/>
              <w:rPr>
                <w:rFonts w:hint="eastAsia"/>
                <w:color w:val="auto"/>
                <w:highlight w:val="none"/>
              </w:rPr>
            </w:pPr>
            <w:r>
              <w:rPr>
                <w:rFonts w:hint="eastAsia" w:cs="宋体" w:asciiTheme="minorEastAsia" w:hAnsiTheme="minorEastAsia"/>
                <w:color w:val="auto"/>
                <w:kern w:val="0"/>
                <w:szCs w:val="21"/>
                <w:highlight w:val="none"/>
              </w:rPr>
              <w:t>大竹县大枫树矿业有限责任公司大枫树煤矿</w:t>
            </w:r>
          </w:p>
        </w:tc>
        <w:tc>
          <w:tcPr>
            <w:tcW w:w="1008" w:type="dxa"/>
            <w:noWrap w:val="0"/>
            <w:vAlign w:val="center"/>
          </w:tcPr>
          <w:p>
            <w:pPr>
              <w:pStyle w:val="22"/>
              <w:bidi w:val="0"/>
              <w:rPr>
                <w:rFonts w:hint="default" w:eastAsia="宋体"/>
                <w:color w:val="auto"/>
                <w:highlight w:val="none"/>
                <w:lang w:val="en-US" w:eastAsia="zh-CN"/>
              </w:rPr>
            </w:pPr>
            <w:r>
              <w:rPr>
                <w:rFonts w:hint="default" w:eastAsia="宋体"/>
                <w:color w:val="auto"/>
                <w:highlight w:val="none"/>
                <w:lang w:val="en-US" w:eastAsia="zh-CN"/>
              </w:rPr>
              <w:t>3.8182</w:t>
            </w:r>
          </w:p>
        </w:tc>
        <w:tc>
          <w:tcPr>
            <w:tcW w:w="1260"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580/100</w:t>
            </w:r>
          </w:p>
        </w:tc>
        <w:tc>
          <w:tcPr>
            <w:tcW w:w="2976" w:type="dxa"/>
            <w:noWrap w:val="0"/>
            <w:vAlign w:val="center"/>
          </w:tcPr>
          <w:p>
            <w:pPr>
              <w:pStyle w:val="22"/>
              <w:bidi w:val="0"/>
              <w:rPr>
                <w:rFonts w:hint="eastAsia"/>
                <w:color w:val="auto"/>
                <w:highlight w:val="none"/>
              </w:rPr>
            </w:pPr>
            <w:r>
              <w:rPr>
                <w:rFonts w:hint="eastAsia" w:ascii="宋体" w:hAnsi="宋体" w:eastAsia="宋体" w:cs="宋体"/>
                <w:color w:val="auto"/>
                <w:kern w:val="0"/>
                <w:szCs w:val="21"/>
                <w:highlight w:val="none"/>
              </w:rPr>
              <w:t>五大连、三夹连、大独连</w:t>
            </w:r>
          </w:p>
        </w:tc>
        <w:tc>
          <w:tcPr>
            <w:tcW w:w="851"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9</w:t>
            </w:r>
          </w:p>
        </w:tc>
        <w:tc>
          <w:tcPr>
            <w:tcW w:w="850" w:type="dxa"/>
            <w:noWrap w:val="0"/>
            <w:vAlign w:val="center"/>
          </w:tcPr>
          <w:p>
            <w:pPr>
              <w:pStyle w:val="22"/>
              <w:bidi w:val="0"/>
              <w:rPr>
                <w:rFonts w:hint="eastAsia"/>
                <w:color w:val="auto"/>
                <w:highlight w:val="none"/>
              </w:rPr>
            </w:pPr>
            <w:r>
              <w:rPr>
                <w:rFonts w:hint="eastAsia"/>
                <w:color w:val="auto"/>
                <w:highlight w:val="none"/>
              </w:rPr>
              <w:t>√</w:t>
            </w: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2021</w:t>
            </w:r>
          </w:p>
        </w:tc>
        <w:tc>
          <w:tcPr>
            <w:tcW w:w="954" w:type="dxa"/>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5" w:type="dxa"/>
            <w:gridSpan w:val="2"/>
            <w:noWrap w:val="0"/>
            <w:vAlign w:val="center"/>
          </w:tcPr>
          <w:p>
            <w:pPr>
              <w:pStyle w:val="22"/>
              <w:bidi w:val="0"/>
              <w:rPr>
                <w:color w:val="auto"/>
                <w:highlight w:val="none"/>
              </w:rPr>
            </w:pPr>
            <w:r>
              <w:rPr>
                <w:rFonts w:hint="eastAsia"/>
                <w:color w:val="auto"/>
                <w:highlight w:val="none"/>
              </w:rPr>
              <w:t>合计</w:t>
            </w:r>
          </w:p>
        </w:tc>
        <w:tc>
          <w:tcPr>
            <w:tcW w:w="1008" w:type="dxa"/>
            <w:noWrap w:val="0"/>
            <w:vAlign w:val="center"/>
          </w:tcPr>
          <w:p>
            <w:pPr>
              <w:pStyle w:val="22"/>
              <w:bidi w:val="0"/>
              <w:rPr>
                <w:rFonts w:hint="default"/>
                <w:color w:val="auto"/>
                <w:highlight w:val="none"/>
                <w:lang w:val="en-US" w:eastAsia="zh-CN"/>
              </w:rPr>
            </w:pPr>
            <w:r>
              <w:rPr>
                <w:rFonts w:hint="eastAsia"/>
                <w:color w:val="auto"/>
                <w:highlight w:val="none"/>
                <w:lang w:val="en-US" w:eastAsia="zh-CN"/>
              </w:rPr>
              <w:t>63.4113</w:t>
            </w:r>
          </w:p>
        </w:tc>
        <w:tc>
          <w:tcPr>
            <w:tcW w:w="1260" w:type="dxa"/>
            <w:noWrap w:val="0"/>
            <w:vAlign w:val="center"/>
          </w:tcPr>
          <w:p>
            <w:pPr>
              <w:pStyle w:val="22"/>
              <w:bidi w:val="0"/>
              <w:rPr>
                <w:color w:val="auto"/>
                <w:highlight w:val="none"/>
              </w:rPr>
            </w:pPr>
          </w:p>
        </w:tc>
        <w:tc>
          <w:tcPr>
            <w:tcW w:w="2976" w:type="dxa"/>
            <w:noWrap w:val="0"/>
            <w:vAlign w:val="center"/>
          </w:tcPr>
          <w:p>
            <w:pPr>
              <w:pStyle w:val="22"/>
              <w:bidi w:val="0"/>
              <w:rPr>
                <w:color w:val="auto"/>
                <w:highlight w:val="none"/>
              </w:rPr>
            </w:pPr>
          </w:p>
        </w:tc>
        <w:tc>
          <w:tcPr>
            <w:tcW w:w="851" w:type="dxa"/>
            <w:noWrap w:val="0"/>
            <w:vAlign w:val="center"/>
          </w:tcPr>
          <w:p>
            <w:pPr>
              <w:pStyle w:val="22"/>
              <w:bidi w:val="0"/>
              <w:rPr>
                <w:rFonts w:hint="eastAsia" w:eastAsia="宋体"/>
                <w:color w:val="auto"/>
                <w:highlight w:val="none"/>
                <w:lang w:eastAsia="zh-CN"/>
              </w:rPr>
            </w:pPr>
            <w:r>
              <w:rPr>
                <w:rFonts w:hint="eastAsia"/>
                <w:color w:val="auto"/>
                <w:highlight w:val="none"/>
              </w:rPr>
              <w:t>26</w:t>
            </w:r>
            <w:r>
              <w:rPr>
                <w:rFonts w:hint="eastAsia"/>
                <w:color w:val="auto"/>
                <w:highlight w:val="none"/>
                <w:lang w:val="en-US" w:eastAsia="zh-CN"/>
              </w:rPr>
              <w:t>9</w:t>
            </w:r>
          </w:p>
        </w:tc>
        <w:tc>
          <w:tcPr>
            <w:tcW w:w="850"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p>
        </w:tc>
        <w:tc>
          <w:tcPr>
            <w:tcW w:w="1134" w:type="dxa"/>
            <w:noWrap w:val="0"/>
            <w:vAlign w:val="center"/>
          </w:tcPr>
          <w:p>
            <w:pPr>
              <w:pStyle w:val="22"/>
              <w:bidi w:val="0"/>
              <w:rPr>
                <w:color w:val="auto"/>
                <w:highlight w:val="none"/>
              </w:rPr>
            </w:pPr>
          </w:p>
        </w:tc>
        <w:tc>
          <w:tcPr>
            <w:tcW w:w="954" w:type="dxa"/>
            <w:noWrap w:val="0"/>
            <w:vAlign w:val="center"/>
          </w:tcPr>
          <w:p>
            <w:pPr>
              <w:pStyle w:val="22"/>
              <w:bidi w:val="0"/>
              <w:rPr>
                <w:color w:val="auto"/>
                <w:highlight w:val="none"/>
              </w:rPr>
            </w:pPr>
          </w:p>
        </w:tc>
      </w:tr>
    </w:tbl>
    <w:p>
      <w:pPr>
        <w:pStyle w:val="2"/>
        <w:rPr>
          <w:color w:val="auto"/>
          <w:highlight w:val="none"/>
        </w:rPr>
        <w:sectPr>
          <w:pgSz w:w="16840" w:h="11910" w:orient="landscape"/>
          <w:pgMar w:top="1260" w:right="1360" w:bottom="1240" w:left="1000" w:header="902" w:footer="804" w:gutter="0"/>
          <w:pgBorders>
            <w:top w:val="none" w:sz="0" w:space="0"/>
            <w:left w:val="none" w:sz="0" w:space="0"/>
            <w:bottom w:val="none" w:sz="0" w:space="0"/>
            <w:right w:val="none" w:sz="0" w:space="0"/>
          </w:pgBorders>
          <w:pgNumType w:fmt="decimal"/>
          <w:cols w:space="720" w:num="1"/>
        </w:sectPr>
      </w:pP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 xml:space="preserve">3.6.1.1 </w:t>
      </w:r>
      <w:r>
        <w:rPr>
          <w:rFonts w:hint="eastAsia"/>
          <w:color w:val="auto"/>
          <w:highlight w:val="none"/>
          <w:lang w:eastAsia="zh-CN"/>
        </w:rPr>
        <w:t>矿区开发现状</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采矿权现状</w:t>
      </w:r>
    </w:p>
    <w:p>
      <w:pPr>
        <w:bidi w:val="0"/>
        <w:rPr>
          <w:color w:val="auto"/>
          <w:highlight w:val="none"/>
        </w:rPr>
      </w:pPr>
      <w:r>
        <w:rPr>
          <w:rFonts w:hint="eastAsia"/>
          <w:color w:val="auto"/>
          <w:highlight w:val="none"/>
        </w:rPr>
        <w:t>大竹县目前保留煤矿有14个，矿井生产能力为45万吨/年的1个，矿井生产能力为30万吨/年的1个，矿井生产能力为15万吨/年的8个，矿井生产能力为9万吨/年的4个，共计矿井生产能力为231万吨/年。另外城西煤矿原属分类处置的独立升级改造煤矿，由于政策、技术及经济投资等原因予以关闭；大枫树煤矿原属分类处置的联合升级改造煤矿（石马门一煤厂为被改造退出煤矿），由于政策及安全等原因予以关闭。</w:t>
      </w:r>
    </w:p>
    <w:p>
      <w:pPr>
        <w:bidi w:val="0"/>
        <w:rPr>
          <w:color w:val="auto"/>
          <w:highlight w:val="none"/>
        </w:rPr>
      </w:pPr>
      <w:r>
        <w:rPr>
          <w:rFonts w:hint="eastAsia"/>
          <w:color w:val="auto"/>
          <w:highlight w:val="none"/>
        </w:rPr>
        <w:t>根据</w:t>
      </w:r>
      <w:r>
        <w:rPr>
          <w:color w:val="auto"/>
          <w:highlight w:val="none"/>
        </w:rPr>
        <w:t>四川省人民政府《关于30万吨/年以下煤矿分类处置方案的批复》（川府发〔2020〕45号）</w:t>
      </w:r>
      <w:r>
        <w:rPr>
          <w:rFonts w:hint="eastAsia"/>
          <w:color w:val="auto"/>
          <w:highlight w:val="none"/>
        </w:rPr>
        <w:t>等文件，大竹县现设置有14个采矿权，其中有升级改造矿井9个（荣华煤矿、华家沟煤矿、孔家沟煤矿、刘家沟联合煤矿、平桥煤矿、牛郎沟煤矿、田坝煤矿、黑滩煤矿和新桥红星煤矿），保留生产矿井5个（堡子煤矿、观音煤矿、柏林煤矿、大硐坪煤矿和大河沟煤矿）。大竹县多数煤矿现采用的炮采落煤工艺，少数煤矿采用普采</w:t>
      </w:r>
      <w:r>
        <w:rPr>
          <w:rFonts w:hint="eastAsia"/>
          <w:color w:val="auto"/>
          <w:highlight w:val="none"/>
          <w:lang w:eastAsia="zh-CN"/>
        </w:rPr>
        <w:t>、综采</w:t>
      </w:r>
      <w:r>
        <w:rPr>
          <w:rFonts w:hint="eastAsia"/>
          <w:color w:val="auto"/>
          <w:highlight w:val="none"/>
        </w:rPr>
        <w:t>采煤工艺。大竹县现有煤矿见表</w:t>
      </w:r>
      <w:r>
        <w:rPr>
          <w:rFonts w:hint="eastAsia"/>
          <w:color w:val="auto"/>
          <w:highlight w:val="none"/>
          <w:lang w:val="en-US" w:eastAsia="zh-CN"/>
        </w:rPr>
        <w:t>3.6-2</w:t>
      </w:r>
      <w:r>
        <w:rPr>
          <w:rFonts w:hint="eastAsia"/>
          <w:color w:val="auto"/>
          <w:highlight w:val="none"/>
        </w:rPr>
        <w:t>。</w:t>
      </w:r>
    </w:p>
    <w:p>
      <w:pPr>
        <w:bidi w:val="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）探矿权现状</w:t>
      </w:r>
    </w:p>
    <w:p>
      <w:pPr>
        <w:bidi w:val="0"/>
        <w:rPr>
          <w:color w:val="auto"/>
          <w:highlight w:val="none"/>
        </w:rPr>
      </w:pPr>
      <w:r>
        <w:rPr>
          <w:rFonts w:hint="eastAsia"/>
          <w:color w:val="auto"/>
          <w:highlight w:val="none"/>
        </w:rPr>
        <w:t>大竹县现设置有探矿权2个。</w:t>
      </w:r>
    </w:p>
    <w:p>
      <w:pPr>
        <w:bidi w:val="0"/>
        <w:rPr>
          <w:color w:val="auto"/>
          <w:highlight w:val="none"/>
        </w:rPr>
      </w:pPr>
      <w:r>
        <w:rPr>
          <w:rFonts w:hint="eastAsia"/>
          <w:color w:val="auto"/>
          <w:highlight w:val="none"/>
          <w:lang w:eastAsia="zh-CN"/>
        </w:rPr>
        <w:t>①</w:t>
      </w:r>
      <w:r>
        <w:rPr>
          <w:rFonts w:hint="eastAsia"/>
          <w:color w:val="auto"/>
          <w:highlight w:val="none"/>
        </w:rPr>
        <w:t>四川川煤华荣能源有限责任公司柏林煤矿采矿权延伸勘查，勘查区由14个拐点坐标圈闭，勘查面积12.52km</w:t>
      </w:r>
      <w:r>
        <w:rPr>
          <w:rFonts w:hint="eastAsia"/>
          <w:color w:val="auto"/>
          <w:highlight w:val="none"/>
          <w:vertAlign w:val="superscript"/>
        </w:rPr>
        <w:t>2</w:t>
      </w:r>
      <w:r>
        <w:rPr>
          <w:rFonts w:hint="eastAsia"/>
          <w:color w:val="auto"/>
          <w:highlight w:val="none"/>
        </w:rPr>
        <w:t>，勘查标高：</w:t>
      </w:r>
      <w:r>
        <w:rPr>
          <w:rFonts w:hint="default" w:ascii="Times New Roman" w:hAnsi="Times New Roman" w:cs="Times New Roman"/>
          <w:color w:val="auto"/>
          <w:highlight w:val="none"/>
        </w:rPr>
        <w:t>-200m～-600m</w:t>
      </w:r>
      <w:r>
        <w:rPr>
          <w:rFonts w:hint="eastAsia"/>
          <w:color w:val="auto"/>
          <w:highlight w:val="none"/>
        </w:rPr>
        <w:t>。其拐点坐标详见表</w:t>
      </w:r>
      <w:r>
        <w:rPr>
          <w:rFonts w:hint="eastAsia"/>
          <w:color w:val="auto"/>
          <w:highlight w:val="none"/>
          <w:lang w:val="en-US" w:eastAsia="zh-CN"/>
        </w:rPr>
        <w:t>3.6-2</w:t>
      </w:r>
      <w:r>
        <w:rPr>
          <w:rFonts w:hint="eastAsia"/>
          <w:color w:val="auto"/>
          <w:highlight w:val="none"/>
        </w:rPr>
        <w:t>。</w:t>
      </w:r>
    </w:p>
    <w:p>
      <w:pPr>
        <w:bidi w:val="0"/>
        <w:rPr>
          <w:rFonts w:hint="eastAsia"/>
          <w:color w:val="auto"/>
          <w:highlight w:val="none"/>
          <w:lang w:val="en-US" w:eastAsia="zh-CN"/>
        </w:rPr>
      </w:pPr>
      <w:r>
        <w:rPr>
          <w:rFonts w:hint="eastAsia"/>
          <w:color w:val="auto"/>
          <w:highlight w:val="none"/>
          <w:lang w:eastAsia="zh-CN"/>
        </w:rPr>
        <w:t>②</w:t>
      </w:r>
      <w:r>
        <w:rPr>
          <w:rFonts w:hint="eastAsia"/>
          <w:color w:val="auto"/>
          <w:highlight w:val="none"/>
        </w:rPr>
        <w:t>四川省大竹县城门洞矿段煤炭详查，勘查区由23个拐点坐标圈闭，勘查面积18.79km</w:t>
      </w:r>
      <w:r>
        <w:rPr>
          <w:rFonts w:hint="eastAsia"/>
          <w:color w:val="auto"/>
          <w:highlight w:val="none"/>
          <w:vertAlign w:val="superscript"/>
        </w:rPr>
        <w:t>2</w:t>
      </w:r>
      <w:r>
        <w:rPr>
          <w:rFonts w:hint="eastAsia"/>
          <w:color w:val="auto"/>
          <w:highlight w:val="none"/>
        </w:rPr>
        <w:t>，勘查许可证有效期为2019年8月22日至2021年8月22日</w:t>
      </w:r>
      <w:r>
        <w:rPr>
          <w:rFonts w:hint="eastAsia"/>
          <w:color w:val="auto"/>
          <w:highlight w:val="none"/>
          <w:lang w:eastAsia="zh-CN"/>
        </w:rPr>
        <w:t>，</w:t>
      </w:r>
      <w:r>
        <w:rPr>
          <w:rFonts w:hint="eastAsia"/>
          <w:color w:val="auto"/>
          <w:highlight w:val="none"/>
        </w:rPr>
        <w:t>其拐点坐标详见表</w:t>
      </w:r>
      <w:r>
        <w:rPr>
          <w:rFonts w:hint="eastAsia"/>
          <w:color w:val="auto"/>
          <w:highlight w:val="none"/>
          <w:lang w:val="en-US" w:eastAsia="zh-CN"/>
        </w:rPr>
        <w:t>3.6-3。</w:t>
      </w:r>
    </w:p>
    <w:p>
      <w:pPr>
        <w:pStyle w:val="22"/>
        <w:bidi w:val="0"/>
        <w:rPr>
          <w:rFonts w:hint="default"/>
          <w:color w:val="auto"/>
          <w:highlight w:val="none"/>
          <w:lang w:val="en-US" w:eastAsia="zh-CN"/>
        </w:rPr>
      </w:pPr>
      <w:r>
        <w:rPr>
          <w:rFonts w:hint="eastAsia"/>
          <w:color w:val="auto"/>
          <w:highlight w:val="none"/>
          <w:lang w:val="en-US" w:eastAsia="zh-CN"/>
        </w:rPr>
        <w:t>表3.6-2   大竹县现有煤矿一览表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2619"/>
        <w:gridCol w:w="1102"/>
        <w:gridCol w:w="1117"/>
        <w:gridCol w:w="853"/>
        <w:gridCol w:w="1223"/>
        <w:gridCol w:w="1385"/>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restart"/>
            <w:noWrap w:val="0"/>
            <w:vAlign w:val="center"/>
          </w:tcPr>
          <w:p>
            <w:pPr>
              <w:pStyle w:val="22"/>
              <w:bidi w:val="0"/>
              <w:rPr>
                <w:color w:val="auto"/>
                <w:highlight w:val="none"/>
              </w:rPr>
            </w:pPr>
            <w:r>
              <w:rPr>
                <w:rFonts w:hint="eastAsia"/>
                <w:color w:val="auto"/>
                <w:highlight w:val="none"/>
              </w:rPr>
              <w:t>序号</w:t>
            </w:r>
          </w:p>
        </w:tc>
        <w:tc>
          <w:tcPr>
            <w:tcW w:w="4252" w:type="dxa"/>
            <w:vMerge w:val="restart"/>
            <w:noWrap w:val="0"/>
            <w:vAlign w:val="center"/>
          </w:tcPr>
          <w:p>
            <w:pPr>
              <w:pStyle w:val="22"/>
              <w:bidi w:val="0"/>
              <w:rPr>
                <w:color w:val="auto"/>
                <w:highlight w:val="none"/>
              </w:rPr>
            </w:pPr>
            <w:r>
              <w:rPr>
                <w:rFonts w:hint="eastAsia"/>
                <w:color w:val="auto"/>
                <w:highlight w:val="none"/>
              </w:rPr>
              <w:t>矿井名称</w:t>
            </w:r>
          </w:p>
        </w:tc>
        <w:tc>
          <w:tcPr>
            <w:tcW w:w="1606" w:type="dxa"/>
            <w:vMerge w:val="restart"/>
            <w:noWrap w:val="0"/>
            <w:vAlign w:val="center"/>
          </w:tcPr>
          <w:p>
            <w:pPr>
              <w:pStyle w:val="22"/>
              <w:bidi w:val="0"/>
              <w:rPr>
                <w:color w:val="auto"/>
                <w:highlight w:val="none"/>
              </w:rPr>
            </w:pPr>
            <w:r>
              <w:rPr>
                <w:rFonts w:hint="eastAsia"/>
                <w:color w:val="auto"/>
                <w:highlight w:val="none"/>
              </w:rPr>
              <w:t>开拓方式</w:t>
            </w:r>
          </w:p>
        </w:tc>
        <w:tc>
          <w:tcPr>
            <w:tcW w:w="2646" w:type="dxa"/>
            <w:gridSpan w:val="2"/>
            <w:noWrap w:val="0"/>
            <w:vAlign w:val="center"/>
          </w:tcPr>
          <w:p>
            <w:pPr>
              <w:pStyle w:val="22"/>
              <w:bidi w:val="0"/>
              <w:rPr>
                <w:color w:val="auto"/>
                <w:highlight w:val="none"/>
              </w:rPr>
            </w:pPr>
            <w:r>
              <w:rPr>
                <w:rFonts w:hint="eastAsia"/>
                <w:color w:val="auto"/>
                <w:highlight w:val="none"/>
              </w:rPr>
              <w:t>生产能力（万吨/年）</w:t>
            </w:r>
          </w:p>
        </w:tc>
        <w:tc>
          <w:tcPr>
            <w:tcW w:w="1621" w:type="dxa"/>
            <w:vMerge w:val="restart"/>
            <w:noWrap w:val="0"/>
            <w:vAlign w:val="center"/>
          </w:tcPr>
          <w:p>
            <w:pPr>
              <w:pStyle w:val="22"/>
              <w:bidi w:val="0"/>
              <w:rPr>
                <w:color w:val="auto"/>
                <w:highlight w:val="none"/>
              </w:rPr>
            </w:pPr>
            <w:r>
              <w:rPr>
                <w:rFonts w:hint="eastAsia"/>
                <w:color w:val="auto"/>
                <w:highlight w:val="none"/>
              </w:rPr>
              <w:t>2020年产量</w:t>
            </w:r>
          </w:p>
          <w:p>
            <w:pPr>
              <w:pStyle w:val="22"/>
              <w:bidi w:val="0"/>
              <w:rPr>
                <w:color w:val="auto"/>
                <w:highlight w:val="none"/>
              </w:rPr>
            </w:pPr>
            <w:r>
              <w:rPr>
                <w:rFonts w:hint="eastAsia"/>
                <w:color w:val="auto"/>
                <w:highlight w:val="none"/>
              </w:rPr>
              <w:t>（万吨）</w:t>
            </w:r>
          </w:p>
        </w:tc>
        <w:tc>
          <w:tcPr>
            <w:tcW w:w="1943" w:type="dxa"/>
            <w:vMerge w:val="restart"/>
            <w:noWrap w:val="0"/>
            <w:vAlign w:val="center"/>
          </w:tcPr>
          <w:p>
            <w:pPr>
              <w:pStyle w:val="22"/>
              <w:bidi w:val="0"/>
              <w:rPr>
                <w:color w:val="auto"/>
                <w:highlight w:val="none"/>
              </w:rPr>
            </w:pPr>
            <w:r>
              <w:rPr>
                <w:rFonts w:hint="eastAsia"/>
                <w:color w:val="auto"/>
                <w:highlight w:val="none"/>
              </w:rPr>
              <w:t>采煤方法与采掘装备水平</w:t>
            </w:r>
          </w:p>
        </w:tc>
        <w:tc>
          <w:tcPr>
            <w:tcW w:w="1233" w:type="dxa"/>
            <w:vMerge w:val="restart"/>
            <w:noWrap w:val="0"/>
            <w:vAlign w:val="center"/>
          </w:tcPr>
          <w:p>
            <w:pPr>
              <w:pStyle w:val="22"/>
              <w:bidi w:val="0"/>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noWrap w:val="0"/>
            <w:vAlign w:val="center"/>
          </w:tcPr>
          <w:p>
            <w:pPr>
              <w:pStyle w:val="22"/>
              <w:bidi w:val="0"/>
              <w:rPr>
                <w:color w:val="auto"/>
                <w:highlight w:val="none"/>
              </w:rPr>
            </w:pPr>
          </w:p>
        </w:tc>
        <w:tc>
          <w:tcPr>
            <w:tcW w:w="4252" w:type="dxa"/>
            <w:vMerge w:val="continue"/>
            <w:noWrap w:val="0"/>
            <w:vAlign w:val="center"/>
          </w:tcPr>
          <w:p>
            <w:pPr>
              <w:pStyle w:val="22"/>
              <w:bidi w:val="0"/>
              <w:rPr>
                <w:color w:val="auto"/>
                <w:highlight w:val="none"/>
              </w:rPr>
            </w:pPr>
          </w:p>
        </w:tc>
        <w:tc>
          <w:tcPr>
            <w:tcW w:w="1606" w:type="dxa"/>
            <w:vMerge w:val="continue"/>
            <w:noWrap w:val="0"/>
            <w:vAlign w:val="center"/>
          </w:tcPr>
          <w:p>
            <w:pPr>
              <w:pStyle w:val="22"/>
              <w:bidi w:val="0"/>
              <w:rPr>
                <w:color w:val="auto"/>
                <w:highlight w:val="none"/>
              </w:rPr>
            </w:pPr>
          </w:p>
        </w:tc>
        <w:tc>
          <w:tcPr>
            <w:tcW w:w="1553" w:type="dxa"/>
            <w:noWrap w:val="0"/>
            <w:vAlign w:val="center"/>
          </w:tcPr>
          <w:p>
            <w:pPr>
              <w:pStyle w:val="22"/>
              <w:bidi w:val="0"/>
              <w:rPr>
                <w:color w:val="auto"/>
                <w:highlight w:val="none"/>
              </w:rPr>
            </w:pPr>
            <w:r>
              <w:rPr>
                <w:rFonts w:hint="eastAsia"/>
                <w:color w:val="auto"/>
                <w:highlight w:val="none"/>
              </w:rPr>
              <w:t>采矿许可证</w:t>
            </w:r>
          </w:p>
        </w:tc>
        <w:tc>
          <w:tcPr>
            <w:tcW w:w="1093" w:type="dxa"/>
            <w:noWrap w:val="0"/>
            <w:vAlign w:val="center"/>
          </w:tcPr>
          <w:p>
            <w:pPr>
              <w:pStyle w:val="22"/>
              <w:bidi w:val="0"/>
              <w:rPr>
                <w:color w:val="auto"/>
                <w:highlight w:val="none"/>
              </w:rPr>
            </w:pPr>
            <w:r>
              <w:rPr>
                <w:rFonts w:hint="eastAsia"/>
                <w:color w:val="auto"/>
                <w:highlight w:val="none"/>
              </w:rPr>
              <w:t>核定</w:t>
            </w:r>
          </w:p>
        </w:tc>
        <w:tc>
          <w:tcPr>
            <w:tcW w:w="1621" w:type="dxa"/>
            <w:vMerge w:val="continue"/>
            <w:noWrap w:val="0"/>
            <w:vAlign w:val="center"/>
          </w:tcPr>
          <w:p>
            <w:pPr>
              <w:pStyle w:val="22"/>
              <w:bidi w:val="0"/>
              <w:rPr>
                <w:color w:val="auto"/>
                <w:highlight w:val="none"/>
              </w:rPr>
            </w:pPr>
          </w:p>
        </w:tc>
        <w:tc>
          <w:tcPr>
            <w:tcW w:w="1943" w:type="dxa"/>
            <w:vMerge w:val="continue"/>
            <w:noWrap w:val="0"/>
            <w:vAlign w:val="center"/>
          </w:tcPr>
          <w:p>
            <w:pPr>
              <w:pStyle w:val="22"/>
              <w:bidi w:val="0"/>
              <w:rPr>
                <w:color w:val="auto"/>
                <w:highlight w:val="none"/>
              </w:rPr>
            </w:pPr>
          </w:p>
        </w:tc>
        <w:tc>
          <w:tcPr>
            <w:tcW w:w="1233" w:type="dxa"/>
            <w:vMerge w:val="continue"/>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1</w:t>
            </w:r>
          </w:p>
        </w:tc>
        <w:tc>
          <w:tcPr>
            <w:tcW w:w="4252" w:type="dxa"/>
            <w:noWrap w:val="0"/>
            <w:vAlign w:val="center"/>
          </w:tcPr>
          <w:p>
            <w:pPr>
              <w:pStyle w:val="22"/>
              <w:bidi w:val="0"/>
              <w:rPr>
                <w:color w:val="auto"/>
                <w:highlight w:val="none"/>
              </w:rPr>
            </w:pPr>
            <w:r>
              <w:rPr>
                <w:rFonts w:hint="eastAsia"/>
                <w:color w:val="auto"/>
                <w:highlight w:val="none"/>
              </w:rPr>
              <w:t>四川川煤华荣能源有限责任公司柏林煤矿</w:t>
            </w:r>
          </w:p>
        </w:tc>
        <w:tc>
          <w:tcPr>
            <w:tcW w:w="1606" w:type="dxa"/>
            <w:noWrap w:val="0"/>
            <w:vAlign w:val="center"/>
          </w:tcPr>
          <w:p>
            <w:pPr>
              <w:pStyle w:val="22"/>
              <w:bidi w:val="0"/>
              <w:rPr>
                <w:color w:val="auto"/>
                <w:highlight w:val="none"/>
              </w:rPr>
            </w:pPr>
            <w:r>
              <w:rPr>
                <w:rFonts w:hint="eastAsia"/>
                <w:color w:val="auto"/>
                <w:highlight w:val="none"/>
              </w:rPr>
              <w:t>斜井</w:t>
            </w:r>
          </w:p>
        </w:tc>
        <w:tc>
          <w:tcPr>
            <w:tcW w:w="1553" w:type="dxa"/>
            <w:noWrap w:val="0"/>
            <w:vAlign w:val="center"/>
          </w:tcPr>
          <w:p>
            <w:pPr>
              <w:pStyle w:val="22"/>
              <w:bidi w:val="0"/>
              <w:rPr>
                <w:color w:val="auto"/>
                <w:highlight w:val="none"/>
              </w:rPr>
            </w:pPr>
            <w:r>
              <w:rPr>
                <w:rFonts w:hint="eastAsia"/>
                <w:color w:val="auto"/>
                <w:highlight w:val="none"/>
              </w:rPr>
              <w:t>30</w:t>
            </w:r>
          </w:p>
        </w:tc>
        <w:tc>
          <w:tcPr>
            <w:tcW w:w="1093" w:type="dxa"/>
            <w:noWrap w:val="0"/>
            <w:vAlign w:val="center"/>
          </w:tcPr>
          <w:p>
            <w:pPr>
              <w:pStyle w:val="22"/>
              <w:bidi w:val="0"/>
              <w:rPr>
                <w:color w:val="auto"/>
                <w:highlight w:val="none"/>
              </w:rPr>
            </w:pPr>
            <w:r>
              <w:rPr>
                <w:rFonts w:hint="eastAsia"/>
                <w:color w:val="auto"/>
                <w:highlight w:val="none"/>
              </w:rPr>
              <w:t>45</w:t>
            </w:r>
          </w:p>
        </w:tc>
        <w:tc>
          <w:tcPr>
            <w:tcW w:w="1621" w:type="dxa"/>
            <w:noWrap w:val="0"/>
            <w:vAlign w:val="center"/>
          </w:tcPr>
          <w:p>
            <w:pPr>
              <w:pStyle w:val="22"/>
              <w:bidi w:val="0"/>
              <w:rPr>
                <w:color w:val="auto"/>
                <w:highlight w:val="none"/>
              </w:rPr>
            </w:pPr>
            <w:r>
              <w:rPr>
                <w:rFonts w:hint="eastAsia"/>
                <w:color w:val="auto"/>
                <w:highlight w:val="none"/>
              </w:rPr>
              <w:t>32.57</w:t>
            </w:r>
          </w:p>
        </w:tc>
        <w:tc>
          <w:tcPr>
            <w:tcW w:w="1943" w:type="dxa"/>
            <w:noWrap w:val="0"/>
            <w:vAlign w:val="center"/>
          </w:tcPr>
          <w:p>
            <w:pPr>
              <w:pStyle w:val="22"/>
              <w:bidi w:val="0"/>
              <w:rPr>
                <w:color w:val="auto"/>
                <w:highlight w:val="none"/>
              </w:rPr>
            </w:pPr>
            <w:r>
              <w:rPr>
                <w:rFonts w:hint="eastAsia"/>
                <w:color w:val="auto"/>
                <w:highlight w:val="none"/>
              </w:rPr>
              <w:t>普采、综采+炮掘机装</w:t>
            </w:r>
          </w:p>
        </w:tc>
        <w:tc>
          <w:tcPr>
            <w:tcW w:w="1233" w:type="dxa"/>
            <w:noWrap w:val="0"/>
            <w:vAlign w:val="center"/>
          </w:tcPr>
          <w:p>
            <w:pPr>
              <w:pStyle w:val="22"/>
              <w:bidi w:val="0"/>
              <w:rPr>
                <w:color w:val="auto"/>
                <w:highlight w:val="none"/>
              </w:rPr>
            </w:pPr>
            <w:r>
              <w:rPr>
                <w:rFonts w:hint="eastAsia"/>
                <w:color w:val="auto"/>
                <w:highlight w:val="none"/>
              </w:rPr>
              <w:t>生产煤矿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48" w:type="dxa"/>
            <w:noWrap w:val="0"/>
            <w:vAlign w:val="center"/>
          </w:tcPr>
          <w:p>
            <w:pPr>
              <w:pStyle w:val="22"/>
              <w:bidi w:val="0"/>
              <w:rPr>
                <w:color w:val="auto"/>
                <w:highlight w:val="none"/>
              </w:rPr>
            </w:pPr>
            <w:r>
              <w:rPr>
                <w:rFonts w:hint="eastAsia"/>
                <w:color w:val="auto"/>
                <w:highlight w:val="none"/>
              </w:rPr>
              <w:t>2</w:t>
            </w:r>
          </w:p>
        </w:tc>
        <w:tc>
          <w:tcPr>
            <w:tcW w:w="4252" w:type="dxa"/>
            <w:noWrap w:val="0"/>
            <w:vAlign w:val="center"/>
          </w:tcPr>
          <w:p>
            <w:pPr>
              <w:pStyle w:val="22"/>
              <w:bidi w:val="0"/>
              <w:rPr>
                <w:color w:val="auto"/>
                <w:highlight w:val="none"/>
              </w:rPr>
            </w:pPr>
            <w:r>
              <w:rPr>
                <w:rFonts w:hint="eastAsia"/>
                <w:color w:val="auto"/>
                <w:highlight w:val="none"/>
              </w:rPr>
              <w:t>大竹县红旗煤业有限责任公司田坝煤矿</w:t>
            </w:r>
          </w:p>
        </w:tc>
        <w:tc>
          <w:tcPr>
            <w:tcW w:w="1606" w:type="dxa"/>
            <w:noWrap w:val="0"/>
            <w:vAlign w:val="center"/>
          </w:tcPr>
          <w:p>
            <w:pPr>
              <w:pStyle w:val="22"/>
              <w:bidi w:val="0"/>
              <w:rPr>
                <w:color w:val="auto"/>
                <w:highlight w:val="none"/>
              </w:rPr>
            </w:pPr>
            <w:r>
              <w:rPr>
                <w:rFonts w:hint="eastAsia"/>
                <w:color w:val="auto"/>
                <w:highlight w:val="none"/>
              </w:rPr>
              <w:t>斜井</w:t>
            </w:r>
          </w:p>
        </w:tc>
        <w:tc>
          <w:tcPr>
            <w:tcW w:w="1553" w:type="dxa"/>
            <w:noWrap w:val="0"/>
            <w:vAlign w:val="center"/>
          </w:tcPr>
          <w:p>
            <w:pPr>
              <w:pStyle w:val="22"/>
              <w:bidi w:val="0"/>
              <w:rPr>
                <w:color w:val="auto"/>
                <w:highlight w:val="none"/>
              </w:rPr>
            </w:pPr>
            <w:r>
              <w:rPr>
                <w:rFonts w:hint="eastAsia"/>
                <w:color w:val="auto"/>
                <w:highlight w:val="none"/>
              </w:rPr>
              <w:t>15</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dxa"/>
            <w:noWrap w:val="0"/>
            <w:vAlign w:val="center"/>
          </w:tcPr>
          <w:p>
            <w:pPr>
              <w:pStyle w:val="22"/>
              <w:bidi w:val="0"/>
              <w:rPr>
                <w:color w:val="auto"/>
                <w:highlight w:val="none"/>
              </w:rPr>
            </w:pPr>
            <w:r>
              <w:rPr>
                <w:rFonts w:hint="eastAsia"/>
                <w:color w:val="auto"/>
                <w:highlight w:val="none"/>
              </w:rPr>
              <w:t>3</w:t>
            </w:r>
          </w:p>
        </w:tc>
        <w:tc>
          <w:tcPr>
            <w:tcW w:w="4252" w:type="dxa"/>
            <w:noWrap w:val="0"/>
            <w:vAlign w:val="center"/>
          </w:tcPr>
          <w:p>
            <w:pPr>
              <w:pStyle w:val="22"/>
              <w:bidi w:val="0"/>
              <w:rPr>
                <w:color w:val="auto"/>
                <w:highlight w:val="none"/>
              </w:rPr>
            </w:pPr>
            <w:r>
              <w:rPr>
                <w:rFonts w:hint="eastAsia"/>
                <w:color w:val="auto"/>
                <w:highlight w:val="none"/>
              </w:rPr>
              <w:t>达州市黑滩煤业有限公司黑滩煤矿</w:t>
            </w:r>
          </w:p>
        </w:tc>
        <w:tc>
          <w:tcPr>
            <w:tcW w:w="1606" w:type="dxa"/>
            <w:noWrap w:val="0"/>
            <w:vAlign w:val="center"/>
          </w:tcPr>
          <w:p>
            <w:pPr>
              <w:pStyle w:val="22"/>
              <w:bidi w:val="0"/>
              <w:rPr>
                <w:color w:val="auto"/>
                <w:highlight w:val="none"/>
              </w:rPr>
            </w:pPr>
            <w:r>
              <w:rPr>
                <w:rFonts w:hint="eastAsia"/>
                <w:color w:val="auto"/>
                <w:highlight w:val="none"/>
              </w:rPr>
              <w:t>斜井+平硐</w:t>
            </w:r>
          </w:p>
        </w:tc>
        <w:tc>
          <w:tcPr>
            <w:tcW w:w="1553" w:type="dxa"/>
            <w:noWrap w:val="0"/>
            <w:vAlign w:val="center"/>
          </w:tcPr>
          <w:p>
            <w:pPr>
              <w:pStyle w:val="22"/>
              <w:bidi w:val="0"/>
              <w:rPr>
                <w:color w:val="auto"/>
                <w:highlight w:val="none"/>
              </w:rPr>
            </w:pPr>
            <w:r>
              <w:rPr>
                <w:rFonts w:hint="eastAsia"/>
                <w:color w:val="auto"/>
                <w:highlight w:val="none"/>
              </w:rPr>
              <w:t>9</w:t>
            </w:r>
          </w:p>
        </w:tc>
        <w:tc>
          <w:tcPr>
            <w:tcW w:w="1093" w:type="dxa"/>
            <w:noWrap w:val="0"/>
            <w:vAlign w:val="center"/>
          </w:tcPr>
          <w:p>
            <w:pPr>
              <w:pStyle w:val="22"/>
              <w:bidi w:val="0"/>
              <w:rPr>
                <w:color w:val="auto"/>
                <w:highlight w:val="none"/>
              </w:rPr>
            </w:pPr>
            <w:r>
              <w:rPr>
                <w:rFonts w:hint="eastAsia"/>
                <w:color w:val="auto"/>
                <w:highlight w:val="none"/>
              </w:rPr>
              <w:t>9</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4</w:t>
            </w:r>
          </w:p>
        </w:tc>
        <w:tc>
          <w:tcPr>
            <w:tcW w:w="4252" w:type="dxa"/>
            <w:noWrap w:val="0"/>
            <w:vAlign w:val="center"/>
          </w:tcPr>
          <w:p>
            <w:pPr>
              <w:pStyle w:val="22"/>
              <w:bidi w:val="0"/>
              <w:rPr>
                <w:color w:val="auto"/>
                <w:highlight w:val="none"/>
              </w:rPr>
            </w:pPr>
            <w:r>
              <w:rPr>
                <w:rFonts w:hint="eastAsia"/>
                <w:color w:val="auto"/>
                <w:highlight w:val="none"/>
              </w:rPr>
              <w:t>大竹县清水大河沟煤矿</w:t>
            </w:r>
          </w:p>
        </w:tc>
        <w:tc>
          <w:tcPr>
            <w:tcW w:w="1606" w:type="dxa"/>
            <w:noWrap w:val="0"/>
            <w:vAlign w:val="center"/>
          </w:tcPr>
          <w:p>
            <w:pPr>
              <w:pStyle w:val="22"/>
              <w:bidi w:val="0"/>
              <w:rPr>
                <w:color w:val="auto"/>
                <w:highlight w:val="none"/>
              </w:rPr>
            </w:pPr>
            <w:r>
              <w:rPr>
                <w:rFonts w:hint="eastAsia"/>
                <w:color w:val="auto"/>
                <w:highlight w:val="none"/>
              </w:rPr>
              <w:t>斜井+平硐</w:t>
            </w:r>
          </w:p>
        </w:tc>
        <w:tc>
          <w:tcPr>
            <w:tcW w:w="1553" w:type="dxa"/>
            <w:noWrap w:val="0"/>
            <w:vAlign w:val="center"/>
          </w:tcPr>
          <w:p>
            <w:pPr>
              <w:pStyle w:val="22"/>
              <w:bidi w:val="0"/>
              <w:rPr>
                <w:color w:val="auto"/>
                <w:highlight w:val="none"/>
              </w:rPr>
            </w:pPr>
            <w:r>
              <w:rPr>
                <w:rFonts w:hint="eastAsia"/>
                <w:color w:val="auto"/>
                <w:highlight w:val="none"/>
              </w:rPr>
              <w:t>15</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2.31</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保留煤矿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5</w:t>
            </w:r>
          </w:p>
        </w:tc>
        <w:tc>
          <w:tcPr>
            <w:tcW w:w="4252" w:type="dxa"/>
            <w:noWrap w:val="0"/>
            <w:vAlign w:val="center"/>
          </w:tcPr>
          <w:p>
            <w:pPr>
              <w:pStyle w:val="22"/>
              <w:bidi w:val="0"/>
              <w:rPr>
                <w:color w:val="auto"/>
                <w:highlight w:val="none"/>
              </w:rPr>
            </w:pPr>
            <w:r>
              <w:rPr>
                <w:rFonts w:hint="eastAsia"/>
                <w:color w:val="auto"/>
                <w:highlight w:val="none"/>
              </w:rPr>
              <w:t>大竹县大硐坪煤矿</w:t>
            </w:r>
          </w:p>
        </w:tc>
        <w:tc>
          <w:tcPr>
            <w:tcW w:w="1606" w:type="dxa"/>
            <w:noWrap w:val="0"/>
            <w:vAlign w:val="center"/>
          </w:tcPr>
          <w:p>
            <w:pPr>
              <w:pStyle w:val="22"/>
              <w:bidi w:val="0"/>
              <w:rPr>
                <w:color w:val="auto"/>
                <w:highlight w:val="none"/>
              </w:rPr>
            </w:pPr>
            <w:r>
              <w:rPr>
                <w:rFonts w:hint="eastAsia"/>
                <w:color w:val="auto"/>
                <w:highlight w:val="none"/>
              </w:rPr>
              <w:t>阶梯平硐</w:t>
            </w:r>
          </w:p>
        </w:tc>
        <w:tc>
          <w:tcPr>
            <w:tcW w:w="1553" w:type="dxa"/>
            <w:noWrap w:val="0"/>
            <w:vAlign w:val="center"/>
          </w:tcPr>
          <w:p>
            <w:pPr>
              <w:pStyle w:val="22"/>
              <w:bidi w:val="0"/>
              <w:rPr>
                <w:color w:val="auto"/>
                <w:highlight w:val="none"/>
              </w:rPr>
            </w:pPr>
            <w:r>
              <w:rPr>
                <w:rFonts w:hint="eastAsia"/>
                <w:color w:val="auto"/>
                <w:highlight w:val="none"/>
              </w:rPr>
              <w:t>15</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0.93</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保留煤矿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6</w:t>
            </w:r>
          </w:p>
        </w:tc>
        <w:tc>
          <w:tcPr>
            <w:tcW w:w="4252" w:type="dxa"/>
            <w:noWrap w:val="0"/>
            <w:vAlign w:val="center"/>
          </w:tcPr>
          <w:p>
            <w:pPr>
              <w:pStyle w:val="22"/>
              <w:bidi w:val="0"/>
              <w:rPr>
                <w:color w:val="auto"/>
                <w:highlight w:val="none"/>
              </w:rPr>
            </w:pPr>
            <w:r>
              <w:rPr>
                <w:rFonts w:hint="eastAsia"/>
                <w:color w:val="auto"/>
                <w:highlight w:val="none"/>
              </w:rPr>
              <w:t>大竹县新桥红星煤矿</w:t>
            </w:r>
          </w:p>
        </w:tc>
        <w:tc>
          <w:tcPr>
            <w:tcW w:w="1606" w:type="dxa"/>
            <w:noWrap w:val="0"/>
            <w:vAlign w:val="center"/>
          </w:tcPr>
          <w:p>
            <w:pPr>
              <w:pStyle w:val="22"/>
              <w:bidi w:val="0"/>
              <w:rPr>
                <w:color w:val="auto"/>
                <w:highlight w:val="none"/>
              </w:rPr>
            </w:pPr>
            <w:r>
              <w:rPr>
                <w:rFonts w:hint="eastAsia"/>
                <w:color w:val="auto"/>
                <w:highlight w:val="none"/>
              </w:rPr>
              <w:t>斜井</w:t>
            </w:r>
          </w:p>
        </w:tc>
        <w:tc>
          <w:tcPr>
            <w:tcW w:w="1553" w:type="dxa"/>
            <w:noWrap w:val="0"/>
            <w:vAlign w:val="center"/>
          </w:tcPr>
          <w:p>
            <w:pPr>
              <w:pStyle w:val="22"/>
              <w:bidi w:val="0"/>
              <w:rPr>
                <w:color w:val="auto"/>
                <w:highlight w:val="none"/>
              </w:rPr>
            </w:pPr>
            <w:r>
              <w:rPr>
                <w:rFonts w:hint="eastAsia"/>
                <w:color w:val="auto"/>
                <w:highlight w:val="none"/>
              </w:rPr>
              <w:t>9</w:t>
            </w:r>
          </w:p>
        </w:tc>
        <w:tc>
          <w:tcPr>
            <w:tcW w:w="1093" w:type="dxa"/>
            <w:noWrap w:val="0"/>
            <w:vAlign w:val="center"/>
          </w:tcPr>
          <w:p>
            <w:pPr>
              <w:pStyle w:val="22"/>
              <w:bidi w:val="0"/>
              <w:rPr>
                <w:color w:val="auto"/>
                <w:highlight w:val="none"/>
              </w:rPr>
            </w:pPr>
            <w:r>
              <w:rPr>
                <w:rFonts w:hint="eastAsia"/>
                <w:color w:val="auto"/>
                <w:highlight w:val="none"/>
              </w:rPr>
              <w:t>9</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7</w:t>
            </w:r>
          </w:p>
        </w:tc>
        <w:tc>
          <w:tcPr>
            <w:tcW w:w="4252" w:type="dxa"/>
            <w:noWrap w:val="0"/>
            <w:vAlign w:val="center"/>
          </w:tcPr>
          <w:p>
            <w:pPr>
              <w:pStyle w:val="22"/>
              <w:bidi w:val="0"/>
              <w:rPr>
                <w:color w:val="auto"/>
                <w:highlight w:val="none"/>
              </w:rPr>
            </w:pPr>
            <w:r>
              <w:rPr>
                <w:rFonts w:hint="eastAsia"/>
                <w:color w:val="auto"/>
                <w:highlight w:val="none"/>
              </w:rPr>
              <w:t>大竹县堡子矿业有限责任公司堡子煤矿</w:t>
            </w:r>
          </w:p>
        </w:tc>
        <w:tc>
          <w:tcPr>
            <w:tcW w:w="1606" w:type="dxa"/>
            <w:noWrap w:val="0"/>
            <w:vAlign w:val="center"/>
          </w:tcPr>
          <w:p>
            <w:pPr>
              <w:pStyle w:val="22"/>
              <w:bidi w:val="0"/>
              <w:rPr>
                <w:color w:val="auto"/>
                <w:highlight w:val="none"/>
              </w:rPr>
            </w:pPr>
            <w:r>
              <w:rPr>
                <w:rFonts w:hint="eastAsia"/>
                <w:color w:val="auto"/>
                <w:highlight w:val="none"/>
              </w:rPr>
              <w:t>斜井+平硐</w:t>
            </w:r>
          </w:p>
        </w:tc>
        <w:tc>
          <w:tcPr>
            <w:tcW w:w="1553" w:type="dxa"/>
            <w:noWrap w:val="0"/>
            <w:vAlign w:val="center"/>
          </w:tcPr>
          <w:p>
            <w:pPr>
              <w:pStyle w:val="22"/>
              <w:bidi w:val="0"/>
              <w:rPr>
                <w:color w:val="auto"/>
                <w:highlight w:val="none"/>
              </w:rPr>
            </w:pPr>
            <w:r>
              <w:rPr>
                <w:rFonts w:hint="eastAsia"/>
                <w:color w:val="auto"/>
                <w:highlight w:val="none"/>
              </w:rPr>
              <w:t>21</w:t>
            </w:r>
          </w:p>
        </w:tc>
        <w:tc>
          <w:tcPr>
            <w:tcW w:w="1093" w:type="dxa"/>
            <w:noWrap w:val="0"/>
            <w:vAlign w:val="center"/>
          </w:tcPr>
          <w:p>
            <w:pPr>
              <w:pStyle w:val="22"/>
              <w:bidi w:val="0"/>
              <w:rPr>
                <w:color w:val="auto"/>
                <w:highlight w:val="none"/>
              </w:rPr>
            </w:pPr>
            <w:r>
              <w:rPr>
                <w:rFonts w:hint="eastAsia"/>
                <w:color w:val="auto"/>
                <w:highlight w:val="none"/>
              </w:rPr>
              <w:t>30</w:t>
            </w:r>
          </w:p>
        </w:tc>
        <w:tc>
          <w:tcPr>
            <w:tcW w:w="1621" w:type="dxa"/>
            <w:noWrap w:val="0"/>
            <w:vAlign w:val="center"/>
          </w:tcPr>
          <w:p>
            <w:pPr>
              <w:pStyle w:val="22"/>
              <w:bidi w:val="0"/>
              <w:rPr>
                <w:color w:val="auto"/>
                <w:highlight w:val="none"/>
              </w:rPr>
            </w:pPr>
            <w:r>
              <w:rPr>
                <w:rFonts w:hint="eastAsia"/>
                <w:color w:val="auto"/>
                <w:highlight w:val="none"/>
              </w:rPr>
              <w:t>4.46</w:t>
            </w:r>
          </w:p>
        </w:tc>
        <w:tc>
          <w:tcPr>
            <w:tcW w:w="1943" w:type="dxa"/>
            <w:noWrap w:val="0"/>
            <w:vAlign w:val="center"/>
          </w:tcPr>
          <w:p>
            <w:pPr>
              <w:pStyle w:val="22"/>
              <w:bidi w:val="0"/>
              <w:rPr>
                <w:color w:val="auto"/>
                <w:highlight w:val="none"/>
              </w:rPr>
            </w:pPr>
            <w:r>
              <w:rPr>
                <w:rFonts w:hint="eastAsia"/>
                <w:color w:val="auto"/>
                <w:highlight w:val="none"/>
              </w:rPr>
              <w:t>柔掩+炮掘机装</w:t>
            </w:r>
          </w:p>
        </w:tc>
        <w:tc>
          <w:tcPr>
            <w:tcW w:w="1233" w:type="dxa"/>
            <w:noWrap w:val="0"/>
            <w:vAlign w:val="center"/>
          </w:tcPr>
          <w:p>
            <w:pPr>
              <w:pStyle w:val="22"/>
              <w:bidi w:val="0"/>
              <w:rPr>
                <w:color w:val="auto"/>
                <w:highlight w:val="none"/>
              </w:rPr>
            </w:pPr>
            <w:r>
              <w:rPr>
                <w:rFonts w:hint="eastAsia"/>
                <w:color w:val="auto"/>
                <w:highlight w:val="none"/>
              </w:rPr>
              <w:t>生产煤矿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8</w:t>
            </w:r>
          </w:p>
        </w:tc>
        <w:tc>
          <w:tcPr>
            <w:tcW w:w="4252" w:type="dxa"/>
            <w:noWrap w:val="0"/>
            <w:vAlign w:val="center"/>
          </w:tcPr>
          <w:p>
            <w:pPr>
              <w:pStyle w:val="22"/>
              <w:bidi w:val="0"/>
              <w:rPr>
                <w:color w:val="auto"/>
                <w:highlight w:val="none"/>
              </w:rPr>
            </w:pPr>
            <w:r>
              <w:rPr>
                <w:rFonts w:hint="eastAsia"/>
                <w:color w:val="auto"/>
                <w:highlight w:val="none"/>
              </w:rPr>
              <w:t>大竹县荣华煤矿</w:t>
            </w:r>
          </w:p>
        </w:tc>
        <w:tc>
          <w:tcPr>
            <w:tcW w:w="1606" w:type="dxa"/>
            <w:noWrap w:val="0"/>
            <w:vAlign w:val="center"/>
          </w:tcPr>
          <w:p>
            <w:pPr>
              <w:pStyle w:val="22"/>
              <w:bidi w:val="0"/>
              <w:rPr>
                <w:color w:val="auto"/>
                <w:highlight w:val="none"/>
              </w:rPr>
            </w:pPr>
            <w:r>
              <w:rPr>
                <w:rFonts w:hint="eastAsia"/>
                <w:color w:val="auto"/>
                <w:highlight w:val="none"/>
              </w:rPr>
              <w:t>斜井</w:t>
            </w:r>
          </w:p>
        </w:tc>
        <w:tc>
          <w:tcPr>
            <w:tcW w:w="1553" w:type="dxa"/>
            <w:noWrap w:val="0"/>
            <w:vAlign w:val="center"/>
          </w:tcPr>
          <w:p>
            <w:pPr>
              <w:pStyle w:val="22"/>
              <w:bidi w:val="0"/>
              <w:rPr>
                <w:color w:val="auto"/>
                <w:highlight w:val="none"/>
              </w:rPr>
            </w:pPr>
            <w:r>
              <w:rPr>
                <w:rFonts w:hint="eastAsia"/>
                <w:color w:val="auto"/>
                <w:highlight w:val="none"/>
              </w:rPr>
              <w:t>3</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炮采+炮掘机装</w:t>
            </w:r>
          </w:p>
        </w:tc>
        <w:tc>
          <w:tcPr>
            <w:tcW w:w="1233" w:type="dxa"/>
            <w:noWrap w:val="0"/>
            <w:vAlign w:val="center"/>
          </w:tcPr>
          <w:p>
            <w:pPr>
              <w:pStyle w:val="22"/>
              <w:bidi w:val="0"/>
              <w:rPr>
                <w:color w:val="auto"/>
                <w:highlight w:val="none"/>
              </w:rPr>
            </w:pPr>
            <w:r>
              <w:rPr>
                <w:rFonts w:hint="eastAsia"/>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9</w:t>
            </w:r>
          </w:p>
        </w:tc>
        <w:tc>
          <w:tcPr>
            <w:tcW w:w="4252" w:type="dxa"/>
            <w:noWrap w:val="0"/>
            <w:vAlign w:val="center"/>
          </w:tcPr>
          <w:p>
            <w:pPr>
              <w:pStyle w:val="22"/>
              <w:bidi w:val="0"/>
              <w:rPr>
                <w:color w:val="auto"/>
                <w:highlight w:val="none"/>
              </w:rPr>
            </w:pPr>
            <w:r>
              <w:rPr>
                <w:rFonts w:hint="eastAsia"/>
                <w:color w:val="auto"/>
                <w:highlight w:val="none"/>
              </w:rPr>
              <w:t>大竹县永兴矿业有限责任公司华家沟煤矿</w:t>
            </w:r>
          </w:p>
        </w:tc>
        <w:tc>
          <w:tcPr>
            <w:tcW w:w="1606" w:type="dxa"/>
            <w:noWrap w:val="0"/>
            <w:vAlign w:val="center"/>
          </w:tcPr>
          <w:p>
            <w:pPr>
              <w:pStyle w:val="22"/>
              <w:bidi w:val="0"/>
              <w:rPr>
                <w:color w:val="auto"/>
                <w:highlight w:val="none"/>
              </w:rPr>
            </w:pPr>
            <w:r>
              <w:rPr>
                <w:rFonts w:hint="eastAsia"/>
                <w:color w:val="auto"/>
                <w:highlight w:val="none"/>
              </w:rPr>
              <w:t>斜井</w:t>
            </w:r>
          </w:p>
        </w:tc>
        <w:tc>
          <w:tcPr>
            <w:tcW w:w="1553" w:type="dxa"/>
            <w:noWrap w:val="0"/>
            <w:vAlign w:val="center"/>
          </w:tcPr>
          <w:p>
            <w:pPr>
              <w:pStyle w:val="22"/>
              <w:bidi w:val="0"/>
              <w:rPr>
                <w:color w:val="auto"/>
                <w:highlight w:val="none"/>
              </w:rPr>
            </w:pPr>
            <w:r>
              <w:rPr>
                <w:rFonts w:hint="eastAsia"/>
                <w:color w:val="auto"/>
                <w:highlight w:val="none"/>
              </w:rPr>
              <w:t>9</w:t>
            </w:r>
          </w:p>
        </w:tc>
        <w:tc>
          <w:tcPr>
            <w:tcW w:w="1093" w:type="dxa"/>
            <w:noWrap w:val="0"/>
            <w:vAlign w:val="center"/>
          </w:tcPr>
          <w:p>
            <w:pPr>
              <w:pStyle w:val="22"/>
              <w:bidi w:val="0"/>
              <w:rPr>
                <w:color w:val="auto"/>
                <w:highlight w:val="none"/>
              </w:rPr>
            </w:pPr>
            <w:r>
              <w:rPr>
                <w:rFonts w:hint="eastAsia"/>
                <w:color w:val="auto"/>
                <w:highlight w:val="none"/>
              </w:rPr>
              <w:t>9</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柔掩+炮掘机装</w:t>
            </w:r>
          </w:p>
        </w:tc>
        <w:tc>
          <w:tcPr>
            <w:tcW w:w="1233" w:type="dxa"/>
            <w:noWrap w:val="0"/>
            <w:vAlign w:val="center"/>
          </w:tcPr>
          <w:p>
            <w:pPr>
              <w:pStyle w:val="22"/>
              <w:bidi w:val="0"/>
              <w:rPr>
                <w:color w:val="auto"/>
                <w:highlight w:val="none"/>
              </w:rPr>
            </w:pPr>
            <w:r>
              <w:rPr>
                <w:rFonts w:hint="eastAsia"/>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10</w:t>
            </w:r>
          </w:p>
        </w:tc>
        <w:tc>
          <w:tcPr>
            <w:tcW w:w="4252" w:type="dxa"/>
            <w:noWrap w:val="0"/>
            <w:vAlign w:val="center"/>
          </w:tcPr>
          <w:p>
            <w:pPr>
              <w:pStyle w:val="22"/>
              <w:bidi w:val="0"/>
              <w:rPr>
                <w:color w:val="auto"/>
                <w:highlight w:val="none"/>
              </w:rPr>
            </w:pPr>
            <w:r>
              <w:rPr>
                <w:rFonts w:hint="eastAsia"/>
                <w:color w:val="auto"/>
                <w:highlight w:val="none"/>
              </w:rPr>
              <w:t>达州市全新能源发展有限公司孔家沟煤矿</w:t>
            </w:r>
          </w:p>
        </w:tc>
        <w:tc>
          <w:tcPr>
            <w:tcW w:w="1606" w:type="dxa"/>
            <w:noWrap w:val="0"/>
            <w:vAlign w:val="center"/>
          </w:tcPr>
          <w:p>
            <w:pPr>
              <w:pStyle w:val="22"/>
              <w:bidi w:val="0"/>
              <w:rPr>
                <w:color w:val="auto"/>
                <w:highlight w:val="none"/>
              </w:rPr>
            </w:pPr>
            <w:r>
              <w:rPr>
                <w:rFonts w:hint="eastAsia"/>
                <w:color w:val="auto"/>
                <w:highlight w:val="none"/>
              </w:rPr>
              <w:t>斜井+平硐</w:t>
            </w:r>
          </w:p>
        </w:tc>
        <w:tc>
          <w:tcPr>
            <w:tcW w:w="1553" w:type="dxa"/>
            <w:noWrap w:val="0"/>
            <w:vAlign w:val="center"/>
          </w:tcPr>
          <w:p>
            <w:pPr>
              <w:pStyle w:val="22"/>
              <w:bidi w:val="0"/>
              <w:rPr>
                <w:color w:val="auto"/>
                <w:highlight w:val="none"/>
              </w:rPr>
            </w:pPr>
            <w:r>
              <w:rPr>
                <w:rFonts w:hint="eastAsia"/>
                <w:color w:val="auto"/>
                <w:highlight w:val="none"/>
              </w:rPr>
              <w:t>15</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11</w:t>
            </w:r>
          </w:p>
        </w:tc>
        <w:tc>
          <w:tcPr>
            <w:tcW w:w="4252" w:type="dxa"/>
            <w:noWrap w:val="0"/>
            <w:vAlign w:val="center"/>
          </w:tcPr>
          <w:p>
            <w:pPr>
              <w:pStyle w:val="22"/>
              <w:bidi w:val="0"/>
              <w:rPr>
                <w:color w:val="auto"/>
                <w:highlight w:val="none"/>
              </w:rPr>
            </w:pPr>
            <w:r>
              <w:rPr>
                <w:rFonts w:hint="eastAsia"/>
                <w:color w:val="auto"/>
                <w:highlight w:val="none"/>
              </w:rPr>
              <w:t>大竹县双溪乡刘家沟联合煤矿</w:t>
            </w:r>
          </w:p>
        </w:tc>
        <w:tc>
          <w:tcPr>
            <w:tcW w:w="1606" w:type="dxa"/>
            <w:noWrap w:val="0"/>
            <w:vAlign w:val="center"/>
          </w:tcPr>
          <w:p>
            <w:pPr>
              <w:pStyle w:val="22"/>
              <w:bidi w:val="0"/>
              <w:rPr>
                <w:color w:val="auto"/>
                <w:highlight w:val="none"/>
              </w:rPr>
            </w:pPr>
            <w:r>
              <w:rPr>
                <w:rFonts w:hint="eastAsia"/>
                <w:color w:val="auto"/>
                <w:highlight w:val="none"/>
              </w:rPr>
              <w:t>平硐</w:t>
            </w:r>
          </w:p>
        </w:tc>
        <w:tc>
          <w:tcPr>
            <w:tcW w:w="1553" w:type="dxa"/>
            <w:noWrap w:val="0"/>
            <w:vAlign w:val="center"/>
          </w:tcPr>
          <w:p>
            <w:pPr>
              <w:pStyle w:val="22"/>
              <w:bidi w:val="0"/>
              <w:rPr>
                <w:color w:val="auto"/>
                <w:highlight w:val="none"/>
              </w:rPr>
            </w:pPr>
            <w:r>
              <w:rPr>
                <w:rFonts w:hint="eastAsia"/>
                <w:color w:val="auto"/>
                <w:highlight w:val="none"/>
              </w:rPr>
              <w:t>9</w:t>
            </w:r>
          </w:p>
        </w:tc>
        <w:tc>
          <w:tcPr>
            <w:tcW w:w="1093" w:type="dxa"/>
            <w:noWrap w:val="0"/>
            <w:vAlign w:val="center"/>
          </w:tcPr>
          <w:p>
            <w:pPr>
              <w:pStyle w:val="22"/>
              <w:bidi w:val="0"/>
              <w:rPr>
                <w:color w:val="auto"/>
                <w:highlight w:val="none"/>
              </w:rPr>
            </w:pPr>
            <w:r>
              <w:rPr>
                <w:rFonts w:hint="eastAsia"/>
                <w:color w:val="auto"/>
                <w:highlight w:val="none"/>
              </w:rPr>
              <w:t>9</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柔掩+炮掘机装</w:t>
            </w:r>
          </w:p>
        </w:tc>
        <w:tc>
          <w:tcPr>
            <w:tcW w:w="1233" w:type="dxa"/>
            <w:noWrap w:val="0"/>
            <w:vAlign w:val="center"/>
          </w:tcPr>
          <w:p>
            <w:pPr>
              <w:pStyle w:val="22"/>
              <w:bidi w:val="0"/>
              <w:rPr>
                <w:color w:val="auto"/>
                <w:highlight w:val="none"/>
              </w:rPr>
            </w:pPr>
            <w:r>
              <w:rPr>
                <w:rFonts w:hint="eastAsia"/>
                <w:color w:val="auto"/>
                <w:highlight w:val="none"/>
              </w:rPr>
              <w:t>独立升级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12</w:t>
            </w:r>
          </w:p>
        </w:tc>
        <w:tc>
          <w:tcPr>
            <w:tcW w:w="4252" w:type="dxa"/>
            <w:noWrap w:val="0"/>
            <w:vAlign w:val="center"/>
          </w:tcPr>
          <w:p>
            <w:pPr>
              <w:pStyle w:val="22"/>
              <w:bidi w:val="0"/>
              <w:rPr>
                <w:color w:val="auto"/>
                <w:highlight w:val="none"/>
              </w:rPr>
            </w:pPr>
            <w:r>
              <w:rPr>
                <w:rFonts w:hint="eastAsia"/>
                <w:color w:val="auto"/>
                <w:highlight w:val="none"/>
              </w:rPr>
              <w:t>大竹县牛郎沟煤业有限公司牛郎沟煤矿</w:t>
            </w:r>
          </w:p>
        </w:tc>
        <w:tc>
          <w:tcPr>
            <w:tcW w:w="1606" w:type="dxa"/>
            <w:noWrap w:val="0"/>
            <w:vAlign w:val="center"/>
          </w:tcPr>
          <w:p>
            <w:pPr>
              <w:pStyle w:val="22"/>
              <w:bidi w:val="0"/>
              <w:rPr>
                <w:color w:val="auto"/>
                <w:highlight w:val="none"/>
              </w:rPr>
            </w:pPr>
            <w:r>
              <w:rPr>
                <w:rFonts w:hint="eastAsia"/>
                <w:color w:val="auto"/>
                <w:highlight w:val="none"/>
              </w:rPr>
              <w:t>斜井+平硐</w:t>
            </w:r>
          </w:p>
        </w:tc>
        <w:tc>
          <w:tcPr>
            <w:tcW w:w="1553" w:type="dxa"/>
            <w:noWrap w:val="0"/>
            <w:vAlign w:val="center"/>
          </w:tcPr>
          <w:p>
            <w:pPr>
              <w:pStyle w:val="22"/>
              <w:bidi w:val="0"/>
              <w:rPr>
                <w:color w:val="auto"/>
                <w:highlight w:val="none"/>
              </w:rPr>
            </w:pPr>
            <w:r>
              <w:rPr>
                <w:rFonts w:hint="eastAsia"/>
                <w:color w:val="auto"/>
                <w:highlight w:val="none"/>
              </w:rPr>
              <w:t>9</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柔掩+炮掘机装</w:t>
            </w:r>
          </w:p>
        </w:tc>
        <w:tc>
          <w:tcPr>
            <w:tcW w:w="1233" w:type="dxa"/>
            <w:noWrap w:val="0"/>
            <w:vAlign w:val="center"/>
          </w:tcPr>
          <w:p>
            <w:pPr>
              <w:pStyle w:val="22"/>
              <w:bidi w:val="0"/>
              <w:rPr>
                <w:color w:val="auto"/>
                <w:highlight w:val="none"/>
              </w:rPr>
            </w:pPr>
            <w:r>
              <w:rPr>
                <w:rFonts w:hint="eastAsia"/>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13</w:t>
            </w:r>
          </w:p>
        </w:tc>
        <w:tc>
          <w:tcPr>
            <w:tcW w:w="4252" w:type="dxa"/>
            <w:noWrap w:val="0"/>
            <w:vAlign w:val="center"/>
          </w:tcPr>
          <w:p>
            <w:pPr>
              <w:pStyle w:val="22"/>
              <w:bidi w:val="0"/>
              <w:rPr>
                <w:color w:val="auto"/>
                <w:highlight w:val="none"/>
              </w:rPr>
            </w:pPr>
            <w:r>
              <w:rPr>
                <w:rFonts w:hint="eastAsia"/>
                <w:color w:val="auto"/>
                <w:highlight w:val="none"/>
              </w:rPr>
              <w:t>大竹县平桥煤业有限公司平桥煤矿</w:t>
            </w:r>
          </w:p>
        </w:tc>
        <w:tc>
          <w:tcPr>
            <w:tcW w:w="1606" w:type="dxa"/>
            <w:noWrap w:val="0"/>
            <w:vAlign w:val="center"/>
          </w:tcPr>
          <w:p>
            <w:pPr>
              <w:pStyle w:val="22"/>
              <w:bidi w:val="0"/>
              <w:rPr>
                <w:color w:val="auto"/>
                <w:highlight w:val="none"/>
              </w:rPr>
            </w:pPr>
            <w:r>
              <w:rPr>
                <w:rFonts w:hint="eastAsia"/>
                <w:color w:val="auto"/>
                <w:highlight w:val="none"/>
              </w:rPr>
              <w:t>斜井+平硐</w:t>
            </w:r>
          </w:p>
        </w:tc>
        <w:tc>
          <w:tcPr>
            <w:tcW w:w="1553" w:type="dxa"/>
            <w:noWrap w:val="0"/>
            <w:vAlign w:val="center"/>
          </w:tcPr>
          <w:p>
            <w:pPr>
              <w:pStyle w:val="22"/>
              <w:bidi w:val="0"/>
              <w:rPr>
                <w:color w:val="auto"/>
                <w:highlight w:val="none"/>
              </w:rPr>
            </w:pPr>
            <w:r>
              <w:rPr>
                <w:rFonts w:hint="eastAsia"/>
                <w:color w:val="auto"/>
                <w:highlight w:val="none"/>
              </w:rPr>
              <w:t>15</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w:t>
            </w:r>
          </w:p>
        </w:tc>
        <w:tc>
          <w:tcPr>
            <w:tcW w:w="1943" w:type="dxa"/>
            <w:noWrap w:val="0"/>
            <w:vAlign w:val="center"/>
          </w:tcPr>
          <w:p>
            <w:pPr>
              <w:pStyle w:val="22"/>
              <w:bidi w:val="0"/>
              <w:rPr>
                <w:color w:val="auto"/>
                <w:highlight w:val="none"/>
              </w:rPr>
            </w:pPr>
            <w:r>
              <w:rPr>
                <w:rFonts w:hint="eastAsia"/>
                <w:color w:val="auto"/>
                <w:highlight w:val="none"/>
              </w:rPr>
              <w:t>柔掩+炮掘机装</w:t>
            </w:r>
          </w:p>
        </w:tc>
        <w:tc>
          <w:tcPr>
            <w:tcW w:w="1233" w:type="dxa"/>
            <w:noWrap w:val="0"/>
            <w:vAlign w:val="center"/>
          </w:tcPr>
          <w:p>
            <w:pPr>
              <w:pStyle w:val="22"/>
              <w:bidi w:val="0"/>
              <w:rPr>
                <w:color w:val="auto"/>
                <w:highlight w:val="none"/>
              </w:rPr>
            </w:pPr>
            <w:r>
              <w:rPr>
                <w:rFonts w:hint="eastAsia"/>
                <w:color w:val="auto"/>
                <w:highlight w:val="none"/>
              </w:rPr>
              <w:t>兼并重组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color w:val="auto"/>
                <w:highlight w:val="none"/>
              </w:rPr>
            </w:pPr>
            <w:r>
              <w:rPr>
                <w:rFonts w:hint="eastAsia"/>
                <w:color w:val="auto"/>
                <w:highlight w:val="none"/>
              </w:rPr>
              <w:t>14</w:t>
            </w:r>
          </w:p>
        </w:tc>
        <w:tc>
          <w:tcPr>
            <w:tcW w:w="4252" w:type="dxa"/>
            <w:noWrap w:val="0"/>
            <w:vAlign w:val="center"/>
          </w:tcPr>
          <w:p>
            <w:pPr>
              <w:pStyle w:val="22"/>
              <w:bidi w:val="0"/>
              <w:rPr>
                <w:color w:val="auto"/>
                <w:highlight w:val="none"/>
              </w:rPr>
            </w:pPr>
            <w:r>
              <w:rPr>
                <w:rFonts w:hint="eastAsia"/>
                <w:color w:val="auto"/>
                <w:highlight w:val="none"/>
              </w:rPr>
              <w:t>四川神州矿业开发有限公司观音煤矿</w:t>
            </w:r>
          </w:p>
        </w:tc>
        <w:tc>
          <w:tcPr>
            <w:tcW w:w="1606" w:type="dxa"/>
            <w:noWrap w:val="0"/>
            <w:vAlign w:val="center"/>
          </w:tcPr>
          <w:p>
            <w:pPr>
              <w:pStyle w:val="22"/>
              <w:bidi w:val="0"/>
              <w:rPr>
                <w:color w:val="auto"/>
                <w:highlight w:val="none"/>
              </w:rPr>
            </w:pPr>
            <w:r>
              <w:rPr>
                <w:rFonts w:hint="eastAsia"/>
                <w:color w:val="auto"/>
                <w:highlight w:val="none"/>
              </w:rPr>
              <w:t>平硐</w:t>
            </w:r>
          </w:p>
        </w:tc>
        <w:tc>
          <w:tcPr>
            <w:tcW w:w="1553" w:type="dxa"/>
            <w:noWrap w:val="0"/>
            <w:vAlign w:val="center"/>
          </w:tcPr>
          <w:p>
            <w:pPr>
              <w:pStyle w:val="22"/>
              <w:bidi w:val="0"/>
              <w:rPr>
                <w:color w:val="auto"/>
                <w:highlight w:val="none"/>
              </w:rPr>
            </w:pPr>
            <w:r>
              <w:rPr>
                <w:rFonts w:hint="eastAsia"/>
                <w:color w:val="auto"/>
                <w:highlight w:val="none"/>
              </w:rPr>
              <w:t>15</w:t>
            </w:r>
          </w:p>
        </w:tc>
        <w:tc>
          <w:tcPr>
            <w:tcW w:w="1093" w:type="dxa"/>
            <w:noWrap w:val="0"/>
            <w:vAlign w:val="center"/>
          </w:tcPr>
          <w:p>
            <w:pPr>
              <w:pStyle w:val="22"/>
              <w:bidi w:val="0"/>
              <w:rPr>
                <w:color w:val="auto"/>
                <w:highlight w:val="none"/>
              </w:rPr>
            </w:pPr>
            <w:r>
              <w:rPr>
                <w:rFonts w:hint="eastAsia"/>
                <w:color w:val="auto"/>
                <w:highlight w:val="none"/>
              </w:rPr>
              <w:t>15</w:t>
            </w:r>
          </w:p>
        </w:tc>
        <w:tc>
          <w:tcPr>
            <w:tcW w:w="1621" w:type="dxa"/>
            <w:noWrap w:val="0"/>
            <w:vAlign w:val="center"/>
          </w:tcPr>
          <w:p>
            <w:pPr>
              <w:pStyle w:val="22"/>
              <w:bidi w:val="0"/>
              <w:rPr>
                <w:color w:val="auto"/>
                <w:highlight w:val="none"/>
              </w:rPr>
            </w:pPr>
            <w:r>
              <w:rPr>
                <w:rFonts w:hint="eastAsia"/>
                <w:color w:val="auto"/>
                <w:highlight w:val="none"/>
              </w:rPr>
              <w:t>0.85</w:t>
            </w:r>
          </w:p>
        </w:tc>
        <w:tc>
          <w:tcPr>
            <w:tcW w:w="1943" w:type="dxa"/>
            <w:noWrap w:val="0"/>
            <w:vAlign w:val="center"/>
          </w:tcPr>
          <w:p>
            <w:pPr>
              <w:pStyle w:val="22"/>
              <w:bidi w:val="0"/>
              <w:rPr>
                <w:color w:val="auto"/>
                <w:highlight w:val="none"/>
              </w:rPr>
            </w:pPr>
            <w:r>
              <w:rPr>
                <w:rFonts w:hint="eastAsia"/>
                <w:color w:val="auto"/>
                <w:highlight w:val="none"/>
              </w:rPr>
              <w:t>普采+炮掘机装</w:t>
            </w:r>
          </w:p>
        </w:tc>
        <w:tc>
          <w:tcPr>
            <w:tcW w:w="1233" w:type="dxa"/>
            <w:noWrap w:val="0"/>
            <w:vAlign w:val="center"/>
          </w:tcPr>
          <w:p>
            <w:pPr>
              <w:pStyle w:val="22"/>
              <w:bidi w:val="0"/>
              <w:rPr>
                <w:color w:val="auto"/>
                <w:highlight w:val="none"/>
              </w:rPr>
            </w:pPr>
            <w:r>
              <w:rPr>
                <w:rFonts w:hint="eastAsia"/>
                <w:color w:val="auto"/>
                <w:highlight w:val="none"/>
              </w:rPr>
              <w:t>保留煤矿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noWrap w:val="0"/>
            <w:vAlign w:val="center"/>
          </w:tcPr>
          <w:p>
            <w:pPr>
              <w:pStyle w:val="22"/>
              <w:bidi w:val="0"/>
              <w:rPr>
                <w:rFonts w:hint="eastAsia"/>
                <w:color w:val="auto"/>
                <w:highlight w:val="none"/>
              </w:rPr>
            </w:pPr>
          </w:p>
        </w:tc>
        <w:tc>
          <w:tcPr>
            <w:tcW w:w="4252" w:type="dxa"/>
            <w:noWrap w:val="0"/>
            <w:vAlign w:val="center"/>
          </w:tcPr>
          <w:p>
            <w:pPr>
              <w:pStyle w:val="22"/>
              <w:bidi w:val="0"/>
              <w:rPr>
                <w:color w:val="auto"/>
                <w:highlight w:val="none"/>
              </w:rPr>
            </w:pPr>
            <w:r>
              <w:rPr>
                <w:rFonts w:hint="eastAsia"/>
                <w:color w:val="auto"/>
                <w:highlight w:val="none"/>
              </w:rPr>
              <w:t>合计</w:t>
            </w:r>
          </w:p>
        </w:tc>
        <w:tc>
          <w:tcPr>
            <w:tcW w:w="1606" w:type="dxa"/>
            <w:noWrap w:val="0"/>
            <w:vAlign w:val="center"/>
          </w:tcPr>
          <w:p>
            <w:pPr>
              <w:pStyle w:val="22"/>
              <w:bidi w:val="0"/>
              <w:rPr>
                <w:color w:val="auto"/>
                <w:highlight w:val="none"/>
              </w:rPr>
            </w:pPr>
          </w:p>
        </w:tc>
        <w:tc>
          <w:tcPr>
            <w:tcW w:w="1553" w:type="dxa"/>
            <w:noWrap w:val="0"/>
            <w:vAlign w:val="center"/>
          </w:tcPr>
          <w:p>
            <w:pPr>
              <w:pStyle w:val="22"/>
              <w:bidi w:val="0"/>
              <w:rPr>
                <w:color w:val="auto"/>
                <w:highlight w:val="none"/>
              </w:rPr>
            </w:pPr>
            <w:r>
              <w:rPr>
                <w:rFonts w:hint="eastAsia"/>
                <w:color w:val="auto"/>
                <w:highlight w:val="none"/>
              </w:rPr>
              <w:t>189</w:t>
            </w:r>
          </w:p>
        </w:tc>
        <w:tc>
          <w:tcPr>
            <w:tcW w:w="1093" w:type="dxa"/>
            <w:noWrap w:val="0"/>
            <w:vAlign w:val="center"/>
          </w:tcPr>
          <w:p>
            <w:pPr>
              <w:pStyle w:val="22"/>
              <w:bidi w:val="0"/>
              <w:rPr>
                <w:color w:val="auto"/>
                <w:highlight w:val="none"/>
              </w:rPr>
            </w:pPr>
            <w:r>
              <w:rPr>
                <w:rFonts w:hint="eastAsia"/>
                <w:color w:val="auto"/>
                <w:highlight w:val="none"/>
              </w:rPr>
              <w:t>231</w:t>
            </w:r>
          </w:p>
        </w:tc>
        <w:tc>
          <w:tcPr>
            <w:tcW w:w="1621" w:type="dxa"/>
            <w:noWrap w:val="0"/>
            <w:vAlign w:val="center"/>
          </w:tcPr>
          <w:p>
            <w:pPr>
              <w:pStyle w:val="22"/>
              <w:bidi w:val="0"/>
              <w:rPr>
                <w:color w:val="auto"/>
                <w:highlight w:val="none"/>
              </w:rPr>
            </w:pPr>
            <w:r>
              <w:rPr>
                <w:rFonts w:hint="eastAsia"/>
                <w:color w:val="auto"/>
                <w:highlight w:val="none"/>
              </w:rPr>
              <w:t>41.12</w:t>
            </w:r>
          </w:p>
        </w:tc>
        <w:tc>
          <w:tcPr>
            <w:tcW w:w="1943" w:type="dxa"/>
            <w:noWrap w:val="0"/>
            <w:vAlign w:val="center"/>
          </w:tcPr>
          <w:p>
            <w:pPr>
              <w:pStyle w:val="22"/>
              <w:bidi w:val="0"/>
              <w:rPr>
                <w:rFonts w:hint="eastAsia"/>
                <w:color w:val="auto"/>
                <w:highlight w:val="none"/>
              </w:rPr>
            </w:pPr>
          </w:p>
        </w:tc>
        <w:tc>
          <w:tcPr>
            <w:tcW w:w="1233" w:type="dxa"/>
            <w:noWrap w:val="0"/>
            <w:vAlign w:val="center"/>
          </w:tcPr>
          <w:p>
            <w:pPr>
              <w:pStyle w:val="22"/>
              <w:bidi w:val="0"/>
              <w:rPr>
                <w:rFonts w:hint="eastAsia"/>
                <w:color w:val="auto"/>
                <w:highlight w:val="none"/>
              </w:rPr>
            </w:pPr>
          </w:p>
        </w:tc>
      </w:tr>
    </w:tbl>
    <w:p>
      <w:pPr>
        <w:pStyle w:val="22"/>
        <w:bidi w:val="0"/>
        <w:rPr>
          <w:color w:val="auto"/>
          <w:highlight w:val="none"/>
        </w:rPr>
      </w:pPr>
      <w:r>
        <w:rPr>
          <w:rFonts w:hint="eastAsia"/>
          <w:color w:val="auto"/>
          <w:highlight w:val="none"/>
        </w:rPr>
        <w:t>表3-</w:t>
      </w:r>
      <w:r>
        <w:rPr>
          <w:rFonts w:hint="eastAsia"/>
          <w:color w:val="auto"/>
          <w:highlight w:val="none"/>
          <w:lang w:val="en-US" w:eastAsia="zh-CN"/>
        </w:rPr>
        <w:t xml:space="preserve">6-3   </w:t>
      </w:r>
      <w:r>
        <w:rPr>
          <w:rFonts w:hint="eastAsia"/>
          <w:color w:val="auto"/>
          <w:highlight w:val="none"/>
        </w:rPr>
        <w:t>柏林煤矿延伸探矿权拐点坐标表（2000坐标系）</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912"/>
        <w:gridCol w:w="1883"/>
        <w:gridCol w:w="2424"/>
        <w:gridCol w:w="26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0"/>
            <w:vAlign w:val="center"/>
          </w:tcPr>
          <w:p>
            <w:pPr>
              <w:pStyle w:val="22"/>
              <w:bidi w:val="0"/>
              <w:rPr>
                <w:color w:val="auto"/>
                <w:highlight w:val="none"/>
              </w:rPr>
            </w:pPr>
            <w:r>
              <w:rPr>
                <w:rFonts w:hint="eastAsia"/>
                <w:color w:val="auto"/>
                <w:highlight w:val="none"/>
              </w:rPr>
              <w:t>拐点</w:t>
            </w:r>
          </w:p>
        </w:tc>
        <w:tc>
          <w:tcPr>
            <w:tcW w:w="993" w:type="pct"/>
            <w:noWrap/>
            <w:vAlign w:val="center"/>
          </w:tcPr>
          <w:p>
            <w:pPr>
              <w:pStyle w:val="22"/>
              <w:bidi w:val="0"/>
              <w:rPr>
                <w:color w:val="auto"/>
                <w:highlight w:val="none"/>
              </w:rPr>
            </w:pPr>
            <w:r>
              <w:rPr>
                <w:rFonts w:hint="eastAsia"/>
                <w:color w:val="auto"/>
                <w:highlight w:val="none"/>
              </w:rPr>
              <w:t>X</w:t>
            </w:r>
          </w:p>
        </w:tc>
        <w:tc>
          <w:tcPr>
            <w:tcW w:w="978" w:type="pct"/>
            <w:noWrap/>
            <w:vAlign w:val="center"/>
          </w:tcPr>
          <w:p>
            <w:pPr>
              <w:pStyle w:val="22"/>
              <w:bidi w:val="0"/>
              <w:rPr>
                <w:color w:val="auto"/>
                <w:highlight w:val="none"/>
              </w:rPr>
            </w:pPr>
            <w:r>
              <w:rPr>
                <w:rFonts w:hint="eastAsia"/>
                <w:color w:val="auto"/>
                <w:highlight w:val="none"/>
              </w:rPr>
              <w:t>Y</w:t>
            </w:r>
          </w:p>
        </w:tc>
        <w:tc>
          <w:tcPr>
            <w:tcW w:w="1259" w:type="pct"/>
            <w:noWrap w:val="0"/>
            <w:vAlign w:val="center"/>
          </w:tcPr>
          <w:p>
            <w:pPr>
              <w:pStyle w:val="22"/>
              <w:bidi w:val="0"/>
              <w:rPr>
                <w:color w:val="auto"/>
                <w:highlight w:val="none"/>
              </w:rPr>
            </w:pPr>
            <w:r>
              <w:rPr>
                <w:rFonts w:hint="eastAsia"/>
                <w:color w:val="auto"/>
                <w:highlight w:val="none"/>
              </w:rPr>
              <w:t>纬度</w:t>
            </w:r>
          </w:p>
        </w:tc>
        <w:tc>
          <w:tcPr>
            <w:tcW w:w="1362" w:type="pct"/>
            <w:noWrap w:val="0"/>
            <w:vAlign w:val="center"/>
          </w:tcPr>
          <w:p>
            <w:pPr>
              <w:pStyle w:val="22"/>
              <w:bidi w:val="0"/>
              <w:rPr>
                <w:color w:val="auto"/>
                <w:highlight w:val="none"/>
              </w:rPr>
            </w:pPr>
            <w:r>
              <w:rPr>
                <w:rFonts w:hint="eastAsia"/>
                <w:color w:val="auto"/>
                <w:highlight w:val="none"/>
              </w:rPr>
              <w:t>经度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1</w:t>
            </w:r>
          </w:p>
        </w:tc>
        <w:tc>
          <w:tcPr>
            <w:tcW w:w="993" w:type="pct"/>
            <w:noWrap w:val="0"/>
            <w:vAlign w:val="center"/>
          </w:tcPr>
          <w:p>
            <w:pPr>
              <w:pStyle w:val="22"/>
              <w:bidi w:val="0"/>
              <w:rPr>
                <w:color w:val="auto"/>
                <w:highlight w:val="none"/>
              </w:rPr>
            </w:pPr>
            <w:r>
              <w:rPr>
                <w:rFonts w:hint="eastAsia"/>
                <w:color w:val="auto"/>
                <w:highlight w:val="none"/>
              </w:rPr>
              <w:t xml:space="preserve">3419974.00 </w:t>
            </w:r>
          </w:p>
        </w:tc>
        <w:tc>
          <w:tcPr>
            <w:tcW w:w="978" w:type="pct"/>
            <w:noWrap w:val="0"/>
            <w:vAlign w:val="center"/>
          </w:tcPr>
          <w:p>
            <w:pPr>
              <w:pStyle w:val="22"/>
              <w:bidi w:val="0"/>
              <w:rPr>
                <w:color w:val="auto"/>
                <w:highlight w:val="none"/>
              </w:rPr>
            </w:pPr>
            <w:r>
              <w:rPr>
                <w:rFonts w:hint="eastAsia"/>
                <w:color w:val="auto"/>
                <w:highlight w:val="none"/>
              </w:rPr>
              <w:t xml:space="preserve">36423705.00 </w:t>
            </w:r>
          </w:p>
        </w:tc>
        <w:tc>
          <w:tcPr>
            <w:tcW w:w="1259" w:type="pct"/>
            <w:noWrap w:val="0"/>
            <w:vAlign w:val="center"/>
          </w:tcPr>
          <w:p>
            <w:pPr>
              <w:pStyle w:val="22"/>
              <w:bidi w:val="0"/>
              <w:rPr>
                <w:color w:val="auto"/>
                <w:highlight w:val="none"/>
              </w:rPr>
            </w:pPr>
            <w:r>
              <w:rPr>
                <w:rFonts w:hint="eastAsia"/>
                <w:color w:val="auto"/>
                <w:highlight w:val="none"/>
              </w:rPr>
              <w:t>30°53′53.95″</w:t>
            </w:r>
          </w:p>
        </w:tc>
        <w:tc>
          <w:tcPr>
            <w:tcW w:w="1362" w:type="pct"/>
            <w:noWrap w:val="0"/>
            <w:vAlign w:val="center"/>
          </w:tcPr>
          <w:p>
            <w:pPr>
              <w:pStyle w:val="22"/>
              <w:bidi w:val="0"/>
              <w:rPr>
                <w:color w:val="auto"/>
                <w:highlight w:val="none"/>
              </w:rPr>
            </w:pPr>
            <w:r>
              <w:rPr>
                <w:rFonts w:hint="eastAsia"/>
                <w:color w:val="auto"/>
                <w:highlight w:val="none"/>
              </w:rPr>
              <w:t>107°12′07.17″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2</w:t>
            </w:r>
          </w:p>
        </w:tc>
        <w:tc>
          <w:tcPr>
            <w:tcW w:w="993" w:type="pct"/>
            <w:noWrap w:val="0"/>
            <w:vAlign w:val="center"/>
          </w:tcPr>
          <w:p>
            <w:pPr>
              <w:pStyle w:val="22"/>
              <w:bidi w:val="0"/>
              <w:rPr>
                <w:color w:val="auto"/>
                <w:highlight w:val="none"/>
              </w:rPr>
            </w:pPr>
            <w:r>
              <w:rPr>
                <w:rFonts w:hint="eastAsia"/>
                <w:color w:val="auto"/>
                <w:highlight w:val="none"/>
              </w:rPr>
              <w:t xml:space="preserve">3422019.00 </w:t>
            </w:r>
          </w:p>
        </w:tc>
        <w:tc>
          <w:tcPr>
            <w:tcW w:w="978" w:type="pct"/>
            <w:noWrap w:val="0"/>
            <w:vAlign w:val="center"/>
          </w:tcPr>
          <w:p>
            <w:pPr>
              <w:pStyle w:val="22"/>
              <w:bidi w:val="0"/>
              <w:rPr>
                <w:color w:val="auto"/>
                <w:highlight w:val="none"/>
              </w:rPr>
            </w:pPr>
            <w:r>
              <w:rPr>
                <w:rFonts w:hint="eastAsia"/>
                <w:color w:val="auto"/>
                <w:highlight w:val="none"/>
              </w:rPr>
              <w:t xml:space="preserve">36424451.00 </w:t>
            </w:r>
          </w:p>
        </w:tc>
        <w:tc>
          <w:tcPr>
            <w:tcW w:w="1259" w:type="pct"/>
            <w:noWrap w:val="0"/>
            <w:vAlign w:val="center"/>
          </w:tcPr>
          <w:p>
            <w:pPr>
              <w:pStyle w:val="22"/>
              <w:bidi w:val="0"/>
              <w:rPr>
                <w:color w:val="auto"/>
                <w:highlight w:val="none"/>
              </w:rPr>
            </w:pPr>
            <w:r>
              <w:rPr>
                <w:rFonts w:hint="eastAsia"/>
                <w:color w:val="auto"/>
                <w:highlight w:val="none"/>
              </w:rPr>
              <w:t>30°55′00.52″</w:t>
            </w:r>
          </w:p>
        </w:tc>
        <w:tc>
          <w:tcPr>
            <w:tcW w:w="1362" w:type="pct"/>
            <w:noWrap w:val="0"/>
            <w:vAlign w:val="center"/>
          </w:tcPr>
          <w:p>
            <w:pPr>
              <w:pStyle w:val="22"/>
              <w:bidi w:val="0"/>
              <w:rPr>
                <w:color w:val="auto"/>
                <w:highlight w:val="none"/>
              </w:rPr>
            </w:pPr>
            <w:r>
              <w:rPr>
                <w:rFonts w:hint="eastAsia"/>
                <w:color w:val="auto"/>
                <w:highlight w:val="none"/>
              </w:rPr>
              <w:t>107°12′34.72″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3</w:t>
            </w:r>
          </w:p>
        </w:tc>
        <w:tc>
          <w:tcPr>
            <w:tcW w:w="993" w:type="pct"/>
            <w:noWrap w:val="0"/>
            <w:vAlign w:val="center"/>
          </w:tcPr>
          <w:p>
            <w:pPr>
              <w:pStyle w:val="22"/>
              <w:bidi w:val="0"/>
              <w:rPr>
                <w:color w:val="auto"/>
                <w:highlight w:val="none"/>
              </w:rPr>
            </w:pPr>
            <w:r>
              <w:rPr>
                <w:rFonts w:hint="eastAsia"/>
                <w:color w:val="auto"/>
                <w:highlight w:val="none"/>
              </w:rPr>
              <w:t xml:space="preserve">3423487.00 </w:t>
            </w:r>
          </w:p>
        </w:tc>
        <w:tc>
          <w:tcPr>
            <w:tcW w:w="978" w:type="pct"/>
            <w:noWrap w:val="0"/>
            <w:vAlign w:val="center"/>
          </w:tcPr>
          <w:p>
            <w:pPr>
              <w:pStyle w:val="22"/>
              <w:bidi w:val="0"/>
              <w:rPr>
                <w:color w:val="auto"/>
                <w:highlight w:val="none"/>
              </w:rPr>
            </w:pPr>
            <w:r>
              <w:rPr>
                <w:rFonts w:hint="eastAsia"/>
                <w:color w:val="auto"/>
                <w:highlight w:val="none"/>
              </w:rPr>
              <w:t xml:space="preserve">36425041.00 </w:t>
            </w:r>
          </w:p>
        </w:tc>
        <w:tc>
          <w:tcPr>
            <w:tcW w:w="1259" w:type="pct"/>
            <w:noWrap w:val="0"/>
            <w:vAlign w:val="center"/>
          </w:tcPr>
          <w:p>
            <w:pPr>
              <w:pStyle w:val="22"/>
              <w:bidi w:val="0"/>
              <w:rPr>
                <w:color w:val="auto"/>
                <w:highlight w:val="none"/>
              </w:rPr>
            </w:pPr>
            <w:r>
              <w:rPr>
                <w:rFonts w:hint="eastAsia"/>
                <w:color w:val="auto"/>
                <w:highlight w:val="none"/>
              </w:rPr>
              <w:t>30°55′48.32″</w:t>
            </w:r>
          </w:p>
        </w:tc>
        <w:tc>
          <w:tcPr>
            <w:tcW w:w="1362" w:type="pct"/>
            <w:noWrap w:val="0"/>
            <w:vAlign w:val="center"/>
          </w:tcPr>
          <w:p>
            <w:pPr>
              <w:pStyle w:val="22"/>
              <w:bidi w:val="0"/>
              <w:rPr>
                <w:color w:val="auto"/>
                <w:highlight w:val="none"/>
              </w:rPr>
            </w:pPr>
            <w:r>
              <w:rPr>
                <w:rFonts w:hint="eastAsia"/>
                <w:color w:val="auto"/>
                <w:highlight w:val="none"/>
              </w:rPr>
              <w:t>107°12′56.55″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4</w:t>
            </w:r>
          </w:p>
        </w:tc>
        <w:tc>
          <w:tcPr>
            <w:tcW w:w="993" w:type="pct"/>
            <w:noWrap w:val="0"/>
            <w:vAlign w:val="center"/>
          </w:tcPr>
          <w:p>
            <w:pPr>
              <w:pStyle w:val="22"/>
              <w:bidi w:val="0"/>
              <w:rPr>
                <w:color w:val="auto"/>
                <w:highlight w:val="none"/>
              </w:rPr>
            </w:pPr>
            <w:r>
              <w:rPr>
                <w:rFonts w:hint="eastAsia"/>
                <w:color w:val="auto"/>
                <w:highlight w:val="none"/>
              </w:rPr>
              <w:t xml:space="preserve">3425415.00 </w:t>
            </w:r>
          </w:p>
        </w:tc>
        <w:tc>
          <w:tcPr>
            <w:tcW w:w="978" w:type="pct"/>
            <w:noWrap w:val="0"/>
            <w:vAlign w:val="center"/>
          </w:tcPr>
          <w:p>
            <w:pPr>
              <w:pStyle w:val="22"/>
              <w:bidi w:val="0"/>
              <w:rPr>
                <w:color w:val="auto"/>
                <w:highlight w:val="none"/>
              </w:rPr>
            </w:pPr>
            <w:r>
              <w:rPr>
                <w:rFonts w:hint="eastAsia"/>
                <w:color w:val="auto"/>
                <w:highlight w:val="none"/>
              </w:rPr>
              <w:t xml:space="preserve">36425690.00 </w:t>
            </w:r>
          </w:p>
        </w:tc>
        <w:tc>
          <w:tcPr>
            <w:tcW w:w="1259" w:type="pct"/>
            <w:noWrap w:val="0"/>
            <w:vAlign w:val="center"/>
          </w:tcPr>
          <w:p>
            <w:pPr>
              <w:pStyle w:val="22"/>
              <w:bidi w:val="0"/>
              <w:rPr>
                <w:color w:val="auto"/>
                <w:highlight w:val="none"/>
              </w:rPr>
            </w:pPr>
            <w:r>
              <w:rPr>
                <w:rFonts w:hint="eastAsia"/>
                <w:color w:val="auto"/>
                <w:highlight w:val="none"/>
              </w:rPr>
              <w:t>30°56′51.06″</w:t>
            </w:r>
          </w:p>
        </w:tc>
        <w:tc>
          <w:tcPr>
            <w:tcW w:w="1362" w:type="pct"/>
            <w:noWrap w:val="0"/>
            <w:vAlign w:val="center"/>
          </w:tcPr>
          <w:p>
            <w:pPr>
              <w:pStyle w:val="22"/>
              <w:bidi w:val="0"/>
              <w:rPr>
                <w:color w:val="auto"/>
                <w:highlight w:val="none"/>
              </w:rPr>
            </w:pPr>
            <w:r>
              <w:rPr>
                <w:rFonts w:hint="eastAsia"/>
                <w:color w:val="auto"/>
                <w:highlight w:val="none"/>
              </w:rPr>
              <w:t>107°13′20.48″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8" w:hRule="atLeast"/>
          <w:jc w:val="center"/>
        </w:trPr>
        <w:tc>
          <w:tcPr>
            <w:tcW w:w="408" w:type="pct"/>
            <w:noWrap/>
            <w:vAlign w:val="center"/>
          </w:tcPr>
          <w:p>
            <w:pPr>
              <w:pStyle w:val="22"/>
              <w:bidi w:val="0"/>
              <w:rPr>
                <w:color w:val="auto"/>
                <w:highlight w:val="none"/>
              </w:rPr>
            </w:pPr>
            <w:r>
              <w:rPr>
                <w:color w:val="auto"/>
                <w:highlight w:val="none"/>
              </w:rPr>
              <w:t>5</w:t>
            </w:r>
          </w:p>
        </w:tc>
        <w:tc>
          <w:tcPr>
            <w:tcW w:w="993" w:type="pct"/>
            <w:noWrap w:val="0"/>
            <w:vAlign w:val="center"/>
          </w:tcPr>
          <w:p>
            <w:pPr>
              <w:pStyle w:val="22"/>
              <w:bidi w:val="0"/>
              <w:rPr>
                <w:color w:val="auto"/>
                <w:highlight w:val="none"/>
              </w:rPr>
            </w:pPr>
            <w:r>
              <w:rPr>
                <w:rFonts w:hint="eastAsia"/>
                <w:color w:val="auto"/>
                <w:highlight w:val="none"/>
              </w:rPr>
              <w:t xml:space="preserve">3426532.00 </w:t>
            </w:r>
          </w:p>
        </w:tc>
        <w:tc>
          <w:tcPr>
            <w:tcW w:w="978" w:type="pct"/>
            <w:noWrap w:val="0"/>
            <w:vAlign w:val="center"/>
          </w:tcPr>
          <w:p>
            <w:pPr>
              <w:pStyle w:val="22"/>
              <w:bidi w:val="0"/>
              <w:rPr>
                <w:color w:val="auto"/>
                <w:highlight w:val="none"/>
              </w:rPr>
            </w:pPr>
            <w:r>
              <w:rPr>
                <w:rFonts w:hint="eastAsia"/>
                <w:color w:val="auto"/>
                <w:highlight w:val="none"/>
              </w:rPr>
              <w:t xml:space="preserve">36426085.00 </w:t>
            </w:r>
          </w:p>
        </w:tc>
        <w:tc>
          <w:tcPr>
            <w:tcW w:w="1259" w:type="pct"/>
            <w:noWrap w:val="0"/>
            <w:vAlign w:val="center"/>
          </w:tcPr>
          <w:p>
            <w:pPr>
              <w:pStyle w:val="22"/>
              <w:bidi w:val="0"/>
              <w:rPr>
                <w:color w:val="auto"/>
                <w:highlight w:val="none"/>
              </w:rPr>
            </w:pPr>
            <w:r>
              <w:rPr>
                <w:rFonts w:hint="eastAsia"/>
                <w:color w:val="auto"/>
                <w:highlight w:val="none"/>
              </w:rPr>
              <w:t>30°57′27.42″</w:t>
            </w:r>
          </w:p>
        </w:tc>
        <w:tc>
          <w:tcPr>
            <w:tcW w:w="1362" w:type="pct"/>
            <w:noWrap w:val="0"/>
            <w:vAlign w:val="center"/>
          </w:tcPr>
          <w:p>
            <w:pPr>
              <w:pStyle w:val="22"/>
              <w:bidi w:val="0"/>
              <w:rPr>
                <w:color w:val="auto"/>
                <w:highlight w:val="none"/>
              </w:rPr>
            </w:pPr>
            <w:r>
              <w:rPr>
                <w:rFonts w:hint="eastAsia"/>
                <w:color w:val="auto"/>
                <w:highlight w:val="none"/>
              </w:rPr>
              <w:t>107°13′35.07″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6</w:t>
            </w:r>
          </w:p>
        </w:tc>
        <w:tc>
          <w:tcPr>
            <w:tcW w:w="993" w:type="pct"/>
            <w:noWrap w:val="0"/>
            <w:vAlign w:val="center"/>
          </w:tcPr>
          <w:p>
            <w:pPr>
              <w:pStyle w:val="22"/>
              <w:bidi w:val="0"/>
              <w:rPr>
                <w:color w:val="auto"/>
                <w:highlight w:val="none"/>
              </w:rPr>
            </w:pPr>
            <w:r>
              <w:rPr>
                <w:rFonts w:hint="eastAsia"/>
                <w:color w:val="auto"/>
                <w:highlight w:val="none"/>
              </w:rPr>
              <w:t xml:space="preserve">3427511.00 </w:t>
            </w:r>
          </w:p>
        </w:tc>
        <w:tc>
          <w:tcPr>
            <w:tcW w:w="978" w:type="pct"/>
            <w:noWrap w:val="0"/>
            <w:vAlign w:val="center"/>
          </w:tcPr>
          <w:p>
            <w:pPr>
              <w:pStyle w:val="22"/>
              <w:bidi w:val="0"/>
              <w:rPr>
                <w:color w:val="auto"/>
                <w:highlight w:val="none"/>
              </w:rPr>
            </w:pPr>
            <w:r>
              <w:rPr>
                <w:rFonts w:hint="eastAsia"/>
                <w:color w:val="auto"/>
                <w:highlight w:val="none"/>
              </w:rPr>
              <w:t xml:space="preserve">36426498.00 </w:t>
            </w:r>
          </w:p>
        </w:tc>
        <w:tc>
          <w:tcPr>
            <w:tcW w:w="1259" w:type="pct"/>
            <w:noWrap w:val="0"/>
            <w:vAlign w:val="center"/>
          </w:tcPr>
          <w:p>
            <w:pPr>
              <w:pStyle w:val="22"/>
              <w:bidi w:val="0"/>
              <w:rPr>
                <w:color w:val="auto"/>
                <w:highlight w:val="none"/>
              </w:rPr>
            </w:pPr>
            <w:r>
              <w:rPr>
                <w:rFonts w:hint="eastAsia"/>
                <w:color w:val="auto"/>
                <w:highlight w:val="none"/>
              </w:rPr>
              <w:t>30°57′59.30″</w:t>
            </w:r>
          </w:p>
        </w:tc>
        <w:tc>
          <w:tcPr>
            <w:tcW w:w="1362" w:type="pct"/>
            <w:noWrap w:val="0"/>
            <w:vAlign w:val="center"/>
          </w:tcPr>
          <w:p>
            <w:pPr>
              <w:pStyle w:val="22"/>
              <w:bidi w:val="0"/>
              <w:rPr>
                <w:color w:val="auto"/>
                <w:highlight w:val="none"/>
              </w:rPr>
            </w:pPr>
            <w:r>
              <w:rPr>
                <w:rFonts w:hint="eastAsia"/>
                <w:color w:val="auto"/>
                <w:highlight w:val="none"/>
              </w:rPr>
              <w:t>107°13′50.38″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7</w:t>
            </w:r>
          </w:p>
        </w:tc>
        <w:tc>
          <w:tcPr>
            <w:tcW w:w="993" w:type="pct"/>
            <w:noWrap w:val="0"/>
            <w:vAlign w:val="center"/>
          </w:tcPr>
          <w:p>
            <w:pPr>
              <w:pStyle w:val="22"/>
              <w:bidi w:val="0"/>
              <w:rPr>
                <w:color w:val="auto"/>
                <w:highlight w:val="none"/>
              </w:rPr>
            </w:pPr>
            <w:r>
              <w:rPr>
                <w:rFonts w:hint="eastAsia"/>
                <w:color w:val="auto"/>
                <w:highlight w:val="none"/>
              </w:rPr>
              <w:t xml:space="preserve">3427575.00 </w:t>
            </w:r>
          </w:p>
        </w:tc>
        <w:tc>
          <w:tcPr>
            <w:tcW w:w="978" w:type="pct"/>
            <w:noWrap w:val="0"/>
            <w:vAlign w:val="center"/>
          </w:tcPr>
          <w:p>
            <w:pPr>
              <w:pStyle w:val="22"/>
              <w:bidi w:val="0"/>
              <w:rPr>
                <w:color w:val="auto"/>
                <w:highlight w:val="none"/>
              </w:rPr>
            </w:pPr>
            <w:r>
              <w:rPr>
                <w:rFonts w:hint="eastAsia"/>
                <w:color w:val="auto"/>
                <w:highlight w:val="none"/>
              </w:rPr>
              <w:t xml:space="preserve">36426375.00 </w:t>
            </w:r>
          </w:p>
        </w:tc>
        <w:tc>
          <w:tcPr>
            <w:tcW w:w="1259" w:type="pct"/>
            <w:noWrap w:val="0"/>
            <w:vAlign w:val="center"/>
          </w:tcPr>
          <w:p>
            <w:pPr>
              <w:pStyle w:val="22"/>
              <w:bidi w:val="0"/>
              <w:rPr>
                <w:color w:val="auto"/>
                <w:highlight w:val="none"/>
              </w:rPr>
            </w:pPr>
            <w:r>
              <w:rPr>
                <w:rFonts w:hint="eastAsia"/>
                <w:color w:val="auto"/>
                <w:highlight w:val="none"/>
              </w:rPr>
              <w:t>30°58′01.35″</w:t>
            </w:r>
          </w:p>
        </w:tc>
        <w:tc>
          <w:tcPr>
            <w:tcW w:w="1362" w:type="pct"/>
            <w:noWrap w:val="0"/>
            <w:vAlign w:val="center"/>
          </w:tcPr>
          <w:p>
            <w:pPr>
              <w:pStyle w:val="22"/>
              <w:bidi w:val="0"/>
              <w:rPr>
                <w:color w:val="auto"/>
                <w:highlight w:val="none"/>
              </w:rPr>
            </w:pPr>
            <w:r>
              <w:rPr>
                <w:rFonts w:hint="eastAsia"/>
                <w:color w:val="auto"/>
                <w:highlight w:val="none"/>
              </w:rPr>
              <w:t>107°13′45.72″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8</w:t>
            </w:r>
          </w:p>
        </w:tc>
        <w:tc>
          <w:tcPr>
            <w:tcW w:w="993" w:type="pct"/>
            <w:noWrap w:val="0"/>
            <w:vAlign w:val="center"/>
          </w:tcPr>
          <w:p>
            <w:pPr>
              <w:pStyle w:val="22"/>
              <w:bidi w:val="0"/>
              <w:rPr>
                <w:color w:val="auto"/>
                <w:highlight w:val="none"/>
              </w:rPr>
            </w:pPr>
            <w:r>
              <w:rPr>
                <w:rFonts w:hint="eastAsia"/>
                <w:color w:val="auto"/>
                <w:highlight w:val="none"/>
              </w:rPr>
              <w:t xml:space="preserve">3427856.00 </w:t>
            </w:r>
          </w:p>
        </w:tc>
        <w:tc>
          <w:tcPr>
            <w:tcW w:w="978" w:type="pct"/>
            <w:noWrap w:val="0"/>
            <w:vAlign w:val="center"/>
          </w:tcPr>
          <w:p>
            <w:pPr>
              <w:pStyle w:val="22"/>
              <w:bidi w:val="0"/>
              <w:rPr>
                <w:color w:val="auto"/>
                <w:highlight w:val="none"/>
              </w:rPr>
            </w:pPr>
            <w:r>
              <w:rPr>
                <w:rFonts w:hint="eastAsia"/>
                <w:color w:val="auto"/>
                <w:highlight w:val="none"/>
              </w:rPr>
              <w:t xml:space="preserve">36426506.00 </w:t>
            </w:r>
          </w:p>
        </w:tc>
        <w:tc>
          <w:tcPr>
            <w:tcW w:w="1259" w:type="pct"/>
            <w:noWrap w:val="0"/>
            <w:vAlign w:val="center"/>
          </w:tcPr>
          <w:p>
            <w:pPr>
              <w:pStyle w:val="22"/>
              <w:bidi w:val="0"/>
              <w:rPr>
                <w:color w:val="auto"/>
                <w:highlight w:val="none"/>
              </w:rPr>
            </w:pPr>
            <w:r>
              <w:rPr>
                <w:rFonts w:hint="eastAsia"/>
                <w:color w:val="auto"/>
                <w:highlight w:val="none"/>
              </w:rPr>
              <w:t>30°58′10.50″</w:t>
            </w:r>
          </w:p>
        </w:tc>
        <w:tc>
          <w:tcPr>
            <w:tcW w:w="1362" w:type="pct"/>
            <w:noWrap w:val="0"/>
            <w:vAlign w:val="center"/>
          </w:tcPr>
          <w:p>
            <w:pPr>
              <w:pStyle w:val="22"/>
              <w:bidi w:val="0"/>
              <w:rPr>
                <w:color w:val="auto"/>
                <w:highlight w:val="none"/>
              </w:rPr>
            </w:pPr>
            <w:r>
              <w:rPr>
                <w:rFonts w:hint="eastAsia"/>
                <w:color w:val="auto"/>
                <w:highlight w:val="none"/>
              </w:rPr>
              <w:t>107°13′50.59″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9</w:t>
            </w:r>
          </w:p>
        </w:tc>
        <w:tc>
          <w:tcPr>
            <w:tcW w:w="993" w:type="pct"/>
            <w:noWrap w:val="0"/>
            <w:vAlign w:val="center"/>
          </w:tcPr>
          <w:p>
            <w:pPr>
              <w:pStyle w:val="22"/>
              <w:bidi w:val="0"/>
              <w:rPr>
                <w:color w:val="auto"/>
                <w:highlight w:val="none"/>
              </w:rPr>
            </w:pPr>
            <w:r>
              <w:rPr>
                <w:rFonts w:hint="eastAsia"/>
                <w:color w:val="auto"/>
                <w:highlight w:val="none"/>
              </w:rPr>
              <w:t xml:space="preserve">3427452.00 </w:t>
            </w:r>
          </w:p>
        </w:tc>
        <w:tc>
          <w:tcPr>
            <w:tcW w:w="978" w:type="pct"/>
            <w:noWrap w:val="0"/>
            <w:vAlign w:val="center"/>
          </w:tcPr>
          <w:p>
            <w:pPr>
              <w:pStyle w:val="22"/>
              <w:bidi w:val="0"/>
              <w:rPr>
                <w:color w:val="auto"/>
                <w:highlight w:val="none"/>
              </w:rPr>
            </w:pPr>
            <w:r>
              <w:rPr>
                <w:rFonts w:hint="eastAsia"/>
                <w:color w:val="auto"/>
                <w:highlight w:val="none"/>
              </w:rPr>
              <w:t xml:space="preserve">36427751.00 </w:t>
            </w:r>
          </w:p>
        </w:tc>
        <w:tc>
          <w:tcPr>
            <w:tcW w:w="1259" w:type="pct"/>
            <w:noWrap w:val="0"/>
            <w:vAlign w:val="center"/>
          </w:tcPr>
          <w:p>
            <w:pPr>
              <w:pStyle w:val="22"/>
              <w:bidi w:val="0"/>
              <w:rPr>
                <w:color w:val="auto"/>
                <w:highlight w:val="none"/>
              </w:rPr>
            </w:pPr>
            <w:r>
              <w:rPr>
                <w:rFonts w:hint="eastAsia"/>
                <w:color w:val="auto"/>
                <w:highlight w:val="none"/>
              </w:rPr>
              <w:t>30°57′57.66″</w:t>
            </w:r>
          </w:p>
        </w:tc>
        <w:tc>
          <w:tcPr>
            <w:tcW w:w="1362" w:type="pct"/>
            <w:noWrap w:val="0"/>
            <w:vAlign w:val="center"/>
          </w:tcPr>
          <w:p>
            <w:pPr>
              <w:pStyle w:val="22"/>
              <w:bidi w:val="0"/>
              <w:rPr>
                <w:color w:val="auto"/>
                <w:highlight w:val="none"/>
              </w:rPr>
            </w:pPr>
            <w:r>
              <w:rPr>
                <w:rFonts w:hint="eastAsia"/>
                <w:color w:val="auto"/>
                <w:highlight w:val="none"/>
              </w:rPr>
              <w:t>107°14′37.60″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10</w:t>
            </w:r>
          </w:p>
        </w:tc>
        <w:tc>
          <w:tcPr>
            <w:tcW w:w="993" w:type="pct"/>
            <w:noWrap w:val="0"/>
            <w:vAlign w:val="center"/>
          </w:tcPr>
          <w:p>
            <w:pPr>
              <w:pStyle w:val="22"/>
              <w:bidi w:val="0"/>
              <w:rPr>
                <w:color w:val="auto"/>
                <w:highlight w:val="none"/>
              </w:rPr>
            </w:pPr>
            <w:r>
              <w:rPr>
                <w:rFonts w:hint="eastAsia"/>
                <w:color w:val="auto"/>
                <w:highlight w:val="none"/>
              </w:rPr>
              <w:t xml:space="preserve">3426252.00 </w:t>
            </w:r>
          </w:p>
        </w:tc>
        <w:tc>
          <w:tcPr>
            <w:tcW w:w="978" w:type="pct"/>
            <w:noWrap w:val="0"/>
            <w:vAlign w:val="center"/>
          </w:tcPr>
          <w:p>
            <w:pPr>
              <w:pStyle w:val="22"/>
              <w:bidi w:val="0"/>
              <w:rPr>
                <w:color w:val="auto"/>
                <w:highlight w:val="none"/>
              </w:rPr>
            </w:pPr>
            <w:r>
              <w:rPr>
                <w:rFonts w:hint="eastAsia"/>
                <w:color w:val="auto"/>
                <w:highlight w:val="none"/>
              </w:rPr>
              <w:t xml:space="preserve">36427929.00 </w:t>
            </w:r>
          </w:p>
        </w:tc>
        <w:tc>
          <w:tcPr>
            <w:tcW w:w="1259" w:type="pct"/>
            <w:noWrap w:val="0"/>
            <w:vAlign w:val="center"/>
          </w:tcPr>
          <w:p>
            <w:pPr>
              <w:pStyle w:val="22"/>
              <w:bidi w:val="0"/>
              <w:rPr>
                <w:color w:val="auto"/>
                <w:highlight w:val="none"/>
              </w:rPr>
            </w:pPr>
            <w:r>
              <w:rPr>
                <w:rFonts w:hint="eastAsia"/>
                <w:color w:val="auto"/>
                <w:highlight w:val="none"/>
              </w:rPr>
              <w:t>30°57′18.74″</w:t>
            </w:r>
          </w:p>
        </w:tc>
        <w:tc>
          <w:tcPr>
            <w:tcW w:w="1362" w:type="pct"/>
            <w:noWrap w:val="0"/>
            <w:vAlign w:val="center"/>
          </w:tcPr>
          <w:p>
            <w:pPr>
              <w:pStyle w:val="22"/>
              <w:bidi w:val="0"/>
              <w:rPr>
                <w:color w:val="auto"/>
                <w:highlight w:val="none"/>
              </w:rPr>
            </w:pPr>
            <w:r>
              <w:rPr>
                <w:rFonts w:hint="eastAsia"/>
                <w:color w:val="auto"/>
                <w:highlight w:val="none"/>
              </w:rPr>
              <w:t>107°14′44.61″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11</w:t>
            </w:r>
          </w:p>
        </w:tc>
        <w:tc>
          <w:tcPr>
            <w:tcW w:w="993" w:type="pct"/>
            <w:noWrap w:val="0"/>
            <w:vAlign w:val="center"/>
          </w:tcPr>
          <w:p>
            <w:pPr>
              <w:pStyle w:val="22"/>
              <w:bidi w:val="0"/>
              <w:rPr>
                <w:color w:val="auto"/>
                <w:highlight w:val="none"/>
              </w:rPr>
            </w:pPr>
            <w:r>
              <w:rPr>
                <w:rFonts w:hint="eastAsia"/>
                <w:color w:val="auto"/>
                <w:highlight w:val="none"/>
              </w:rPr>
              <w:t xml:space="preserve">3425336.00 </w:t>
            </w:r>
          </w:p>
        </w:tc>
        <w:tc>
          <w:tcPr>
            <w:tcW w:w="978" w:type="pct"/>
            <w:noWrap w:val="0"/>
            <w:vAlign w:val="center"/>
          </w:tcPr>
          <w:p>
            <w:pPr>
              <w:pStyle w:val="22"/>
              <w:bidi w:val="0"/>
              <w:rPr>
                <w:color w:val="auto"/>
                <w:highlight w:val="none"/>
              </w:rPr>
            </w:pPr>
            <w:r>
              <w:rPr>
                <w:rFonts w:hint="eastAsia"/>
                <w:color w:val="auto"/>
                <w:highlight w:val="none"/>
              </w:rPr>
              <w:t xml:space="preserve">36427628.00 </w:t>
            </w:r>
          </w:p>
        </w:tc>
        <w:tc>
          <w:tcPr>
            <w:tcW w:w="1259" w:type="pct"/>
            <w:noWrap w:val="0"/>
            <w:vAlign w:val="center"/>
          </w:tcPr>
          <w:p>
            <w:pPr>
              <w:pStyle w:val="22"/>
              <w:bidi w:val="0"/>
              <w:rPr>
                <w:color w:val="auto"/>
                <w:highlight w:val="none"/>
              </w:rPr>
            </w:pPr>
            <w:r>
              <w:rPr>
                <w:rFonts w:hint="eastAsia"/>
                <w:color w:val="auto"/>
                <w:highlight w:val="none"/>
              </w:rPr>
              <w:t>30°56′48.93″</w:t>
            </w:r>
          </w:p>
        </w:tc>
        <w:tc>
          <w:tcPr>
            <w:tcW w:w="1362" w:type="pct"/>
            <w:noWrap w:val="0"/>
            <w:vAlign w:val="center"/>
          </w:tcPr>
          <w:p>
            <w:pPr>
              <w:pStyle w:val="22"/>
              <w:bidi w:val="0"/>
              <w:rPr>
                <w:color w:val="auto"/>
                <w:highlight w:val="none"/>
              </w:rPr>
            </w:pPr>
            <w:r>
              <w:rPr>
                <w:rFonts w:hint="eastAsia"/>
                <w:color w:val="auto"/>
                <w:highlight w:val="none"/>
              </w:rPr>
              <w:t>107°14′33.51″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12</w:t>
            </w:r>
          </w:p>
        </w:tc>
        <w:tc>
          <w:tcPr>
            <w:tcW w:w="993" w:type="pct"/>
            <w:noWrap w:val="0"/>
            <w:vAlign w:val="center"/>
          </w:tcPr>
          <w:p>
            <w:pPr>
              <w:pStyle w:val="22"/>
              <w:bidi w:val="0"/>
              <w:rPr>
                <w:color w:val="auto"/>
                <w:highlight w:val="none"/>
              </w:rPr>
            </w:pPr>
            <w:r>
              <w:rPr>
                <w:rFonts w:hint="eastAsia"/>
                <w:color w:val="auto"/>
                <w:highlight w:val="none"/>
              </w:rPr>
              <w:t xml:space="preserve">3424081.00 </w:t>
            </w:r>
          </w:p>
        </w:tc>
        <w:tc>
          <w:tcPr>
            <w:tcW w:w="978" w:type="pct"/>
            <w:noWrap w:val="0"/>
            <w:vAlign w:val="center"/>
          </w:tcPr>
          <w:p>
            <w:pPr>
              <w:pStyle w:val="22"/>
              <w:bidi w:val="0"/>
              <w:rPr>
                <w:color w:val="auto"/>
                <w:highlight w:val="none"/>
              </w:rPr>
            </w:pPr>
            <w:r>
              <w:rPr>
                <w:rFonts w:hint="eastAsia"/>
                <w:color w:val="auto"/>
                <w:highlight w:val="none"/>
              </w:rPr>
              <w:t xml:space="preserve">36426937.00 </w:t>
            </w:r>
          </w:p>
        </w:tc>
        <w:tc>
          <w:tcPr>
            <w:tcW w:w="1259" w:type="pct"/>
            <w:noWrap w:val="0"/>
            <w:vAlign w:val="center"/>
          </w:tcPr>
          <w:p>
            <w:pPr>
              <w:pStyle w:val="22"/>
              <w:bidi w:val="0"/>
              <w:rPr>
                <w:color w:val="auto"/>
                <w:highlight w:val="none"/>
              </w:rPr>
            </w:pPr>
            <w:r>
              <w:rPr>
                <w:rFonts w:hint="eastAsia"/>
                <w:color w:val="auto"/>
                <w:highlight w:val="none"/>
              </w:rPr>
              <w:t>30°56′08.03″</w:t>
            </w:r>
          </w:p>
        </w:tc>
        <w:tc>
          <w:tcPr>
            <w:tcW w:w="1362" w:type="pct"/>
            <w:noWrap w:val="0"/>
            <w:vAlign w:val="center"/>
          </w:tcPr>
          <w:p>
            <w:pPr>
              <w:pStyle w:val="22"/>
              <w:bidi w:val="0"/>
              <w:rPr>
                <w:color w:val="auto"/>
                <w:highlight w:val="none"/>
              </w:rPr>
            </w:pPr>
            <w:r>
              <w:rPr>
                <w:rFonts w:hint="eastAsia"/>
                <w:color w:val="auto"/>
                <w:highlight w:val="none"/>
              </w:rPr>
              <w:t>107°14′07.80″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13</w:t>
            </w:r>
          </w:p>
        </w:tc>
        <w:tc>
          <w:tcPr>
            <w:tcW w:w="993" w:type="pct"/>
            <w:noWrap w:val="0"/>
            <w:vAlign w:val="center"/>
          </w:tcPr>
          <w:p>
            <w:pPr>
              <w:pStyle w:val="22"/>
              <w:bidi w:val="0"/>
              <w:rPr>
                <w:color w:val="auto"/>
                <w:highlight w:val="none"/>
              </w:rPr>
            </w:pPr>
            <w:r>
              <w:rPr>
                <w:rFonts w:hint="eastAsia"/>
                <w:color w:val="auto"/>
                <w:highlight w:val="none"/>
              </w:rPr>
              <w:t xml:space="preserve">3422132.00 </w:t>
            </w:r>
          </w:p>
        </w:tc>
        <w:tc>
          <w:tcPr>
            <w:tcW w:w="978" w:type="pct"/>
            <w:noWrap w:val="0"/>
            <w:vAlign w:val="center"/>
          </w:tcPr>
          <w:p>
            <w:pPr>
              <w:pStyle w:val="22"/>
              <w:bidi w:val="0"/>
              <w:rPr>
                <w:color w:val="auto"/>
                <w:highlight w:val="none"/>
              </w:rPr>
            </w:pPr>
            <w:r>
              <w:rPr>
                <w:rFonts w:hint="eastAsia"/>
                <w:color w:val="auto"/>
                <w:highlight w:val="none"/>
              </w:rPr>
              <w:t xml:space="preserve">36425965.00 </w:t>
            </w:r>
          </w:p>
        </w:tc>
        <w:tc>
          <w:tcPr>
            <w:tcW w:w="1259" w:type="pct"/>
            <w:noWrap w:val="0"/>
            <w:vAlign w:val="center"/>
          </w:tcPr>
          <w:p>
            <w:pPr>
              <w:pStyle w:val="22"/>
              <w:bidi w:val="0"/>
              <w:rPr>
                <w:color w:val="auto"/>
                <w:highlight w:val="none"/>
              </w:rPr>
            </w:pPr>
            <w:r>
              <w:rPr>
                <w:rFonts w:hint="eastAsia"/>
                <w:color w:val="auto"/>
                <w:highlight w:val="none"/>
              </w:rPr>
              <w:t>30°55′04.53″</w:t>
            </w:r>
          </w:p>
        </w:tc>
        <w:tc>
          <w:tcPr>
            <w:tcW w:w="1362" w:type="pct"/>
            <w:noWrap w:val="0"/>
            <w:vAlign w:val="center"/>
          </w:tcPr>
          <w:p>
            <w:pPr>
              <w:pStyle w:val="22"/>
              <w:bidi w:val="0"/>
              <w:rPr>
                <w:color w:val="auto"/>
                <w:highlight w:val="none"/>
              </w:rPr>
            </w:pPr>
            <w:r>
              <w:rPr>
                <w:rFonts w:hint="eastAsia"/>
                <w:color w:val="auto"/>
                <w:highlight w:val="none"/>
              </w:rPr>
              <w:t>107°13′31.70″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08" w:type="pct"/>
            <w:noWrap/>
            <w:vAlign w:val="center"/>
          </w:tcPr>
          <w:p>
            <w:pPr>
              <w:pStyle w:val="22"/>
              <w:bidi w:val="0"/>
              <w:rPr>
                <w:color w:val="auto"/>
                <w:highlight w:val="none"/>
              </w:rPr>
            </w:pPr>
            <w:r>
              <w:rPr>
                <w:color w:val="auto"/>
                <w:highlight w:val="none"/>
              </w:rPr>
              <w:t>14</w:t>
            </w:r>
          </w:p>
        </w:tc>
        <w:tc>
          <w:tcPr>
            <w:tcW w:w="993" w:type="pct"/>
            <w:noWrap w:val="0"/>
            <w:vAlign w:val="center"/>
          </w:tcPr>
          <w:p>
            <w:pPr>
              <w:pStyle w:val="22"/>
              <w:bidi w:val="0"/>
              <w:rPr>
                <w:color w:val="auto"/>
                <w:highlight w:val="none"/>
              </w:rPr>
            </w:pPr>
            <w:r>
              <w:rPr>
                <w:rFonts w:hint="eastAsia"/>
                <w:color w:val="auto"/>
                <w:highlight w:val="none"/>
              </w:rPr>
              <w:t xml:space="preserve">3419640.00 </w:t>
            </w:r>
          </w:p>
        </w:tc>
        <w:tc>
          <w:tcPr>
            <w:tcW w:w="978" w:type="pct"/>
            <w:noWrap w:val="0"/>
            <w:vAlign w:val="center"/>
          </w:tcPr>
          <w:p>
            <w:pPr>
              <w:pStyle w:val="22"/>
              <w:bidi w:val="0"/>
              <w:rPr>
                <w:color w:val="auto"/>
                <w:highlight w:val="none"/>
              </w:rPr>
            </w:pPr>
            <w:r>
              <w:rPr>
                <w:rFonts w:hint="eastAsia"/>
                <w:color w:val="auto"/>
                <w:highlight w:val="none"/>
              </w:rPr>
              <w:t xml:space="preserve">36424814.00 </w:t>
            </w:r>
          </w:p>
        </w:tc>
        <w:tc>
          <w:tcPr>
            <w:tcW w:w="1259" w:type="pct"/>
            <w:noWrap w:val="0"/>
            <w:vAlign w:val="center"/>
          </w:tcPr>
          <w:p>
            <w:pPr>
              <w:pStyle w:val="22"/>
              <w:bidi w:val="0"/>
              <w:rPr>
                <w:color w:val="auto"/>
                <w:highlight w:val="none"/>
              </w:rPr>
            </w:pPr>
            <w:r>
              <w:rPr>
                <w:rFonts w:hint="eastAsia"/>
                <w:color w:val="auto"/>
                <w:highlight w:val="none"/>
              </w:rPr>
              <w:t>30°53′43.36″</w:t>
            </w:r>
          </w:p>
        </w:tc>
        <w:tc>
          <w:tcPr>
            <w:tcW w:w="1362" w:type="pct"/>
            <w:noWrap w:val="0"/>
            <w:vAlign w:val="center"/>
          </w:tcPr>
          <w:p>
            <w:pPr>
              <w:pStyle w:val="22"/>
              <w:bidi w:val="0"/>
              <w:rPr>
                <w:color w:val="auto"/>
                <w:highlight w:val="none"/>
              </w:rPr>
            </w:pPr>
            <w:r>
              <w:rPr>
                <w:rFonts w:hint="eastAsia"/>
                <w:color w:val="auto"/>
                <w:highlight w:val="none"/>
              </w:rPr>
              <w:t>107°12′49.02″</w:t>
            </w:r>
          </w:p>
        </w:tc>
      </w:tr>
    </w:tbl>
    <w:p>
      <w:pPr>
        <w:pStyle w:val="22"/>
        <w:bidi w:val="0"/>
        <w:rPr>
          <w:color w:val="auto"/>
          <w:highlight w:val="none"/>
        </w:rPr>
      </w:pPr>
      <w:r>
        <w:rPr>
          <w:rFonts w:hint="eastAsia"/>
          <w:color w:val="auto"/>
          <w:highlight w:val="none"/>
        </w:rPr>
        <w:t>表3-</w:t>
      </w:r>
      <w:r>
        <w:rPr>
          <w:rFonts w:hint="eastAsia"/>
          <w:color w:val="auto"/>
          <w:highlight w:val="none"/>
          <w:lang w:val="en-US" w:eastAsia="zh-CN"/>
        </w:rPr>
        <w:t xml:space="preserve">6.4 </w:t>
      </w:r>
      <w:r>
        <w:rPr>
          <w:rFonts w:hint="eastAsia"/>
          <w:color w:val="auto"/>
          <w:highlight w:val="none"/>
        </w:rPr>
        <w:t xml:space="preserve">  城门洞矿段煤炭详查范围拐点坐标表（2000坐标系）</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778"/>
        <w:gridCol w:w="1778"/>
        <w:gridCol w:w="1179"/>
        <w:gridCol w:w="1844"/>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58" w:type="dxa"/>
            <w:noWrap w:val="0"/>
            <w:vAlign w:val="center"/>
          </w:tcPr>
          <w:p>
            <w:pPr>
              <w:pStyle w:val="22"/>
              <w:bidi w:val="0"/>
              <w:rPr>
                <w:color w:val="auto"/>
                <w:highlight w:val="none"/>
              </w:rPr>
            </w:pPr>
            <w:bookmarkStart w:id="260" w:name="OLE_LINK3" w:colFirst="0" w:colLast="69"/>
            <w:r>
              <w:rPr>
                <w:color w:val="auto"/>
                <w:highlight w:val="none"/>
              </w:rPr>
              <w:t>拐点号</w:t>
            </w:r>
          </w:p>
        </w:tc>
        <w:tc>
          <w:tcPr>
            <w:tcW w:w="1558" w:type="dxa"/>
            <w:noWrap w:val="0"/>
            <w:vAlign w:val="top"/>
          </w:tcPr>
          <w:p>
            <w:pPr>
              <w:pStyle w:val="22"/>
              <w:bidi w:val="0"/>
              <w:rPr>
                <w:color w:val="auto"/>
                <w:highlight w:val="none"/>
              </w:rPr>
            </w:pPr>
            <w:r>
              <w:rPr>
                <w:color w:val="auto"/>
                <w:highlight w:val="none"/>
              </w:rPr>
              <w:t>纬度（°）</w:t>
            </w:r>
          </w:p>
        </w:tc>
        <w:tc>
          <w:tcPr>
            <w:tcW w:w="1558" w:type="dxa"/>
            <w:noWrap w:val="0"/>
            <w:vAlign w:val="top"/>
          </w:tcPr>
          <w:p>
            <w:pPr>
              <w:pStyle w:val="22"/>
              <w:bidi w:val="0"/>
              <w:rPr>
                <w:color w:val="auto"/>
                <w:highlight w:val="none"/>
              </w:rPr>
            </w:pPr>
            <w:r>
              <w:rPr>
                <w:color w:val="auto"/>
                <w:highlight w:val="none"/>
              </w:rPr>
              <w:t>经度（°）</w:t>
            </w:r>
          </w:p>
        </w:tc>
        <w:tc>
          <w:tcPr>
            <w:tcW w:w="1033" w:type="dxa"/>
            <w:noWrap w:val="0"/>
            <w:vAlign w:val="center"/>
          </w:tcPr>
          <w:p>
            <w:pPr>
              <w:pStyle w:val="22"/>
              <w:bidi w:val="0"/>
              <w:rPr>
                <w:color w:val="auto"/>
                <w:highlight w:val="none"/>
              </w:rPr>
            </w:pPr>
            <w:r>
              <w:rPr>
                <w:color w:val="auto"/>
                <w:highlight w:val="none"/>
              </w:rPr>
              <w:t>拐点号</w:t>
            </w:r>
          </w:p>
        </w:tc>
        <w:tc>
          <w:tcPr>
            <w:tcW w:w="1616" w:type="dxa"/>
            <w:noWrap w:val="0"/>
            <w:vAlign w:val="top"/>
          </w:tcPr>
          <w:p>
            <w:pPr>
              <w:pStyle w:val="22"/>
              <w:bidi w:val="0"/>
              <w:rPr>
                <w:color w:val="auto"/>
                <w:highlight w:val="none"/>
              </w:rPr>
            </w:pPr>
            <w:r>
              <w:rPr>
                <w:color w:val="auto"/>
                <w:highlight w:val="none"/>
              </w:rPr>
              <w:t>纬度（°）</w:t>
            </w:r>
          </w:p>
        </w:tc>
        <w:tc>
          <w:tcPr>
            <w:tcW w:w="1614" w:type="dxa"/>
            <w:noWrap w:val="0"/>
            <w:vAlign w:val="top"/>
          </w:tcPr>
          <w:p>
            <w:pPr>
              <w:pStyle w:val="22"/>
              <w:bidi w:val="0"/>
              <w:rPr>
                <w:color w:val="auto"/>
                <w:highlight w:val="none"/>
              </w:rPr>
            </w:pPr>
            <w:r>
              <w:rPr>
                <w:color w:val="auto"/>
                <w:highlight w:val="none"/>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1</w:t>
            </w:r>
          </w:p>
        </w:tc>
        <w:tc>
          <w:tcPr>
            <w:tcW w:w="1558" w:type="dxa"/>
            <w:noWrap w:val="0"/>
            <w:vAlign w:val="center"/>
          </w:tcPr>
          <w:p>
            <w:pPr>
              <w:pStyle w:val="22"/>
              <w:bidi w:val="0"/>
              <w:rPr>
                <w:color w:val="auto"/>
                <w:highlight w:val="none"/>
              </w:rPr>
            </w:pPr>
            <w:r>
              <w:rPr>
                <w:color w:val="auto"/>
                <w:highlight w:val="none"/>
              </w:rPr>
              <w:t xml:space="preserve">107.2021 </w:t>
            </w:r>
          </w:p>
        </w:tc>
        <w:tc>
          <w:tcPr>
            <w:tcW w:w="1558" w:type="dxa"/>
            <w:noWrap w:val="0"/>
            <w:vAlign w:val="center"/>
          </w:tcPr>
          <w:p>
            <w:pPr>
              <w:pStyle w:val="22"/>
              <w:bidi w:val="0"/>
              <w:rPr>
                <w:color w:val="auto"/>
                <w:highlight w:val="none"/>
              </w:rPr>
            </w:pPr>
            <w:r>
              <w:rPr>
                <w:color w:val="auto"/>
                <w:highlight w:val="none"/>
              </w:rPr>
              <w:t xml:space="preserve">30.2918 </w:t>
            </w:r>
          </w:p>
        </w:tc>
        <w:tc>
          <w:tcPr>
            <w:tcW w:w="1033" w:type="dxa"/>
            <w:noWrap w:val="0"/>
            <w:vAlign w:val="center"/>
          </w:tcPr>
          <w:p>
            <w:pPr>
              <w:pStyle w:val="22"/>
              <w:bidi w:val="0"/>
              <w:rPr>
                <w:color w:val="auto"/>
                <w:highlight w:val="none"/>
              </w:rPr>
            </w:pPr>
            <w:r>
              <w:rPr>
                <w:color w:val="auto"/>
                <w:highlight w:val="none"/>
              </w:rPr>
              <w:t>13</w:t>
            </w:r>
          </w:p>
        </w:tc>
        <w:tc>
          <w:tcPr>
            <w:tcW w:w="1616" w:type="dxa"/>
            <w:noWrap w:val="0"/>
            <w:vAlign w:val="center"/>
          </w:tcPr>
          <w:p>
            <w:pPr>
              <w:pStyle w:val="22"/>
              <w:bidi w:val="0"/>
              <w:rPr>
                <w:color w:val="auto"/>
                <w:highlight w:val="none"/>
              </w:rPr>
            </w:pPr>
            <w:r>
              <w:rPr>
                <w:color w:val="auto"/>
                <w:highlight w:val="none"/>
              </w:rPr>
              <w:t xml:space="preserve">107.2234 </w:t>
            </w:r>
          </w:p>
        </w:tc>
        <w:tc>
          <w:tcPr>
            <w:tcW w:w="1614" w:type="dxa"/>
            <w:noWrap w:val="0"/>
            <w:vAlign w:val="center"/>
          </w:tcPr>
          <w:p>
            <w:pPr>
              <w:pStyle w:val="22"/>
              <w:bidi w:val="0"/>
              <w:rPr>
                <w:color w:val="auto"/>
                <w:highlight w:val="none"/>
              </w:rPr>
            </w:pPr>
            <w:r>
              <w:rPr>
                <w:color w:val="auto"/>
                <w:highlight w:val="none"/>
              </w:rPr>
              <w:t xml:space="preserve">30.2947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2</w:t>
            </w:r>
          </w:p>
        </w:tc>
        <w:tc>
          <w:tcPr>
            <w:tcW w:w="1558" w:type="dxa"/>
            <w:noWrap w:val="0"/>
            <w:vAlign w:val="center"/>
          </w:tcPr>
          <w:p>
            <w:pPr>
              <w:pStyle w:val="22"/>
              <w:bidi w:val="0"/>
              <w:rPr>
                <w:color w:val="auto"/>
                <w:highlight w:val="none"/>
              </w:rPr>
            </w:pPr>
            <w:r>
              <w:rPr>
                <w:color w:val="auto"/>
                <w:highlight w:val="none"/>
              </w:rPr>
              <w:t xml:space="preserve">107.2154 </w:t>
            </w:r>
          </w:p>
        </w:tc>
        <w:tc>
          <w:tcPr>
            <w:tcW w:w="1558" w:type="dxa"/>
            <w:noWrap w:val="0"/>
            <w:vAlign w:val="center"/>
          </w:tcPr>
          <w:p>
            <w:pPr>
              <w:pStyle w:val="22"/>
              <w:bidi w:val="0"/>
              <w:rPr>
                <w:color w:val="auto"/>
                <w:highlight w:val="none"/>
              </w:rPr>
            </w:pPr>
            <w:r>
              <w:rPr>
                <w:color w:val="auto"/>
                <w:highlight w:val="none"/>
              </w:rPr>
              <w:t xml:space="preserve">30.3116 </w:t>
            </w:r>
          </w:p>
        </w:tc>
        <w:tc>
          <w:tcPr>
            <w:tcW w:w="1033" w:type="dxa"/>
            <w:noWrap w:val="0"/>
            <w:vAlign w:val="center"/>
          </w:tcPr>
          <w:p>
            <w:pPr>
              <w:pStyle w:val="22"/>
              <w:bidi w:val="0"/>
              <w:rPr>
                <w:color w:val="auto"/>
                <w:highlight w:val="none"/>
              </w:rPr>
            </w:pPr>
            <w:r>
              <w:rPr>
                <w:color w:val="auto"/>
                <w:highlight w:val="none"/>
              </w:rPr>
              <w:t>14</w:t>
            </w:r>
          </w:p>
        </w:tc>
        <w:tc>
          <w:tcPr>
            <w:tcW w:w="1616" w:type="dxa"/>
            <w:noWrap w:val="0"/>
            <w:vAlign w:val="center"/>
          </w:tcPr>
          <w:p>
            <w:pPr>
              <w:pStyle w:val="22"/>
              <w:bidi w:val="0"/>
              <w:rPr>
                <w:color w:val="auto"/>
                <w:highlight w:val="none"/>
              </w:rPr>
            </w:pPr>
            <w:r>
              <w:rPr>
                <w:color w:val="auto"/>
                <w:highlight w:val="none"/>
              </w:rPr>
              <w:t xml:space="preserve">107.2230 </w:t>
            </w:r>
          </w:p>
        </w:tc>
        <w:tc>
          <w:tcPr>
            <w:tcW w:w="1614" w:type="dxa"/>
            <w:noWrap w:val="0"/>
            <w:vAlign w:val="center"/>
          </w:tcPr>
          <w:p>
            <w:pPr>
              <w:pStyle w:val="22"/>
              <w:bidi w:val="0"/>
              <w:rPr>
                <w:color w:val="auto"/>
                <w:highlight w:val="none"/>
              </w:rPr>
            </w:pPr>
            <w:r>
              <w:rPr>
                <w:color w:val="auto"/>
                <w:highlight w:val="none"/>
              </w:rPr>
              <w:t xml:space="preserve">30.2947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3</w:t>
            </w:r>
          </w:p>
        </w:tc>
        <w:tc>
          <w:tcPr>
            <w:tcW w:w="1558" w:type="dxa"/>
            <w:noWrap w:val="0"/>
            <w:vAlign w:val="center"/>
          </w:tcPr>
          <w:p>
            <w:pPr>
              <w:pStyle w:val="22"/>
              <w:bidi w:val="0"/>
              <w:rPr>
                <w:color w:val="auto"/>
                <w:highlight w:val="none"/>
              </w:rPr>
            </w:pPr>
            <w:r>
              <w:rPr>
                <w:color w:val="auto"/>
                <w:highlight w:val="none"/>
              </w:rPr>
              <w:t xml:space="preserve">107.2146 </w:t>
            </w:r>
          </w:p>
        </w:tc>
        <w:tc>
          <w:tcPr>
            <w:tcW w:w="1558" w:type="dxa"/>
            <w:noWrap w:val="0"/>
            <w:vAlign w:val="center"/>
          </w:tcPr>
          <w:p>
            <w:pPr>
              <w:pStyle w:val="22"/>
              <w:bidi w:val="0"/>
              <w:rPr>
                <w:color w:val="auto"/>
                <w:highlight w:val="none"/>
              </w:rPr>
            </w:pPr>
            <w:r>
              <w:rPr>
                <w:color w:val="auto"/>
                <w:highlight w:val="none"/>
              </w:rPr>
              <w:t xml:space="preserve">30.3121 </w:t>
            </w:r>
          </w:p>
        </w:tc>
        <w:tc>
          <w:tcPr>
            <w:tcW w:w="1033" w:type="dxa"/>
            <w:noWrap w:val="0"/>
            <w:vAlign w:val="center"/>
          </w:tcPr>
          <w:p>
            <w:pPr>
              <w:pStyle w:val="22"/>
              <w:bidi w:val="0"/>
              <w:rPr>
                <w:color w:val="auto"/>
                <w:highlight w:val="none"/>
              </w:rPr>
            </w:pPr>
            <w:r>
              <w:rPr>
                <w:color w:val="auto"/>
                <w:highlight w:val="none"/>
              </w:rPr>
              <w:t>15</w:t>
            </w:r>
          </w:p>
        </w:tc>
        <w:tc>
          <w:tcPr>
            <w:tcW w:w="1616" w:type="dxa"/>
            <w:noWrap w:val="0"/>
            <w:vAlign w:val="center"/>
          </w:tcPr>
          <w:p>
            <w:pPr>
              <w:pStyle w:val="22"/>
              <w:bidi w:val="0"/>
              <w:rPr>
                <w:color w:val="auto"/>
                <w:highlight w:val="none"/>
              </w:rPr>
            </w:pPr>
            <w:r>
              <w:rPr>
                <w:color w:val="auto"/>
                <w:highlight w:val="none"/>
              </w:rPr>
              <w:t xml:space="preserve">107.2226 </w:t>
            </w:r>
          </w:p>
        </w:tc>
        <w:tc>
          <w:tcPr>
            <w:tcW w:w="1614" w:type="dxa"/>
            <w:noWrap w:val="0"/>
            <w:vAlign w:val="center"/>
          </w:tcPr>
          <w:p>
            <w:pPr>
              <w:pStyle w:val="22"/>
              <w:bidi w:val="0"/>
              <w:rPr>
                <w:color w:val="auto"/>
                <w:highlight w:val="none"/>
              </w:rPr>
            </w:pPr>
            <w:r>
              <w:rPr>
                <w:color w:val="auto"/>
                <w:highlight w:val="none"/>
              </w:rPr>
              <w:t xml:space="preserve">30.2945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4</w:t>
            </w:r>
          </w:p>
        </w:tc>
        <w:tc>
          <w:tcPr>
            <w:tcW w:w="1558" w:type="dxa"/>
            <w:noWrap w:val="0"/>
            <w:vAlign w:val="center"/>
          </w:tcPr>
          <w:p>
            <w:pPr>
              <w:pStyle w:val="22"/>
              <w:bidi w:val="0"/>
              <w:rPr>
                <w:color w:val="auto"/>
                <w:highlight w:val="none"/>
              </w:rPr>
            </w:pPr>
            <w:r>
              <w:rPr>
                <w:color w:val="auto"/>
                <w:highlight w:val="none"/>
              </w:rPr>
              <w:t xml:space="preserve">107.2154 </w:t>
            </w:r>
          </w:p>
        </w:tc>
        <w:tc>
          <w:tcPr>
            <w:tcW w:w="1558" w:type="dxa"/>
            <w:noWrap w:val="0"/>
            <w:vAlign w:val="center"/>
          </w:tcPr>
          <w:p>
            <w:pPr>
              <w:pStyle w:val="22"/>
              <w:bidi w:val="0"/>
              <w:rPr>
                <w:color w:val="auto"/>
                <w:highlight w:val="none"/>
              </w:rPr>
            </w:pPr>
            <w:r>
              <w:rPr>
                <w:color w:val="auto"/>
                <w:highlight w:val="none"/>
              </w:rPr>
              <w:t xml:space="preserve">30.3132 </w:t>
            </w:r>
          </w:p>
        </w:tc>
        <w:tc>
          <w:tcPr>
            <w:tcW w:w="1033" w:type="dxa"/>
            <w:noWrap w:val="0"/>
            <w:vAlign w:val="center"/>
          </w:tcPr>
          <w:p>
            <w:pPr>
              <w:pStyle w:val="22"/>
              <w:bidi w:val="0"/>
              <w:rPr>
                <w:color w:val="auto"/>
                <w:highlight w:val="none"/>
              </w:rPr>
            </w:pPr>
            <w:r>
              <w:rPr>
                <w:color w:val="auto"/>
                <w:highlight w:val="none"/>
              </w:rPr>
              <w:t>16</w:t>
            </w:r>
          </w:p>
        </w:tc>
        <w:tc>
          <w:tcPr>
            <w:tcW w:w="1616" w:type="dxa"/>
            <w:noWrap w:val="0"/>
            <w:vAlign w:val="center"/>
          </w:tcPr>
          <w:p>
            <w:pPr>
              <w:pStyle w:val="22"/>
              <w:bidi w:val="0"/>
              <w:rPr>
                <w:color w:val="auto"/>
                <w:highlight w:val="none"/>
              </w:rPr>
            </w:pPr>
            <w:r>
              <w:rPr>
                <w:color w:val="auto"/>
                <w:highlight w:val="none"/>
              </w:rPr>
              <w:t xml:space="preserve">107.2220 </w:t>
            </w:r>
          </w:p>
        </w:tc>
        <w:tc>
          <w:tcPr>
            <w:tcW w:w="1614" w:type="dxa"/>
            <w:noWrap w:val="0"/>
            <w:vAlign w:val="center"/>
          </w:tcPr>
          <w:p>
            <w:pPr>
              <w:pStyle w:val="22"/>
              <w:bidi w:val="0"/>
              <w:rPr>
                <w:color w:val="auto"/>
                <w:highlight w:val="none"/>
              </w:rPr>
            </w:pPr>
            <w:r>
              <w:rPr>
                <w:color w:val="auto"/>
                <w:highlight w:val="none"/>
              </w:rPr>
              <w:t xml:space="preserve">30.2945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5</w:t>
            </w:r>
          </w:p>
        </w:tc>
        <w:tc>
          <w:tcPr>
            <w:tcW w:w="1558" w:type="dxa"/>
            <w:noWrap w:val="0"/>
            <w:vAlign w:val="center"/>
          </w:tcPr>
          <w:p>
            <w:pPr>
              <w:pStyle w:val="22"/>
              <w:bidi w:val="0"/>
              <w:rPr>
                <w:color w:val="auto"/>
                <w:highlight w:val="none"/>
              </w:rPr>
            </w:pPr>
            <w:r>
              <w:rPr>
                <w:color w:val="auto"/>
                <w:highlight w:val="none"/>
              </w:rPr>
              <w:t xml:space="preserve">107.2204 </w:t>
            </w:r>
          </w:p>
        </w:tc>
        <w:tc>
          <w:tcPr>
            <w:tcW w:w="1558" w:type="dxa"/>
            <w:noWrap w:val="0"/>
            <w:vAlign w:val="center"/>
          </w:tcPr>
          <w:p>
            <w:pPr>
              <w:pStyle w:val="22"/>
              <w:bidi w:val="0"/>
              <w:rPr>
                <w:color w:val="auto"/>
                <w:highlight w:val="none"/>
              </w:rPr>
            </w:pPr>
            <w:r>
              <w:rPr>
                <w:color w:val="auto"/>
                <w:highlight w:val="none"/>
              </w:rPr>
              <w:t xml:space="preserve">30.3126 </w:t>
            </w:r>
          </w:p>
        </w:tc>
        <w:tc>
          <w:tcPr>
            <w:tcW w:w="1033" w:type="dxa"/>
            <w:noWrap w:val="0"/>
            <w:vAlign w:val="center"/>
          </w:tcPr>
          <w:p>
            <w:pPr>
              <w:pStyle w:val="22"/>
              <w:bidi w:val="0"/>
              <w:rPr>
                <w:color w:val="auto"/>
                <w:highlight w:val="none"/>
              </w:rPr>
            </w:pPr>
            <w:r>
              <w:rPr>
                <w:color w:val="auto"/>
                <w:highlight w:val="none"/>
              </w:rPr>
              <w:t>17</w:t>
            </w:r>
          </w:p>
        </w:tc>
        <w:tc>
          <w:tcPr>
            <w:tcW w:w="1616" w:type="dxa"/>
            <w:noWrap w:val="0"/>
            <w:vAlign w:val="center"/>
          </w:tcPr>
          <w:p>
            <w:pPr>
              <w:pStyle w:val="22"/>
              <w:bidi w:val="0"/>
              <w:rPr>
                <w:color w:val="auto"/>
                <w:highlight w:val="none"/>
              </w:rPr>
            </w:pPr>
            <w:r>
              <w:rPr>
                <w:color w:val="auto"/>
                <w:highlight w:val="none"/>
              </w:rPr>
              <w:t xml:space="preserve">107.2211 </w:t>
            </w:r>
          </w:p>
        </w:tc>
        <w:tc>
          <w:tcPr>
            <w:tcW w:w="1614" w:type="dxa"/>
            <w:noWrap w:val="0"/>
            <w:vAlign w:val="center"/>
          </w:tcPr>
          <w:p>
            <w:pPr>
              <w:pStyle w:val="22"/>
              <w:bidi w:val="0"/>
              <w:rPr>
                <w:color w:val="auto"/>
                <w:highlight w:val="none"/>
              </w:rPr>
            </w:pPr>
            <w:r>
              <w:rPr>
                <w:color w:val="auto"/>
                <w:highlight w:val="none"/>
              </w:rPr>
              <w:t xml:space="preserve">30.2957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6</w:t>
            </w:r>
          </w:p>
        </w:tc>
        <w:tc>
          <w:tcPr>
            <w:tcW w:w="1558" w:type="dxa"/>
            <w:noWrap w:val="0"/>
            <w:vAlign w:val="center"/>
          </w:tcPr>
          <w:p>
            <w:pPr>
              <w:pStyle w:val="22"/>
              <w:bidi w:val="0"/>
              <w:rPr>
                <w:color w:val="auto"/>
                <w:highlight w:val="none"/>
              </w:rPr>
            </w:pPr>
            <w:r>
              <w:rPr>
                <w:color w:val="auto"/>
                <w:highlight w:val="none"/>
              </w:rPr>
              <w:t xml:space="preserve">107.2335 </w:t>
            </w:r>
          </w:p>
        </w:tc>
        <w:tc>
          <w:tcPr>
            <w:tcW w:w="1558" w:type="dxa"/>
            <w:noWrap w:val="0"/>
            <w:vAlign w:val="center"/>
          </w:tcPr>
          <w:p>
            <w:pPr>
              <w:pStyle w:val="22"/>
              <w:bidi w:val="0"/>
              <w:rPr>
                <w:color w:val="auto"/>
                <w:highlight w:val="none"/>
              </w:rPr>
            </w:pPr>
            <w:r>
              <w:rPr>
                <w:color w:val="auto"/>
                <w:highlight w:val="none"/>
              </w:rPr>
              <w:t xml:space="preserve">30.3337 </w:t>
            </w:r>
          </w:p>
        </w:tc>
        <w:tc>
          <w:tcPr>
            <w:tcW w:w="1033" w:type="dxa"/>
            <w:noWrap w:val="0"/>
            <w:vAlign w:val="center"/>
          </w:tcPr>
          <w:p>
            <w:pPr>
              <w:pStyle w:val="22"/>
              <w:bidi w:val="0"/>
              <w:rPr>
                <w:color w:val="auto"/>
                <w:highlight w:val="none"/>
              </w:rPr>
            </w:pPr>
            <w:r>
              <w:rPr>
                <w:color w:val="auto"/>
                <w:highlight w:val="none"/>
              </w:rPr>
              <w:t>18</w:t>
            </w:r>
          </w:p>
        </w:tc>
        <w:tc>
          <w:tcPr>
            <w:tcW w:w="1616" w:type="dxa"/>
            <w:noWrap w:val="0"/>
            <w:vAlign w:val="center"/>
          </w:tcPr>
          <w:p>
            <w:pPr>
              <w:pStyle w:val="22"/>
              <w:bidi w:val="0"/>
              <w:rPr>
                <w:color w:val="auto"/>
                <w:highlight w:val="none"/>
              </w:rPr>
            </w:pPr>
            <w:r>
              <w:rPr>
                <w:color w:val="auto"/>
                <w:highlight w:val="none"/>
              </w:rPr>
              <w:t xml:space="preserve">107.2148 </w:t>
            </w:r>
          </w:p>
        </w:tc>
        <w:tc>
          <w:tcPr>
            <w:tcW w:w="1614" w:type="dxa"/>
            <w:noWrap w:val="0"/>
            <w:vAlign w:val="center"/>
          </w:tcPr>
          <w:p>
            <w:pPr>
              <w:pStyle w:val="22"/>
              <w:bidi w:val="0"/>
              <w:rPr>
                <w:color w:val="auto"/>
                <w:highlight w:val="none"/>
              </w:rPr>
            </w:pPr>
            <w:r>
              <w:rPr>
                <w:color w:val="auto"/>
                <w:highlight w:val="none"/>
              </w:rPr>
              <w:t xml:space="preserve">30.3007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7</w:t>
            </w:r>
          </w:p>
        </w:tc>
        <w:tc>
          <w:tcPr>
            <w:tcW w:w="1558" w:type="dxa"/>
            <w:noWrap w:val="0"/>
            <w:vAlign w:val="center"/>
          </w:tcPr>
          <w:p>
            <w:pPr>
              <w:pStyle w:val="22"/>
              <w:bidi w:val="0"/>
              <w:rPr>
                <w:color w:val="auto"/>
                <w:highlight w:val="none"/>
              </w:rPr>
            </w:pPr>
            <w:r>
              <w:rPr>
                <w:color w:val="auto"/>
                <w:highlight w:val="none"/>
              </w:rPr>
              <w:t xml:space="preserve">107.2410 </w:t>
            </w:r>
          </w:p>
        </w:tc>
        <w:tc>
          <w:tcPr>
            <w:tcW w:w="1558" w:type="dxa"/>
            <w:noWrap w:val="0"/>
            <w:vAlign w:val="center"/>
          </w:tcPr>
          <w:p>
            <w:pPr>
              <w:pStyle w:val="22"/>
              <w:bidi w:val="0"/>
              <w:rPr>
                <w:color w:val="auto"/>
                <w:highlight w:val="none"/>
              </w:rPr>
            </w:pPr>
            <w:r>
              <w:rPr>
                <w:color w:val="auto"/>
                <w:highlight w:val="none"/>
              </w:rPr>
              <w:t xml:space="preserve">30.3313 </w:t>
            </w:r>
          </w:p>
        </w:tc>
        <w:tc>
          <w:tcPr>
            <w:tcW w:w="1033" w:type="dxa"/>
            <w:noWrap w:val="0"/>
            <w:vAlign w:val="center"/>
          </w:tcPr>
          <w:p>
            <w:pPr>
              <w:pStyle w:val="22"/>
              <w:bidi w:val="0"/>
              <w:rPr>
                <w:color w:val="auto"/>
                <w:highlight w:val="none"/>
              </w:rPr>
            </w:pPr>
            <w:r>
              <w:rPr>
                <w:color w:val="auto"/>
                <w:highlight w:val="none"/>
              </w:rPr>
              <w:t>19</w:t>
            </w:r>
          </w:p>
        </w:tc>
        <w:tc>
          <w:tcPr>
            <w:tcW w:w="1616" w:type="dxa"/>
            <w:noWrap w:val="0"/>
            <w:vAlign w:val="center"/>
          </w:tcPr>
          <w:p>
            <w:pPr>
              <w:pStyle w:val="22"/>
              <w:bidi w:val="0"/>
              <w:rPr>
                <w:color w:val="auto"/>
                <w:highlight w:val="none"/>
              </w:rPr>
            </w:pPr>
            <w:r>
              <w:rPr>
                <w:color w:val="auto"/>
                <w:highlight w:val="none"/>
              </w:rPr>
              <w:t xml:space="preserve">107.2127 </w:t>
            </w:r>
          </w:p>
        </w:tc>
        <w:tc>
          <w:tcPr>
            <w:tcW w:w="1614" w:type="dxa"/>
            <w:noWrap w:val="0"/>
            <w:vAlign w:val="center"/>
          </w:tcPr>
          <w:p>
            <w:pPr>
              <w:pStyle w:val="22"/>
              <w:bidi w:val="0"/>
              <w:rPr>
                <w:color w:val="auto"/>
                <w:highlight w:val="none"/>
              </w:rPr>
            </w:pPr>
            <w:r>
              <w:rPr>
                <w:color w:val="auto"/>
                <w:highlight w:val="none"/>
              </w:rPr>
              <w:t xml:space="preserve">30.2950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8</w:t>
            </w:r>
          </w:p>
        </w:tc>
        <w:tc>
          <w:tcPr>
            <w:tcW w:w="1558" w:type="dxa"/>
            <w:noWrap w:val="0"/>
            <w:vAlign w:val="center"/>
          </w:tcPr>
          <w:p>
            <w:pPr>
              <w:pStyle w:val="22"/>
              <w:bidi w:val="0"/>
              <w:rPr>
                <w:color w:val="auto"/>
                <w:highlight w:val="none"/>
              </w:rPr>
            </w:pPr>
            <w:r>
              <w:rPr>
                <w:color w:val="auto"/>
                <w:highlight w:val="none"/>
              </w:rPr>
              <w:t xml:space="preserve">107.2343 </w:t>
            </w:r>
          </w:p>
        </w:tc>
        <w:tc>
          <w:tcPr>
            <w:tcW w:w="1558" w:type="dxa"/>
            <w:noWrap w:val="0"/>
            <w:vAlign w:val="center"/>
          </w:tcPr>
          <w:p>
            <w:pPr>
              <w:pStyle w:val="22"/>
              <w:bidi w:val="0"/>
              <w:rPr>
                <w:color w:val="auto"/>
                <w:highlight w:val="none"/>
              </w:rPr>
            </w:pPr>
            <w:r>
              <w:rPr>
                <w:color w:val="auto"/>
                <w:highlight w:val="none"/>
              </w:rPr>
              <w:t xml:space="preserve">30.3252 </w:t>
            </w:r>
          </w:p>
        </w:tc>
        <w:tc>
          <w:tcPr>
            <w:tcW w:w="1033" w:type="dxa"/>
            <w:noWrap w:val="0"/>
            <w:vAlign w:val="center"/>
          </w:tcPr>
          <w:p>
            <w:pPr>
              <w:pStyle w:val="22"/>
              <w:bidi w:val="0"/>
              <w:rPr>
                <w:color w:val="auto"/>
                <w:highlight w:val="none"/>
              </w:rPr>
            </w:pPr>
            <w:r>
              <w:rPr>
                <w:color w:val="auto"/>
                <w:highlight w:val="none"/>
              </w:rPr>
              <w:t>20</w:t>
            </w:r>
          </w:p>
        </w:tc>
        <w:tc>
          <w:tcPr>
            <w:tcW w:w="1616" w:type="dxa"/>
            <w:noWrap w:val="0"/>
            <w:vAlign w:val="center"/>
          </w:tcPr>
          <w:p>
            <w:pPr>
              <w:pStyle w:val="22"/>
              <w:bidi w:val="0"/>
              <w:rPr>
                <w:color w:val="auto"/>
                <w:highlight w:val="none"/>
              </w:rPr>
            </w:pPr>
            <w:r>
              <w:rPr>
                <w:color w:val="auto"/>
                <w:highlight w:val="none"/>
              </w:rPr>
              <w:t xml:space="preserve">107.2134 </w:t>
            </w:r>
          </w:p>
        </w:tc>
        <w:tc>
          <w:tcPr>
            <w:tcW w:w="1614" w:type="dxa"/>
            <w:noWrap w:val="0"/>
            <w:vAlign w:val="center"/>
          </w:tcPr>
          <w:p>
            <w:pPr>
              <w:pStyle w:val="22"/>
              <w:bidi w:val="0"/>
              <w:rPr>
                <w:color w:val="auto"/>
                <w:highlight w:val="none"/>
              </w:rPr>
            </w:pPr>
            <w:r>
              <w:rPr>
                <w:color w:val="auto"/>
                <w:highlight w:val="none"/>
              </w:rPr>
              <w:t xml:space="preserve">30.2935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9</w:t>
            </w:r>
          </w:p>
        </w:tc>
        <w:tc>
          <w:tcPr>
            <w:tcW w:w="1558" w:type="dxa"/>
            <w:noWrap w:val="0"/>
            <w:vAlign w:val="center"/>
          </w:tcPr>
          <w:p>
            <w:pPr>
              <w:pStyle w:val="22"/>
              <w:bidi w:val="0"/>
              <w:rPr>
                <w:color w:val="auto"/>
                <w:highlight w:val="none"/>
              </w:rPr>
            </w:pPr>
            <w:r>
              <w:rPr>
                <w:color w:val="auto"/>
                <w:highlight w:val="none"/>
              </w:rPr>
              <w:t xml:space="preserve">107.2358 </w:t>
            </w:r>
          </w:p>
        </w:tc>
        <w:tc>
          <w:tcPr>
            <w:tcW w:w="1558" w:type="dxa"/>
            <w:noWrap w:val="0"/>
            <w:vAlign w:val="center"/>
          </w:tcPr>
          <w:p>
            <w:pPr>
              <w:pStyle w:val="22"/>
              <w:bidi w:val="0"/>
              <w:rPr>
                <w:color w:val="auto"/>
                <w:highlight w:val="none"/>
              </w:rPr>
            </w:pPr>
            <w:r>
              <w:rPr>
                <w:color w:val="auto"/>
                <w:highlight w:val="none"/>
              </w:rPr>
              <w:t xml:space="preserve">30.3236 </w:t>
            </w:r>
          </w:p>
        </w:tc>
        <w:tc>
          <w:tcPr>
            <w:tcW w:w="1033" w:type="dxa"/>
            <w:noWrap w:val="0"/>
            <w:vAlign w:val="center"/>
          </w:tcPr>
          <w:p>
            <w:pPr>
              <w:pStyle w:val="22"/>
              <w:bidi w:val="0"/>
              <w:rPr>
                <w:color w:val="auto"/>
                <w:highlight w:val="none"/>
              </w:rPr>
            </w:pPr>
            <w:r>
              <w:rPr>
                <w:color w:val="auto"/>
                <w:highlight w:val="none"/>
              </w:rPr>
              <w:t>21</w:t>
            </w:r>
          </w:p>
        </w:tc>
        <w:tc>
          <w:tcPr>
            <w:tcW w:w="1616" w:type="dxa"/>
            <w:noWrap w:val="0"/>
            <w:vAlign w:val="center"/>
          </w:tcPr>
          <w:p>
            <w:pPr>
              <w:pStyle w:val="22"/>
              <w:bidi w:val="0"/>
              <w:rPr>
                <w:color w:val="auto"/>
                <w:highlight w:val="none"/>
              </w:rPr>
            </w:pPr>
            <w:r>
              <w:rPr>
                <w:color w:val="auto"/>
                <w:highlight w:val="none"/>
              </w:rPr>
              <w:t xml:space="preserve">107.2137 </w:t>
            </w:r>
          </w:p>
        </w:tc>
        <w:tc>
          <w:tcPr>
            <w:tcW w:w="1614" w:type="dxa"/>
            <w:noWrap w:val="0"/>
            <w:vAlign w:val="center"/>
          </w:tcPr>
          <w:p>
            <w:pPr>
              <w:pStyle w:val="22"/>
              <w:bidi w:val="0"/>
              <w:rPr>
                <w:color w:val="auto"/>
                <w:highlight w:val="none"/>
              </w:rPr>
            </w:pPr>
            <w:r>
              <w:rPr>
                <w:color w:val="auto"/>
                <w:highlight w:val="none"/>
              </w:rPr>
              <w:t xml:space="preserve">30.2921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10</w:t>
            </w:r>
          </w:p>
        </w:tc>
        <w:tc>
          <w:tcPr>
            <w:tcW w:w="1558" w:type="dxa"/>
            <w:noWrap w:val="0"/>
            <w:vAlign w:val="center"/>
          </w:tcPr>
          <w:p>
            <w:pPr>
              <w:pStyle w:val="22"/>
              <w:bidi w:val="0"/>
              <w:rPr>
                <w:color w:val="auto"/>
                <w:highlight w:val="none"/>
              </w:rPr>
            </w:pPr>
            <w:r>
              <w:rPr>
                <w:color w:val="auto"/>
                <w:highlight w:val="none"/>
              </w:rPr>
              <w:t xml:space="preserve">107.2404 </w:t>
            </w:r>
          </w:p>
        </w:tc>
        <w:tc>
          <w:tcPr>
            <w:tcW w:w="1558" w:type="dxa"/>
            <w:noWrap w:val="0"/>
            <w:vAlign w:val="center"/>
          </w:tcPr>
          <w:p>
            <w:pPr>
              <w:pStyle w:val="22"/>
              <w:bidi w:val="0"/>
              <w:rPr>
                <w:color w:val="auto"/>
                <w:highlight w:val="none"/>
              </w:rPr>
            </w:pPr>
            <w:r>
              <w:rPr>
                <w:color w:val="auto"/>
                <w:highlight w:val="none"/>
              </w:rPr>
              <w:t xml:space="preserve">30.3224 </w:t>
            </w:r>
          </w:p>
        </w:tc>
        <w:tc>
          <w:tcPr>
            <w:tcW w:w="1033" w:type="dxa"/>
            <w:noWrap w:val="0"/>
            <w:vAlign w:val="center"/>
          </w:tcPr>
          <w:p>
            <w:pPr>
              <w:pStyle w:val="22"/>
              <w:bidi w:val="0"/>
              <w:rPr>
                <w:color w:val="auto"/>
                <w:highlight w:val="none"/>
              </w:rPr>
            </w:pPr>
            <w:r>
              <w:rPr>
                <w:color w:val="auto"/>
                <w:highlight w:val="none"/>
              </w:rPr>
              <w:t>22</w:t>
            </w:r>
          </w:p>
        </w:tc>
        <w:tc>
          <w:tcPr>
            <w:tcW w:w="1616" w:type="dxa"/>
            <w:noWrap w:val="0"/>
            <w:vAlign w:val="center"/>
          </w:tcPr>
          <w:p>
            <w:pPr>
              <w:pStyle w:val="22"/>
              <w:bidi w:val="0"/>
              <w:rPr>
                <w:color w:val="auto"/>
                <w:highlight w:val="none"/>
              </w:rPr>
            </w:pPr>
            <w:r>
              <w:rPr>
                <w:color w:val="auto"/>
                <w:highlight w:val="none"/>
              </w:rPr>
              <w:t xml:space="preserve">107.2201 </w:t>
            </w:r>
          </w:p>
        </w:tc>
        <w:tc>
          <w:tcPr>
            <w:tcW w:w="1614" w:type="dxa"/>
            <w:noWrap w:val="0"/>
            <w:vAlign w:val="center"/>
          </w:tcPr>
          <w:p>
            <w:pPr>
              <w:pStyle w:val="22"/>
              <w:bidi w:val="0"/>
              <w:rPr>
                <w:color w:val="auto"/>
                <w:highlight w:val="none"/>
              </w:rPr>
            </w:pPr>
            <w:r>
              <w:rPr>
                <w:color w:val="auto"/>
                <w:highlight w:val="none"/>
              </w:rPr>
              <w:t xml:space="preserve">30.2902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11</w:t>
            </w:r>
          </w:p>
        </w:tc>
        <w:tc>
          <w:tcPr>
            <w:tcW w:w="1558" w:type="dxa"/>
            <w:noWrap w:val="0"/>
            <w:vAlign w:val="center"/>
          </w:tcPr>
          <w:p>
            <w:pPr>
              <w:pStyle w:val="22"/>
              <w:bidi w:val="0"/>
              <w:rPr>
                <w:color w:val="auto"/>
                <w:highlight w:val="none"/>
              </w:rPr>
            </w:pPr>
            <w:r>
              <w:rPr>
                <w:color w:val="auto"/>
                <w:highlight w:val="none"/>
              </w:rPr>
              <w:t xml:space="preserve">107.2414 </w:t>
            </w:r>
          </w:p>
        </w:tc>
        <w:tc>
          <w:tcPr>
            <w:tcW w:w="1558" w:type="dxa"/>
            <w:noWrap w:val="0"/>
            <w:vAlign w:val="center"/>
          </w:tcPr>
          <w:p>
            <w:pPr>
              <w:pStyle w:val="22"/>
              <w:bidi w:val="0"/>
              <w:rPr>
                <w:color w:val="auto"/>
                <w:highlight w:val="none"/>
              </w:rPr>
            </w:pPr>
            <w:r>
              <w:rPr>
                <w:color w:val="auto"/>
                <w:highlight w:val="none"/>
              </w:rPr>
              <w:t xml:space="preserve">30.3213 </w:t>
            </w:r>
          </w:p>
        </w:tc>
        <w:tc>
          <w:tcPr>
            <w:tcW w:w="1033" w:type="dxa"/>
            <w:noWrap w:val="0"/>
            <w:vAlign w:val="center"/>
          </w:tcPr>
          <w:p>
            <w:pPr>
              <w:pStyle w:val="22"/>
              <w:bidi w:val="0"/>
              <w:rPr>
                <w:color w:val="auto"/>
                <w:highlight w:val="none"/>
              </w:rPr>
            </w:pPr>
            <w:r>
              <w:rPr>
                <w:color w:val="auto"/>
                <w:highlight w:val="none"/>
              </w:rPr>
              <w:t>23</w:t>
            </w:r>
          </w:p>
        </w:tc>
        <w:tc>
          <w:tcPr>
            <w:tcW w:w="1616" w:type="dxa"/>
            <w:noWrap w:val="0"/>
            <w:vAlign w:val="center"/>
          </w:tcPr>
          <w:p>
            <w:pPr>
              <w:pStyle w:val="22"/>
              <w:bidi w:val="0"/>
              <w:rPr>
                <w:color w:val="auto"/>
                <w:highlight w:val="none"/>
              </w:rPr>
            </w:pPr>
            <w:r>
              <w:rPr>
                <w:color w:val="auto"/>
                <w:highlight w:val="none"/>
              </w:rPr>
              <w:t xml:space="preserve">107.2143 </w:t>
            </w:r>
          </w:p>
        </w:tc>
        <w:tc>
          <w:tcPr>
            <w:tcW w:w="1614" w:type="dxa"/>
            <w:noWrap w:val="0"/>
            <w:vAlign w:val="center"/>
          </w:tcPr>
          <w:p>
            <w:pPr>
              <w:pStyle w:val="22"/>
              <w:bidi w:val="0"/>
              <w:rPr>
                <w:color w:val="auto"/>
                <w:highlight w:val="none"/>
              </w:rPr>
            </w:pPr>
            <w:r>
              <w:rPr>
                <w:color w:val="auto"/>
                <w:highlight w:val="none"/>
              </w:rPr>
              <w:t xml:space="preserve">30.2837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58" w:type="dxa"/>
            <w:noWrap w:val="0"/>
            <w:vAlign w:val="center"/>
          </w:tcPr>
          <w:p>
            <w:pPr>
              <w:pStyle w:val="22"/>
              <w:bidi w:val="0"/>
              <w:rPr>
                <w:color w:val="auto"/>
                <w:highlight w:val="none"/>
              </w:rPr>
            </w:pPr>
            <w:r>
              <w:rPr>
                <w:color w:val="auto"/>
                <w:highlight w:val="none"/>
              </w:rPr>
              <w:t>12</w:t>
            </w:r>
          </w:p>
        </w:tc>
        <w:tc>
          <w:tcPr>
            <w:tcW w:w="1558" w:type="dxa"/>
            <w:noWrap w:val="0"/>
            <w:vAlign w:val="center"/>
          </w:tcPr>
          <w:p>
            <w:pPr>
              <w:pStyle w:val="22"/>
              <w:bidi w:val="0"/>
              <w:rPr>
                <w:color w:val="auto"/>
                <w:highlight w:val="none"/>
              </w:rPr>
            </w:pPr>
            <w:r>
              <w:rPr>
                <w:color w:val="auto"/>
                <w:highlight w:val="none"/>
              </w:rPr>
              <w:t xml:space="preserve">107.2353 </w:t>
            </w:r>
          </w:p>
        </w:tc>
        <w:tc>
          <w:tcPr>
            <w:tcW w:w="1558" w:type="dxa"/>
            <w:noWrap w:val="0"/>
            <w:vAlign w:val="center"/>
          </w:tcPr>
          <w:p>
            <w:pPr>
              <w:pStyle w:val="22"/>
              <w:bidi w:val="0"/>
              <w:rPr>
                <w:color w:val="auto"/>
                <w:highlight w:val="none"/>
              </w:rPr>
            </w:pPr>
            <w:r>
              <w:rPr>
                <w:color w:val="auto"/>
                <w:highlight w:val="none"/>
              </w:rPr>
              <w:t xml:space="preserve">30.3137 </w:t>
            </w:r>
          </w:p>
        </w:tc>
        <w:tc>
          <w:tcPr>
            <w:tcW w:w="1033" w:type="dxa"/>
            <w:noWrap w:val="0"/>
            <w:vAlign w:val="center"/>
          </w:tcPr>
          <w:p>
            <w:pPr>
              <w:pStyle w:val="22"/>
              <w:bidi w:val="0"/>
              <w:rPr>
                <w:color w:val="auto"/>
                <w:highlight w:val="none"/>
              </w:rPr>
            </w:pPr>
            <w:r>
              <w:rPr>
                <w:color w:val="auto"/>
                <w:highlight w:val="none"/>
              </w:rPr>
              <w:t>24</w:t>
            </w:r>
          </w:p>
        </w:tc>
        <w:tc>
          <w:tcPr>
            <w:tcW w:w="1616" w:type="dxa"/>
            <w:noWrap w:val="0"/>
            <w:vAlign w:val="center"/>
          </w:tcPr>
          <w:p>
            <w:pPr>
              <w:pStyle w:val="22"/>
              <w:bidi w:val="0"/>
              <w:rPr>
                <w:color w:val="auto"/>
                <w:highlight w:val="none"/>
              </w:rPr>
            </w:pPr>
          </w:p>
        </w:tc>
        <w:tc>
          <w:tcPr>
            <w:tcW w:w="1614" w:type="dxa"/>
            <w:noWrap w:val="0"/>
            <w:vAlign w:val="center"/>
          </w:tcPr>
          <w:p>
            <w:pPr>
              <w:pStyle w:val="22"/>
              <w:bidi w:val="0"/>
              <w:rPr>
                <w:color w:val="auto"/>
                <w:highlight w:val="none"/>
              </w:rPr>
            </w:pPr>
          </w:p>
        </w:tc>
      </w:tr>
      <w:bookmarkEnd w:id="260"/>
    </w:tbl>
    <w:p>
      <w:pPr>
        <w:pStyle w:val="22"/>
        <w:bidi w:val="0"/>
        <w:rPr>
          <w:rFonts w:hint="default"/>
          <w:color w:val="auto"/>
          <w:highlight w:val="none"/>
          <w:lang w:val="en-US" w:eastAsia="zh-CN"/>
        </w:rPr>
      </w:pPr>
    </w:p>
    <w:p>
      <w:pPr>
        <w:bidi w:val="0"/>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各矿井现状情况</w:t>
      </w:r>
    </w:p>
    <w:p>
      <w:pPr>
        <w:bidi w:val="0"/>
        <w:rPr>
          <w:rFonts w:hint="eastAsia"/>
          <w:color w:val="auto"/>
          <w:highlight w:val="none"/>
          <w:lang w:eastAsia="zh-CN"/>
        </w:rPr>
      </w:pPr>
      <w:r>
        <w:rPr>
          <w:rFonts w:hint="eastAsia"/>
          <w:color w:val="auto"/>
          <w:highlight w:val="none"/>
          <w:lang w:eastAsia="zh-CN"/>
        </w:rPr>
        <w:t>①柏林煤矿</w:t>
      </w:r>
    </w:p>
    <w:p>
      <w:pPr>
        <w:bidi w:val="0"/>
        <w:rPr>
          <w:rFonts w:hint="eastAsia"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rPr>
        <w:t>四川川煤华荣能源有限责任公司柏林煤矿（原名为四川达竹煤电（集团）有限责任公司柏林煤矿）于2021年8月由四川省自然资源厅颁发采矿许可证，证号：C5100002009011120003268，有效期至2022年8月25日。允许开采煤层K</w:t>
      </w:r>
      <w:r>
        <w:rPr>
          <w:rFonts w:hint="default" w:ascii="Times New Roman" w:hAnsi="Times New Roman" w:cs="Times New Roman"/>
          <w:color w:val="auto"/>
          <w:sz w:val="24"/>
          <w:szCs w:val="24"/>
          <w:highlight w:val="none"/>
          <w:vertAlign w:val="subscript"/>
        </w:rPr>
        <w:t>27</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26</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24</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22</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18</w:t>
      </w:r>
      <w:r>
        <w:rPr>
          <w:rFonts w:hint="default" w:ascii="Times New Roman" w:hAnsi="Times New Roman" w:cs="Times New Roman"/>
          <w:color w:val="auto"/>
          <w:sz w:val="24"/>
          <w:szCs w:val="24"/>
          <w:highlight w:val="none"/>
        </w:rPr>
        <w:t>，开采标高为+432m～-200m，证载生产能力为30万吨/年，核定生产能力为45万吨/年。矿权范围由29个拐点圈定，面积13.9186km</w:t>
      </w:r>
      <w:r>
        <w:rPr>
          <w:rFonts w:hint="default"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vertAlign w:val="baseline"/>
          <w:lang w:eastAsia="zh-CN"/>
        </w:rPr>
        <w:t>。</w:t>
      </w:r>
      <w:r>
        <w:rPr>
          <w:rFonts w:hint="eastAsia" w:ascii="宋体" w:hAnsi="宋体"/>
          <w:color w:val="auto"/>
          <w:sz w:val="24"/>
          <w:szCs w:val="24"/>
          <w:highlight w:val="none"/>
        </w:rPr>
        <w:t>开拓方式</w:t>
      </w:r>
      <w:r>
        <w:rPr>
          <w:rFonts w:hint="eastAsia" w:ascii="宋体" w:hAnsi="宋体"/>
          <w:color w:val="auto"/>
          <w:sz w:val="24"/>
          <w:szCs w:val="24"/>
          <w:highlight w:val="none"/>
          <w:lang w:eastAsia="zh-CN"/>
        </w:rPr>
        <w:t>为</w:t>
      </w:r>
      <w:r>
        <w:rPr>
          <w:rFonts w:hint="eastAsia" w:ascii="宋体" w:hAnsi="宋体"/>
          <w:color w:val="auto"/>
          <w:sz w:val="24"/>
          <w:szCs w:val="24"/>
          <w:highlight w:val="none"/>
        </w:rPr>
        <w:t>斜井开拓，分四个水平（+350m、+230m、±0m、-200m），</w:t>
      </w:r>
      <w:r>
        <w:rPr>
          <w:rFonts w:hAnsi="宋体"/>
          <w:color w:val="auto"/>
          <w:sz w:val="24"/>
          <w:szCs w:val="24"/>
          <w:highlight w:val="none"/>
        </w:rPr>
        <w:t>矿井出地表的井筒有</w:t>
      </w:r>
      <w:r>
        <w:rPr>
          <w:color w:val="auto"/>
          <w:sz w:val="24"/>
          <w:szCs w:val="24"/>
          <w:highlight w:val="none"/>
        </w:rPr>
        <w:t>6</w:t>
      </w:r>
      <w:r>
        <w:rPr>
          <w:rFonts w:hAnsi="宋体"/>
          <w:color w:val="auto"/>
          <w:sz w:val="24"/>
          <w:szCs w:val="24"/>
          <w:highlight w:val="none"/>
        </w:rPr>
        <w:t>条，</w:t>
      </w:r>
      <w:r>
        <w:rPr>
          <w:rFonts w:hint="eastAsia" w:hAnsi="宋体"/>
          <w:color w:val="auto"/>
          <w:sz w:val="24"/>
          <w:szCs w:val="24"/>
          <w:highlight w:val="none"/>
        </w:rPr>
        <w:t>即</w:t>
      </w:r>
      <w:r>
        <w:rPr>
          <w:rFonts w:hAnsi="宋体"/>
          <w:color w:val="auto"/>
          <w:sz w:val="24"/>
          <w:szCs w:val="24"/>
          <w:highlight w:val="none"/>
        </w:rPr>
        <w:t>主斜井</w:t>
      </w:r>
      <w:r>
        <w:rPr>
          <w:rFonts w:hint="eastAsia" w:hAnsi="宋体"/>
          <w:color w:val="auto"/>
          <w:sz w:val="24"/>
          <w:szCs w:val="24"/>
          <w:highlight w:val="none"/>
        </w:rPr>
        <w:t>、</w:t>
      </w:r>
      <w:r>
        <w:rPr>
          <w:rFonts w:hAnsi="宋体"/>
          <w:color w:val="auto"/>
          <w:sz w:val="24"/>
          <w:szCs w:val="24"/>
          <w:highlight w:val="none"/>
        </w:rPr>
        <w:t>副斜井</w:t>
      </w:r>
      <w:r>
        <w:rPr>
          <w:rFonts w:hint="eastAsia" w:hAnsi="宋体"/>
          <w:color w:val="auto"/>
          <w:sz w:val="24"/>
          <w:szCs w:val="24"/>
          <w:highlight w:val="none"/>
        </w:rPr>
        <w:t>、</w:t>
      </w:r>
      <w:r>
        <w:rPr>
          <w:rFonts w:hAnsi="宋体"/>
          <w:color w:val="auto"/>
          <w:sz w:val="24"/>
          <w:szCs w:val="24"/>
          <w:highlight w:val="none"/>
        </w:rPr>
        <w:t>进风斜井</w:t>
      </w:r>
      <w:r>
        <w:rPr>
          <w:rFonts w:hint="eastAsia" w:hAnsi="宋体"/>
          <w:color w:val="auto"/>
          <w:sz w:val="24"/>
          <w:szCs w:val="24"/>
          <w:highlight w:val="none"/>
        </w:rPr>
        <w:t>、</w:t>
      </w:r>
      <w:r>
        <w:rPr>
          <w:rFonts w:hAnsi="宋体"/>
          <w:color w:val="auto"/>
          <w:sz w:val="24"/>
          <w:szCs w:val="24"/>
          <w:highlight w:val="none"/>
        </w:rPr>
        <w:t>行人斜井</w:t>
      </w:r>
      <w:r>
        <w:rPr>
          <w:rFonts w:hint="eastAsia" w:hAnsi="宋体"/>
          <w:color w:val="auto"/>
          <w:sz w:val="24"/>
          <w:szCs w:val="24"/>
          <w:highlight w:val="none"/>
        </w:rPr>
        <w:t>、</w:t>
      </w:r>
      <w:r>
        <w:rPr>
          <w:rFonts w:hAnsi="宋体"/>
          <w:color w:val="auto"/>
          <w:sz w:val="24"/>
          <w:szCs w:val="24"/>
          <w:highlight w:val="none"/>
        </w:rPr>
        <w:t>风井</w:t>
      </w:r>
      <w:r>
        <w:rPr>
          <w:rFonts w:hint="eastAsia" w:hAnsi="宋体"/>
          <w:color w:val="auto"/>
          <w:sz w:val="24"/>
          <w:szCs w:val="24"/>
          <w:highlight w:val="none"/>
        </w:rPr>
        <w:t>、</w:t>
      </w:r>
      <w:r>
        <w:rPr>
          <w:color w:val="auto"/>
          <w:sz w:val="24"/>
          <w:szCs w:val="24"/>
          <w:highlight w:val="none"/>
        </w:rPr>
        <w:t>+350m</w:t>
      </w:r>
      <w:r>
        <w:rPr>
          <w:rFonts w:hAnsi="宋体"/>
          <w:color w:val="auto"/>
          <w:sz w:val="24"/>
          <w:szCs w:val="24"/>
          <w:highlight w:val="none"/>
        </w:rPr>
        <w:t>平硐。</w:t>
      </w:r>
      <w:r>
        <w:rPr>
          <w:rFonts w:hint="eastAsia" w:hAnsi="宋体"/>
          <w:color w:val="auto"/>
          <w:sz w:val="24"/>
          <w:szCs w:val="24"/>
          <w:highlight w:val="none"/>
        </w:rPr>
        <w:t>目前矿井</w:t>
      </w:r>
      <w:r>
        <w:rPr>
          <w:rFonts w:hint="eastAsia" w:ascii="宋体" w:hAnsi="宋体"/>
          <w:color w:val="auto"/>
          <w:sz w:val="24"/>
          <w:szCs w:val="24"/>
          <w:highlight w:val="none"/>
        </w:rPr>
        <w:t>开采-200m水平，-200m水平划分为5个采区，分别-241、-242、-243、-244、-245采区</w:t>
      </w:r>
      <w:r>
        <w:rPr>
          <w:rFonts w:hint="eastAsia" w:ascii="宋体" w:hAnsi="宋体"/>
          <w:color w:val="auto"/>
          <w:sz w:val="24"/>
          <w:szCs w:val="24"/>
          <w:highlight w:val="none"/>
          <w:lang w:eastAsia="zh-CN"/>
        </w:rPr>
        <w:t>。</w:t>
      </w:r>
      <w:r>
        <w:rPr>
          <w:rFonts w:hint="eastAsia" w:ascii="Times New Roman" w:hAnsi="Times New Roman" w:cs="Times New Roman"/>
          <w:color w:val="auto"/>
          <w:sz w:val="24"/>
          <w:szCs w:val="24"/>
          <w:highlight w:val="none"/>
          <w:vertAlign w:val="baseline"/>
          <w:lang w:eastAsia="zh-CN"/>
        </w:rPr>
        <w:t>目前生产状况为在生产</w:t>
      </w:r>
      <w:r>
        <w:rPr>
          <w:rFonts w:hint="eastAsia"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2020年实际生产规模为32.57万t。</w:t>
      </w:r>
    </w:p>
    <w:p>
      <w:pPr>
        <w:pStyle w:val="22"/>
        <w:bidi w:val="0"/>
        <w:rPr>
          <w:rFonts w:hint="eastAsia"/>
          <w:color w:val="auto"/>
          <w:highlight w:val="none"/>
          <w:lang w:val="en-US" w:eastAsia="zh-CN"/>
        </w:rPr>
      </w:pPr>
      <w:r>
        <w:rPr>
          <w:rFonts w:hint="eastAsia"/>
          <w:color w:val="auto"/>
          <w:highlight w:val="none"/>
          <w:lang w:eastAsia="zh-CN"/>
        </w:rPr>
        <w:drawing>
          <wp:inline distT="0" distB="0" distL="114300" distR="114300">
            <wp:extent cx="2291715" cy="1718945"/>
            <wp:effectExtent l="0" t="0" r="13335" b="14605"/>
            <wp:docPr id="11" name="图片 11" descr="C:/Windows/TMP/picturecompress_202112090943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Windows/TMP/picturecompress_20211209094308/output_1.jpgoutput_1"/>
                    <pic:cNvPicPr>
                      <a:picLocks noChangeAspect="1"/>
                    </pic:cNvPicPr>
                  </pic:nvPicPr>
                  <pic:blipFill>
                    <a:blip r:embed="rId101"/>
                    <a:stretch>
                      <a:fillRect/>
                    </a:stretch>
                  </pic:blipFill>
                  <pic:spPr>
                    <a:xfrm>
                      <a:off x="0" y="0"/>
                      <a:ext cx="2291715" cy="171894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303145" cy="1727835"/>
            <wp:effectExtent l="0" t="0" r="1905" b="5715"/>
            <wp:docPr id="15" name="图片 15" descr="C:/Windows/TMP/picturecompress_202112090944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Windows/TMP/picturecompress_20211209094457/output_1.jpgoutput_1"/>
                    <pic:cNvPicPr>
                      <a:picLocks noChangeAspect="1"/>
                    </pic:cNvPicPr>
                  </pic:nvPicPr>
                  <pic:blipFill>
                    <a:blip r:embed="rId102"/>
                    <a:stretch>
                      <a:fillRect/>
                    </a:stretch>
                  </pic:blipFill>
                  <pic:spPr>
                    <a:xfrm>
                      <a:off x="0" y="0"/>
                      <a:ext cx="2303145" cy="172783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柏林煤矿                                                                          柏林煤矿主平硐</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371725" cy="1779270"/>
            <wp:effectExtent l="0" t="0" r="9525" b="11430"/>
            <wp:docPr id="27" name="图片 27" descr="C:/Windows/TMP/picturecompress_202112090946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Windows/TMP/picturecompress_20211209094617/output_1.jpgoutput_1"/>
                    <pic:cNvPicPr>
                      <a:picLocks noChangeAspect="1"/>
                    </pic:cNvPicPr>
                  </pic:nvPicPr>
                  <pic:blipFill>
                    <a:blip r:embed="rId103"/>
                    <a:stretch>
                      <a:fillRect/>
                    </a:stretch>
                  </pic:blipFill>
                  <pic:spPr>
                    <a:xfrm>
                      <a:off x="0" y="0"/>
                      <a:ext cx="2371725" cy="1779270"/>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388235" cy="1791335"/>
            <wp:effectExtent l="0" t="0" r="12065" b="18415"/>
            <wp:docPr id="44" name="图片 44" descr="C:/Windows/TMP/picturecompress_202112090947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Windows/TMP/picturecompress_20211209094715/output_1.jpgoutput_1"/>
                    <pic:cNvPicPr>
                      <a:picLocks noChangeAspect="1"/>
                    </pic:cNvPicPr>
                  </pic:nvPicPr>
                  <pic:blipFill>
                    <a:blip r:embed="rId104"/>
                    <a:stretch>
                      <a:fillRect/>
                    </a:stretch>
                  </pic:blipFill>
                  <pic:spPr>
                    <a:xfrm>
                      <a:off x="0" y="0"/>
                      <a:ext cx="2388235" cy="179133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柏林煤矿原煤临时堆场                                                      柏林煤矿矸石临时转运场</w:t>
      </w:r>
    </w:p>
    <w:p>
      <w:pPr>
        <w:pStyle w:val="22"/>
        <w:bidi w:val="0"/>
        <w:rPr>
          <w:rFonts w:hint="eastAsia" w:eastAsia="宋体"/>
          <w:color w:val="auto"/>
          <w:highlight w:val="none"/>
          <w:lang w:val="en-US" w:eastAsia="zh-CN"/>
        </w:rPr>
      </w:pPr>
      <w:r>
        <w:rPr>
          <w:color w:val="auto"/>
          <w:highlight w:val="none"/>
        </w:rPr>
        <w:drawing>
          <wp:inline distT="0" distB="0" distL="114300" distR="114300">
            <wp:extent cx="2368550" cy="1678305"/>
            <wp:effectExtent l="0" t="0" r="12700" b="1714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05"/>
                    <a:stretch>
                      <a:fillRect/>
                    </a:stretch>
                  </pic:blipFill>
                  <pic:spPr>
                    <a:xfrm>
                      <a:off x="0" y="0"/>
                      <a:ext cx="2368550" cy="1678305"/>
                    </a:xfrm>
                    <a:prstGeom prst="rect">
                      <a:avLst/>
                    </a:prstGeom>
                    <a:noFill/>
                    <a:ln>
                      <a:noFill/>
                    </a:ln>
                  </pic:spPr>
                </pic:pic>
              </a:graphicData>
            </a:graphic>
          </wp:inline>
        </w:drawing>
      </w:r>
      <w:r>
        <w:rPr>
          <w:rFonts w:hint="eastAsia"/>
          <w:color w:val="auto"/>
          <w:highlight w:val="none"/>
          <w:lang w:val="en-US" w:eastAsia="zh-CN"/>
        </w:rPr>
        <w:t xml:space="preserve">                        </w:t>
      </w:r>
      <w:r>
        <w:rPr>
          <w:rFonts w:hint="eastAsia" w:eastAsia="宋体"/>
          <w:color w:val="auto"/>
          <w:highlight w:val="none"/>
          <w:lang w:val="en-US" w:eastAsia="zh-CN"/>
        </w:rPr>
        <w:drawing>
          <wp:inline distT="0" distB="0" distL="114300" distR="114300">
            <wp:extent cx="2256790" cy="1692910"/>
            <wp:effectExtent l="0" t="0" r="10160" b="2540"/>
            <wp:docPr id="49" name="图片 49" descr="C:/Windows/TMP/picturecompress_20211209095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Windows/TMP/picturecompress_20211209095126/output_1.jpgoutput_1"/>
                    <pic:cNvPicPr>
                      <a:picLocks noChangeAspect="1"/>
                    </pic:cNvPicPr>
                  </pic:nvPicPr>
                  <pic:blipFill>
                    <a:blip r:embed="rId106"/>
                    <a:stretch>
                      <a:fillRect/>
                    </a:stretch>
                  </pic:blipFill>
                  <pic:spPr>
                    <a:xfrm>
                      <a:off x="0" y="0"/>
                      <a:ext cx="2256790" cy="1692910"/>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柏林煤矿原煤运输索道                                                          柏林煤矿污水处理站</w:t>
      </w:r>
    </w:p>
    <w:p>
      <w:pPr>
        <w:bidi w:val="0"/>
        <w:rPr>
          <w:rFonts w:hint="eastAsia"/>
          <w:color w:val="auto"/>
          <w:highlight w:val="none"/>
          <w:lang w:val="en-US" w:eastAsia="zh-CN"/>
        </w:rPr>
      </w:pPr>
      <w:r>
        <w:rPr>
          <w:rFonts w:hint="eastAsia"/>
          <w:color w:val="auto"/>
          <w:highlight w:val="none"/>
          <w:lang w:val="en-US" w:eastAsia="zh-CN"/>
        </w:rPr>
        <w:t>②田坝煤矿</w:t>
      </w:r>
    </w:p>
    <w:p>
      <w:pPr>
        <w:rPr>
          <w:rFonts w:hint="eastAsia" w:cs="Times New Roman"/>
          <w:color w:val="auto"/>
          <w:sz w:val="24"/>
          <w:szCs w:val="24"/>
          <w:highlight w:val="none"/>
          <w:vertAlign w:val="baseline"/>
          <w:lang w:eastAsia="zh-CN"/>
        </w:rPr>
      </w:pPr>
      <w:r>
        <w:rPr>
          <w:rFonts w:hint="eastAsia"/>
          <w:color w:val="auto"/>
          <w:highlight w:val="none"/>
          <w:lang w:val="en-US" w:eastAsia="zh-CN"/>
        </w:rPr>
        <w:t>大竹县红旗煤业有限责任公司田坝煤矿于2015年3月30日由原四川省国土资源厅颁发的采矿许可证，证号：C5100002010121120102531，有效期为10年，自2015年3月30至2025年3月30日，批准开采正连、阴土煤层，允许开采标高+378m～+0m，生产能力为15万吨/年；矿权范围由10个拐点圈定，面积2.5822km</w:t>
      </w:r>
      <w:r>
        <w:rPr>
          <w:rFonts w:hint="eastAsia"/>
          <w:color w:val="auto"/>
          <w:highlight w:val="none"/>
          <w:vertAlign w:val="superscript"/>
          <w:lang w:val="en-US" w:eastAsia="zh-CN"/>
        </w:rPr>
        <w:t>2</w:t>
      </w:r>
      <w:r>
        <w:rPr>
          <w:rFonts w:hint="eastAsia"/>
          <w:color w:val="auto"/>
          <w:highlight w:val="none"/>
          <w:lang w:val="en-US" w:eastAsia="zh-CN"/>
        </w:rPr>
        <w:t>。开拓方式采用斜井开拓，共布置3个井筒开拓全井田，分别为主斜井、副斜井和回风平硐。矿井划分一个水平(+224m水平)，南翼划分为一采区，北翼划分为二、三采区，共划分为3个采区，采用上下山开采。</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562225" cy="1922145"/>
            <wp:effectExtent l="0" t="0" r="9525" b="1905"/>
            <wp:docPr id="50" name="图片 50" descr="C:/Windows/TMP/picturecompress_202112090954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Windows/TMP/picturecompress_20211209095402/output_1.jpgoutput_1"/>
                    <pic:cNvPicPr>
                      <a:picLocks noChangeAspect="1"/>
                    </pic:cNvPicPr>
                  </pic:nvPicPr>
                  <pic:blipFill>
                    <a:blip r:embed="rId107"/>
                    <a:stretch>
                      <a:fillRect/>
                    </a:stretch>
                  </pic:blipFill>
                  <pic:spPr>
                    <a:xfrm>
                      <a:off x="0" y="0"/>
                      <a:ext cx="2562225" cy="192214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571750" cy="1929130"/>
            <wp:effectExtent l="0" t="0" r="0" b="13970"/>
            <wp:docPr id="51" name="图片 51" descr="C:/Windows/TMP/picturecompress_202112090954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Windows/TMP/picturecompress_20211209095429/output_1.jpgoutput_1"/>
                    <pic:cNvPicPr>
                      <a:picLocks noChangeAspect="1"/>
                    </pic:cNvPicPr>
                  </pic:nvPicPr>
                  <pic:blipFill>
                    <a:blip r:embed="rId108"/>
                    <a:stretch>
                      <a:fillRect/>
                    </a:stretch>
                  </pic:blipFill>
                  <pic:spPr>
                    <a:xfrm>
                      <a:off x="0" y="0"/>
                      <a:ext cx="2571750" cy="1929130"/>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田坝煤矿主斜井                                                            田坝煤矿临时矸石场</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595880" cy="1947545"/>
            <wp:effectExtent l="0" t="0" r="13970" b="14605"/>
            <wp:docPr id="55" name="图片 55" descr="C:/Windows/TMP/picturecompress_202112090955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Windows/TMP/picturecompress_20211209095550/output_1.jpgoutput_1"/>
                    <pic:cNvPicPr>
                      <a:picLocks noChangeAspect="1"/>
                    </pic:cNvPicPr>
                  </pic:nvPicPr>
                  <pic:blipFill>
                    <a:blip r:embed="rId109"/>
                    <a:stretch>
                      <a:fillRect/>
                    </a:stretch>
                  </pic:blipFill>
                  <pic:spPr>
                    <a:xfrm>
                      <a:off x="0" y="0"/>
                      <a:ext cx="2595880" cy="194754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618105" cy="1964055"/>
            <wp:effectExtent l="0" t="0" r="10795" b="17145"/>
            <wp:docPr id="56" name="图片 56" descr="C:/Windows/TMP/picturecompress_202112090956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Windows/TMP/picturecompress_20211209095613/output_1.jpgoutput_1"/>
                    <pic:cNvPicPr>
                      <a:picLocks noChangeAspect="1"/>
                    </pic:cNvPicPr>
                  </pic:nvPicPr>
                  <pic:blipFill>
                    <a:blip r:embed="rId110"/>
                    <a:stretch>
                      <a:fillRect/>
                    </a:stretch>
                  </pic:blipFill>
                  <pic:spPr>
                    <a:xfrm>
                      <a:off x="0" y="0"/>
                      <a:ext cx="2618105" cy="196405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田坝煤矿洗煤厂                                                         田坝煤矿污水处理站</w:t>
      </w:r>
    </w:p>
    <w:p>
      <w:pPr>
        <w:bidi w:val="0"/>
        <w:rPr>
          <w:rFonts w:hint="eastAsia"/>
          <w:color w:val="auto"/>
          <w:highlight w:val="none"/>
          <w:lang w:val="en-US" w:eastAsia="zh-CN"/>
        </w:rPr>
      </w:pPr>
      <w:r>
        <w:rPr>
          <w:rFonts w:hint="eastAsia"/>
          <w:color w:val="auto"/>
          <w:highlight w:val="none"/>
          <w:lang w:val="en-US" w:eastAsia="zh-CN"/>
        </w:rPr>
        <w:t>③黑滩煤矿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达州市黑滩煤业有限公司黑滩煤矿于2020年7月31日取得由四川省自然资源厅颁发的采矿许可证。证号：C5100002009031120006148，有效期2020年04月29日至2022年7月31日，采矿权范围由8个拐点坐标圈闭，面积2.7693km</w:t>
      </w:r>
      <w:r>
        <w:rPr>
          <w:rFonts w:hint="eastAsia"/>
          <w:color w:val="auto"/>
          <w:highlight w:val="none"/>
          <w:vertAlign w:val="superscript"/>
          <w:lang w:val="en-US" w:eastAsia="zh-CN"/>
        </w:rPr>
        <w:t>2</w:t>
      </w:r>
      <w:r>
        <w:rPr>
          <w:rFonts w:hint="eastAsia"/>
          <w:color w:val="auto"/>
          <w:highlight w:val="none"/>
          <w:lang w:val="en-US" w:eastAsia="zh-CN"/>
        </w:rPr>
        <w:t>，许可开采标高+489m～+200m，现生产能力为9万吨/年，批准开采煤层为正连、内正连、三夹连煤层。矿井采用平硐斜井开拓。</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372360" cy="1779270"/>
            <wp:effectExtent l="0" t="0" r="8890" b="11430"/>
            <wp:docPr id="57" name="图片 57" descr="C:/Windows/TMP/picturecompress_202112090959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Windows/TMP/picturecompress_20211209095915/output_1.jpgoutput_1"/>
                    <pic:cNvPicPr>
                      <a:picLocks noChangeAspect="1"/>
                    </pic:cNvPicPr>
                  </pic:nvPicPr>
                  <pic:blipFill>
                    <a:blip r:embed="rId111"/>
                    <a:stretch>
                      <a:fillRect/>
                    </a:stretch>
                  </pic:blipFill>
                  <pic:spPr>
                    <a:xfrm>
                      <a:off x="0" y="0"/>
                      <a:ext cx="2372360" cy="1779270"/>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359660" cy="1770380"/>
            <wp:effectExtent l="0" t="0" r="2540" b="1270"/>
            <wp:docPr id="61" name="图片 61" descr="C:/Windows/TMP/picturecompress_202112090959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Windows/TMP/picturecompress_20211209095926/output_1.jpgoutput_1"/>
                    <pic:cNvPicPr>
                      <a:picLocks noChangeAspect="1"/>
                    </pic:cNvPicPr>
                  </pic:nvPicPr>
                  <pic:blipFill>
                    <a:blip r:embed="rId112"/>
                    <a:stretch>
                      <a:fillRect/>
                    </a:stretch>
                  </pic:blipFill>
                  <pic:spPr>
                    <a:xfrm>
                      <a:off x="0" y="0"/>
                      <a:ext cx="2359660" cy="1770380"/>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黑滩煤矿原煤临时堆场                                                         黑滩煤矿洗煤厂</w:t>
      </w:r>
    </w:p>
    <w:p>
      <w:pPr>
        <w:pStyle w:val="22"/>
        <w:bidi w:val="0"/>
        <w:rPr>
          <w:rFonts w:hint="eastAsia"/>
          <w:color w:val="auto"/>
          <w:highlight w:val="none"/>
          <w:lang w:val="en-US" w:eastAsia="zh-CN"/>
        </w:rPr>
      </w:pPr>
      <w:r>
        <w:rPr>
          <w:rFonts w:hint="default"/>
          <w:color w:val="auto"/>
          <w:highlight w:val="none"/>
          <w:lang w:val="en-US" w:eastAsia="zh-CN"/>
        </w:rPr>
        <w:drawing>
          <wp:inline distT="0" distB="0" distL="114300" distR="114300">
            <wp:extent cx="2374265" cy="1781175"/>
            <wp:effectExtent l="0" t="0" r="6985" b="9525"/>
            <wp:docPr id="62" name="图片 62" descr="C:/Windows/TMP/picturecompress_202112091000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Windows/TMP/picturecompress_20211209100024/output_1.jpgoutput_1"/>
                    <pic:cNvPicPr>
                      <a:picLocks noChangeAspect="1"/>
                    </pic:cNvPicPr>
                  </pic:nvPicPr>
                  <pic:blipFill>
                    <a:blip r:embed="rId113"/>
                    <a:stretch>
                      <a:fillRect/>
                    </a:stretch>
                  </pic:blipFill>
                  <pic:spPr>
                    <a:xfrm>
                      <a:off x="0" y="0"/>
                      <a:ext cx="2374265" cy="178117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372360" cy="1779270"/>
            <wp:effectExtent l="0" t="0" r="8890" b="11430"/>
            <wp:docPr id="65" name="图片 65" descr="C:/Windows/TMP/picturecompress_202112091012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Windows/TMP/picturecompress_20211209101223/output_1.jpgoutput_1"/>
                    <pic:cNvPicPr>
                      <a:picLocks noChangeAspect="1"/>
                    </pic:cNvPicPr>
                  </pic:nvPicPr>
                  <pic:blipFill>
                    <a:blip r:embed="rId114"/>
                    <a:stretch>
                      <a:fillRect/>
                    </a:stretch>
                  </pic:blipFill>
                  <pic:spPr>
                    <a:xfrm>
                      <a:off x="0" y="0"/>
                      <a:ext cx="2372360" cy="1779270"/>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黑滩煤矿主平硐                                                             黑滩煤矿斜井</w:t>
      </w:r>
    </w:p>
    <w:p>
      <w:pPr>
        <w:pStyle w:val="22"/>
        <w:bidi w:val="0"/>
        <w:rPr>
          <w:rFonts w:hint="default"/>
          <w:color w:val="auto"/>
          <w:highlight w:val="none"/>
          <w:lang w:val="en-US" w:eastAsia="zh-CN"/>
        </w:rPr>
      </w:pP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373630" cy="1780540"/>
            <wp:effectExtent l="0" t="0" r="7620" b="10160"/>
            <wp:docPr id="63" name="图片 63" descr="C:/Windows/TMP/picturecompress_202112091000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Windows/TMP/picturecompress_20211209100046/output_1.jpgoutput_1"/>
                    <pic:cNvPicPr>
                      <a:picLocks noChangeAspect="1"/>
                    </pic:cNvPicPr>
                  </pic:nvPicPr>
                  <pic:blipFill>
                    <a:blip r:embed="rId115"/>
                    <a:stretch>
                      <a:fillRect/>
                    </a:stretch>
                  </pic:blipFill>
                  <pic:spPr>
                    <a:xfrm>
                      <a:off x="0" y="0"/>
                      <a:ext cx="2373630" cy="1780540"/>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370455" cy="1778635"/>
            <wp:effectExtent l="0" t="0" r="10795" b="12065"/>
            <wp:docPr id="64" name="图片 64" descr="C:/Windows/TMP/picturecompress_202112091010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Windows/TMP/picturecompress_20211209101011/output_1.jpgoutput_1"/>
                    <pic:cNvPicPr>
                      <a:picLocks noChangeAspect="1"/>
                    </pic:cNvPicPr>
                  </pic:nvPicPr>
                  <pic:blipFill>
                    <a:blip r:embed="rId116"/>
                    <a:stretch>
                      <a:fillRect/>
                    </a:stretch>
                  </pic:blipFill>
                  <pic:spPr>
                    <a:xfrm>
                      <a:off x="0" y="0"/>
                      <a:ext cx="2370455" cy="177863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黑滩煤矿临时矸石场                                                  黑滩煤矿污水处理站</w:t>
      </w:r>
    </w:p>
    <w:p>
      <w:pPr>
        <w:bidi w:val="0"/>
        <w:rPr>
          <w:rFonts w:hint="eastAsia"/>
          <w:color w:val="auto"/>
          <w:highlight w:val="none"/>
          <w:lang w:val="en-US" w:eastAsia="zh-CN"/>
        </w:rPr>
      </w:pPr>
      <w:r>
        <w:rPr>
          <w:rFonts w:hint="eastAsia"/>
          <w:color w:val="auto"/>
          <w:highlight w:val="none"/>
          <w:lang w:val="en-US" w:eastAsia="zh-CN"/>
        </w:rPr>
        <w:t>④大河沟煤矿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大竹县清水大河沟煤矿于2014年6月取得由原四川省国土资源厅颁发新的采矿许可证，证号：C5100002009111120045023，有效期2014年6月6日至2024年6月6日，批准开采三夹连、内夹连、内三夹连煤层，面积为2.5821km</w:t>
      </w:r>
      <w:r>
        <w:rPr>
          <w:rFonts w:hint="eastAsia"/>
          <w:color w:val="auto"/>
          <w:highlight w:val="none"/>
          <w:vertAlign w:val="superscript"/>
          <w:lang w:val="en-US" w:eastAsia="zh-CN"/>
        </w:rPr>
        <w:t>2</w:t>
      </w:r>
      <w:r>
        <w:rPr>
          <w:rFonts w:hint="eastAsia"/>
          <w:color w:val="auto"/>
          <w:highlight w:val="none"/>
          <w:lang w:val="en-US" w:eastAsia="zh-CN"/>
        </w:rPr>
        <w:t>，开采标高为+690～+330m，生产能力为15万吨/年。矿井采用斜井+平硐综合开拓方式。</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2020年11月停产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58720" cy="1844675"/>
            <wp:effectExtent l="0" t="0" r="17780" b="3175"/>
            <wp:docPr id="66" name="图片 66" descr="C:/Windows/TMP/picturecompress_202112091014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Windows/TMP/picturecompress_20211209101422/output_1.jpgoutput_1"/>
                    <pic:cNvPicPr>
                      <a:picLocks noChangeAspect="1"/>
                    </pic:cNvPicPr>
                  </pic:nvPicPr>
                  <pic:blipFill>
                    <a:blip r:embed="rId117"/>
                    <a:stretch>
                      <a:fillRect/>
                    </a:stretch>
                  </pic:blipFill>
                  <pic:spPr>
                    <a:xfrm>
                      <a:off x="0" y="0"/>
                      <a:ext cx="2458720" cy="184467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19985" cy="1816100"/>
            <wp:effectExtent l="0" t="0" r="18415" b="12700"/>
            <wp:docPr id="67" name="图片 67" descr="C:/Windows/TMP/picturecompress_202112091014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Windows/TMP/picturecompress_20211209101444/output_1.jpgoutput_1"/>
                    <pic:cNvPicPr>
                      <a:picLocks noChangeAspect="1"/>
                    </pic:cNvPicPr>
                  </pic:nvPicPr>
                  <pic:blipFill>
                    <a:blip r:embed="rId118"/>
                    <a:stretch>
                      <a:fillRect/>
                    </a:stretch>
                  </pic:blipFill>
                  <pic:spPr>
                    <a:xfrm>
                      <a:off x="0" y="0"/>
                      <a:ext cx="2419985" cy="1816100"/>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大河沟煤矿原煤临时堆场                                            大河沟煤矿污水处理站</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515235" cy="1886585"/>
            <wp:effectExtent l="0" t="0" r="18415" b="18415"/>
            <wp:docPr id="68" name="图片 68" descr="C:/Windows/TMP/picturecompress_202112091018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Windows/TMP/picturecompress_20211209101803/output_1.jpgoutput_1"/>
                    <pic:cNvPicPr>
                      <a:picLocks noChangeAspect="1"/>
                    </pic:cNvPicPr>
                  </pic:nvPicPr>
                  <pic:blipFill>
                    <a:blip r:embed="rId119"/>
                    <a:stretch>
                      <a:fillRect/>
                    </a:stretch>
                  </pic:blipFill>
                  <pic:spPr>
                    <a:xfrm>
                      <a:off x="0" y="0"/>
                      <a:ext cx="2515235" cy="188658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96185" cy="1871980"/>
            <wp:effectExtent l="0" t="0" r="18415" b="13970"/>
            <wp:docPr id="69" name="图片 69" descr="C:/Windows/TMP/picturecompress_202112091019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Windows/TMP/picturecompress_20211209101905/output_1.jpgoutput_1"/>
                    <pic:cNvPicPr>
                      <a:picLocks noChangeAspect="1"/>
                    </pic:cNvPicPr>
                  </pic:nvPicPr>
                  <pic:blipFill>
                    <a:blip r:embed="rId120"/>
                    <a:stretch>
                      <a:fillRect/>
                    </a:stretch>
                  </pic:blipFill>
                  <pic:spPr>
                    <a:xfrm>
                      <a:off x="0" y="0"/>
                      <a:ext cx="2496185" cy="1871980"/>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大河沟煤矿主斜井                                                        大河沟煤矿副平硐</w:t>
      </w:r>
    </w:p>
    <w:p>
      <w:pPr>
        <w:bidi w:val="0"/>
        <w:rPr>
          <w:rFonts w:hint="eastAsia"/>
          <w:color w:val="auto"/>
          <w:highlight w:val="none"/>
          <w:lang w:val="en-US" w:eastAsia="zh-CN"/>
        </w:rPr>
      </w:pPr>
      <w:r>
        <w:rPr>
          <w:rFonts w:hint="eastAsia"/>
          <w:color w:val="auto"/>
          <w:highlight w:val="none"/>
          <w:lang w:val="en-US" w:eastAsia="zh-CN"/>
        </w:rPr>
        <w:t>⑤大硐坪煤矿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大硐坪煤矿于2014年12月21日取得由原四川省国土资源厅颁发的采矿许可证，证号C5100002011081120117600，有效期自2014年11月28日至2024年4月28日，批准开采三夹连、内连、硬炭、独连共4层煤层，允许开采标高+850m～+300m，企业性质为私营合伙企业，生产能力15万吨/年。矿权范围由20个拐点圈定，面积2.5629km</w:t>
      </w:r>
      <w:r>
        <w:rPr>
          <w:rFonts w:hint="eastAsia"/>
          <w:color w:val="auto"/>
          <w:highlight w:val="none"/>
          <w:vertAlign w:val="superscript"/>
          <w:lang w:val="en-US" w:eastAsia="zh-CN"/>
        </w:rPr>
        <w:t>2</w:t>
      </w:r>
      <w:r>
        <w:rPr>
          <w:rFonts w:hint="eastAsia"/>
          <w:color w:val="auto"/>
          <w:highlight w:val="none"/>
          <w:lang w:val="en-US" w:eastAsia="zh-CN"/>
        </w:rPr>
        <w:t>。矿井采用平硐开拓。</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2020年11月停产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b/>
          <w:bCs/>
          <w:color w:val="auto"/>
          <w:highlight w:val="none"/>
          <w:lang w:val="en-US" w:eastAsia="zh-CN"/>
        </w:rPr>
        <w:drawing>
          <wp:inline distT="0" distB="0" distL="114300" distR="114300">
            <wp:extent cx="2308860" cy="1731645"/>
            <wp:effectExtent l="0" t="0" r="15240" b="1905"/>
            <wp:docPr id="71" name="图片 71" descr="C:/Windows/TMP/picturecompress_202112091435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Windows/TMP/picturecompress_20211209143508/output_1.jpgoutput_1"/>
                    <pic:cNvPicPr>
                      <a:picLocks noChangeAspect="1"/>
                    </pic:cNvPicPr>
                  </pic:nvPicPr>
                  <pic:blipFill>
                    <a:blip r:embed="rId121"/>
                    <a:stretch>
                      <a:fillRect/>
                    </a:stretch>
                  </pic:blipFill>
                  <pic:spPr>
                    <a:xfrm>
                      <a:off x="0" y="0"/>
                      <a:ext cx="2308860" cy="1731645"/>
                    </a:xfrm>
                    <a:prstGeom prst="rect">
                      <a:avLst/>
                    </a:prstGeom>
                  </pic:spPr>
                </pic:pic>
              </a:graphicData>
            </a:graphic>
          </wp:inline>
        </w:drawing>
      </w:r>
      <w:r>
        <w:rPr>
          <w:rFonts w:hint="eastAsia"/>
          <w:b/>
          <w:bCs/>
          <w:color w:val="auto"/>
          <w:highlight w:val="none"/>
          <w:lang w:val="en-US" w:eastAsia="zh-CN"/>
        </w:rPr>
        <w:t xml:space="preserve">               </w:t>
      </w:r>
      <w:r>
        <w:rPr>
          <w:rFonts w:hint="eastAsia"/>
          <w:color w:val="auto"/>
          <w:highlight w:val="none"/>
          <w:lang w:val="en-US" w:eastAsia="zh-CN"/>
        </w:rPr>
        <w:drawing>
          <wp:inline distT="0" distB="0" distL="114300" distR="114300">
            <wp:extent cx="2305050" cy="1729105"/>
            <wp:effectExtent l="0" t="0" r="0" b="4445"/>
            <wp:docPr id="72" name="图片 72" descr="C:/Windows/TMP/picturecompress_202112091435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Windows/TMP/picturecompress_20211209143545/output_1.jpgoutput_1"/>
                    <pic:cNvPicPr>
                      <a:picLocks noChangeAspect="1"/>
                    </pic:cNvPicPr>
                  </pic:nvPicPr>
                  <pic:blipFill>
                    <a:blip r:embed="rId122"/>
                    <a:stretch>
                      <a:fillRect/>
                    </a:stretch>
                  </pic:blipFill>
                  <pic:spPr>
                    <a:xfrm>
                      <a:off x="0" y="0"/>
                      <a:ext cx="2305050" cy="172910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大硐坪煤矿主平硐                                             大硐坪煤矿原煤临时堆场</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28240" cy="1821180"/>
            <wp:effectExtent l="0" t="0" r="10160" b="7620"/>
            <wp:docPr id="75" name="图片 75" descr="C:/Windows/TMP/picturecompress_202112091437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Windows/TMP/picturecompress_20211209143719/output_1.jpgoutput_1"/>
                    <pic:cNvPicPr>
                      <a:picLocks noChangeAspect="1"/>
                    </pic:cNvPicPr>
                  </pic:nvPicPr>
                  <pic:blipFill>
                    <a:blip r:embed="rId123"/>
                    <a:stretch>
                      <a:fillRect/>
                    </a:stretch>
                  </pic:blipFill>
                  <pic:spPr>
                    <a:xfrm>
                      <a:off x="0" y="0"/>
                      <a:ext cx="2428240" cy="1821180"/>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7285" cy="1805940"/>
            <wp:effectExtent l="0" t="0" r="12065" b="3810"/>
            <wp:docPr id="76" name="图片 76" descr="C:/Windows/TMP/picturecompress_202112091438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Windows/TMP/picturecompress_20211209143820/output_1.jpgoutput_1"/>
                    <pic:cNvPicPr>
                      <a:picLocks noChangeAspect="1"/>
                    </pic:cNvPicPr>
                  </pic:nvPicPr>
                  <pic:blipFill>
                    <a:blip r:embed="rId124"/>
                    <a:stretch>
                      <a:fillRect/>
                    </a:stretch>
                  </pic:blipFill>
                  <pic:spPr>
                    <a:xfrm>
                      <a:off x="0" y="0"/>
                      <a:ext cx="2407285" cy="1805940"/>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大硐坪煤矿污水处理站                                            大硐坪煤矿原煤筛选处</w:t>
      </w:r>
    </w:p>
    <w:p>
      <w:pPr>
        <w:bidi w:val="0"/>
        <w:rPr>
          <w:rFonts w:hint="eastAsia"/>
          <w:color w:val="auto"/>
          <w:highlight w:val="none"/>
          <w:lang w:val="en-US" w:eastAsia="zh-CN"/>
        </w:rPr>
      </w:pPr>
      <w:r>
        <w:rPr>
          <w:rFonts w:hint="eastAsia"/>
          <w:color w:val="auto"/>
          <w:highlight w:val="none"/>
          <w:lang w:val="en-US" w:eastAsia="zh-CN"/>
        </w:rPr>
        <w:t>⑥新桥红星煤矿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新桥红星煤矿于2012年4月1日取得由原四川省国土资源厅颁发采矿许可证，证号：C5100002009031120007169，有效期限自2012年2月26日至2022年4月1日，批准开采五大连煤层，开采标高+377m～±0m，生产规模9万吨/年。矿权范围由8个拐点圈定，面积2.0817km</w:t>
      </w:r>
      <w:r>
        <w:rPr>
          <w:rFonts w:hint="eastAsia"/>
          <w:color w:val="auto"/>
          <w:highlight w:val="none"/>
          <w:vertAlign w:val="superscript"/>
          <w:lang w:val="en-US" w:eastAsia="zh-CN"/>
        </w:rPr>
        <w:t>2</w:t>
      </w:r>
      <w:r>
        <w:rPr>
          <w:rFonts w:hint="eastAsia"/>
          <w:color w:val="auto"/>
          <w:highlight w:val="none"/>
          <w:lang w:val="en-US" w:eastAsia="zh-CN"/>
        </w:rPr>
        <w:t>。矿井采用斜井开拓方式。</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399665" cy="1800225"/>
            <wp:effectExtent l="0" t="0" r="635" b="9525"/>
            <wp:docPr id="77" name="图片 77" descr="C:/Windows/TMP/picturecompress_202112091440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Windows/TMP/picturecompress_20211209144040/output_1.jpgoutput_1"/>
                    <pic:cNvPicPr>
                      <a:picLocks noChangeAspect="1"/>
                    </pic:cNvPicPr>
                  </pic:nvPicPr>
                  <pic:blipFill>
                    <a:blip r:embed="rId125"/>
                    <a:stretch>
                      <a:fillRect/>
                    </a:stretch>
                  </pic:blipFill>
                  <pic:spPr>
                    <a:xfrm>
                      <a:off x="0" y="0"/>
                      <a:ext cx="2399665"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78" name="图片 78" descr="C:/Windows/TMP/picturecompress_202112091441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Windows/TMP/picturecompress_20211209144111/output_1.jpgoutput_1"/>
                    <pic:cNvPicPr>
                      <a:picLocks noChangeAspect="1"/>
                    </pic:cNvPicPr>
                  </pic:nvPicPr>
                  <pic:blipFill>
                    <a:blip r:embed="rId126"/>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新桥红星煤矿                                                                     新桥红星煤矿污水处理站</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79" name="图片 79" descr="C:/Windows/TMP/picturecompress_202112091442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Windows/TMP/picturecompress_20211209144201/output_1.jpgoutput_1"/>
                    <pic:cNvPicPr>
                      <a:picLocks noChangeAspect="1"/>
                    </pic:cNvPicPr>
                  </pic:nvPicPr>
                  <pic:blipFill>
                    <a:blip r:embed="rId127"/>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80" name="图片 80" descr="C:/Windows/TMP/picturecompress_202112091442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Windows/TMP/picturecompress_20211209144238/output_1.jpgoutput_1"/>
                    <pic:cNvPicPr>
                      <a:picLocks noChangeAspect="1"/>
                    </pic:cNvPicPr>
                  </pic:nvPicPr>
                  <pic:blipFill>
                    <a:blip r:embed="rId128"/>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新桥红星煤矿主斜井                                                                      新桥红星煤矿工业场地</w:t>
      </w:r>
    </w:p>
    <w:p>
      <w:pPr>
        <w:bidi w:val="0"/>
        <w:rPr>
          <w:rFonts w:hint="eastAsia"/>
          <w:color w:val="auto"/>
          <w:highlight w:val="none"/>
          <w:lang w:val="en-US" w:eastAsia="zh-CN"/>
        </w:rPr>
      </w:pPr>
      <w:r>
        <w:rPr>
          <w:rFonts w:hint="eastAsia"/>
          <w:color w:val="auto"/>
          <w:highlight w:val="none"/>
          <w:lang w:val="en-US" w:eastAsia="zh-CN"/>
        </w:rPr>
        <w:t>⑦堡子煤矿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大竹县堡子矿业有限责任公司堡子煤矿于2014年6月5日领取了由原四川省国土资源厅颁发的采矿许可证，证号：C5100002010121120102584，有效期至2022年6月5日。矿权范围由45个拐点坐标圈闭，矿权面积2.412km</w:t>
      </w:r>
      <w:r>
        <w:rPr>
          <w:rFonts w:hint="eastAsia"/>
          <w:color w:val="auto"/>
          <w:highlight w:val="none"/>
          <w:vertAlign w:val="superscript"/>
          <w:lang w:val="en-US" w:eastAsia="zh-CN"/>
        </w:rPr>
        <w:t>2</w:t>
      </w:r>
      <w:r>
        <w:rPr>
          <w:rFonts w:hint="eastAsia"/>
          <w:color w:val="auto"/>
          <w:highlight w:val="none"/>
          <w:lang w:val="en-US" w:eastAsia="zh-CN"/>
        </w:rPr>
        <w:t>，批准开采外大连、内大连、蛮炭、四夹连、三夹连、夹子连、泡炭、背影煤层共8层，开采标高+420m～+100m，证载生产能力21万吨/年，核定生产能力为30万吨/年。矿井采用斜井+平硐综合开拓。</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2020年底停产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00300" cy="1800225"/>
            <wp:effectExtent l="0" t="0" r="0" b="9525"/>
            <wp:docPr id="81" name="图片 81" descr="C:/Windows/TMP/picturecompress_202112091443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Windows/TMP/picturecompress_20211209144355/output_1.jpgoutput_1"/>
                    <pic:cNvPicPr>
                      <a:picLocks noChangeAspect="1"/>
                    </pic:cNvPicPr>
                  </pic:nvPicPr>
                  <pic:blipFill>
                    <a:blip r:embed="rId129"/>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82" name="图片 82" descr="C:/Windows/TMP/picturecompress_202112091446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Windows/TMP/picturecompress_20211209144613/output_1.jpgoutput_1"/>
                    <pic:cNvPicPr>
                      <a:picLocks noChangeAspect="1"/>
                    </pic:cNvPicPr>
                  </pic:nvPicPr>
                  <pic:blipFill>
                    <a:blip r:embed="rId130"/>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堡子煤矿办公生活区                                                         堡子煤矿主斜井</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83" name="图片 83" descr="C:/Windows/TMP/picturecompress_202112091447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Windows/TMP/picturecompress_20211209144700/output_1.jpgoutput_1"/>
                    <pic:cNvPicPr>
                      <a:picLocks noChangeAspect="1"/>
                    </pic:cNvPicPr>
                  </pic:nvPicPr>
                  <pic:blipFill>
                    <a:blip r:embed="rId131"/>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84" name="图片 84" descr="C:/Windows/TMP/picturecompress_202112091447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Windows/TMP/picturecompress_20211209144727/output_1.jpgoutput_1"/>
                    <pic:cNvPicPr>
                      <a:picLocks noChangeAspect="1"/>
                    </pic:cNvPicPr>
                  </pic:nvPicPr>
                  <pic:blipFill>
                    <a:blip r:embed="rId132"/>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堡子煤矿副平硐                                               堡子煤矿污水处理站</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85" name="图片 85" descr="C:/Windows/TMP/picturecompress_202112091449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Windows/TMP/picturecompress_20211209144924/output_1.jpgoutput_1"/>
                    <pic:cNvPicPr>
                      <a:picLocks noChangeAspect="1"/>
                    </pic:cNvPicPr>
                  </pic:nvPicPr>
                  <pic:blipFill>
                    <a:blip r:embed="rId133"/>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1350010" cy="1800225"/>
            <wp:effectExtent l="0" t="0" r="2540" b="9525"/>
            <wp:docPr id="86" name="图片 86" descr="C:/Windows/TMP/picturecompress_202112091449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Windows/TMP/picturecompress_20211209144937/output_1.jpgoutput_1"/>
                    <pic:cNvPicPr>
                      <a:picLocks noChangeAspect="1"/>
                    </pic:cNvPicPr>
                  </pic:nvPicPr>
                  <pic:blipFill>
                    <a:blip r:embed="rId134"/>
                    <a:stretch>
                      <a:fillRect/>
                    </a:stretch>
                  </pic:blipFill>
                  <pic:spPr>
                    <a:xfrm>
                      <a:off x="0" y="0"/>
                      <a:ext cx="135001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堡子煤矿洗煤厂                                                                      堡子煤矿洗煤厂</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87" name="图片 87" descr="C:/Windows/TMP/picturecompress_202112091450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Windows/TMP/picturecompress_20211209145045/output_1.jpgoutput_1"/>
                    <pic:cNvPicPr>
                      <a:picLocks noChangeAspect="1"/>
                    </pic:cNvPicPr>
                  </pic:nvPicPr>
                  <pic:blipFill>
                    <a:blip r:embed="rId135"/>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88" name="图片 88" descr="C:/Windows/TMP/picturecompress_202112091451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Windows/TMP/picturecompress_20211209145100/output_1.jpgoutput_1"/>
                    <pic:cNvPicPr>
                      <a:picLocks noChangeAspect="1"/>
                    </pic:cNvPicPr>
                  </pic:nvPicPr>
                  <pic:blipFill>
                    <a:blip r:embed="rId136"/>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堡子煤矿临时矸石场                                                   堡子煤矿临时矸石场</w:t>
      </w:r>
    </w:p>
    <w:p>
      <w:pPr>
        <w:bidi w:val="0"/>
        <w:rPr>
          <w:rFonts w:hint="eastAsia"/>
          <w:color w:val="auto"/>
          <w:highlight w:val="none"/>
          <w:lang w:val="en-US" w:eastAsia="zh-CN"/>
        </w:rPr>
      </w:pPr>
      <w:r>
        <w:rPr>
          <w:rFonts w:hint="eastAsia"/>
          <w:color w:val="auto"/>
          <w:highlight w:val="none"/>
          <w:lang w:val="en-US" w:eastAsia="zh-CN"/>
        </w:rPr>
        <w:t>⑧荣华煤矿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大竹县荣华煤矿于2020年10月领取了由四川省国土资源厅颁发的采矿许可证，证号为C5100002016051120142028，有效期为2020年7月8日至2022年10月19日，矿权范围由4个拐点坐标圈闭，面积为0.6567km</w:t>
      </w:r>
      <w:r>
        <w:rPr>
          <w:rFonts w:hint="eastAsia"/>
          <w:color w:val="auto"/>
          <w:highlight w:val="none"/>
          <w:vertAlign w:val="superscript"/>
          <w:lang w:val="en-US" w:eastAsia="zh-CN"/>
        </w:rPr>
        <w:t>2</w:t>
      </w:r>
      <w:r>
        <w:rPr>
          <w:rFonts w:hint="eastAsia"/>
          <w:color w:val="auto"/>
          <w:highlight w:val="none"/>
          <w:lang w:val="en-US" w:eastAsia="zh-CN"/>
        </w:rPr>
        <w:t>，开采标高+350m～+50m，矿井核定生产能力为15万吨/年。矿井采用斜井开拓方式。</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2010年停产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00300" cy="1800225"/>
            <wp:effectExtent l="0" t="0" r="0" b="9525"/>
            <wp:docPr id="89" name="图片 89" descr="C:/Windows/TMP/picturecompress_202112091452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Windows/TMP/picturecompress_20211209145220/output_1.jpgoutput_1"/>
                    <pic:cNvPicPr>
                      <a:picLocks noChangeAspect="1"/>
                    </pic:cNvPicPr>
                  </pic:nvPicPr>
                  <pic:blipFill>
                    <a:blip r:embed="rId137"/>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90" name="图片 90" descr="C:/Windows/TMP/picturecompress_202112091454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Windows/TMP/picturecompress_20211209145422/output_1.jpgoutput_1"/>
                    <pic:cNvPicPr>
                      <a:picLocks noChangeAspect="1"/>
                    </pic:cNvPicPr>
                  </pic:nvPicPr>
                  <pic:blipFill>
                    <a:blip r:embed="rId138"/>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荣华煤矿副斜井                                                         荣华煤矿矸石场</w:t>
      </w:r>
    </w:p>
    <w:p>
      <w:pPr>
        <w:bidi w:val="0"/>
        <w:rPr>
          <w:rFonts w:hint="eastAsia"/>
          <w:color w:val="auto"/>
          <w:highlight w:val="none"/>
          <w:lang w:val="en-US" w:eastAsia="zh-CN"/>
        </w:rPr>
      </w:pPr>
      <w:r>
        <w:rPr>
          <w:rFonts w:hint="eastAsia"/>
          <w:color w:val="auto"/>
          <w:highlight w:val="none"/>
          <w:lang w:val="en-US" w:eastAsia="zh-CN"/>
        </w:rPr>
        <w:t>⑨华家沟煤矿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大竹县永兴矿业有限责任公司华家沟煤矿于2020年7月31日取得四川省自然资源厅颁发的采矿许可证，证号为C5100002010101120077935，有效期为2020年5月31日至2022年7月31日，矿权范围由10个拐点坐标圈闭，面积1.0554km</w:t>
      </w:r>
      <w:r>
        <w:rPr>
          <w:rFonts w:hint="eastAsia"/>
          <w:color w:val="auto"/>
          <w:highlight w:val="none"/>
          <w:vertAlign w:val="superscript"/>
          <w:lang w:val="en-US" w:eastAsia="zh-CN"/>
        </w:rPr>
        <w:t>2</w:t>
      </w:r>
      <w:r>
        <w:rPr>
          <w:rFonts w:hint="eastAsia"/>
          <w:color w:val="auto"/>
          <w:highlight w:val="none"/>
          <w:lang w:val="en-US" w:eastAsia="zh-CN"/>
        </w:rPr>
        <w:t>。开采标高为+470m～+100m，开采K</w:t>
      </w:r>
      <w:r>
        <w:rPr>
          <w:rFonts w:hint="eastAsia"/>
          <w:color w:val="auto"/>
          <w:highlight w:val="none"/>
          <w:vertAlign w:val="subscript"/>
          <w:lang w:val="en-US" w:eastAsia="zh-CN"/>
        </w:rPr>
        <w:t>9</w:t>
      </w:r>
      <w:r>
        <w:rPr>
          <w:rFonts w:hint="eastAsia"/>
          <w:color w:val="auto"/>
          <w:highlight w:val="none"/>
          <w:lang w:val="en-US" w:eastAsia="zh-CN"/>
        </w:rPr>
        <w:t>、K</w:t>
      </w:r>
      <w:r>
        <w:rPr>
          <w:rFonts w:hint="eastAsia"/>
          <w:color w:val="auto"/>
          <w:highlight w:val="none"/>
          <w:vertAlign w:val="subscript"/>
          <w:lang w:val="en-US" w:eastAsia="zh-CN"/>
        </w:rPr>
        <w:t>10</w:t>
      </w:r>
      <w:r>
        <w:rPr>
          <w:rFonts w:hint="eastAsia"/>
          <w:color w:val="auto"/>
          <w:highlight w:val="none"/>
          <w:lang w:val="en-US" w:eastAsia="zh-CN"/>
        </w:rPr>
        <w:t>煤层。矿井生产能力为9万吨/年。矿井采用斜井+平硐综合开拓方式。</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00300" cy="1800225"/>
            <wp:effectExtent l="0" t="0" r="0" b="9525"/>
            <wp:docPr id="91" name="图片 91" descr="C:/Windows/TMP/picturecompress_202112091500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Windows/TMP/picturecompress_20211209150021/output_1.jpgoutput_1"/>
                    <pic:cNvPicPr>
                      <a:picLocks noChangeAspect="1"/>
                    </pic:cNvPicPr>
                  </pic:nvPicPr>
                  <pic:blipFill>
                    <a:blip r:embed="rId139"/>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92" name="图片 92" descr="C:/Windows/TMP/picturecompress_202112091503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Windows/TMP/picturecompress_20211209150306/output_1.jpgoutput_1"/>
                    <pic:cNvPicPr>
                      <a:picLocks noChangeAspect="1"/>
                    </pic:cNvPicPr>
                  </pic:nvPicPr>
                  <pic:blipFill>
                    <a:blip r:embed="rId140"/>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华家沟煤矿副平硐                                              华家沟煤矿工业广场</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93" name="图片 93" descr="C:/Windows/TMP/picturecompress_202112091503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Windows/TMP/picturecompress_20211209150346/output_1.jpgoutput_1"/>
                    <pic:cNvPicPr>
                      <a:picLocks noChangeAspect="1"/>
                    </pic:cNvPicPr>
                  </pic:nvPicPr>
                  <pic:blipFill>
                    <a:blip r:embed="rId141"/>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94" name="图片 94" descr="C:/Windows/TMP/picturecompress_202112091504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Windows/TMP/picturecompress_20211209150400/output_1.jpgoutput_1"/>
                    <pic:cNvPicPr>
                      <a:picLocks noChangeAspect="1"/>
                    </pic:cNvPicPr>
                  </pic:nvPicPr>
                  <pic:blipFill>
                    <a:blip r:embed="rId142"/>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华家沟煤矿污水处理站                                              华家沟煤矿临时矸石场</w:t>
      </w:r>
    </w:p>
    <w:p>
      <w:pPr>
        <w:bidi w:val="0"/>
        <w:rPr>
          <w:rFonts w:hint="eastAsia"/>
          <w:color w:val="auto"/>
          <w:highlight w:val="none"/>
          <w:lang w:val="en-US" w:eastAsia="zh-CN"/>
        </w:rPr>
      </w:pPr>
      <w:r>
        <w:rPr>
          <w:rFonts w:hint="eastAsia"/>
          <w:color w:val="auto"/>
          <w:highlight w:val="none"/>
          <w:lang w:val="en-US" w:eastAsia="zh-CN"/>
        </w:rPr>
        <w:t>⑩孔家沟煤矿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达州市全新能源发展有限公司孔家沟煤矿于2020年10月28日由四川省自然资源厅颁发了采矿许可证，证号：C5100002009121120052072，矿权范围由9个拐点坐标圈闭，面积3.4115km</w:t>
      </w:r>
      <w:r>
        <w:rPr>
          <w:rFonts w:hint="eastAsia"/>
          <w:color w:val="auto"/>
          <w:highlight w:val="none"/>
          <w:vertAlign w:val="superscript"/>
          <w:lang w:val="en-US" w:eastAsia="zh-CN"/>
        </w:rPr>
        <w:t>2</w:t>
      </w:r>
      <w:r>
        <w:rPr>
          <w:rFonts w:hint="eastAsia"/>
          <w:color w:val="auto"/>
          <w:highlight w:val="none"/>
          <w:lang w:val="en-US" w:eastAsia="zh-CN"/>
        </w:rPr>
        <w:t>，批准开采K6、K9、K11煤层，开采标高+350m～±0m，有效期为2020年10月28日至2022年10月28日，生产能力为15万吨/年。矿井采用斜井+平硐开拓。</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00300" cy="1800225"/>
            <wp:effectExtent l="0" t="0" r="0" b="9525"/>
            <wp:docPr id="95" name="图片 95" descr="C:/Windows/TMP/picturecompress_202112091504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Windows/TMP/picturecompress_20211209150447/output_1.jpgoutput_1"/>
                    <pic:cNvPicPr>
                      <a:picLocks noChangeAspect="1"/>
                    </pic:cNvPicPr>
                  </pic:nvPicPr>
                  <pic:blipFill>
                    <a:blip r:embed="rId143"/>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96" name="图片 96" descr="C:/Windows/TMP/picturecompress_202112091505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Windows/TMP/picturecompress_20211209150512/output_1.jpgoutput_1"/>
                    <pic:cNvPicPr>
                      <a:picLocks noChangeAspect="1"/>
                    </pic:cNvPicPr>
                  </pic:nvPicPr>
                  <pic:blipFill>
                    <a:blip r:embed="rId144"/>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孔家沟煤矿主斜井                                                       孔家沟煤矿工业广场</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97" name="图片 97" descr="C:/Windows/TMP/picturecompress_202112091506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Windows/TMP/picturecompress_20211209150637/output_1.jpgoutput_1"/>
                    <pic:cNvPicPr>
                      <a:picLocks noChangeAspect="1"/>
                    </pic:cNvPicPr>
                  </pic:nvPicPr>
                  <pic:blipFill>
                    <a:blip r:embed="rId145"/>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孔家沟煤矿临时矸石场</w:t>
      </w:r>
    </w:p>
    <w:p>
      <w:pPr>
        <w:bidi w:val="0"/>
        <w:rPr>
          <w:rFonts w:hint="eastAsia"/>
          <w:b w:val="0"/>
          <w:bCs w:val="0"/>
          <w:color w:val="auto"/>
          <w:highlight w:val="none"/>
          <w:lang w:val="en-US" w:eastAsia="zh-CN"/>
        </w:rPr>
      </w:pPr>
      <w:r>
        <w:rPr>
          <w:rFonts w:hint="eastAsia"/>
          <w:b w:val="0"/>
          <w:bCs w:val="0"/>
          <w:color w:val="auto"/>
          <w:highlight w:val="none"/>
          <w:lang w:val="en-US" w:eastAsia="zh-CN"/>
        </w:rPr>
        <w:t>⑪刘家沟煤矿</w:t>
      </w:r>
    </w:p>
    <w:p>
      <w:pPr>
        <w:bidi w:val="0"/>
        <w:rPr>
          <w:rFonts w:hint="eastAsia" w:cs="Times New Roman"/>
          <w:color w:val="auto"/>
          <w:sz w:val="24"/>
          <w:szCs w:val="24"/>
          <w:highlight w:val="none"/>
          <w:vertAlign w:val="baseline"/>
          <w:lang w:eastAsia="zh-CN"/>
        </w:rPr>
      </w:pPr>
      <w:r>
        <w:rPr>
          <w:rFonts w:hint="default"/>
          <w:color w:val="auto"/>
          <w:highlight w:val="none"/>
          <w:lang w:val="en-US" w:eastAsia="zh-CN"/>
        </w:rPr>
        <w:t>大竹县双溪乡刘家沟联合煤矿于2013年8月由原四川省国土资源厅颁发了采矿许可证，证号C5100002009051120017657，有效期至2021年8月（矿井目前正在补办新的采矿许可证）。矿权范围由5个拐点坐标圈闭，面积2.029km²，批准开采K</w:t>
      </w:r>
      <w:r>
        <w:rPr>
          <w:rFonts w:hint="default"/>
          <w:color w:val="auto"/>
          <w:highlight w:val="none"/>
          <w:vertAlign w:val="subscript"/>
          <w:lang w:val="en-US" w:eastAsia="zh-CN"/>
        </w:rPr>
        <w:t>14</w:t>
      </w:r>
      <w:r>
        <w:rPr>
          <w:rFonts w:hint="default"/>
          <w:color w:val="auto"/>
          <w:highlight w:val="none"/>
          <w:lang w:val="en-US" w:eastAsia="zh-CN"/>
        </w:rPr>
        <w:t>、K</w:t>
      </w:r>
      <w:r>
        <w:rPr>
          <w:rFonts w:hint="default"/>
          <w:color w:val="auto"/>
          <w:highlight w:val="none"/>
          <w:vertAlign w:val="subscript"/>
          <w:lang w:val="en-US" w:eastAsia="zh-CN"/>
        </w:rPr>
        <w:t>6</w:t>
      </w:r>
      <w:r>
        <w:rPr>
          <w:rFonts w:hint="default"/>
          <w:color w:val="auto"/>
          <w:highlight w:val="none"/>
          <w:lang w:val="en-US" w:eastAsia="zh-CN"/>
        </w:rPr>
        <w:t>、K</w:t>
      </w:r>
      <w:r>
        <w:rPr>
          <w:rFonts w:hint="default"/>
          <w:color w:val="auto"/>
          <w:highlight w:val="none"/>
          <w:vertAlign w:val="subscript"/>
          <w:lang w:val="en-US" w:eastAsia="zh-CN"/>
        </w:rPr>
        <w:t>4</w:t>
      </w:r>
      <w:r>
        <w:rPr>
          <w:rFonts w:hint="default"/>
          <w:color w:val="auto"/>
          <w:highlight w:val="none"/>
          <w:lang w:val="en-US" w:eastAsia="zh-CN"/>
        </w:rPr>
        <w:t>、K</w:t>
      </w:r>
      <w:r>
        <w:rPr>
          <w:rFonts w:hint="default"/>
          <w:color w:val="auto"/>
          <w:highlight w:val="none"/>
          <w:vertAlign w:val="subscript"/>
          <w:lang w:val="en-US" w:eastAsia="zh-CN"/>
        </w:rPr>
        <w:t>3</w:t>
      </w:r>
      <w:r>
        <w:rPr>
          <w:rFonts w:hint="default"/>
          <w:color w:val="auto"/>
          <w:highlight w:val="none"/>
          <w:lang w:val="en-US" w:eastAsia="zh-CN"/>
        </w:rPr>
        <w:t>、K</w:t>
      </w:r>
      <w:r>
        <w:rPr>
          <w:rFonts w:hint="default"/>
          <w:color w:val="auto"/>
          <w:highlight w:val="none"/>
          <w:vertAlign w:val="subscript"/>
          <w:lang w:val="en-US" w:eastAsia="zh-CN"/>
        </w:rPr>
        <w:t>2</w:t>
      </w:r>
      <w:r>
        <w:rPr>
          <w:rFonts w:hint="default"/>
          <w:color w:val="auto"/>
          <w:highlight w:val="none"/>
          <w:lang w:val="en-US" w:eastAsia="zh-CN"/>
        </w:rPr>
        <w:t>煤层，开采标高+650m～+300m。生产能力为9万吨/年。矿井平硐开拓方式</w:t>
      </w:r>
      <w:r>
        <w:rPr>
          <w:rFonts w:hint="eastAsia"/>
          <w:color w:val="auto"/>
          <w:highlight w:val="none"/>
          <w:lang w:val="en-US" w:eastAsia="zh-CN"/>
        </w:rPr>
        <w:t>。</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98" name="图片 98" descr="C:/Windows/TMP/picturecompress_202112091507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Windows/TMP/picturecompress_20211209150759/output_1.jpgoutput_1"/>
                    <pic:cNvPicPr>
                      <a:picLocks noChangeAspect="1"/>
                    </pic:cNvPicPr>
                  </pic:nvPicPr>
                  <pic:blipFill>
                    <a:blip r:embed="rId146"/>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99" name="图片 99" descr="C:/Windows/TMP/picturecompress_20211209150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Windows/TMP/picturecompress_20211209150818/output_1.jpgoutput_1"/>
                    <pic:cNvPicPr>
                      <a:picLocks noChangeAspect="1"/>
                    </pic:cNvPicPr>
                  </pic:nvPicPr>
                  <pic:blipFill>
                    <a:blip r:embed="rId147"/>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刘家沟煤矿主平硐                                                      刘家沟煤矿污水处理站</w:t>
      </w:r>
    </w:p>
    <w:p>
      <w:pPr>
        <w:bidi w:val="0"/>
        <w:rPr>
          <w:rFonts w:hint="eastAsia"/>
          <w:b w:val="0"/>
          <w:bCs w:val="0"/>
          <w:color w:val="auto"/>
          <w:highlight w:val="none"/>
          <w:lang w:val="en-US" w:eastAsia="zh-CN"/>
        </w:rPr>
      </w:pPr>
      <w:r>
        <w:rPr>
          <w:rFonts w:hint="eastAsia"/>
          <w:b w:val="0"/>
          <w:bCs w:val="0"/>
          <w:color w:val="auto"/>
          <w:highlight w:val="none"/>
          <w:lang w:val="en-US" w:eastAsia="zh-CN"/>
        </w:rPr>
        <w:t>⑫牛郎沟煤矿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大竹县牛郎沟煤业有限公司牛郎沟煤矿于2020年12月14日由四川省自然资源厅颁发了采矿许可证，证号为C5100002009101120041005，有效期限至2021年12月14日。矿权范围由4个拐点坐标圈闭，面积1.1553km</w:t>
      </w:r>
      <w:r>
        <w:rPr>
          <w:rFonts w:hint="eastAsia"/>
          <w:color w:val="auto"/>
          <w:highlight w:val="none"/>
          <w:vertAlign w:val="superscript"/>
          <w:lang w:val="en-US" w:eastAsia="zh-CN"/>
        </w:rPr>
        <w:t>2</w:t>
      </w:r>
      <w:r>
        <w:rPr>
          <w:rFonts w:hint="eastAsia"/>
          <w:color w:val="auto"/>
          <w:highlight w:val="none"/>
          <w:lang w:val="en-US" w:eastAsia="zh-CN"/>
        </w:rPr>
        <w:t>，批准开采K</w:t>
      </w:r>
      <w:r>
        <w:rPr>
          <w:rFonts w:hint="eastAsia"/>
          <w:color w:val="auto"/>
          <w:highlight w:val="none"/>
          <w:vertAlign w:val="subscript"/>
          <w:lang w:val="en-US" w:eastAsia="zh-CN"/>
        </w:rPr>
        <w:t>7</w:t>
      </w:r>
      <w:r>
        <w:rPr>
          <w:rFonts w:hint="eastAsia"/>
          <w:color w:val="auto"/>
          <w:highlight w:val="none"/>
          <w:lang w:val="en-US" w:eastAsia="zh-CN"/>
        </w:rPr>
        <w:t>、K</w:t>
      </w:r>
      <w:r>
        <w:rPr>
          <w:rFonts w:hint="eastAsia"/>
          <w:color w:val="auto"/>
          <w:highlight w:val="none"/>
          <w:vertAlign w:val="subscript"/>
          <w:lang w:val="en-US" w:eastAsia="zh-CN"/>
        </w:rPr>
        <w:t>8</w:t>
      </w:r>
      <w:r>
        <w:rPr>
          <w:rFonts w:hint="eastAsia"/>
          <w:color w:val="auto"/>
          <w:highlight w:val="none"/>
          <w:lang w:val="en-US" w:eastAsia="zh-CN"/>
        </w:rPr>
        <w:t>、K</w:t>
      </w:r>
      <w:r>
        <w:rPr>
          <w:rFonts w:hint="eastAsia"/>
          <w:color w:val="auto"/>
          <w:highlight w:val="none"/>
          <w:vertAlign w:val="subscript"/>
          <w:lang w:val="en-US" w:eastAsia="zh-CN"/>
        </w:rPr>
        <w:t>13</w:t>
      </w:r>
      <w:r>
        <w:rPr>
          <w:rFonts w:hint="eastAsia"/>
          <w:color w:val="auto"/>
          <w:highlight w:val="none"/>
          <w:lang w:val="en-US" w:eastAsia="zh-CN"/>
        </w:rPr>
        <w:t>、K</w:t>
      </w:r>
      <w:r>
        <w:rPr>
          <w:rFonts w:hint="eastAsia"/>
          <w:color w:val="auto"/>
          <w:highlight w:val="none"/>
          <w:vertAlign w:val="subscript"/>
          <w:lang w:val="en-US" w:eastAsia="zh-CN"/>
        </w:rPr>
        <w:t>14</w:t>
      </w:r>
      <w:r>
        <w:rPr>
          <w:rFonts w:hint="eastAsia"/>
          <w:color w:val="auto"/>
          <w:highlight w:val="none"/>
          <w:lang w:val="en-US" w:eastAsia="zh-CN"/>
        </w:rPr>
        <w:t>煤层，开采标高为+582m～+200m。证载生产能力为9万吨/年，核定生产能力15万吨/年。矿井采用平硐+斜井综合开拓方式。</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00300" cy="1800225"/>
            <wp:effectExtent l="0" t="0" r="0" b="9525"/>
            <wp:docPr id="100" name="图片 100" descr="C:/Windows/TMP/picturecompress_202112091509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Windows/TMP/picturecompress_20211209150947/output_1.jpgoutput_1"/>
                    <pic:cNvPicPr>
                      <a:picLocks noChangeAspect="1"/>
                    </pic:cNvPicPr>
                  </pic:nvPicPr>
                  <pic:blipFill>
                    <a:blip r:embed="rId148"/>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101" name="图片 101" descr="C:/Windows/TMP/picturecompress_202112091510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Windows/TMP/picturecompress_20211209151006/output_1.jpgoutput_1"/>
                    <pic:cNvPicPr>
                      <a:picLocks noChangeAspect="1"/>
                    </pic:cNvPicPr>
                  </pic:nvPicPr>
                  <pic:blipFill>
                    <a:blip r:embed="rId149"/>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牛郎沟煤矿主斜井                                                          牛郎沟煤矿副平硐</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102" name="图片 102" descr="C:/Windows/TMP/picturecompress_202112091511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Windows/TMP/picturecompress_20211209151102/output_1.jpgoutput_1"/>
                    <pic:cNvPicPr>
                      <a:picLocks noChangeAspect="1"/>
                    </pic:cNvPicPr>
                  </pic:nvPicPr>
                  <pic:blipFill>
                    <a:blip r:embed="rId150"/>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103" name="图片 103" descr="C:/Windows/TMP/picturecompress_202112091511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Windows/TMP/picturecompress_20211209151113/output_1.jpgoutput_1"/>
                    <pic:cNvPicPr>
                      <a:picLocks noChangeAspect="1"/>
                    </pic:cNvPicPr>
                  </pic:nvPicPr>
                  <pic:blipFill>
                    <a:blip r:embed="rId151"/>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牛郎沟煤矿污水处理站                                              牛郎沟煤矿原煤临时堆场</w:t>
      </w:r>
    </w:p>
    <w:p>
      <w:pPr>
        <w:bidi w:val="0"/>
        <w:rPr>
          <w:rFonts w:hint="eastAsia"/>
          <w:b w:val="0"/>
          <w:bCs w:val="0"/>
          <w:color w:val="auto"/>
          <w:highlight w:val="none"/>
          <w:lang w:val="en-US" w:eastAsia="zh-CN"/>
        </w:rPr>
      </w:pPr>
      <w:r>
        <w:rPr>
          <w:rFonts w:hint="eastAsia"/>
          <w:b w:val="0"/>
          <w:bCs w:val="0"/>
          <w:color w:val="auto"/>
          <w:highlight w:val="none"/>
          <w:lang w:val="en-US" w:eastAsia="zh-CN"/>
        </w:rPr>
        <w:t>⑬平桥煤矿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大竹县平桥煤业有限公司平桥煤矿于2020年12月取得四川省自然资源厅颁发的采矿许可证，采矿证号为“C5100002010121120099092”，有效期限至2021年12月14日。矿权面积1.7009km</w:t>
      </w:r>
      <w:r>
        <w:rPr>
          <w:rFonts w:hint="eastAsia"/>
          <w:color w:val="auto"/>
          <w:highlight w:val="none"/>
          <w:vertAlign w:val="superscript"/>
          <w:lang w:val="en-US" w:eastAsia="zh-CN"/>
        </w:rPr>
        <w:t>2</w:t>
      </w:r>
      <w:r>
        <w:rPr>
          <w:rFonts w:hint="eastAsia"/>
          <w:color w:val="auto"/>
          <w:highlight w:val="none"/>
          <w:lang w:val="en-US" w:eastAsia="zh-CN"/>
        </w:rPr>
        <w:t>，范围由5个拐点坐标圈闭，批准开采K</w:t>
      </w:r>
      <w:r>
        <w:rPr>
          <w:rFonts w:hint="eastAsia"/>
          <w:color w:val="auto"/>
          <w:highlight w:val="none"/>
          <w:vertAlign w:val="subscript"/>
          <w:lang w:val="en-US" w:eastAsia="zh-CN"/>
        </w:rPr>
        <w:t>16</w:t>
      </w:r>
      <w:r>
        <w:rPr>
          <w:rFonts w:hint="eastAsia"/>
          <w:color w:val="auto"/>
          <w:highlight w:val="none"/>
          <w:lang w:val="en-US" w:eastAsia="zh-CN"/>
        </w:rPr>
        <w:t>、K</w:t>
      </w:r>
      <w:r>
        <w:rPr>
          <w:rFonts w:hint="eastAsia"/>
          <w:color w:val="auto"/>
          <w:highlight w:val="none"/>
          <w:vertAlign w:val="subscript"/>
          <w:lang w:val="en-US" w:eastAsia="zh-CN"/>
        </w:rPr>
        <w:t>15</w:t>
      </w:r>
      <w:r>
        <w:rPr>
          <w:rFonts w:hint="eastAsia"/>
          <w:color w:val="auto"/>
          <w:highlight w:val="none"/>
          <w:lang w:val="en-US" w:eastAsia="zh-CN"/>
        </w:rPr>
        <w:t>、K</w:t>
      </w:r>
      <w:r>
        <w:rPr>
          <w:rFonts w:hint="eastAsia"/>
          <w:color w:val="auto"/>
          <w:highlight w:val="none"/>
          <w:vertAlign w:val="subscript"/>
          <w:lang w:val="en-US" w:eastAsia="zh-CN"/>
        </w:rPr>
        <w:t>11</w:t>
      </w:r>
      <w:r>
        <w:rPr>
          <w:rFonts w:hint="eastAsia"/>
          <w:color w:val="auto"/>
          <w:highlight w:val="none"/>
          <w:lang w:val="en-US" w:eastAsia="zh-CN"/>
        </w:rPr>
        <w:t>、K</w:t>
      </w:r>
      <w:r>
        <w:rPr>
          <w:rFonts w:hint="eastAsia"/>
          <w:color w:val="auto"/>
          <w:highlight w:val="none"/>
          <w:vertAlign w:val="subscript"/>
          <w:lang w:val="en-US" w:eastAsia="zh-CN"/>
        </w:rPr>
        <w:t>8</w:t>
      </w:r>
      <w:r>
        <w:rPr>
          <w:rFonts w:hint="eastAsia"/>
          <w:color w:val="auto"/>
          <w:highlight w:val="none"/>
          <w:lang w:val="en-US" w:eastAsia="zh-CN"/>
        </w:rPr>
        <w:t>、K</w:t>
      </w:r>
      <w:r>
        <w:rPr>
          <w:rFonts w:hint="eastAsia"/>
          <w:color w:val="auto"/>
          <w:highlight w:val="none"/>
          <w:vertAlign w:val="subscript"/>
          <w:lang w:val="en-US" w:eastAsia="zh-CN"/>
        </w:rPr>
        <w:t>2</w:t>
      </w:r>
      <w:r>
        <w:rPr>
          <w:rFonts w:hint="eastAsia"/>
          <w:color w:val="auto"/>
          <w:highlight w:val="none"/>
          <w:lang w:val="en-US" w:eastAsia="zh-CN"/>
        </w:rPr>
        <w:t>煤层，开采标高为+380m～±0m，生产能力为15万吨/年。矿井采用斜井+平硐综合开拓。</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2020年初停产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2400300" cy="1800225"/>
            <wp:effectExtent l="0" t="0" r="0" b="9525"/>
            <wp:docPr id="104" name="图片 104" descr="C:/Windows/TMP/picturecompress_202112091514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Windows/TMP/picturecompress_20211209151428/output_1.jpgoutput_1"/>
                    <pic:cNvPicPr>
                      <a:picLocks noChangeAspect="1"/>
                    </pic:cNvPicPr>
                  </pic:nvPicPr>
                  <pic:blipFill>
                    <a:blip r:embed="rId152"/>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2400300" cy="1800225"/>
            <wp:effectExtent l="0" t="0" r="0" b="9525"/>
            <wp:docPr id="105" name="图片 105" descr="C:/Windows/TMP/picturecompress_202112091514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Windows/TMP/picturecompress_20211209151438/output_1.jpgoutput_1"/>
                    <pic:cNvPicPr>
                      <a:picLocks noChangeAspect="1"/>
                    </pic:cNvPicPr>
                  </pic:nvPicPr>
                  <pic:blipFill>
                    <a:blip r:embed="rId153"/>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平桥煤矿主斜井                                                                平桥煤矿副斜井</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106" name="图片 106" descr="C:/Windows/TMP/picturecompress_202112091515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Windows/TMP/picturecompress_20211209151525/output_1.jpgoutput_1"/>
                    <pic:cNvPicPr>
                      <a:picLocks noChangeAspect="1"/>
                    </pic:cNvPicPr>
                  </pic:nvPicPr>
                  <pic:blipFill>
                    <a:blip r:embed="rId154"/>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107" name="图片 107" descr="C:/Windows/TMP/picturecompress_202112091515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Windows/TMP/picturecompress_20211209151552/output_1.jpgoutput_1"/>
                    <pic:cNvPicPr>
                      <a:picLocks noChangeAspect="1"/>
                    </pic:cNvPicPr>
                  </pic:nvPicPr>
                  <pic:blipFill>
                    <a:blip r:embed="rId155"/>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平桥煤矿污水处理站                                                 平桥煤矿原煤临时堆场</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108" name="图片 108" descr="C:/Windows/TMP/picturecompress_202112091516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Windows/TMP/picturecompress_20211209151645/output_1.jpgoutput_1"/>
                    <pic:cNvPicPr>
                      <a:picLocks noChangeAspect="1"/>
                    </pic:cNvPicPr>
                  </pic:nvPicPr>
                  <pic:blipFill>
                    <a:blip r:embed="rId156"/>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399665" cy="1800225"/>
            <wp:effectExtent l="0" t="0" r="635" b="9525"/>
            <wp:docPr id="109" name="图片 109" descr="637539362e87dde6132f861a96ea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637539362e87dde6132f861a96ea1f1"/>
                    <pic:cNvPicPr>
                      <a:picLocks noChangeAspect="1"/>
                    </pic:cNvPicPr>
                  </pic:nvPicPr>
                  <pic:blipFill>
                    <a:blip r:embed="rId157"/>
                    <a:stretch>
                      <a:fillRect/>
                    </a:stretch>
                  </pic:blipFill>
                  <pic:spPr>
                    <a:xfrm>
                      <a:off x="0" y="0"/>
                      <a:ext cx="2399665"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平桥煤矿风井                                                             平桥煤矿矸石山</w:t>
      </w:r>
    </w:p>
    <w:p>
      <w:pPr>
        <w:bidi w:val="0"/>
        <w:rPr>
          <w:rFonts w:hint="eastAsia"/>
          <w:b w:val="0"/>
          <w:bCs w:val="0"/>
          <w:color w:val="auto"/>
          <w:highlight w:val="none"/>
          <w:lang w:val="en-US" w:eastAsia="zh-CN"/>
        </w:rPr>
      </w:pPr>
      <w:r>
        <w:rPr>
          <w:rFonts w:hint="eastAsia"/>
          <w:b w:val="0"/>
          <w:bCs w:val="0"/>
          <w:color w:val="auto"/>
          <w:highlight w:val="none"/>
          <w:lang w:val="en-US" w:eastAsia="zh-CN"/>
        </w:rPr>
        <w:t>⑭观音煤矿</w:t>
      </w:r>
    </w:p>
    <w:p>
      <w:pPr>
        <w:bidi w:val="0"/>
        <w:rPr>
          <w:rFonts w:hint="eastAsia" w:cs="Times New Roman"/>
          <w:color w:val="auto"/>
          <w:sz w:val="24"/>
          <w:szCs w:val="24"/>
          <w:highlight w:val="none"/>
          <w:vertAlign w:val="baseline"/>
          <w:lang w:eastAsia="zh-CN"/>
        </w:rPr>
      </w:pPr>
      <w:r>
        <w:rPr>
          <w:rFonts w:hint="eastAsia"/>
          <w:color w:val="auto"/>
          <w:highlight w:val="none"/>
          <w:lang w:val="en-US" w:eastAsia="zh-CN"/>
        </w:rPr>
        <w:t>四川神州矿业开发有限公司观音煤矿于2021年8月由四川省自然资源厅颁发了采矿许可证，证号为C5100002009021120004142，允许开采K</w:t>
      </w:r>
      <w:r>
        <w:rPr>
          <w:rFonts w:hint="eastAsia"/>
          <w:color w:val="auto"/>
          <w:highlight w:val="none"/>
          <w:vertAlign w:val="subscript"/>
          <w:lang w:val="en-US" w:eastAsia="zh-CN"/>
        </w:rPr>
        <w:t>3</w:t>
      </w:r>
      <w:r>
        <w:rPr>
          <w:rFonts w:hint="eastAsia"/>
          <w:color w:val="auto"/>
          <w:highlight w:val="none"/>
          <w:lang w:val="en-US" w:eastAsia="zh-CN"/>
        </w:rPr>
        <w:t>、K</w:t>
      </w:r>
      <w:r>
        <w:rPr>
          <w:rFonts w:hint="eastAsia"/>
          <w:color w:val="auto"/>
          <w:highlight w:val="none"/>
          <w:vertAlign w:val="subscript"/>
          <w:lang w:val="en-US" w:eastAsia="zh-CN"/>
        </w:rPr>
        <w:t>4</w:t>
      </w:r>
      <w:r>
        <w:rPr>
          <w:rFonts w:hint="eastAsia"/>
          <w:color w:val="auto"/>
          <w:highlight w:val="none"/>
          <w:lang w:val="en-US" w:eastAsia="zh-CN"/>
        </w:rPr>
        <w:t>、K</w:t>
      </w:r>
      <w:r>
        <w:rPr>
          <w:rFonts w:hint="eastAsia"/>
          <w:color w:val="auto"/>
          <w:highlight w:val="none"/>
          <w:vertAlign w:val="subscript"/>
          <w:lang w:val="en-US" w:eastAsia="zh-CN"/>
        </w:rPr>
        <w:t>6</w:t>
      </w:r>
      <w:r>
        <w:rPr>
          <w:rFonts w:hint="eastAsia"/>
          <w:color w:val="auto"/>
          <w:highlight w:val="none"/>
          <w:lang w:val="en-US" w:eastAsia="zh-CN"/>
        </w:rPr>
        <w:t>和K</w:t>
      </w:r>
      <w:r>
        <w:rPr>
          <w:rFonts w:hint="eastAsia"/>
          <w:color w:val="auto"/>
          <w:highlight w:val="none"/>
          <w:vertAlign w:val="subscript"/>
          <w:lang w:val="en-US" w:eastAsia="zh-CN"/>
        </w:rPr>
        <w:t>7</w:t>
      </w:r>
      <w:r>
        <w:rPr>
          <w:rFonts w:hint="eastAsia"/>
          <w:color w:val="auto"/>
          <w:highlight w:val="none"/>
          <w:lang w:val="en-US" w:eastAsia="zh-CN"/>
        </w:rPr>
        <w:t>煤层，有效期限自2021年7月8日至2026年9月30日，允许开采标高+511m～+100m，生产能力为15万吨/年，矿权范围由11个拐点坐标圈闭，面积为4.5872km</w:t>
      </w:r>
      <w:r>
        <w:rPr>
          <w:rFonts w:hint="eastAsia"/>
          <w:color w:val="auto"/>
          <w:highlight w:val="none"/>
          <w:vertAlign w:val="superscript"/>
          <w:lang w:val="en-US" w:eastAsia="zh-CN"/>
        </w:rPr>
        <w:t>2</w:t>
      </w:r>
      <w:r>
        <w:rPr>
          <w:rFonts w:hint="eastAsia"/>
          <w:color w:val="auto"/>
          <w:highlight w:val="none"/>
          <w:lang w:val="en-US" w:eastAsia="zh-CN"/>
        </w:rPr>
        <w:t>。矿井采用平硐开拓。</w:t>
      </w:r>
      <w:r>
        <w:rPr>
          <w:rFonts w:hint="eastAsia" w:ascii="Times New Roman" w:hAnsi="Times New Roman" w:cs="Times New Roman"/>
          <w:color w:val="auto"/>
          <w:sz w:val="24"/>
          <w:szCs w:val="24"/>
          <w:highlight w:val="none"/>
          <w:vertAlign w:val="baseline"/>
          <w:lang w:eastAsia="zh-CN"/>
        </w:rPr>
        <w:t>目前生产状况为</w:t>
      </w:r>
      <w:r>
        <w:rPr>
          <w:rFonts w:hint="eastAsia" w:cs="Times New Roman"/>
          <w:color w:val="auto"/>
          <w:sz w:val="24"/>
          <w:szCs w:val="24"/>
          <w:highlight w:val="none"/>
          <w:vertAlign w:val="baseline"/>
          <w:lang w:eastAsia="zh-CN"/>
        </w:rPr>
        <w:t>停产，于</w:t>
      </w:r>
      <w:r>
        <w:rPr>
          <w:rFonts w:hint="eastAsia" w:cs="Times New Roman"/>
          <w:color w:val="auto"/>
          <w:sz w:val="24"/>
          <w:szCs w:val="24"/>
          <w:highlight w:val="none"/>
          <w:vertAlign w:val="baseline"/>
          <w:lang w:val="en-US" w:eastAsia="zh-CN"/>
        </w:rPr>
        <w:t>2020年11月停产</w:t>
      </w:r>
      <w:r>
        <w:rPr>
          <w:rFonts w:hint="eastAsia" w:cs="Times New Roman"/>
          <w:color w:val="auto"/>
          <w:sz w:val="24"/>
          <w:szCs w:val="24"/>
          <w:highlight w:val="none"/>
          <w:vertAlign w:val="baseline"/>
          <w:lang w:eastAsia="zh-CN"/>
        </w:rPr>
        <w:t>。</w:t>
      </w:r>
    </w:p>
    <w:p>
      <w:pPr>
        <w:pStyle w:val="22"/>
        <w:bidi w:val="0"/>
        <w:rPr>
          <w:rFonts w:hint="eastAsia"/>
          <w:color w:val="auto"/>
          <w:highlight w:val="none"/>
          <w:lang w:eastAsia="zh-CN"/>
        </w:rPr>
      </w:pPr>
      <w:r>
        <w:rPr>
          <w:rFonts w:hint="eastAsia"/>
          <w:color w:val="auto"/>
          <w:highlight w:val="none"/>
          <w:lang w:eastAsia="zh-CN"/>
        </w:rPr>
        <w:drawing>
          <wp:inline distT="0" distB="0" distL="114300" distR="114300">
            <wp:extent cx="2400300" cy="1800225"/>
            <wp:effectExtent l="0" t="0" r="0" b="9525"/>
            <wp:docPr id="110" name="图片 110" descr="C:/Windows/TMP/picturecompress_202112091518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Windows/TMP/picturecompress_20211209151821/output_1.jpgoutput_1"/>
                    <pic:cNvPicPr>
                      <a:picLocks noChangeAspect="1"/>
                    </pic:cNvPicPr>
                  </pic:nvPicPr>
                  <pic:blipFill>
                    <a:blip r:embed="rId158"/>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eastAsia="zh-CN"/>
        </w:rPr>
        <w:drawing>
          <wp:inline distT="0" distB="0" distL="114300" distR="114300">
            <wp:extent cx="2400300" cy="1800225"/>
            <wp:effectExtent l="0" t="0" r="0" b="9525"/>
            <wp:docPr id="111" name="图片 111" descr="C:/Windows/TMP/picturecompress_202112091518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Windows/TMP/picturecompress_20211209151847/output_1.jpgoutput_1"/>
                    <pic:cNvPicPr>
                      <a:picLocks noChangeAspect="1"/>
                    </pic:cNvPicPr>
                  </pic:nvPicPr>
                  <pic:blipFill>
                    <a:blip r:embed="rId159"/>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eastAsia="zh-CN"/>
        </w:rPr>
        <w:t>观音煤矿主平硐</w:t>
      </w:r>
      <w:r>
        <w:rPr>
          <w:rFonts w:hint="eastAsia"/>
          <w:color w:val="auto"/>
          <w:highlight w:val="none"/>
          <w:lang w:val="en-US" w:eastAsia="zh-CN"/>
        </w:rPr>
        <w:t xml:space="preserve">                                                                观音煤矿风井</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112" name="图片 112" descr="C:/Windows/TMP/picturecompress_202112091519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Windows/TMP/picturecompress_20211209151959/output_1.jpgoutput_1"/>
                    <pic:cNvPicPr>
                      <a:picLocks noChangeAspect="1"/>
                    </pic:cNvPicPr>
                  </pic:nvPicPr>
                  <pic:blipFill>
                    <a:blip r:embed="rId160"/>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113" name="图片 113" descr="C:/Windows/TMP/picturecompress_202112091520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Windows/TMP/picturecompress_20211209152013/output_1.jpgoutput_1"/>
                    <pic:cNvPicPr>
                      <a:picLocks noChangeAspect="1"/>
                    </pic:cNvPicPr>
                  </pic:nvPicPr>
                  <pic:blipFill>
                    <a:blip r:embed="rId161"/>
                    <a:stretch>
                      <a:fillRect/>
                    </a:stretch>
                  </pic:blipFill>
                  <pic:spPr>
                    <a:xfrm>
                      <a:off x="0" y="0"/>
                      <a:ext cx="2400300" cy="1800225"/>
                    </a:xfrm>
                    <a:prstGeom prst="rect">
                      <a:avLst/>
                    </a:prstGeom>
                  </pic:spPr>
                </pic:pic>
              </a:graphicData>
            </a:graphic>
          </wp:inline>
        </w:drawing>
      </w:r>
    </w:p>
    <w:p>
      <w:pPr>
        <w:pStyle w:val="22"/>
        <w:bidi w:val="0"/>
        <w:rPr>
          <w:rFonts w:hint="eastAsia"/>
          <w:color w:val="auto"/>
          <w:highlight w:val="none"/>
          <w:lang w:val="en-US" w:eastAsia="zh-CN"/>
        </w:rPr>
      </w:pPr>
      <w:r>
        <w:rPr>
          <w:rFonts w:hint="eastAsia"/>
          <w:color w:val="auto"/>
          <w:highlight w:val="none"/>
          <w:lang w:val="en-US" w:eastAsia="zh-CN"/>
        </w:rPr>
        <w:t>观音煤矿副平硐                                                       观音煤矿临时矸石场</w:t>
      </w:r>
    </w:p>
    <w:p>
      <w:pPr>
        <w:pStyle w:val="22"/>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2400300" cy="1800225"/>
            <wp:effectExtent l="0" t="0" r="0" b="9525"/>
            <wp:docPr id="114" name="图片 114" descr="C:/Windows/TMP/picturecompress_202112091521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Windows/TMP/picturecompress_20211209152113/output_1.jpgoutput_1"/>
                    <pic:cNvPicPr>
                      <a:picLocks noChangeAspect="1"/>
                    </pic:cNvPicPr>
                  </pic:nvPicPr>
                  <pic:blipFill>
                    <a:blip r:embed="rId162"/>
                    <a:stretch>
                      <a:fillRect/>
                    </a:stretch>
                  </pic:blipFill>
                  <pic:spPr>
                    <a:xfrm>
                      <a:off x="0" y="0"/>
                      <a:ext cx="2400300" cy="180022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400300" cy="1800225"/>
            <wp:effectExtent l="0" t="0" r="0" b="9525"/>
            <wp:docPr id="115" name="图片 115" descr="C:/Windows/TMP/picturecompress_202112091521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Windows/TMP/picturecompress_20211209152130/output_1.jpgoutput_1"/>
                    <pic:cNvPicPr>
                      <a:picLocks noChangeAspect="1"/>
                    </pic:cNvPicPr>
                  </pic:nvPicPr>
                  <pic:blipFill>
                    <a:blip r:embed="rId163"/>
                    <a:stretch>
                      <a:fillRect/>
                    </a:stretch>
                  </pic:blipFill>
                  <pic:spPr>
                    <a:xfrm>
                      <a:off x="0" y="0"/>
                      <a:ext cx="2400300" cy="1800225"/>
                    </a:xfrm>
                    <a:prstGeom prst="rect">
                      <a:avLst/>
                    </a:prstGeom>
                  </pic:spPr>
                </pic:pic>
              </a:graphicData>
            </a:graphic>
          </wp:inline>
        </w:drawing>
      </w:r>
    </w:p>
    <w:p>
      <w:pPr>
        <w:pStyle w:val="22"/>
        <w:bidi w:val="0"/>
        <w:rPr>
          <w:rFonts w:hint="default"/>
          <w:color w:val="auto"/>
          <w:highlight w:val="none"/>
          <w:lang w:val="en-US" w:eastAsia="zh-CN"/>
        </w:rPr>
      </w:pPr>
      <w:r>
        <w:rPr>
          <w:rFonts w:hint="eastAsia"/>
          <w:color w:val="auto"/>
          <w:highlight w:val="none"/>
          <w:lang w:val="en-US" w:eastAsia="zh-CN"/>
        </w:rPr>
        <w:t>观音煤矿原煤临时转运场                                             观音煤矿污水处理站</w:t>
      </w:r>
    </w:p>
    <w:p>
      <w:pPr>
        <w:bidi w:val="0"/>
        <w:rPr>
          <w:rFonts w:hint="eastAsia" w:cs="Times New Roman"/>
          <w:color w:val="auto"/>
          <w:sz w:val="24"/>
          <w:szCs w:val="24"/>
          <w:highlight w:val="none"/>
          <w:vertAlign w:val="baseline"/>
          <w:lang w:eastAsia="zh-CN"/>
        </w:rPr>
      </w:pPr>
      <w:r>
        <w:rPr>
          <w:rFonts w:hint="eastAsia" w:cs="Times New Roman"/>
          <w:b/>
          <w:bCs/>
          <w:color w:val="auto"/>
          <w:sz w:val="24"/>
          <w:szCs w:val="24"/>
          <w:highlight w:val="none"/>
          <w:vertAlign w:val="baseline"/>
          <w:lang w:eastAsia="zh-CN"/>
        </w:rPr>
        <w:t>此外，还有</w:t>
      </w:r>
      <w:r>
        <w:rPr>
          <w:rFonts w:hint="eastAsia" w:cs="Times New Roman"/>
          <w:b/>
          <w:bCs/>
          <w:color w:val="auto"/>
          <w:sz w:val="24"/>
          <w:szCs w:val="24"/>
          <w:highlight w:val="none"/>
          <w:vertAlign w:val="baseline"/>
          <w:lang w:val="en-US" w:eastAsia="zh-CN"/>
        </w:rPr>
        <w:t>3家</w:t>
      </w:r>
      <w:r>
        <w:rPr>
          <w:rFonts w:hint="eastAsia" w:cs="Times New Roman"/>
          <w:b/>
          <w:bCs/>
          <w:color w:val="auto"/>
          <w:sz w:val="24"/>
          <w:szCs w:val="24"/>
          <w:highlight w:val="none"/>
          <w:vertAlign w:val="baseline"/>
          <w:lang w:eastAsia="zh-CN"/>
        </w:rPr>
        <w:t>煤矿被上述煤矿兼并重组，具体如下：</w:t>
      </w:r>
    </w:p>
    <w:p>
      <w:pPr>
        <w:bidi w:val="0"/>
        <w:rPr>
          <w:rFonts w:hint="eastAsia" w:cs="Times New Roman"/>
          <w:color w:val="auto"/>
          <w:sz w:val="24"/>
          <w:szCs w:val="24"/>
          <w:highlight w:val="none"/>
          <w:vertAlign w:val="baseline"/>
          <w:lang w:eastAsia="zh-CN"/>
        </w:rPr>
      </w:pPr>
      <w:r>
        <w:rPr>
          <w:rFonts w:hint="eastAsia" w:cs="Times New Roman"/>
          <w:color w:val="auto"/>
          <w:sz w:val="24"/>
          <w:szCs w:val="24"/>
          <w:highlight w:val="none"/>
          <w:vertAlign w:val="baseline"/>
          <w:lang w:eastAsia="zh-CN"/>
        </w:rPr>
        <w:t>①石桥铺煤矿</w:t>
      </w:r>
    </w:p>
    <w:p>
      <w:pPr>
        <w:bidi w:val="0"/>
        <w:rPr>
          <w:rFonts w:hint="eastAsia" w:cs="Times New Roman"/>
          <w:color w:val="auto"/>
          <w:sz w:val="24"/>
          <w:szCs w:val="24"/>
          <w:highlight w:val="none"/>
          <w:vertAlign w:val="baseline"/>
          <w:lang w:eastAsia="zh-CN"/>
        </w:rPr>
      </w:pPr>
      <w:r>
        <w:rPr>
          <w:rFonts w:hint="eastAsia" w:cs="Times New Roman"/>
          <w:color w:val="auto"/>
          <w:sz w:val="24"/>
          <w:szCs w:val="24"/>
          <w:highlight w:val="none"/>
          <w:vertAlign w:val="baseline"/>
          <w:lang w:eastAsia="zh-CN"/>
        </w:rPr>
        <w:t>大竹县石桥煤业有限责任公司石桥铺煤矿于2010年12月31日经原四川省国土资源厅颁发了采矿许可证，证号C5100002009031120006157，有效期至2019年3月31日，矿权范围由6个拐点坐标圈闭，面积1.5441km</w:t>
      </w:r>
      <w:r>
        <w:rPr>
          <w:rFonts w:hint="eastAsia" w:cs="Times New Roman"/>
          <w:color w:val="auto"/>
          <w:sz w:val="24"/>
          <w:szCs w:val="24"/>
          <w:highlight w:val="none"/>
          <w:vertAlign w:val="superscript"/>
          <w:lang w:eastAsia="zh-CN"/>
        </w:rPr>
        <w:t>2</w:t>
      </w:r>
      <w:r>
        <w:rPr>
          <w:rFonts w:hint="eastAsia" w:cs="Times New Roman"/>
          <w:color w:val="auto"/>
          <w:sz w:val="24"/>
          <w:szCs w:val="24"/>
          <w:highlight w:val="none"/>
          <w:vertAlign w:val="baseline"/>
          <w:lang w:eastAsia="zh-CN"/>
        </w:rPr>
        <w:t>，批准开采三夹连(K6)、二连子煤层(K9)，开采标高为+478m～+150m，生产能力为9万吨/年。于2017年12月6日关闭。将被孔家沟煤矿兼并重组，主体为孔家沟煤矿。</w:t>
      </w:r>
    </w:p>
    <w:p>
      <w:pPr>
        <w:bidi w:val="0"/>
        <w:rPr>
          <w:rFonts w:hint="eastAsia" w:cs="Times New Roman"/>
          <w:color w:val="auto"/>
          <w:sz w:val="24"/>
          <w:szCs w:val="24"/>
          <w:highlight w:val="none"/>
          <w:vertAlign w:val="baseline"/>
          <w:lang w:eastAsia="zh-CN"/>
        </w:rPr>
      </w:pPr>
      <w:r>
        <w:rPr>
          <w:rFonts w:hint="eastAsia" w:cs="Times New Roman"/>
          <w:color w:val="auto"/>
          <w:sz w:val="24"/>
          <w:szCs w:val="24"/>
          <w:highlight w:val="none"/>
          <w:vertAlign w:val="baseline"/>
          <w:lang w:eastAsia="zh-CN"/>
        </w:rPr>
        <w:t>②芋子沟煤矿</w:t>
      </w:r>
    </w:p>
    <w:p>
      <w:pPr>
        <w:bidi w:val="0"/>
        <w:rPr>
          <w:rFonts w:hint="eastAsia" w:cs="Times New Roman"/>
          <w:color w:val="auto"/>
          <w:sz w:val="24"/>
          <w:szCs w:val="24"/>
          <w:highlight w:val="none"/>
          <w:vertAlign w:val="baseline"/>
          <w:lang w:eastAsia="zh-CN"/>
        </w:rPr>
      </w:pPr>
      <w:r>
        <w:rPr>
          <w:rFonts w:hint="eastAsia" w:cs="Times New Roman"/>
          <w:color w:val="auto"/>
          <w:sz w:val="24"/>
          <w:szCs w:val="24"/>
          <w:highlight w:val="none"/>
          <w:vertAlign w:val="baseline"/>
          <w:lang w:eastAsia="zh-CN"/>
        </w:rPr>
        <w:t>大竹县平桥煤业有限公司芋子沟煤矿于2015年9月22日取得由原四川省国土资源厅颁发的采矿许可证，证号为C5100002010121120103678，有效期限至2020年12月29日。采矿权范围由4个拐点坐标圈闭，面积1.3632km</w:t>
      </w:r>
      <w:r>
        <w:rPr>
          <w:rFonts w:hint="eastAsia" w:cs="Times New Roman"/>
          <w:color w:val="auto"/>
          <w:sz w:val="24"/>
          <w:szCs w:val="24"/>
          <w:highlight w:val="none"/>
          <w:vertAlign w:val="superscript"/>
          <w:lang w:eastAsia="zh-CN"/>
        </w:rPr>
        <w:t>2</w:t>
      </w:r>
      <w:r>
        <w:rPr>
          <w:rFonts w:hint="eastAsia" w:cs="Times New Roman"/>
          <w:color w:val="auto"/>
          <w:sz w:val="24"/>
          <w:szCs w:val="24"/>
          <w:highlight w:val="none"/>
          <w:vertAlign w:val="baseline"/>
          <w:lang w:eastAsia="zh-CN"/>
        </w:rPr>
        <w:t>，批准开采K</w:t>
      </w:r>
      <w:r>
        <w:rPr>
          <w:rFonts w:hint="eastAsia" w:cs="Times New Roman"/>
          <w:color w:val="auto"/>
          <w:sz w:val="24"/>
          <w:szCs w:val="24"/>
          <w:highlight w:val="none"/>
          <w:vertAlign w:val="subscript"/>
          <w:lang w:eastAsia="zh-CN"/>
        </w:rPr>
        <w:t>4</w:t>
      </w:r>
      <w:r>
        <w:rPr>
          <w:rFonts w:hint="eastAsia" w:cs="Times New Roman"/>
          <w:color w:val="auto"/>
          <w:sz w:val="24"/>
          <w:szCs w:val="24"/>
          <w:highlight w:val="none"/>
          <w:vertAlign w:val="baseline"/>
          <w:lang w:eastAsia="zh-CN"/>
        </w:rPr>
        <w:t>、K</w:t>
      </w:r>
      <w:r>
        <w:rPr>
          <w:rFonts w:hint="eastAsia" w:cs="Times New Roman"/>
          <w:color w:val="auto"/>
          <w:sz w:val="24"/>
          <w:szCs w:val="24"/>
          <w:highlight w:val="none"/>
          <w:vertAlign w:val="subscript"/>
          <w:lang w:eastAsia="zh-CN"/>
        </w:rPr>
        <w:t>5</w:t>
      </w:r>
      <w:r>
        <w:rPr>
          <w:rFonts w:hint="eastAsia" w:cs="Times New Roman"/>
          <w:color w:val="auto"/>
          <w:sz w:val="24"/>
          <w:szCs w:val="24"/>
          <w:highlight w:val="none"/>
          <w:vertAlign w:val="baseline"/>
          <w:lang w:eastAsia="zh-CN"/>
        </w:rPr>
        <w:t>、K</w:t>
      </w:r>
      <w:r>
        <w:rPr>
          <w:rFonts w:hint="eastAsia" w:cs="Times New Roman"/>
          <w:color w:val="auto"/>
          <w:sz w:val="24"/>
          <w:szCs w:val="24"/>
          <w:highlight w:val="none"/>
          <w:vertAlign w:val="subscript"/>
          <w:lang w:eastAsia="zh-CN"/>
        </w:rPr>
        <w:t>13</w:t>
      </w:r>
      <w:r>
        <w:rPr>
          <w:rFonts w:hint="eastAsia" w:cs="Times New Roman"/>
          <w:color w:val="auto"/>
          <w:sz w:val="24"/>
          <w:szCs w:val="24"/>
          <w:highlight w:val="none"/>
          <w:vertAlign w:val="baseline"/>
          <w:lang w:eastAsia="zh-CN"/>
        </w:rPr>
        <w:t>、K</w:t>
      </w:r>
      <w:r>
        <w:rPr>
          <w:rFonts w:hint="eastAsia" w:cs="Times New Roman"/>
          <w:color w:val="auto"/>
          <w:sz w:val="24"/>
          <w:szCs w:val="24"/>
          <w:highlight w:val="none"/>
          <w:vertAlign w:val="subscript"/>
          <w:lang w:eastAsia="zh-CN"/>
        </w:rPr>
        <w:t>14</w:t>
      </w:r>
      <w:r>
        <w:rPr>
          <w:rFonts w:hint="eastAsia" w:cs="Times New Roman"/>
          <w:color w:val="auto"/>
          <w:sz w:val="24"/>
          <w:szCs w:val="24"/>
          <w:highlight w:val="none"/>
          <w:vertAlign w:val="baseline"/>
          <w:lang w:eastAsia="zh-CN"/>
        </w:rPr>
        <w:t>煤层，开采标高+530m～+120m，生产能力9万吨/年，</w:t>
      </w:r>
      <w:r>
        <w:rPr>
          <w:rFonts w:hint="eastAsia" w:cs="Times New Roman"/>
          <w:color w:val="auto"/>
          <w:sz w:val="24"/>
          <w:szCs w:val="24"/>
          <w:highlight w:val="none"/>
          <w:vertAlign w:val="baseline"/>
          <w:lang w:val="en-US" w:eastAsia="zh-CN"/>
        </w:rPr>
        <w:t>2018年12月4日</w:t>
      </w:r>
      <w:r>
        <w:rPr>
          <w:rFonts w:hint="eastAsia" w:cs="Times New Roman"/>
          <w:color w:val="auto"/>
          <w:sz w:val="24"/>
          <w:szCs w:val="24"/>
          <w:highlight w:val="none"/>
          <w:vertAlign w:val="baseline"/>
          <w:lang w:eastAsia="zh-CN"/>
        </w:rPr>
        <w:t>关闭。将被牛郎沟煤矿兼并重组，主体为牛郎沟煤矿。</w:t>
      </w:r>
    </w:p>
    <w:p>
      <w:pPr>
        <w:bidi w:val="0"/>
        <w:rPr>
          <w:rFonts w:hint="eastAsia" w:cs="Times New Roman"/>
          <w:color w:val="auto"/>
          <w:sz w:val="24"/>
          <w:szCs w:val="24"/>
          <w:highlight w:val="none"/>
          <w:vertAlign w:val="baseline"/>
          <w:lang w:eastAsia="zh-CN"/>
        </w:rPr>
      </w:pPr>
      <w:r>
        <w:rPr>
          <w:rFonts w:hint="eastAsia" w:cs="Times New Roman"/>
          <w:color w:val="auto"/>
          <w:sz w:val="24"/>
          <w:szCs w:val="24"/>
          <w:highlight w:val="none"/>
          <w:vertAlign w:val="baseline"/>
          <w:lang w:eastAsia="zh-CN"/>
        </w:rPr>
        <w:t>③陈家河煤矿</w:t>
      </w:r>
    </w:p>
    <w:p>
      <w:pPr>
        <w:bidi w:val="0"/>
        <w:rPr>
          <w:rFonts w:hint="eastAsia" w:cs="Times New Roman"/>
          <w:color w:val="auto"/>
          <w:sz w:val="24"/>
          <w:szCs w:val="24"/>
          <w:highlight w:val="none"/>
          <w:vertAlign w:val="baseline"/>
          <w:lang w:eastAsia="zh-CN"/>
        </w:rPr>
      </w:pPr>
      <w:r>
        <w:rPr>
          <w:rFonts w:hint="eastAsia" w:cs="Times New Roman"/>
          <w:color w:val="auto"/>
          <w:sz w:val="24"/>
          <w:szCs w:val="24"/>
          <w:highlight w:val="none"/>
          <w:vertAlign w:val="baseline"/>
          <w:lang w:eastAsia="zh-CN"/>
        </w:rPr>
        <w:t>达州市陈家河煤业有限公司陈家河煤矿于2011年9月取得原四川省国土资源厅颁发的采矿许可证，采矿证号C5100002011091120118731，有效期至2021年9月29日，矿权面积0.7052km</w:t>
      </w:r>
      <w:r>
        <w:rPr>
          <w:rFonts w:hint="eastAsia" w:cs="Times New Roman"/>
          <w:color w:val="auto"/>
          <w:sz w:val="24"/>
          <w:szCs w:val="24"/>
          <w:highlight w:val="none"/>
          <w:vertAlign w:val="superscript"/>
          <w:lang w:eastAsia="zh-CN"/>
        </w:rPr>
        <w:t>2</w:t>
      </w:r>
      <w:r>
        <w:rPr>
          <w:rFonts w:hint="eastAsia" w:cs="Times New Roman"/>
          <w:color w:val="auto"/>
          <w:sz w:val="24"/>
          <w:szCs w:val="24"/>
          <w:highlight w:val="none"/>
          <w:vertAlign w:val="baseline"/>
          <w:lang w:eastAsia="zh-CN"/>
        </w:rPr>
        <w:t>，由4个拐点坐标圈闭，批准开采K</w:t>
      </w:r>
      <w:r>
        <w:rPr>
          <w:rFonts w:hint="eastAsia" w:cs="Times New Roman"/>
          <w:color w:val="auto"/>
          <w:sz w:val="24"/>
          <w:szCs w:val="24"/>
          <w:highlight w:val="none"/>
          <w:vertAlign w:val="subscript"/>
          <w:lang w:eastAsia="zh-CN"/>
        </w:rPr>
        <w:t>15</w:t>
      </w:r>
      <w:r>
        <w:rPr>
          <w:rFonts w:hint="eastAsia" w:cs="Times New Roman"/>
          <w:color w:val="auto"/>
          <w:sz w:val="24"/>
          <w:szCs w:val="24"/>
          <w:highlight w:val="none"/>
          <w:vertAlign w:val="baseline"/>
          <w:lang w:eastAsia="zh-CN"/>
        </w:rPr>
        <w:t>、K</w:t>
      </w:r>
      <w:r>
        <w:rPr>
          <w:rFonts w:hint="eastAsia" w:cs="Times New Roman"/>
          <w:color w:val="auto"/>
          <w:sz w:val="24"/>
          <w:szCs w:val="24"/>
          <w:highlight w:val="none"/>
          <w:vertAlign w:val="subscript"/>
          <w:lang w:eastAsia="zh-CN"/>
        </w:rPr>
        <w:t>11</w:t>
      </w:r>
      <w:r>
        <w:rPr>
          <w:rFonts w:hint="eastAsia" w:cs="Times New Roman"/>
          <w:color w:val="auto"/>
          <w:sz w:val="24"/>
          <w:szCs w:val="24"/>
          <w:highlight w:val="none"/>
          <w:vertAlign w:val="baseline"/>
          <w:lang w:eastAsia="zh-CN"/>
        </w:rPr>
        <w:t>、K</w:t>
      </w:r>
      <w:r>
        <w:rPr>
          <w:rFonts w:hint="eastAsia" w:cs="Times New Roman"/>
          <w:color w:val="auto"/>
          <w:sz w:val="24"/>
          <w:szCs w:val="24"/>
          <w:highlight w:val="none"/>
          <w:vertAlign w:val="subscript"/>
          <w:lang w:eastAsia="zh-CN"/>
        </w:rPr>
        <w:t>8</w:t>
      </w:r>
      <w:r>
        <w:rPr>
          <w:rFonts w:hint="eastAsia" w:cs="Times New Roman"/>
          <w:color w:val="auto"/>
          <w:sz w:val="24"/>
          <w:szCs w:val="24"/>
          <w:highlight w:val="none"/>
          <w:vertAlign w:val="baseline"/>
          <w:lang w:eastAsia="zh-CN"/>
        </w:rPr>
        <w:t>煤层，开采标高为+480m～±0m。2017年</w:t>
      </w:r>
      <w:r>
        <w:rPr>
          <w:rFonts w:hint="eastAsia" w:cs="Times New Roman"/>
          <w:color w:val="auto"/>
          <w:sz w:val="24"/>
          <w:szCs w:val="24"/>
          <w:highlight w:val="none"/>
          <w:vertAlign w:val="baseline"/>
          <w:lang w:val="en-US" w:eastAsia="zh-CN"/>
        </w:rPr>
        <w:t>12月6日</w:t>
      </w:r>
      <w:r>
        <w:rPr>
          <w:rFonts w:hint="eastAsia" w:cs="Times New Roman"/>
          <w:color w:val="auto"/>
          <w:sz w:val="24"/>
          <w:szCs w:val="24"/>
          <w:highlight w:val="none"/>
          <w:vertAlign w:val="baseline"/>
          <w:lang w:eastAsia="zh-CN"/>
        </w:rPr>
        <w:t>关闭。将被平桥煤矿兼并重组，主体为平桥煤矿。</w:t>
      </w:r>
    </w:p>
    <w:p>
      <w:pPr>
        <w:bidi w:val="0"/>
        <w:rPr>
          <w:rFonts w:hint="eastAsia"/>
          <w:color w:val="auto"/>
          <w:highlight w:val="none"/>
          <w:lang w:val="en-US" w:eastAsia="zh-CN"/>
        </w:rPr>
      </w:pPr>
      <w:r>
        <w:rPr>
          <w:rFonts w:hint="eastAsia"/>
          <w:color w:val="auto"/>
          <w:highlight w:val="none"/>
          <w:lang w:val="en-US" w:eastAsia="zh-CN"/>
        </w:rPr>
        <w:t>（4）现状各矿井环保手续完成情况调查</w:t>
      </w:r>
    </w:p>
    <w:p>
      <w:pPr>
        <w:pStyle w:val="22"/>
        <w:bidi w:val="0"/>
        <w:rPr>
          <w:rFonts w:hint="default"/>
          <w:color w:val="auto"/>
          <w:highlight w:val="none"/>
          <w:lang w:val="en-US" w:eastAsia="zh-CN"/>
        </w:rPr>
      </w:pPr>
      <w:r>
        <w:rPr>
          <w:rFonts w:hint="eastAsia"/>
          <w:color w:val="auto"/>
          <w:highlight w:val="none"/>
          <w:lang w:val="en-US" w:eastAsia="zh-CN"/>
        </w:rPr>
        <w:t>表3.6-   现状各矿井环保手续完成情况表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650"/>
        <w:gridCol w:w="1457"/>
        <w:gridCol w:w="1286"/>
        <w:gridCol w:w="1286"/>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pStyle w:val="22"/>
              <w:bidi w:val="0"/>
              <w:rPr>
                <w:rFonts w:hint="eastAsia"/>
                <w:color w:val="auto"/>
                <w:highlight w:val="none"/>
                <w:lang w:val="en-US" w:eastAsia="zh-CN"/>
              </w:rPr>
            </w:pPr>
            <w:r>
              <w:rPr>
                <w:rFonts w:hint="eastAsia"/>
                <w:color w:val="auto"/>
                <w:highlight w:val="none"/>
                <w:lang w:val="en-US" w:eastAsia="zh-CN"/>
              </w:rPr>
              <w:t>所属矿段</w:t>
            </w: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矿井名称</w:t>
            </w:r>
          </w:p>
        </w:tc>
        <w:tc>
          <w:tcPr>
            <w:tcW w:w="1457" w:type="dxa"/>
            <w:vAlign w:val="center"/>
          </w:tcPr>
          <w:p>
            <w:pPr>
              <w:pStyle w:val="22"/>
              <w:bidi w:val="0"/>
              <w:rPr>
                <w:rFonts w:hint="eastAsia"/>
                <w:color w:val="auto"/>
                <w:highlight w:val="none"/>
                <w:lang w:val="en-US" w:eastAsia="zh-CN"/>
              </w:rPr>
            </w:pPr>
            <w:r>
              <w:rPr>
                <w:rFonts w:hint="eastAsia"/>
                <w:color w:val="auto"/>
                <w:highlight w:val="none"/>
                <w:lang w:val="en-US" w:eastAsia="zh-CN"/>
              </w:rPr>
              <w:t>环评手续</w:t>
            </w:r>
          </w:p>
        </w:tc>
        <w:tc>
          <w:tcPr>
            <w:tcW w:w="1286" w:type="dxa"/>
            <w:vAlign w:val="center"/>
          </w:tcPr>
          <w:p>
            <w:pPr>
              <w:pStyle w:val="22"/>
              <w:bidi w:val="0"/>
              <w:rPr>
                <w:rFonts w:hint="eastAsia"/>
                <w:color w:val="auto"/>
                <w:highlight w:val="none"/>
                <w:lang w:val="en-US" w:eastAsia="zh-CN"/>
              </w:rPr>
            </w:pPr>
            <w:r>
              <w:rPr>
                <w:rFonts w:hint="eastAsia"/>
                <w:color w:val="auto"/>
                <w:highlight w:val="none"/>
                <w:lang w:val="en-US" w:eastAsia="zh-CN"/>
              </w:rPr>
              <w:t>环保竣工验收情况</w:t>
            </w:r>
          </w:p>
        </w:tc>
        <w:tc>
          <w:tcPr>
            <w:tcW w:w="1286" w:type="dxa"/>
            <w:vAlign w:val="center"/>
          </w:tcPr>
          <w:p>
            <w:pPr>
              <w:pStyle w:val="22"/>
              <w:bidi w:val="0"/>
              <w:rPr>
                <w:rFonts w:hint="default"/>
                <w:color w:val="auto"/>
                <w:highlight w:val="none"/>
                <w:lang w:val="en-US" w:eastAsia="zh-CN"/>
              </w:rPr>
            </w:pPr>
            <w:r>
              <w:rPr>
                <w:rFonts w:hint="eastAsia"/>
                <w:color w:val="auto"/>
                <w:highlight w:val="none"/>
                <w:lang w:val="en-US" w:eastAsia="zh-CN"/>
              </w:rPr>
              <w:t>排污许可完成情况</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vAlign w:val="center"/>
          </w:tcPr>
          <w:p>
            <w:pPr>
              <w:pStyle w:val="22"/>
              <w:bidi w:val="0"/>
              <w:rPr>
                <w:rFonts w:hint="eastAsia"/>
                <w:color w:val="auto"/>
                <w:highlight w:val="none"/>
                <w:lang w:val="en-US" w:eastAsia="zh-CN"/>
              </w:rPr>
            </w:pPr>
            <w:r>
              <w:rPr>
                <w:rFonts w:hint="eastAsia"/>
                <w:color w:val="auto"/>
                <w:highlight w:val="none"/>
                <w:lang w:val="en-US" w:eastAsia="zh-CN"/>
              </w:rPr>
              <w:t>华蓥山北段</w:t>
            </w: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柏林煤矿</w:t>
            </w:r>
          </w:p>
        </w:tc>
        <w:tc>
          <w:tcPr>
            <w:tcW w:w="1457" w:type="dxa"/>
            <w:vAlign w:val="center"/>
          </w:tcPr>
          <w:p>
            <w:pPr>
              <w:pStyle w:val="22"/>
              <w:bidi w:val="0"/>
              <w:rPr>
                <w:rFonts w:hint="eastAsia"/>
                <w:color w:val="auto"/>
                <w:highlight w:val="none"/>
                <w:lang w:val="en-US" w:eastAsia="zh-CN"/>
              </w:rPr>
            </w:pPr>
            <w:r>
              <w:rPr>
                <w:rFonts w:hint="eastAsia"/>
                <w:color w:val="auto"/>
                <w:highlight w:val="none"/>
                <w:lang w:val="en-US" w:eastAsia="zh-CN"/>
              </w:rPr>
              <w:t>完成环境影响备案</w:t>
            </w:r>
          </w:p>
        </w:tc>
        <w:tc>
          <w:tcPr>
            <w:tcW w:w="1286"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c>
          <w:tcPr>
            <w:tcW w:w="1286" w:type="dxa"/>
            <w:vAlign w:val="center"/>
          </w:tcPr>
          <w:p>
            <w:pPr>
              <w:pStyle w:val="22"/>
              <w:bidi w:val="0"/>
              <w:rPr>
                <w:rFonts w:hint="eastAsia"/>
                <w:color w:val="auto"/>
                <w:highlight w:val="none"/>
                <w:lang w:val="en-US" w:eastAsia="zh-CN"/>
              </w:rPr>
            </w:pPr>
            <w:r>
              <w:rPr>
                <w:rFonts w:hint="eastAsia"/>
                <w:color w:val="auto"/>
                <w:highlight w:val="none"/>
                <w:lang w:val="en-US" w:eastAsia="zh-CN"/>
              </w:rPr>
              <w:t>完成登记</w:t>
            </w:r>
          </w:p>
        </w:tc>
        <w:tc>
          <w:tcPr>
            <w:tcW w:w="2861" w:type="dxa"/>
            <w:vAlign w:val="center"/>
          </w:tcPr>
          <w:p>
            <w:pPr>
              <w:pStyle w:val="22"/>
              <w:bidi w:val="0"/>
              <w:rPr>
                <w:rFonts w:hint="default"/>
                <w:color w:val="auto"/>
                <w:highlight w:val="none"/>
                <w:lang w:val="en-US" w:eastAsia="zh-CN"/>
              </w:rPr>
            </w:pPr>
            <w:r>
              <w:rPr>
                <w:rFonts w:hint="eastAsia"/>
                <w:color w:val="auto"/>
                <w:highlight w:val="none"/>
                <w:lang w:val="en-US" w:eastAsia="zh-CN"/>
              </w:rPr>
              <w:t>竹府函[2019]88号评定：矿井及地面设施不占基本农田，矿山开采不会对基本农田产生影响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大硐坪煤矿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不涉及基本农田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大河沟煤矿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黑滩煤矿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竹府函[2019]23号评定：矿井及地面设施不占基本农田，矿山开采不会对基本农田产生影响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田坝煤矿</w:t>
            </w:r>
          </w:p>
        </w:tc>
        <w:tc>
          <w:tcPr>
            <w:tcW w:w="1457" w:type="dxa"/>
            <w:vAlign w:val="center"/>
          </w:tcPr>
          <w:p>
            <w:pPr>
              <w:pStyle w:val="22"/>
              <w:bidi w:val="0"/>
              <w:ind w:left="0" w:leftChars="0" w:right="0" w:rightChars="0" w:firstLine="0" w:firstLineChars="0"/>
              <w:rPr>
                <w:rFonts w:hint="default"/>
                <w:color w:val="auto"/>
                <w:highlight w:val="none"/>
                <w:lang w:val="en-US" w:eastAsia="zh-CN"/>
              </w:rPr>
            </w:pPr>
            <w:r>
              <w:rPr>
                <w:rFonts w:hint="eastAsia"/>
                <w:color w:val="auto"/>
                <w:highlight w:val="none"/>
                <w:lang w:val="en-US" w:eastAsia="zh-CN"/>
              </w:rPr>
              <w:t>完成环境影响备案，洗选厂环评竹环函[2019]23号</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竹府函[2019]94号评定：矿井及地面设施不占基本农田，矿山开采不会对基本农田产生影响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新桥红星煤矿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vAlign w:val="center"/>
          </w:tcPr>
          <w:p>
            <w:pPr>
              <w:pStyle w:val="22"/>
              <w:bidi w:val="0"/>
              <w:rPr>
                <w:rFonts w:hint="eastAsia"/>
                <w:color w:val="auto"/>
                <w:highlight w:val="none"/>
                <w:lang w:val="en-US" w:eastAsia="zh-CN"/>
              </w:rPr>
            </w:pPr>
            <w:r>
              <w:rPr>
                <w:rFonts w:hint="eastAsia"/>
                <w:color w:val="auto"/>
                <w:highlight w:val="none"/>
                <w:lang w:val="en-US" w:eastAsia="zh-CN"/>
              </w:rPr>
              <w:t>中山段</w:t>
            </w: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堡子煤矿</w:t>
            </w:r>
          </w:p>
        </w:tc>
        <w:tc>
          <w:tcPr>
            <w:tcW w:w="1457" w:type="dxa"/>
            <w:vAlign w:val="center"/>
          </w:tcPr>
          <w:p>
            <w:pPr>
              <w:pStyle w:val="22"/>
              <w:bidi w:val="0"/>
              <w:rPr>
                <w:rFonts w:hint="default"/>
                <w:color w:val="auto"/>
                <w:highlight w:val="none"/>
                <w:lang w:val="en-US" w:eastAsia="zh-CN"/>
              </w:rPr>
            </w:pPr>
            <w:r>
              <w:rPr>
                <w:rFonts w:hint="eastAsia"/>
                <w:color w:val="auto"/>
                <w:highlight w:val="none"/>
                <w:lang w:val="en-US" w:eastAsia="zh-CN"/>
              </w:rPr>
              <w:t>竹环函[2007]115号</w:t>
            </w:r>
          </w:p>
        </w:tc>
        <w:tc>
          <w:tcPr>
            <w:tcW w:w="1286" w:type="dxa"/>
            <w:vAlign w:val="center"/>
          </w:tcPr>
          <w:p>
            <w:pPr>
              <w:pStyle w:val="22"/>
              <w:bidi w:val="0"/>
              <w:rPr>
                <w:rFonts w:hint="eastAsia"/>
                <w:color w:val="auto"/>
                <w:highlight w:val="none"/>
                <w:lang w:val="en-US" w:eastAsia="zh-CN"/>
              </w:rPr>
            </w:pPr>
            <w:r>
              <w:rPr>
                <w:rFonts w:hint="eastAsia"/>
                <w:color w:val="auto"/>
                <w:highlight w:val="none"/>
                <w:lang w:val="en-US" w:eastAsia="zh-CN"/>
              </w:rPr>
              <w:t>完成备案</w:t>
            </w:r>
          </w:p>
        </w:tc>
        <w:tc>
          <w:tcPr>
            <w:tcW w:w="1286" w:type="dxa"/>
            <w:vAlign w:val="center"/>
          </w:tcPr>
          <w:p>
            <w:pPr>
              <w:pStyle w:val="22"/>
              <w:bidi w:val="0"/>
              <w:rPr>
                <w:rFonts w:hint="eastAsia"/>
                <w:color w:val="auto"/>
                <w:highlight w:val="none"/>
                <w:lang w:val="en-US" w:eastAsia="zh-CN"/>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矿井及地面设施不占基本农田，矿山开采不会对基本农田产生影响（2020.11.11大竹县自然资源局文件）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华家沟煤矿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牛郎沟煤矿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矿井及地面设施不占基本农田，矿山开采不会对基本农田产生影响（大竹县自然资源局文件）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平桥煤矿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矿井及地面设施不占基本农田，矿山开采不会对基本农田产生影响（2020.11.11大竹县自然资源局文件）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孔家沟煤矿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矿井及地面设施不占基本农田，矿山开采不会对基本农田产生影响（2020.11.11大竹县自然资源局文件）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荣华煤矿</w:t>
            </w:r>
          </w:p>
        </w:tc>
        <w:tc>
          <w:tcPr>
            <w:tcW w:w="1457"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c>
          <w:tcPr>
            <w:tcW w:w="1286"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c>
          <w:tcPr>
            <w:tcW w:w="1286"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c>
          <w:tcPr>
            <w:tcW w:w="2861"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pStyle w:val="22"/>
              <w:bidi w:val="0"/>
              <w:rPr>
                <w:rFonts w:hint="eastAsia"/>
                <w:color w:val="auto"/>
                <w:highlight w:val="none"/>
                <w:lang w:val="en-US" w:eastAsia="zh-CN"/>
              </w:rPr>
            </w:pP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刘家沟煤矿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pStyle w:val="22"/>
              <w:bidi w:val="0"/>
              <w:rPr>
                <w:rFonts w:hint="eastAsia"/>
                <w:color w:val="auto"/>
                <w:highlight w:val="none"/>
                <w:lang w:val="en-US" w:eastAsia="zh-CN"/>
              </w:rPr>
            </w:pPr>
            <w:r>
              <w:rPr>
                <w:rFonts w:hint="eastAsia"/>
                <w:color w:val="auto"/>
                <w:highlight w:val="none"/>
                <w:lang w:val="en-US" w:eastAsia="zh-CN"/>
              </w:rPr>
              <w:t>明月峡段</w:t>
            </w:r>
          </w:p>
        </w:tc>
        <w:tc>
          <w:tcPr>
            <w:tcW w:w="1650" w:type="dxa"/>
            <w:vAlign w:val="center"/>
          </w:tcPr>
          <w:p>
            <w:pPr>
              <w:pStyle w:val="22"/>
              <w:bidi w:val="0"/>
              <w:rPr>
                <w:rFonts w:hint="eastAsia"/>
                <w:color w:val="auto"/>
                <w:highlight w:val="none"/>
                <w:lang w:val="en-US" w:eastAsia="zh-CN"/>
              </w:rPr>
            </w:pPr>
            <w:r>
              <w:rPr>
                <w:rFonts w:hint="eastAsia"/>
                <w:color w:val="auto"/>
                <w:highlight w:val="none"/>
                <w:lang w:val="en-US" w:eastAsia="zh-CN"/>
              </w:rPr>
              <w:t>观音煤矿</w:t>
            </w:r>
          </w:p>
        </w:tc>
        <w:tc>
          <w:tcPr>
            <w:tcW w:w="145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完成环境影响备案</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1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完成登记</w:t>
            </w:r>
          </w:p>
        </w:tc>
        <w:tc>
          <w:tcPr>
            <w:tcW w:w="2861" w:type="dxa"/>
            <w:vAlign w:val="center"/>
          </w:tcPr>
          <w:p>
            <w:pPr>
              <w:pStyle w:val="22"/>
              <w:bidi w:val="0"/>
              <w:rPr>
                <w:rFonts w:hint="eastAsia"/>
                <w:color w:val="auto"/>
                <w:highlight w:val="none"/>
                <w:lang w:val="en-US" w:eastAsia="zh-CN"/>
              </w:rPr>
            </w:pPr>
            <w:r>
              <w:rPr>
                <w:rFonts w:hint="eastAsia"/>
                <w:color w:val="auto"/>
                <w:highlight w:val="none"/>
                <w:lang w:val="en-US" w:eastAsia="zh-CN"/>
              </w:rPr>
              <w:t>竹府函[2019]192号评定：矿井及地面设施不占基本农田，矿山开采不会对基本农田产生影响</w:t>
            </w:r>
          </w:p>
        </w:tc>
      </w:tr>
    </w:tbl>
    <w:p>
      <w:pPr>
        <w:bidi w:val="0"/>
        <w:rPr>
          <w:rFonts w:hint="eastAsia"/>
          <w:color w:val="auto"/>
          <w:highlight w:val="none"/>
          <w:lang w:val="en-US" w:eastAsia="zh-CN"/>
        </w:rPr>
      </w:pPr>
    </w:p>
    <w:p>
      <w:pPr>
        <w:pStyle w:val="6"/>
        <w:numPr>
          <w:ilvl w:val="2"/>
          <w:numId w:val="5"/>
        </w:numPr>
        <w:bidi w:val="0"/>
        <w:rPr>
          <w:color w:val="auto"/>
          <w:highlight w:val="none"/>
        </w:rPr>
      </w:pPr>
      <w:bookmarkStart w:id="261" w:name="_Toc15368"/>
      <w:bookmarkStart w:id="262" w:name="_Toc31629"/>
      <w:r>
        <w:rPr>
          <w:rFonts w:hint="eastAsia"/>
          <w:color w:val="auto"/>
          <w:highlight w:val="none"/>
          <w:lang w:eastAsia="zh-CN"/>
        </w:rPr>
        <w:t>矿区污染物产生和排放情况</w:t>
      </w:r>
      <w:bookmarkEnd w:id="261"/>
      <w:bookmarkEnd w:id="262"/>
    </w:p>
    <w:p>
      <w:pPr>
        <w:bidi w:val="0"/>
        <w:rPr>
          <w:rFonts w:hint="eastAsia"/>
          <w:color w:val="auto"/>
          <w:highlight w:val="none"/>
          <w:lang w:val="en-US" w:eastAsia="zh-CN"/>
        </w:rPr>
      </w:pPr>
      <w:r>
        <w:rPr>
          <w:rFonts w:hint="eastAsia"/>
          <w:color w:val="auto"/>
          <w:highlight w:val="none"/>
          <w:lang w:val="en-US" w:eastAsia="zh-CN"/>
        </w:rPr>
        <w:t>根据调查，目前在生产矿仅有柏林煤矿1家，其余矿在近年来因政策及自身原因等陆续停产，其中荣华煤矿已停产10多年，</w:t>
      </w:r>
      <w:r>
        <w:rPr>
          <w:rFonts w:hint="eastAsia" w:ascii="宋体" w:hAnsi="宋体" w:cs="宋体"/>
          <w:color w:val="auto"/>
          <w:kern w:val="0"/>
          <w:szCs w:val="21"/>
          <w:highlight w:val="none"/>
        </w:rPr>
        <w:t>大河沟煤矿</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大硐坪煤矿</w:t>
      </w:r>
      <w:r>
        <w:rPr>
          <w:rFonts w:hint="eastAsia" w:ascii="宋体" w:hAnsi="宋体" w:cs="宋体"/>
          <w:color w:val="auto"/>
          <w:kern w:val="0"/>
          <w:szCs w:val="21"/>
          <w:highlight w:val="none"/>
          <w:lang w:eastAsia="zh-CN"/>
        </w:rPr>
        <w:t>、</w:t>
      </w:r>
      <w:r>
        <w:rPr>
          <w:rFonts w:hint="eastAsia" w:ascii="宋体" w:hAnsi="宋体" w:cs="宋体"/>
          <w:bCs/>
          <w:color w:val="auto"/>
          <w:kern w:val="0"/>
          <w:szCs w:val="21"/>
          <w:highlight w:val="none"/>
        </w:rPr>
        <w:t>堡子煤矿</w:t>
      </w:r>
      <w:r>
        <w:rPr>
          <w:rFonts w:hint="eastAsia" w:ascii="宋体" w:hAnsi="宋体" w:cs="宋体"/>
          <w:bCs/>
          <w:color w:val="auto"/>
          <w:kern w:val="0"/>
          <w:szCs w:val="21"/>
          <w:highlight w:val="none"/>
          <w:lang w:eastAsia="zh-CN"/>
        </w:rPr>
        <w:t>、</w:t>
      </w:r>
      <w:r>
        <w:rPr>
          <w:rFonts w:hint="eastAsia" w:ascii="宋体" w:hAnsi="宋体" w:cs="宋体"/>
          <w:color w:val="auto"/>
          <w:kern w:val="0"/>
          <w:szCs w:val="21"/>
          <w:highlight w:val="none"/>
        </w:rPr>
        <w:t>观音煤矿</w:t>
      </w:r>
      <w:r>
        <w:rPr>
          <w:rFonts w:hint="eastAsia" w:ascii="宋体" w:hAnsi="宋体" w:cs="宋体"/>
          <w:color w:val="auto"/>
          <w:kern w:val="0"/>
          <w:szCs w:val="21"/>
          <w:highlight w:val="none"/>
          <w:lang w:eastAsia="zh-CN"/>
        </w:rPr>
        <w:t>于</w:t>
      </w:r>
      <w:r>
        <w:rPr>
          <w:rFonts w:hint="eastAsia" w:ascii="宋体" w:hAnsi="宋体" w:cs="宋体"/>
          <w:color w:val="auto"/>
          <w:kern w:val="0"/>
          <w:szCs w:val="21"/>
          <w:highlight w:val="none"/>
          <w:lang w:val="en-US" w:eastAsia="zh-CN"/>
        </w:rPr>
        <w:t>2020年底停产，其余煤矿均已停产接近2年以上。</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3.6.2.1 大气污染源、污染物及环保设施情况</w:t>
      </w:r>
    </w:p>
    <w:p>
      <w:pPr>
        <w:rPr>
          <w:rFonts w:hint="eastAsia"/>
          <w:color w:val="auto"/>
          <w:highlight w:val="none"/>
          <w:lang w:val="en-US" w:eastAsia="zh-CN"/>
        </w:rPr>
      </w:pPr>
      <w:r>
        <w:rPr>
          <w:rFonts w:hint="eastAsia"/>
          <w:color w:val="auto"/>
          <w:highlight w:val="none"/>
          <w:lang w:val="en-US" w:eastAsia="zh-CN"/>
        </w:rPr>
        <w:t>2021</w:t>
      </w:r>
      <w:r>
        <w:rPr>
          <w:rFonts w:hint="default" w:eastAsia="宋体"/>
          <w:color w:val="auto"/>
          <w:highlight w:val="none"/>
          <w:lang w:val="en-US" w:eastAsia="zh-CN"/>
        </w:rPr>
        <w:t>年</w:t>
      </w:r>
      <w:r>
        <w:rPr>
          <w:rFonts w:hint="eastAsia"/>
          <w:color w:val="auto"/>
          <w:highlight w:val="none"/>
          <w:lang w:val="en-US" w:eastAsia="zh-CN"/>
        </w:rPr>
        <w:t>在</w:t>
      </w:r>
      <w:r>
        <w:rPr>
          <w:rFonts w:hint="default" w:eastAsia="宋体"/>
          <w:color w:val="auto"/>
          <w:highlight w:val="none"/>
          <w:lang w:val="en-US" w:eastAsia="zh-CN"/>
        </w:rPr>
        <w:t>进行现状调查时，正在生产的</w:t>
      </w:r>
      <w:r>
        <w:rPr>
          <w:rFonts w:hint="eastAsia"/>
          <w:color w:val="auto"/>
          <w:highlight w:val="none"/>
          <w:lang w:val="en-US" w:eastAsia="zh-CN"/>
        </w:rPr>
        <w:t>煤矿仅有柏林煤矿1家，其余煤矿均已停产，本次评价基准年2020年也仅有</w:t>
      </w:r>
      <w:r>
        <w:rPr>
          <w:rFonts w:hint="eastAsia" w:ascii="宋体" w:hAnsi="宋体" w:cs="宋体"/>
          <w:color w:val="auto"/>
          <w:kern w:val="0"/>
          <w:szCs w:val="21"/>
          <w:highlight w:val="none"/>
        </w:rPr>
        <w:t>大河沟煤矿</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大硐坪煤矿</w:t>
      </w:r>
      <w:r>
        <w:rPr>
          <w:rFonts w:hint="eastAsia" w:ascii="宋体" w:hAnsi="宋体" w:cs="宋体"/>
          <w:color w:val="auto"/>
          <w:kern w:val="0"/>
          <w:szCs w:val="21"/>
          <w:highlight w:val="none"/>
          <w:lang w:eastAsia="zh-CN"/>
        </w:rPr>
        <w:t>、</w:t>
      </w:r>
      <w:r>
        <w:rPr>
          <w:rFonts w:hint="eastAsia" w:ascii="宋体" w:hAnsi="宋体" w:cs="宋体"/>
          <w:bCs/>
          <w:color w:val="auto"/>
          <w:kern w:val="0"/>
          <w:szCs w:val="21"/>
          <w:highlight w:val="none"/>
        </w:rPr>
        <w:t>堡子煤矿</w:t>
      </w:r>
      <w:r>
        <w:rPr>
          <w:rFonts w:hint="eastAsia" w:ascii="宋体" w:hAnsi="宋体" w:cs="宋体"/>
          <w:bCs/>
          <w:color w:val="auto"/>
          <w:kern w:val="0"/>
          <w:szCs w:val="21"/>
          <w:highlight w:val="none"/>
          <w:lang w:eastAsia="zh-CN"/>
        </w:rPr>
        <w:t>、</w:t>
      </w:r>
      <w:r>
        <w:rPr>
          <w:rFonts w:hint="eastAsia" w:ascii="宋体" w:hAnsi="宋体" w:cs="宋体"/>
          <w:color w:val="auto"/>
          <w:kern w:val="0"/>
          <w:szCs w:val="21"/>
          <w:highlight w:val="none"/>
        </w:rPr>
        <w:t>观音煤矿</w:t>
      </w:r>
      <w:r>
        <w:rPr>
          <w:rFonts w:hint="eastAsia" w:ascii="宋体" w:hAnsi="宋体" w:cs="宋体"/>
          <w:color w:val="auto"/>
          <w:kern w:val="0"/>
          <w:szCs w:val="21"/>
          <w:highlight w:val="none"/>
          <w:lang w:eastAsia="zh-CN"/>
        </w:rPr>
        <w:t>、柏林煤矿在</w:t>
      </w:r>
      <w:r>
        <w:rPr>
          <w:rFonts w:hint="eastAsia" w:ascii="宋体" w:hAnsi="宋体" w:cs="宋体"/>
          <w:color w:val="auto"/>
          <w:kern w:val="0"/>
          <w:szCs w:val="21"/>
          <w:highlight w:val="none"/>
          <w:lang w:val="en-US" w:eastAsia="zh-CN"/>
        </w:rPr>
        <w:t>生产。</w:t>
      </w:r>
      <w:r>
        <w:rPr>
          <w:rFonts w:hint="eastAsia"/>
          <w:color w:val="auto"/>
          <w:highlight w:val="none"/>
          <w:lang w:val="en-US" w:eastAsia="zh-CN"/>
        </w:rPr>
        <w:t>因此，特别对2020年在生产煤矿情况进行了收资和走访调查，仅大硐坪煤矿1家存在1台1t/h的燃煤锅炉（无净化装置），其余家煤矿均无燃煤锅炉，因此本规划区内</w:t>
      </w:r>
      <w:r>
        <w:rPr>
          <w:rFonts w:hint="default" w:eastAsia="宋体"/>
          <w:color w:val="auto"/>
          <w:highlight w:val="none"/>
          <w:lang w:val="en-US" w:eastAsia="zh-CN"/>
        </w:rPr>
        <w:t>大气污染源主要是</w:t>
      </w:r>
      <w:r>
        <w:rPr>
          <w:rFonts w:hint="eastAsia"/>
          <w:color w:val="auto"/>
          <w:highlight w:val="none"/>
          <w:lang w:val="en-US" w:eastAsia="zh-CN"/>
        </w:rPr>
        <w:t>大硐坪煤矿的</w:t>
      </w:r>
      <w:r>
        <w:rPr>
          <w:rFonts w:hint="default" w:eastAsia="宋体"/>
          <w:color w:val="auto"/>
          <w:highlight w:val="none"/>
          <w:lang w:val="en-US" w:eastAsia="zh-CN"/>
        </w:rPr>
        <w:t>工业场地燃煤锅炉</w:t>
      </w:r>
      <w:r>
        <w:rPr>
          <w:rFonts w:hint="eastAsia"/>
          <w:color w:val="auto"/>
          <w:highlight w:val="none"/>
          <w:lang w:val="en-US" w:eastAsia="zh-CN"/>
        </w:rPr>
        <w:t>以及各个煤矿生产过程的粉尘</w:t>
      </w:r>
      <w:r>
        <w:rPr>
          <w:rFonts w:hint="default" w:eastAsia="宋体"/>
          <w:color w:val="auto"/>
          <w:highlight w:val="none"/>
          <w:lang w:val="en-US" w:eastAsia="zh-CN"/>
        </w:rPr>
        <w:t>，主要污染物为SO</w:t>
      </w:r>
      <w:r>
        <w:rPr>
          <w:rFonts w:hint="default" w:eastAsia="宋体"/>
          <w:color w:val="auto"/>
          <w:highlight w:val="none"/>
          <w:vertAlign w:val="subscript"/>
          <w:lang w:val="en-US" w:eastAsia="zh-CN"/>
        </w:rPr>
        <w:t>2</w:t>
      </w:r>
      <w:r>
        <w:rPr>
          <w:rFonts w:hint="eastAsia"/>
          <w:color w:val="auto"/>
          <w:highlight w:val="none"/>
          <w:lang w:val="en-US" w:eastAsia="zh-CN"/>
        </w:rPr>
        <w:t>、</w:t>
      </w:r>
      <w:r>
        <w:rPr>
          <w:rFonts w:hint="default" w:eastAsia="宋体"/>
          <w:color w:val="auto"/>
          <w:highlight w:val="none"/>
          <w:lang w:val="en-US" w:eastAsia="zh-CN"/>
        </w:rPr>
        <w:t>NOx</w:t>
      </w:r>
      <w:r>
        <w:rPr>
          <w:rFonts w:hint="eastAsia"/>
          <w:color w:val="auto"/>
          <w:highlight w:val="none"/>
          <w:lang w:val="en-US" w:eastAsia="zh-CN"/>
        </w:rPr>
        <w:t>、颗粒物（烟尘）。</w:t>
      </w:r>
    </w:p>
    <w:p>
      <w:pPr>
        <w:rPr>
          <w:rFonts w:hint="eastAsia"/>
          <w:color w:val="auto"/>
          <w:highlight w:val="none"/>
          <w:lang w:val="en-US" w:eastAsia="zh-CN"/>
        </w:rPr>
      </w:pPr>
      <w:r>
        <w:rPr>
          <w:rFonts w:hint="eastAsia"/>
          <w:color w:val="auto"/>
          <w:highlight w:val="none"/>
          <w:lang w:val="en-US" w:eastAsia="zh-CN"/>
        </w:rPr>
        <w:t>调查现状产污、环保设施、污染物排放情况如下：</w:t>
      </w:r>
    </w:p>
    <w:p>
      <w:pPr>
        <w:pStyle w:val="22"/>
        <w:bidi w:val="0"/>
        <w:rPr>
          <w:rFonts w:hint="eastAsia"/>
          <w:color w:val="auto"/>
          <w:highlight w:val="none"/>
          <w:lang w:val="en-US" w:eastAsia="zh-CN"/>
        </w:rPr>
      </w:pPr>
      <w:r>
        <w:rPr>
          <w:rFonts w:hint="eastAsia"/>
          <w:color w:val="auto"/>
          <w:highlight w:val="none"/>
          <w:lang w:val="en-US" w:eastAsia="zh-CN"/>
        </w:rPr>
        <w:t>表3.6-  各矿井大气污染物产生、治理及排放情况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444"/>
        <w:gridCol w:w="1764"/>
        <w:gridCol w:w="1142"/>
        <w:gridCol w:w="2457"/>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煤矿名称</w:t>
            </w: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污染物名称</w:t>
            </w:r>
          </w:p>
        </w:tc>
        <w:tc>
          <w:tcPr>
            <w:tcW w:w="176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产污环节</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产生量t/a</w:t>
            </w:r>
          </w:p>
        </w:tc>
        <w:tc>
          <w:tcPr>
            <w:tcW w:w="245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治理措施</w:t>
            </w:r>
          </w:p>
        </w:tc>
        <w:tc>
          <w:tcPr>
            <w:tcW w:w="121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大硐坪煤矿</w:t>
            </w: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颗粒物</w:t>
            </w:r>
          </w:p>
        </w:tc>
        <w:tc>
          <w:tcPr>
            <w:tcW w:w="176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燃煤锅炉、扬尘</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48.3</w:t>
            </w:r>
          </w:p>
        </w:tc>
        <w:tc>
          <w:tcPr>
            <w:tcW w:w="245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锅炉无治理措施，扬尘采用密闭运输、洒水降尘、湿法作业等</w:t>
            </w:r>
          </w:p>
        </w:tc>
        <w:tc>
          <w:tcPr>
            <w:tcW w:w="121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Style w:val="22"/>
              <w:bidi w:val="0"/>
              <w:rPr>
                <w:rFonts w:hint="eastAsia"/>
                <w:color w:val="auto"/>
                <w:highlight w:val="none"/>
                <w:vertAlign w:val="baseline"/>
                <w:lang w:val="en-US" w:eastAsia="zh-CN"/>
              </w:rPr>
            </w:pP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二氧化硫</w:t>
            </w:r>
          </w:p>
        </w:tc>
        <w:tc>
          <w:tcPr>
            <w:tcW w:w="1764"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燃煤锅炉</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10.1</w:t>
            </w:r>
          </w:p>
        </w:tc>
        <w:tc>
          <w:tcPr>
            <w:tcW w:w="2457"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无</w:t>
            </w:r>
          </w:p>
        </w:tc>
        <w:tc>
          <w:tcPr>
            <w:tcW w:w="121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Style w:val="22"/>
              <w:bidi w:val="0"/>
              <w:rPr>
                <w:rFonts w:hint="eastAsia"/>
                <w:color w:val="auto"/>
                <w:highlight w:val="none"/>
                <w:vertAlign w:val="baseline"/>
                <w:lang w:val="en-US" w:eastAsia="zh-CN"/>
              </w:rPr>
            </w:pPr>
          </w:p>
        </w:tc>
        <w:tc>
          <w:tcPr>
            <w:tcW w:w="1444"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氮氧化物</w:t>
            </w:r>
          </w:p>
        </w:tc>
        <w:tc>
          <w:tcPr>
            <w:tcW w:w="1764"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燃煤锅炉</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1.9</w:t>
            </w:r>
          </w:p>
        </w:tc>
        <w:tc>
          <w:tcPr>
            <w:tcW w:w="2457"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无</w:t>
            </w:r>
          </w:p>
        </w:tc>
        <w:tc>
          <w:tcPr>
            <w:tcW w:w="121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大河沟煤矿</w:t>
            </w: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颗粒物</w:t>
            </w:r>
          </w:p>
        </w:tc>
        <w:tc>
          <w:tcPr>
            <w:tcW w:w="176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扬尘</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42.3</w:t>
            </w:r>
          </w:p>
        </w:tc>
        <w:tc>
          <w:tcPr>
            <w:tcW w:w="245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采用密闭运输、洒水降尘、湿法作业等</w:t>
            </w:r>
          </w:p>
        </w:tc>
        <w:tc>
          <w:tcPr>
            <w:tcW w:w="121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堡子煤矿</w:t>
            </w: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颗粒物</w:t>
            </w:r>
          </w:p>
        </w:tc>
        <w:tc>
          <w:tcPr>
            <w:tcW w:w="176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扬尘</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81.6</w:t>
            </w:r>
          </w:p>
        </w:tc>
        <w:tc>
          <w:tcPr>
            <w:tcW w:w="245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采用密闭运输、洒水降尘、湿法作业等</w:t>
            </w:r>
          </w:p>
        </w:tc>
        <w:tc>
          <w:tcPr>
            <w:tcW w:w="121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观音煤矿</w:t>
            </w: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颗粒物</w:t>
            </w:r>
          </w:p>
        </w:tc>
        <w:tc>
          <w:tcPr>
            <w:tcW w:w="176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扬尘</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15.6</w:t>
            </w:r>
          </w:p>
        </w:tc>
        <w:tc>
          <w:tcPr>
            <w:tcW w:w="245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采用密闭运输、洒水降尘、湿法作业等</w:t>
            </w:r>
          </w:p>
        </w:tc>
        <w:tc>
          <w:tcPr>
            <w:tcW w:w="121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柏林煤矿</w:t>
            </w:r>
          </w:p>
        </w:tc>
        <w:tc>
          <w:tcPr>
            <w:tcW w:w="144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颗粒物</w:t>
            </w:r>
          </w:p>
        </w:tc>
        <w:tc>
          <w:tcPr>
            <w:tcW w:w="176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扬尘</w:t>
            </w:r>
          </w:p>
        </w:tc>
        <w:tc>
          <w:tcPr>
            <w:tcW w:w="114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596.1</w:t>
            </w:r>
          </w:p>
        </w:tc>
        <w:tc>
          <w:tcPr>
            <w:tcW w:w="245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采用密闭运输、洒水降尘、湿法作业等</w:t>
            </w:r>
          </w:p>
        </w:tc>
        <w:tc>
          <w:tcPr>
            <w:tcW w:w="121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59.6</w:t>
            </w:r>
          </w:p>
        </w:tc>
      </w:tr>
    </w:tbl>
    <w:p>
      <w:pPr>
        <w:pStyle w:val="22"/>
        <w:bidi w:val="0"/>
        <w:rPr>
          <w:rFonts w:hint="default"/>
          <w:color w:val="auto"/>
          <w:highlight w:val="none"/>
          <w:lang w:val="en-US" w:eastAsia="zh-CN"/>
        </w:rPr>
      </w:pPr>
    </w:p>
    <w:p>
      <w:pPr>
        <w:rPr>
          <w:rFonts w:hint="default"/>
          <w:color w:val="auto"/>
          <w:highlight w:val="none"/>
          <w:lang w:val="en-US" w:eastAsia="zh-CN"/>
        </w:rPr>
      </w:pPr>
      <w:r>
        <w:rPr>
          <w:rFonts w:hint="eastAsia"/>
          <w:color w:val="auto"/>
          <w:highlight w:val="none"/>
          <w:lang w:val="en-US" w:eastAsia="zh-CN"/>
        </w:rPr>
        <w:t>由调查后统计的上表可知，2020年规划区在生产煤矿共5家，分别为</w:t>
      </w:r>
      <w:r>
        <w:rPr>
          <w:rFonts w:hint="eastAsia" w:ascii="宋体" w:hAnsi="宋体" w:cs="宋体"/>
          <w:color w:val="auto"/>
          <w:kern w:val="0"/>
          <w:szCs w:val="21"/>
          <w:highlight w:val="none"/>
        </w:rPr>
        <w:t>大河沟煤矿</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大硐坪煤矿</w:t>
      </w:r>
      <w:r>
        <w:rPr>
          <w:rFonts w:hint="eastAsia" w:ascii="宋体" w:hAnsi="宋体" w:cs="宋体"/>
          <w:color w:val="auto"/>
          <w:kern w:val="0"/>
          <w:szCs w:val="21"/>
          <w:highlight w:val="none"/>
          <w:lang w:eastAsia="zh-CN"/>
        </w:rPr>
        <w:t>、</w:t>
      </w:r>
      <w:r>
        <w:rPr>
          <w:rFonts w:hint="eastAsia" w:ascii="宋体" w:hAnsi="宋体" w:cs="宋体"/>
          <w:bCs/>
          <w:color w:val="auto"/>
          <w:kern w:val="0"/>
          <w:szCs w:val="21"/>
          <w:highlight w:val="none"/>
        </w:rPr>
        <w:t>堡子煤矿</w:t>
      </w:r>
      <w:r>
        <w:rPr>
          <w:rFonts w:hint="eastAsia" w:ascii="宋体" w:hAnsi="宋体" w:cs="宋体"/>
          <w:bCs/>
          <w:color w:val="auto"/>
          <w:kern w:val="0"/>
          <w:szCs w:val="21"/>
          <w:highlight w:val="none"/>
          <w:lang w:eastAsia="zh-CN"/>
        </w:rPr>
        <w:t>、</w:t>
      </w:r>
      <w:r>
        <w:rPr>
          <w:rFonts w:hint="eastAsia" w:ascii="宋体" w:hAnsi="宋体" w:cs="宋体"/>
          <w:color w:val="auto"/>
          <w:kern w:val="0"/>
          <w:szCs w:val="21"/>
          <w:highlight w:val="none"/>
        </w:rPr>
        <w:t>观音煤矿</w:t>
      </w:r>
      <w:r>
        <w:rPr>
          <w:rFonts w:hint="eastAsia" w:ascii="宋体" w:hAnsi="宋体" w:cs="宋体"/>
          <w:color w:val="auto"/>
          <w:kern w:val="0"/>
          <w:szCs w:val="21"/>
          <w:highlight w:val="none"/>
          <w:lang w:eastAsia="zh-CN"/>
        </w:rPr>
        <w:t>、柏林煤矿，总排放颗粒物量为</w:t>
      </w:r>
      <w:r>
        <w:rPr>
          <w:rFonts w:hint="eastAsia" w:ascii="宋体" w:hAnsi="宋体" w:cs="宋体"/>
          <w:color w:val="auto"/>
          <w:kern w:val="0"/>
          <w:szCs w:val="21"/>
          <w:highlight w:val="none"/>
          <w:lang w:val="en-US" w:eastAsia="zh-CN"/>
        </w:rPr>
        <w:t>122.1t/a，总排放二氧化硫量为10.1t/a，总排放氮氧化物量为1.9t/a</w:t>
      </w:r>
      <w:r>
        <w:rPr>
          <w:rFonts w:hint="default" w:eastAsia="宋体"/>
          <w:color w:val="auto"/>
          <w:highlight w:val="none"/>
          <w:lang w:val="en-US" w:eastAsia="zh-CN"/>
        </w:rPr>
        <w:t>。</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3.6.2.2 水污染源、污染物及环保设施情况</w:t>
      </w:r>
    </w:p>
    <w:p>
      <w:pPr>
        <w:rPr>
          <w:color w:val="auto"/>
          <w:highlight w:val="none"/>
        </w:rPr>
      </w:pPr>
      <w:r>
        <w:rPr>
          <w:color w:val="auto"/>
          <w:highlight w:val="none"/>
        </w:rPr>
        <w:t>煤矿水污染源主要来自井下排水和生活污水，井下排水主要污染物为SS（属以煤尘、岩粉为主的单纯性生产废水），生活污水主要污染物为COD、SS和少量石油类等，无其它有毒化学污染物。</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）矿井水及处理设施情况</w:t>
      </w:r>
    </w:p>
    <w:p>
      <w:pPr>
        <w:bidi w:val="0"/>
        <w:rPr>
          <w:rFonts w:hint="eastAsia"/>
          <w:color w:val="auto"/>
          <w:highlight w:val="none"/>
          <w:lang w:eastAsia="zh-CN"/>
        </w:rPr>
      </w:pPr>
      <w:r>
        <w:rPr>
          <w:rFonts w:hint="eastAsia"/>
          <w:color w:val="auto"/>
          <w:highlight w:val="none"/>
          <w:lang w:eastAsia="zh-CN"/>
        </w:rPr>
        <w:t>矿区内煤矿矿井水处理及回用情况、排放去向见下表。</w:t>
      </w:r>
    </w:p>
    <w:p>
      <w:pPr>
        <w:pStyle w:val="22"/>
        <w:bidi w:val="0"/>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3.6-   各矿井水现有工程正常生产时的排放和回用情况一览表</w:t>
      </w:r>
    </w:p>
    <w:tbl>
      <w:tblPr>
        <w:tblStyle w:val="1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02"/>
        <w:gridCol w:w="1033"/>
        <w:gridCol w:w="1626"/>
        <w:gridCol w:w="1400"/>
        <w:gridCol w:w="952"/>
        <w:gridCol w:w="952"/>
        <w:gridCol w:w="828"/>
        <w:gridCol w:w="11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jc w:val="center"/>
        </w:trPr>
        <w:tc>
          <w:tcPr>
            <w:tcW w:w="1302" w:type="dxa"/>
            <w:vAlign w:val="center"/>
          </w:tcPr>
          <w:p>
            <w:pPr>
              <w:pStyle w:val="22"/>
              <w:bidi w:val="0"/>
              <w:rPr>
                <w:rFonts w:hint="eastAsia"/>
                <w:color w:val="auto"/>
                <w:highlight w:val="none"/>
              </w:rPr>
            </w:pPr>
            <w:r>
              <w:rPr>
                <w:rFonts w:hint="eastAsia"/>
                <w:color w:val="auto"/>
                <w:highlight w:val="none"/>
              </w:rPr>
              <w:t>煤矿名称</w:t>
            </w:r>
          </w:p>
        </w:tc>
        <w:tc>
          <w:tcPr>
            <w:tcW w:w="1033" w:type="dxa"/>
            <w:vAlign w:val="center"/>
          </w:tcPr>
          <w:p>
            <w:pPr>
              <w:pStyle w:val="22"/>
              <w:bidi w:val="0"/>
              <w:rPr>
                <w:rFonts w:hint="eastAsia"/>
                <w:color w:val="auto"/>
                <w:highlight w:val="none"/>
              </w:rPr>
            </w:pPr>
            <w:r>
              <w:rPr>
                <w:rFonts w:hint="eastAsia"/>
                <w:color w:val="auto"/>
                <w:highlight w:val="none"/>
              </w:rPr>
              <w:t>矿井涌水</w:t>
            </w:r>
            <w:r>
              <w:rPr>
                <w:rFonts w:hint="eastAsia"/>
                <w:color w:val="auto"/>
                <w:highlight w:val="none"/>
                <w:lang w:eastAsia="zh-CN"/>
              </w:rPr>
              <w:t>量</w:t>
            </w:r>
            <w:r>
              <w:rPr>
                <w:rFonts w:hint="eastAsia"/>
                <w:color w:val="auto"/>
                <w:highlight w:val="none"/>
              </w:rPr>
              <w:t>（</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p>
        </w:tc>
        <w:tc>
          <w:tcPr>
            <w:tcW w:w="1626" w:type="dxa"/>
            <w:vAlign w:val="center"/>
          </w:tcPr>
          <w:p>
            <w:pPr>
              <w:pStyle w:val="22"/>
              <w:bidi w:val="0"/>
              <w:rPr>
                <w:color w:val="auto"/>
                <w:highlight w:val="none"/>
              </w:rPr>
            </w:pPr>
            <w:r>
              <w:rPr>
                <w:rFonts w:hint="eastAsia"/>
                <w:color w:val="auto"/>
                <w:highlight w:val="none"/>
              </w:rPr>
              <w:t>矿井水处理站规模</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color w:val="auto"/>
                <w:highlight w:val="none"/>
              </w:rPr>
              <w:t>)</w:t>
            </w:r>
          </w:p>
        </w:tc>
        <w:tc>
          <w:tcPr>
            <w:tcW w:w="1400" w:type="dxa"/>
            <w:vAlign w:val="center"/>
          </w:tcPr>
          <w:p>
            <w:pPr>
              <w:pStyle w:val="22"/>
              <w:bidi w:val="0"/>
              <w:rPr>
                <w:rFonts w:hint="eastAsia"/>
                <w:color w:val="auto"/>
                <w:highlight w:val="none"/>
              </w:rPr>
            </w:pPr>
            <w:r>
              <w:rPr>
                <w:rFonts w:hint="eastAsia"/>
                <w:color w:val="auto"/>
                <w:highlight w:val="none"/>
              </w:rPr>
              <w:t>矿井水站处理工艺</w:t>
            </w:r>
          </w:p>
        </w:tc>
        <w:tc>
          <w:tcPr>
            <w:tcW w:w="952" w:type="dxa"/>
            <w:vAlign w:val="center"/>
          </w:tcPr>
          <w:p>
            <w:pPr>
              <w:pStyle w:val="22"/>
              <w:bidi w:val="0"/>
              <w:rPr>
                <w:rFonts w:hint="eastAsia"/>
                <w:color w:val="auto"/>
                <w:highlight w:val="none"/>
              </w:rPr>
            </w:pPr>
            <w:r>
              <w:rPr>
                <w:rFonts w:hint="eastAsia"/>
                <w:color w:val="auto"/>
                <w:highlight w:val="none"/>
              </w:rPr>
              <w:t>回用量（</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p>
        </w:tc>
        <w:tc>
          <w:tcPr>
            <w:tcW w:w="952" w:type="dxa"/>
            <w:vAlign w:val="center"/>
          </w:tcPr>
          <w:p>
            <w:pPr>
              <w:pStyle w:val="22"/>
              <w:bidi w:val="0"/>
              <w:rPr>
                <w:rFonts w:hint="eastAsia"/>
                <w:color w:val="auto"/>
                <w:highlight w:val="none"/>
              </w:rPr>
            </w:pPr>
            <w:r>
              <w:rPr>
                <w:rFonts w:hint="eastAsia"/>
                <w:color w:val="auto"/>
                <w:highlight w:val="none"/>
              </w:rPr>
              <w:t>排放量（</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p>
        </w:tc>
        <w:tc>
          <w:tcPr>
            <w:tcW w:w="828" w:type="dxa"/>
            <w:vAlign w:val="center"/>
          </w:tcPr>
          <w:p>
            <w:pPr>
              <w:pStyle w:val="22"/>
              <w:bidi w:val="0"/>
              <w:rPr>
                <w:rFonts w:hint="eastAsia"/>
                <w:color w:val="auto"/>
                <w:highlight w:val="none"/>
              </w:rPr>
            </w:pPr>
            <w:r>
              <w:rPr>
                <w:rFonts w:hint="eastAsia"/>
                <w:color w:val="auto"/>
                <w:highlight w:val="none"/>
              </w:rPr>
              <w:t>回用率（</w:t>
            </w:r>
            <w:r>
              <w:rPr>
                <w:color w:val="auto"/>
                <w:highlight w:val="none"/>
              </w:rPr>
              <w:t>%</w:t>
            </w:r>
            <w:r>
              <w:rPr>
                <w:rFonts w:hint="eastAsia"/>
                <w:color w:val="auto"/>
                <w:highlight w:val="none"/>
              </w:rPr>
              <w:t>）</w:t>
            </w:r>
          </w:p>
        </w:tc>
        <w:tc>
          <w:tcPr>
            <w:tcW w:w="1189" w:type="dxa"/>
            <w:vAlign w:val="center"/>
          </w:tcPr>
          <w:p>
            <w:pPr>
              <w:pStyle w:val="22"/>
              <w:bidi w:val="0"/>
              <w:rPr>
                <w:rFonts w:hint="eastAsia"/>
                <w:color w:val="auto"/>
                <w:highlight w:val="none"/>
              </w:rPr>
            </w:pPr>
            <w:r>
              <w:rPr>
                <w:rFonts w:hint="eastAsia"/>
                <w:color w:val="auto"/>
                <w:highlight w:val="none"/>
              </w:rPr>
              <w:t>排放去向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1302" w:type="dxa"/>
            <w:vAlign w:val="center"/>
          </w:tcPr>
          <w:p>
            <w:pPr>
              <w:pStyle w:val="22"/>
              <w:bidi w:val="0"/>
              <w:rPr>
                <w:rFonts w:hint="eastAsia" w:eastAsia="宋体"/>
                <w:color w:val="auto"/>
                <w:highlight w:val="none"/>
                <w:lang w:eastAsia="zh-CN"/>
              </w:rPr>
            </w:pPr>
            <w:r>
              <w:rPr>
                <w:rFonts w:hint="eastAsia"/>
                <w:color w:val="auto"/>
                <w:highlight w:val="none"/>
                <w:lang w:eastAsia="zh-CN"/>
              </w:rPr>
              <w:t>堡子煤矿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7900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4000（独立）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5900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74.7</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eastAsia="宋体"/>
                <w:color w:val="auto"/>
                <w:highlight w:val="none"/>
                <w:lang w:eastAsia="zh-CN"/>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1302" w:type="dxa"/>
            <w:vAlign w:val="center"/>
          </w:tcPr>
          <w:p>
            <w:pPr>
              <w:pStyle w:val="22"/>
              <w:bidi w:val="0"/>
              <w:rPr>
                <w:rFonts w:hint="eastAsia" w:eastAsia="宋体"/>
                <w:color w:val="auto"/>
                <w:highlight w:val="none"/>
                <w:lang w:eastAsia="zh-CN"/>
              </w:rPr>
            </w:pPr>
            <w:r>
              <w:rPr>
                <w:rFonts w:hint="eastAsia"/>
                <w:color w:val="auto"/>
                <w:highlight w:val="none"/>
                <w:lang w:eastAsia="zh-CN"/>
              </w:rPr>
              <w:t>大硐坪煤矿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800（包含生活污水处理）</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rPr>
              <w:t>絮凝沉淀、过滤消毒</w:t>
            </w:r>
            <w:r>
              <w:rPr>
                <w:rFonts w:hint="eastAsia"/>
                <w:color w:val="auto"/>
                <w:highlight w:val="none"/>
                <w:lang w:eastAsia="zh-CN"/>
              </w:rPr>
              <w:t>、二级生化</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0</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eastAsia="宋体"/>
                <w:color w:val="auto"/>
                <w:highlight w:val="none"/>
                <w:lang w:eastAsia="zh-CN"/>
              </w:rPr>
            </w:pPr>
            <w:r>
              <w:rPr>
                <w:rFonts w:hint="eastAsia"/>
                <w:color w:val="auto"/>
                <w:highlight w:val="none"/>
                <w:lang w:eastAsia="zh-CN"/>
              </w:rPr>
              <w:t>大河沟煤矿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2200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54.5</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观音煤矿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3100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2000（包含生活污水处理）</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rPr>
              <w:t>絮凝沉淀、过滤消毒</w:t>
            </w:r>
            <w:r>
              <w:rPr>
                <w:rFonts w:hint="eastAsia"/>
                <w:color w:val="auto"/>
                <w:highlight w:val="none"/>
                <w:lang w:eastAsia="zh-CN"/>
              </w:rPr>
              <w:t>、二级生化</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35.5</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刘家沟煤矿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850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900（包含生活污水处理）</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rPr>
              <w:t>絮凝沉淀、过滤消毒</w:t>
            </w:r>
            <w:r>
              <w:rPr>
                <w:rFonts w:hint="eastAsia"/>
                <w:color w:val="auto"/>
                <w:highlight w:val="none"/>
                <w:lang w:eastAsia="zh-CN"/>
              </w:rPr>
              <w:t>、二级生化</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5.9</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华家沟煤矿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2400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1400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58.3</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田坝煤矿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1600</w:t>
            </w:r>
          </w:p>
        </w:tc>
        <w:tc>
          <w:tcPr>
            <w:tcW w:w="1626" w:type="dxa"/>
            <w:vAlign w:val="center"/>
          </w:tcPr>
          <w:p>
            <w:pPr>
              <w:pStyle w:val="22"/>
              <w:bidi w:val="0"/>
              <w:rPr>
                <w:color w:val="auto"/>
                <w:highlight w:val="none"/>
              </w:rPr>
            </w:pPr>
            <w:r>
              <w:rPr>
                <w:rFonts w:hint="eastAsia"/>
                <w:color w:val="auto"/>
                <w:highlight w:val="none"/>
                <w:lang w:val="en-US" w:eastAsia="zh-CN"/>
              </w:rPr>
              <w:t>500（独立）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68.8</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柏林煤矿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1200（包含生活污水处理）</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rPr>
              <w:t>絮凝沉淀、过滤消毒</w:t>
            </w:r>
            <w:r>
              <w:rPr>
                <w:rFonts w:hint="eastAsia"/>
                <w:color w:val="auto"/>
                <w:highlight w:val="none"/>
                <w:lang w:eastAsia="zh-CN"/>
              </w:rPr>
              <w:t>、二级生化</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8800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88</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荣华煤矿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2000</w:t>
            </w:r>
          </w:p>
        </w:tc>
        <w:tc>
          <w:tcPr>
            <w:tcW w:w="1626" w:type="dxa"/>
            <w:vAlign w:val="center"/>
          </w:tcPr>
          <w:p>
            <w:pPr>
              <w:pStyle w:val="22"/>
              <w:bidi w:val="0"/>
              <w:rPr>
                <w:rFonts w:hint="eastAsia" w:eastAsia="宋体"/>
                <w:color w:val="auto"/>
                <w:highlight w:val="none"/>
                <w:lang w:eastAsia="zh-CN"/>
              </w:rPr>
            </w:pPr>
            <w:r>
              <w:rPr>
                <w:rFonts w:hint="eastAsia"/>
                <w:color w:val="auto"/>
                <w:highlight w:val="none"/>
                <w:lang w:eastAsia="zh-CN"/>
              </w:rPr>
              <w:t>无</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lang w:val="en-US" w:eastAsia="zh-CN"/>
              </w:rPr>
              <w:t>/</w:t>
            </w:r>
          </w:p>
        </w:tc>
        <w:tc>
          <w:tcPr>
            <w:tcW w:w="952"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952"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828"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黑滩煤矿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6200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2500（独立）</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rPr>
              <w:t>絮凝沉淀、过滤消毒</w:t>
            </w:r>
            <w:r>
              <w:rPr>
                <w:rFonts w:hint="eastAsia"/>
                <w:color w:val="auto"/>
                <w:highlight w:val="none"/>
                <w:lang w:eastAsia="zh-CN"/>
              </w:rPr>
              <w:t>、二级生化</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4670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1530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75.3</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孔家沟煤矿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3100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2650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450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85.5</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平桥煤矿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2400</w:t>
            </w:r>
          </w:p>
        </w:tc>
        <w:tc>
          <w:tcPr>
            <w:tcW w:w="1626" w:type="dxa"/>
            <w:vAlign w:val="center"/>
          </w:tcPr>
          <w:p>
            <w:pPr>
              <w:pStyle w:val="22"/>
              <w:bidi w:val="0"/>
              <w:rPr>
                <w:color w:val="auto"/>
                <w:highlight w:val="none"/>
              </w:rPr>
            </w:pPr>
            <w:r>
              <w:rPr>
                <w:rFonts w:hint="eastAsia"/>
                <w:color w:val="auto"/>
                <w:highlight w:val="none"/>
                <w:lang w:val="en-US" w:eastAsia="zh-CN"/>
              </w:rPr>
              <w:t>500（独立）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2050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350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85.4</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牛郎沟煤矿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2000</w:t>
            </w:r>
          </w:p>
        </w:tc>
        <w:tc>
          <w:tcPr>
            <w:tcW w:w="162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1000（独立）</w:t>
            </w:r>
          </w:p>
        </w:tc>
        <w:tc>
          <w:tcPr>
            <w:tcW w:w="1400" w:type="dxa"/>
            <w:vAlign w:val="center"/>
          </w:tcPr>
          <w:p>
            <w:pPr>
              <w:pStyle w:val="22"/>
              <w:bidi w:val="0"/>
              <w:rPr>
                <w:rFonts w:hint="eastAsia" w:eastAsia="宋体"/>
                <w:color w:val="auto"/>
                <w:highlight w:val="none"/>
                <w:lang w:eastAsia="zh-CN"/>
              </w:rPr>
            </w:pPr>
            <w:r>
              <w:rPr>
                <w:rFonts w:hint="eastAsia"/>
                <w:color w:val="auto"/>
                <w:highlight w:val="none"/>
              </w:rPr>
              <w:t>絮凝沉淀、过滤消毒</w:t>
            </w:r>
            <w:r>
              <w:rPr>
                <w:rFonts w:hint="eastAsia"/>
                <w:color w:val="auto"/>
                <w:highlight w:val="none"/>
                <w:lang w:eastAsia="zh-CN"/>
              </w:rPr>
              <w:t>、二级生化</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1250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750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62.5</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36" w:hRule="atLeast"/>
          <w:jc w:val="center"/>
        </w:trPr>
        <w:tc>
          <w:tcPr>
            <w:tcW w:w="1302" w:type="dxa"/>
            <w:vAlign w:val="center"/>
          </w:tcPr>
          <w:p>
            <w:pPr>
              <w:pStyle w:val="22"/>
              <w:bidi w:val="0"/>
              <w:rPr>
                <w:rFonts w:hint="eastAsia"/>
                <w:color w:val="auto"/>
                <w:highlight w:val="none"/>
                <w:lang w:eastAsia="zh-CN"/>
              </w:rPr>
            </w:pPr>
            <w:r>
              <w:rPr>
                <w:rFonts w:hint="eastAsia"/>
                <w:color w:val="auto"/>
                <w:highlight w:val="none"/>
                <w:lang w:eastAsia="zh-CN"/>
              </w:rPr>
              <w:t>新桥红星煤矿</w:t>
            </w:r>
          </w:p>
        </w:tc>
        <w:tc>
          <w:tcPr>
            <w:tcW w:w="1033"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w:t>
            </w:r>
          </w:p>
        </w:tc>
        <w:tc>
          <w:tcPr>
            <w:tcW w:w="1626" w:type="dxa"/>
            <w:vAlign w:val="center"/>
          </w:tcPr>
          <w:p>
            <w:pPr>
              <w:pStyle w:val="22"/>
              <w:bidi w:val="0"/>
              <w:rPr>
                <w:color w:val="auto"/>
                <w:highlight w:val="none"/>
              </w:rPr>
            </w:pPr>
            <w:r>
              <w:rPr>
                <w:rFonts w:hint="eastAsia"/>
                <w:color w:val="auto"/>
                <w:highlight w:val="none"/>
                <w:lang w:val="en-US" w:eastAsia="zh-CN"/>
              </w:rPr>
              <w:t>500（独立）</w:t>
            </w:r>
          </w:p>
        </w:tc>
        <w:tc>
          <w:tcPr>
            <w:tcW w:w="1400" w:type="dxa"/>
            <w:vAlign w:val="center"/>
          </w:tcPr>
          <w:p>
            <w:pPr>
              <w:pStyle w:val="22"/>
              <w:bidi w:val="0"/>
              <w:rPr>
                <w:rFonts w:hint="eastAsia"/>
                <w:color w:val="auto"/>
                <w:highlight w:val="none"/>
              </w:rPr>
            </w:pPr>
            <w:r>
              <w:rPr>
                <w:rFonts w:hint="eastAsia"/>
                <w:color w:val="auto"/>
                <w:highlight w:val="none"/>
              </w:rPr>
              <w:t>絮凝沉淀、过滤消毒</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500</w:t>
            </w:r>
          </w:p>
        </w:tc>
        <w:tc>
          <w:tcPr>
            <w:tcW w:w="952"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500</w:t>
            </w:r>
          </w:p>
        </w:tc>
        <w:tc>
          <w:tcPr>
            <w:tcW w:w="82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w:t>
            </w:r>
          </w:p>
        </w:tc>
        <w:tc>
          <w:tcPr>
            <w:tcW w:w="1189" w:type="dxa"/>
            <w:vAlign w:val="center"/>
          </w:tcPr>
          <w:p>
            <w:pPr>
              <w:pStyle w:val="22"/>
              <w:bidi w:val="0"/>
              <w:rPr>
                <w:rFonts w:hint="eastAsia"/>
                <w:color w:val="auto"/>
                <w:highlight w:val="none"/>
              </w:rPr>
            </w:pPr>
            <w:r>
              <w:rPr>
                <w:rFonts w:hint="eastAsia"/>
                <w:color w:val="auto"/>
                <w:highlight w:val="none"/>
              </w:rPr>
              <w:t>通过排水</w:t>
            </w:r>
          </w:p>
          <w:p>
            <w:pPr>
              <w:pStyle w:val="22"/>
              <w:bidi w:val="0"/>
              <w:rPr>
                <w:rFonts w:hint="eastAsia"/>
                <w:color w:val="auto"/>
                <w:highlight w:val="none"/>
              </w:rPr>
            </w:pPr>
            <w:r>
              <w:rPr>
                <w:rFonts w:hint="eastAsia"/>
                <w:color w:val="auto"/>
                <w:highlight w:val="none"/>
              </w:rPr>
              <w:t>管道外排</w:t>
            </w:r>
            <w:r>
              <w:rPr>
                <w:rFonts w:hint="eastAsia"/>
                <w:color w:val="auto"/>
                <w:highlight w:val="none"/>
                <w:lang w:eastAsia="zh-CN"/>
              </w:rPr>
              <w:t>至就近溪沟</w:t>
            </w:r>
          </w:p>
        </w:tc>
      </w:tr>
    </w:tbl>
    <w:p>
      <w:pPr>
        <w:bidi w:val="0"/>
        <w:rPr>
          <w:rFonts w:hint="eastAsia"/>
          <w:color w:val="auto"/>
          <w:highlight w:val="none"/>
          <w:lang w:eastAsia="zh-CN"/>
        </w:rPr>
      </w:pPr>
      <w:r>
        <w:rPr>
          <w:rFonts w:hint="eastAsia"/>
          <w:color w:val="auto"/>
          <w:highlight w:val="none"/>
          <w:lang w:eastAsia="zh-CN"/>
        </w:rPr>
        <w:t>通过现场调查发现，各煤矿均建有矿井水处理站，矿井水目前的处理回用率在</w:t>
      </w:r>
      <w:r>
        <w:rPr>
          <w:rFonts w:hint="eastAsia"/>
          <w:color w:val="auto"/>
          <w:highlight w:val="none"/>
          <w:lang w:val="en-US" w:eastAsia="zh-CN"/>
        </w:rPr>
        <w:t>0</w:t>
      </w:r>
      <w:r>
        <w:rPr>
          <w:rFonts w:hint="eastAsia"/>
          <w:color w:val="auto"/>
          <w:highlight w:val="none"/>
          <w:lang w:eastAsia="zh-CN"/>
        </w:rPr>
        <w:t>~</w:t>
      </w:r>
      <w:r>
        <w:rPr>
          <w:rFonts w:hint="eastAsia"/>
          <w:color w:val="auto"/>
          <w:highlight w:val="none"/>
          <w:lang w:val="en-US" w:eastAsia="zh-CN"/>
        </w:rPr>
        <w:t>88</w:t>
      </w:r>
      <w:r>
        <w:rPr>
          <w:rFonts w:hint="eastAsia"/>
          <w:color w:val="auto"/>
          <w:highlight w:val="none"/>
          <w:lang w:eastAsia="zh-CN"/>
        </w:rPr>
        <w:t>%之间，回用率有高有低，相差较大。各矿处理后的矿井水水质监测分析结果见下表。</w:t>
      </w:r>
    </w:p>
    <w:p>
      <w:pPr>
        <w:pStyle w:val="22"/>
        <w:bidi w:val="0"/>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3.6-   各矿井水处理站出水口监测数据</w:t>
      </w:r>
    </w:p>
    <w:tbl>
      <w:tblPr>
        <w:tblStyle w:val="17"/>
        <w:tblW w:w="5010" w:type="pct"/>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135"/>
        <w:gridCol w:w="1135"/>
        <w:gridCol w:w="1135"/>
        <w:gridCol w:w="1135"/>
        <w:gridCol w:w="1135"/>
        <w:gridCol w:w="1135"/>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86" w:type="dxa"/>
            <w:vMerge w:val="restart"/>
          </w:tcPr>
          <w:p>
            <w:pPr>
              <w:pStyle w:val="22"/>
              <w:bidi w:val="0"/>
              <w:rPr>
                <w:rFonts w:hint="eastAsia"/>
                <w:color w:val="auto"/>
                <w:highlight w:val="none"/>
              </w:rPr>
            </w:pPr>
            <w:r>
              <w:rPr>
                <w:rFonts w:hint="eastAsia"/>
                <w:color w:val="auto"/>
                <w:highlight w:val="none"/>
              </w:rPr>
              <w:t>煤矿名称</w:t>
            </w:r>
          </w:p>
        </w:tc>
        <w:tc>
          <w:tcPr>
            <w:tcW w:w="7944" w:type="dxa"/>
            <w:gridSpan w:val="7"/>
          </w:tcPr>
          <w:p>
            <w:pPr>
              <w:pStyle w:val="22"/>
              <w:bidi w:val="0"/>
              <w:rPr>
                <w:rFonts w:hint="eastAsia"/>
                <w:color w:val="auto"/>
                <w:highlight w:val="none"/>
              </w:rPr>
            </w:pPr>
            <w:r>
              <w:rPr>
                <w:rFonts w:hint="eastAsia"/>
                <w:color w:val="auto"/>
                <w:highlight w:val="none"/>
              </w:rPr>
              <w:t>监测项目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86" w:type="dxa"/>
            <w:vMerge w:val="continue"/>
            <w:tcBorders>
              <w:top w:val="nil"/>
            </w:tcBorders>
          </w:tcPr>
          <w:p>
            <w:pPr>
              <w:pStyle w:val="22"/>
              <w:bidi w:val="0"/>
              <w:rPr>
                <w:color w:val="auto"/>
                <w:highlight w:val="none"/>
              </w:rPr>
            </w:pPr>
          </w:p>
        </w:tc>
        <w:tc>
          <w:tcPr>
            <w:tcW w:w="1134" w:type="dxa"/>
          </w:tcPr>
          <w:p>
            <w:pPr>
              <w:pStyle w:val="22"/>
              <w:bidi w:val="0"/>
              <w:rPr>
                <w:color w:val="auto"/>
                <w:highlight w:val="none"/>
              </w:rPr>
            </w:pPr>
            <w:r>
              <w:rPr>
                <w:color w:val="auto"/>
                <w:highlight w:val="none"/>
              </w:rPr>
              <w:t>pH</w:t>
            </w:r>
          </w:p>
        </w:tc>
        <w:tc>
          <w:tcPr>
            <w:tcW w:w="1134" w:type="dxa"/>
          </w:tcPr>
          <w:p>
            <w:pPr>
              <w:pStyle w:val="22"/>
              <w:bidi w:val="0"/>
              <w:rPr>
                <w:rFonts w:hint="eastAsia"/>
                <w:color w:val="auto"/>
                <w:highlight w:val="none"/>
              </w:rPr>
            </w:pPr>
            <w:r>
              <w:rPr>
                <w:rFonts w:hint="eastAsia"/>
                <w:color w:val="auto"/>
                <w:highlight w:val="none"/>
              </w:rPr>
              <w:t>砷</w:t>
            </w:r>
          </w:p>
        </w:tc>
        <w:tc>
          <w:tcPr>
            <w:tcW w:w="1134" w:type="dxa"/>
          </w:tcPr>
          <w:p>
            <w:pPr>
              <w:pStyle w:val="22"/>
              <w:bidi w:val="0"/>
              <w:rPr>
                <w:color w:val="auto"/>
                <w:highlight w:val="none"/>
              </w:rPr>
            </w:pPr>
            <w:r>
              <w:rPr>
                <w:color w:val="auto"/>
                <w:highlight w:val="none"/>
              </w:rPr>
              <w:t>COD</w:t>
            </w:r>
          </w:p>
        </w:tc>
        <w:tc>
          <w:tcPr>
            <w:tcW w:w="1134" w:type="dxa"/>
          </w:tcPr>
          <w:p>
            <w:pPr>
              <w:pStyle w:val="22"/>
              <w:bidi w:val="0"/>
              <w:rPr>
                <w:color w:val="auto"/>
                <w:highlight w:val="none"/>
              </w:rPr>
            </w:pPr>
            <w:r>
              <w:rPr>
                <w:color w:val="auto"/>
                <w:highlight w:val="none"/>
              </w:rPr>
              <w:t>SS</w:t>
            </w:r>
          </w:p>
        </w:tc>
        <w:tc>
          <w:tcPr>
            <w:tcW w:w="1134" w:type="dxa"/>
          </w:tcPr>
          <w:p>
            <w:pPr>
              <w:pStyle w:val="22"/>
              <w:bidi w:val="0"/>
              <w:rPr>
                <w:rFonts w:hint="eastAsia" w:eastAsia="宋体"/>
                <w:color w:val="auto"/>
                <w:highlight w:val="none"/>
                <w:lang w:eastAsia="zh-CN"/>
              </w:rPr>
            </w:pPr>
            <w:r>
              <w:rPr>
                <w:rFonts w:hint="eastAsia"/>
                <w:color w:val="auto"/>
                <w:highlight w:val="none"/>
                <w:lang w:eastAsia="zh-CN"/>
              </w:rPr>
              <w:t>氟化物</w:t>
            </w:r>
          </w:p>
        </w:tc>
        <w:tc>
          <w:tcPr>
            <w:tcW w:w="1134" w:type="dxa"/>
          </w:tcPr>
          <w:p>
            <w:pPr>
              <w:pStyle w:val="22"/>
              <w:bidi w:val="0"/>
              <w:rPr>
                <w:rFonts w:hint="eastAsia"/>
                <w:color w:val="auto"/>
                <w:highlight w:val="none"/>
                <w:lang w:eastAsia="zh-CN"/>
              </w:rPr>
            </w:pPr>
            <w:r>
              <w:rPr>
                <w:rFonts w:hint="eastAsia"/>
                <w:color w:val="auto"/>
                <w:highlight w:val="none"/>
                <w:lang w:eastAsia="zh-CN"/>
              </w:rPr>
              <w:t>六价铬</w:t>
            </w:r>
          </w:p>
        </w:tc>
        <w:tc>
          <w:tcPr>
            <w:tcW w:w="1140" w:type="dxa"/>
          </w:tcPr>
          <w:p>
            <w:pPr>
              <w:pStyle w:val="22"/>
              <w:bidi w:val="0"/>
              <w:rPr>
                <w:rFonts w:hint="eastAsia"/>
                <w:color w:val="auto"/>
                <w:highlight w:val="none"/>
              </w:rPr>
            </w:pPr>
            <w:r>
              <w:rPr>
                <w:rFonts w:hint="eastAsia"/>
                <w:color w:val="auto"/>
                <w:highlight w:val="none"/>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堡子煤矿</w:t>
            </w:r>
          </w:p>
        </w:tc>
        <w:tc>
          <w:tcPr>
            <w:tcW w:w="1134" w:type="dxa"/>
          </w:tcPr>
          <w:p>
            <w:pPr>
              <w:pStyle w:val="22"/>
              <w:bidi w:val="0"/>
              <w:rPr>
                <w:rFonts w:hint="eastAsia" w:eastAsia="宋体"/>
                <w:color w:val="auto"/>
                <w:highlight w:val="none"/>
                <w:lang w:eastAsia="zh-CN"/>
              </w:rPr>
            </w:pPr>
            <w:r>
              <w:rPr>
                <w:rFonts w:hint="eastAsia"/>
                <w:color w:val="auto"/>
                <w:highlight w:val="none"/>
                <w:lang w:eastAsia="zh-CN"/>
              </w:rPr>
              <w:t>达标</w:t>
            </w:r>
          </w:p>
        </w:tc>
        <w:tc>
          <w:tcPr>
            <w:tcW w:w="1134" w:type="dxa"/>
          </w:tcPr>
          <w:p>
            <w:pPr>
              <w:pStyle w:val="22"/>
              <w:bidi w:val="0"/>
              <w:rPr>
                <w:color w:val="auto"/>
                <w:highlight w:val="none"/>
              </w:rPr>
            </w:pPr>
            <w:r>
              <w:rPr>
                <w:rFonts w:hint="eastAsia"/>
                <w:color w:val="auto"/>
                <w:highlight w:val="none"/>
                <w:lang w:eastAsia="zh-CN"/>
              </w:rPr>
              <w:t>达标</w:t>
            </w:r>
          </w:p>
        </w:tc>
        <w:tc>
          <w:tcPr>
            <w:tcW w:w="1134" w:type="dxa"/>
          </w:tcPr>
          <w:p>
            <w:pPr>
              <w:pStyle w:val="22"/>
              <w:bidi w:val="0"/>
              <w:rPr>
                <w:color w:val="auto"/>
                <w:highlight w:val="none"/>
              </w:rPr>
            </w:pPr>
            <w:r>
              <w:rPr>
                <w:rFonts w:hint="eastAsia"/>
                <w:color w:val="auto"/>
                <w:highlight w:val="none"/>
                <w:lang w:eastAsia="zh-CN"/>
              </w:rPr>
              <w:t>达标</w:t>
            </w:r>
          </w:p>
        </w:tc>
        <w:tc>
          <w:tcPr>
            <w:tcW w:w="1134" w:type="dxa"/>
          </w:tcPr>
          <w:p>
            <w:pPr>
              <w:pStyle w:val="22"/>
              <w:bidi w:val="0"/>
              <w:rPr>
                <w:color w:val="auto"/>
                <w:highlight w:val="none"/>
              </w:rPr>
            </w:pPr>
            <w:r>
              <w:rPr>
                <w:rFonts w:hint="eastAsia"/>
                <w:color w:val="auto"/>
                <w:highlight w:val="none"/>
                <w:lang w:eastAsia="zh-CN"/>
              </w:rPr>
              <w:t>达标</w:t>
            </w:r>
          </w:p>
        </w:tc>
        <w:tc>
          <w:tcPr>
            <w:tcW w:w="1134" w:type="dxa"/>
          </w:tcPr>
          <w:p>
            <w:pPr>
              <w:pStyle w:val="22"/>
              <w:bidi w:val="0"/>
              <w:rPr>
                <w:color w:val="auto"/>
                <w:highlight w:val="none"/>
              </w:rPr>
            </w:pPr>
            <w:r>
              <w:rPr>
                <w:rFonts w:hint="eastAsia"/>
                <w:color w:val="auto"/>
                <w:highlight w:val="none"/>
                <w:lang w:eastAsia="zh-CN"/>
              </w:rPr>
              <w:t>达标</w:t>
            </w:r>
          </w:p>
        </w:tc>
        <w:tc>
          <w:tcPr>
            <w:tcW w:w="1134" w:type="dxa"/>
          </w:tcPr>
          <w:p>
            <w:pPr>
              <w:pStyle w:val="22"/>
              <w:bidi w:val="0"/>
              <w:rPr>
                <w:color w:val="auto"/>
                <w:highlight w:val="none"/>
              </w:rPr>
            </w:pPr>
            <w:r>
              <w:rPr>
                <w:rFonts w:hint="eastAsia"/>
                <w:color w:val="auto"/>
                <w:highlight w:val="none"/>
                <w:lang w:eastAsia="zh-CN"/>
              </w:rPr>
              <w:t>达标</w:t>
            </w:r>
          </w:p>
        </w:tc>
        <w:tc>
          <w:tcPr>
            <w:tcW w:w="1140" w:type="dxa"/>
          </w:tcPr>
          <w:p>
            <w:pPr>
              <w:pStyle w:val="22"/>
              <w:bidi w:val="0"/>
              <w:rPr>
                <w:color w:val="auto"/>
                <w:highlight w:val="none"/>
              </w:rPr>
            </w:pPr>
            <w:r>
              <w:rPr>
                <w:rFonts w:hint="eastAsia"/>
                <w:color w:val="auto"/>
                <w:highlight w:val="none"/>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大硐坪煤矿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7.66</w:t>
            </w:r>
          </w:p>
        </w:tc>
        <w:tc>
          <w:tcPr>
            <w:tcW w:w="1134" w:type="dxa"/>
          </w:tcPr>
          <w:p>
            <w:pPr>
              <w:pStyle w:val="22"/>
              <w:bidi w:val="0"/>
              <w:rPr>
                <w:rFonts w:hint="eastAsia" w:eastAsia="宋体"/>
                <w:color w:val="auto"/>
                <w:highlight w:val="none"/>
                <w:lang w:eastAsia="zh-CN"/>
              </w:rPr>
            </w:pPr>
            <w:r>
              <w:rPr>
                <w:rFonts w:hint="eastAsia"/>
                <w:color w:val="auto"/>
                <w:highlight w:val="none"/>
                <w:lang w:eastAsia="zh-CN"/>
              </w:rPr>
              <w:t>未检出</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32</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28</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0.101</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0.028</w:t>
            </w:r>
          </w:p>
        </w:tc>
        <w:tc>
          <w:tcPr>
            <w:tcW w:w="1140" w:type="dxa"/>
          </w:tcPr>
          <w:p>
            <w:pPr>
              <w:pStyle w:val="22"/>
              <w:bidi w:val="0"/>
              <w:rPr>
                <w:rFonts w:hint="eastAsia" w:eastAsia="宋体"/>
                <w:color w:val="auto"/>
                <w:highlight w:val="none"/>
                <w:lang w:eastAsia="zh-CN"/>
              </w:rPr>
            </w:pPr>
            <w:r>
              <w:rPr>
                <w:rFonts w:hint="eastAsia"/>
                <w:color w:val="auto"/>
                <w:highlight w:val="none"/>
                <w:lang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大河沟煤矿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7.91</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42.6</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26.0</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0.094</w:t>
            </w:r>
          </w:p>
        </w:tc>
        <w:tc>
          <w:tcPr>
            <w:tcW w:w="1140" w:type="dxa"/>
          </w:tcPr>
          <w:p>
            <w:pPr>
              <w:pStyle w:val="22"/>
              <w:bidi w:val="0"/>
              <w:rPr>
                <w:rFonts w:hint="default" w:eastAsia="宋体"/>
                <w:color w:val="auto"/>
                <w:highlight w:val="none"/>
                <w:lang w:val="en-US" w:eastAsia="zh-CN"/>
              </w:rPr>
            </w:pPr>
            <w:r>
              <w:rPr>
                <w:rFonts w:hint="eastAsia"/>
                <w:color w:val="auto"/>
                <w:highlight w:val="none"/>
                <w:lang w:val="en-US" w:eastAsia="zh-CN"/>
              </w:rPr>
              <w:t>0.027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观音煤矿</w:t>
            </w:r>
          </w:p>
        </w:tc>
        <w:tc>
          <w:tcPr>
            <w:tcW w:w="1134" w:type="dxa"/>
          </w:tcPr>
          <w:p>
            <w:pPr>
              <w:pStyle w:val="22"/>
              <w:bidi w:val="0"/>
              <w:rPr>
                <w:color w:val="auto"/>
                <w:highlight w:val="none"/>
              </w:rPr>
            </w:pPr>
          </w:p>
        </w:tc>
        <w:tc>
          <w:tcPr>
            <w:tcW w:w="1134" w:type="dxa"/>
          </w:tcPr>
          <w:p>
            <w:pPr>
              <w:pStyle w:val="22"/>
              <w:bidi w:val="0"/>
              <w:rPr>
                <w:color w:val="auto"/>
                <w:highlight w:val="none"/>
              </w:rPr>
            </w:pPr>
          </w:p>
        </w:tc>
        <w:tc>
          <w:tcPr>
            <w:tcW w:w="1134" w:type="dxa"/>
          </w:tcPr>
          <w:p>
            <w:pPr>
              <w:pStyle w:val="22"/>
              <w:bidi w:val="0"/>
              <w:rPr>
                <w:color w:val="auto"/>
                <w:highlight w:val="none"/>
              </w:rPr>
            </w:pPr>
          </w:p>
        </w:tc>
        <w:tc>
          <w:tcPr>
            <w:tcW w:w="1134" w:type="dxa"/>
          </w:tcPr>
          <w:p>
            <w:pPr>
              <w:pStyle w:val="22"/>
              <w:bidi w:val="0"/>
              <w:rPr>
                <w:color w:val="auto"/>
                <w:highlight w:val="none"/>
              </w:rPr>
            </w:pPr>
          </w:p>
        </w:tc>
        <w:tc>
          <w:tcPr>
            <w:tcW w:w="1134" w:type="dxa"/>
          </w:tcPr>
          <w:p>
            <w:pPr>
              <w:pStyle w:val="22"/>
              <w:bidi w:val="0"/>
              <w:rPr>
                <w:color w:val="auto"/>
                <w:highlight w:val="none"/>
              </w:rPr>
            </w:pPr>
          </w:p>
        </w:tc>
        <w:tc>
          <w:tcPr>
            <w:tcW w:w="1134" w:type="dxa"/>
          </w:tcPr>
          <w:p>
            <w:pPr>
              <w:pStyle w:val="22"/>
              <w:bidi w:val="0"/>
              <w:rPr>
                <w:color w:val="auto"/>
                <w:highlight w:val="none"/>
              </w:rPr>
            </w:pPr>
          </w:p>
        </w:tc>
        <w:tc>
          <w:tcPr>
            <w:tcW w:w="1140" w:type="dxa"/>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刘家沟煤矿</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华家沟煤矿</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田坝煤矿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8.20</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未检出</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25</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19.0</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0.355</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0.038</w:t>
            </w:r>
          </w:p>
        </w:tc>
        <w:tc>
          <w:tcPr>
            <w:tcW w:w="1140" w:type="dxa"/>
          </w:tcPr>
          <w:p>
            <w:pPr>
              <w:pStyle w:val="22"/>
              <w:bidi w:val="0"/>
              <w:rPr>
                <w:rFonts w:hint="eastAsia" w:eastAsia="宋体"/>
                <w:color w:val="auto"/>
                <w:highlight w:val="none"/>
                <w:lang w:eastAsia="zh-CN"/>
              </w:rPr>
            </w:pPr>
            <w:r>
              <w:rPr>
                <w:rFonts w:hint="eastAsia"/>
                <w:color w:val="auto"/>
                <w:highlight w:val="none"/>
                <w:lang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柏林煤矿</w:t>
            </w:r>
          </w:p>
        </w:tc>
        <w:tc>
          <w:tcPr>
            <w:tcW w:w="1134" w:type="dxa"/>
          </w:tcPr>
          <w:p>
            <w:pPr>
              <w:pStyle w:val="22"/>
              <w:bidi w:val="0"/>
              <w:rPr>
                <w:rFonts w:hint="default" w:eastAsia="宋体"/>
                <w:b w:val="0"/>
                <w:bCs w:val="0"/>
                <w:color w:val="auto"/>
                <w:highlight w:val="none"/>
                <w:lang w:val="en-US" w:eastAsia="zh-CN"/>
              </w:rPr>
            </w:pPr>
            <w:r>
              <w:rPr>
                <w:rFonts w:hint="eastAsia"/>
                <w:b w:val="0"/>
                <w:bCs w:val="0"/>
                <w:color w:val="auto"/>
                <w:highlight w:val="none"/>
                <w:lang w:val="en-US" w:eastAsia="zh-CN"/>
              </w:rPr>
              <w:t>6.9</w:t>
            </w:r>
          </w:p>
        </w:tc>
        <w:tc>
          <w:tcPr>
            <w:tcW w:w="1134" w:type="dxa"/>
          </w:tcPr>
          <w:p>
            <w:pPr>
              <w:pStyle w:val="22"/>
              <w:bidi w:val="0"/>
              <w:rPr>
                <w:rFonts w:hint="eastAsia" w:eastAsia="宋体"/>
                <w:b w:val="0"/>
                <w:bCs w:val="0"/>
                <w:color w:val="auto"/>
                <w:highlight w:val="none"/>
                <w:lang w:eastAsia="zh-CN"/>
              </w:rPr>
            </w:pPr>
            <w:r>
              <w:rPr>
                <w:rFonts w:hint="eastAsia"/>
                <w:b w:val="0"/>
                <w:bCs w:val="0"/>
                <w:color w:val="auto"/>
                <w:highlight w:val="none"/>
                <w:lang w:eastAsia="zh-CN"/>
              </w:rPr>
              <w:t>未检出</w:t>
            </w:r>
          </w:p>
        </w:tc>
        <w:tc>
          <w:tcPr>
            <w:tcW w:w="1134" w:type="dxa"/>
          </w:tcPr>
          <w:p>
            <w:pPr>
              <w:pStyle w:val="22"/>
              <w:bidi w:val="0"/>
              <w:rPr>
                <w:rFonts w:hint="default" w:eastAsia="宋体"/>
                <w:b w:val="0"/>
                <w:bCs w:val="0"/>
                <w:color w:val="auto"/>
                <w:highlight w:val="none"/>
                <w:lang w:val="en-US" w:eastAsia="zh-CN"/>
              </w:rPr>
            </w:pPr>
            <w:r>
              <w:rPr>
                <w:rFonts w:hint="eastAsia"/>
                <w:b w:val="0"/>
                <w:bCs w:val="0"/>
                <w:color w:val="auto"/>
                <w:highlight w:val="none"/>
                <w:lang w:val="en-US" w:eastAsia="zh-CN"/>
              </w:rPr>
              <w:t>18.2</w:t>
            </w:r>
          </w:p>
        </w:tc>
        <w:tc>
          <w:tcPr>
            <w:tcW w:w="1134" w:type="dxa"/>
          </w:tcPr>
          <w:p>
            <w:pPr>
              <w:pStyle w:val="22"/>
              <w:bidi w:val="0"/>
              <w:rPr>
                <w:rFonts w:hint="default" w:eastAsia="宋体"/>
                <w:b w:val="0"/>
                <w:bCs w:val="0"/>
                <w:color w:val="auto"/>
                <w:highlight w:val="none"/>
                <w:lang w:val="en-US" w:eastAsia="zh-CN"/>
              </w:rPr>
            </w:pPr>
            <w:r>
              <w:rPr>
                <w:rFonts w:hint="eastAsia"/>
                <w:b w:val="0"/>
                <w:bCs w:val="0"/>
                <w:color w:val="auto"/>
                <w:highlight w:val="none"/>
                <w:lang w:val="en-US" w:eastAsia="zh-CN"/>
              </w:rPr>
              <w:t>47</w:t>
            </w:r>
          </w:p>
        </w:tc>
        <w:tc>
          <w:tcPr>
            <w:tcW w:w="1134" w:type="dxa"/>
          </w:tcPr>
          <w:p>
            <w:pPr>
              <w:pStyle w:val="22"/>
              <w:bidi w:val="0"/>
              <w:rPr>
                <w:rFonts w:hint="default" w:eastAsia="宋体"/>
                <w:b w:val="0"/>
                <w:bCs w:val="0"/>
                <w:color w:val="auto"/>
                <w:highlight w:val="none"/>
                <w:lang w:val="en-US" w:eastAsia="zh-CN"/>
              </w:rPr>
            </w:pPr>
            <w:r>
              <w:rPr>
                <w:rFonts w:hint="eastAsia"/>
                <w:b w:val="0"/>
                <w:bCs w:val="0"/>
                <w:color w:val="auto"/>
                <w:highlight w:val="none"/>
                <w:lang w:val="en-US" w:eastAsia="zh-CN"/>
              </w:rPr>
              <w:t>0.388</w:t>
            </w:r>
          </w:p>
        </w:tc>
        <w:tc>
          <w:tcPr>
            <w:tcW w:w="1134" w:type="dxa"/>
          </w:tcPr>
          <w:p>
            <w:pPr>
              <w:pStyle w:val="22"/>
              <w:bidi w:val="0"/>
              <w:rPr>
                <w:rFonts w:hint="default" w:eastAsia="宋体"/>
                <w:b w:val="0"/>
                <w:bCs w:val="0"/>
                <w:color w:val="auto"/>
                <w:highlight w:val="none"/>
                <w:lang w:val="en-US" w:eastAsia="zh-CN"/>
              </w:rPr>
            </w:pPr>
            <w:r>
              <w:rPr>
                <w:rFonts w:hint="eastAsia"/>
                <w:b w:val="0"/>
                <w:bCs w:val="0"/>
                <w:color w:val="auto"/>
                <w:highlight w:val="none"/>
                <w:lang w:val="en-US" w:eastAsia="zh-CN"/>
              </w:rPr>
              <w:t>未检出</w:t>
            </w:r>
          </w:p>
        </w:tc>
        <w:tc>
          <w:tcPr>
            <w:tcW w:w="1140" w:type="dxa"/>
          </w:tcPr>
          <w:p>
            <w:pPr>
              <w:pStyle w:val="22"/>
              <w:bidi w:val="0"/>
              <w:rPr>
                <w:rFonts w:hint="default" w:eastAsia="宋体"/>
                <w:b w:val="0"/>
                <w:bCs w:val="0"/>
                <w:color w:val="auto"/>
                <w:highlight w:val="none"/>
                <w:lang w:val="en-US" w:eastAsia="zh-CN"/>
              </w:rPr>
            </w:pPr>
            <w:r>
              <w:rPr>
                <w:rFonts w:hint="eastAsia"/>
                <w:b w:val="0"/>
                <w:bCs w:val="0"/>
                <w:color w:val="auto"/>
                <w:highlight w:val="none"/>
                <w:lang w:val="en-US" w:eastAsia="zh-CN"/>
              </w:rPr>
              <w:t>0.274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荣华煤矿</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黑滩煤矿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8.25</w:t>
            </w:r>
          </w:p>
        </w:tc>
        <w:tc>
          <w:tcPr>
            <w:tcW w:w="1134" w:type="dxa"/>
          </w:tcPr>
          <w:p>
            <w:pPr>
              <w:pStyle w:val="22"/>
              <w:bidi w:val="0"/>
              <w:rPr>
                <w:rFonts w:hint="eastAsia" w:eastAsia="宋体"/>
                <w:color w:val="auto"/>
                <w:highlight w:val="none"/>
                <w:lang w:eastAsia="zh-CN"/>
              </w:rPr>
            </w:pPr>
            <w:r>
              <w:rPr>
                <w:rFonts w:hint="eastAsia"/>
                <w:color w:val="auto"/>
                <w:highlight w:val="none"/>
                <w:lang w:eastAsia="zh-CN"/>
              </w:rPr>
              <w:t>未检出</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17</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26.0</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0.288</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0.006</w:t>
            </w:r>
          </w:p>
        </w:tc>
        <w:tc>
          <w:tcPr>
            <w:tcW w:w="1140" w:type="dxa"/>
          </w:tcPr>
          <w:p>
            <w:pPr>
              <w:pStyle w:val="22"/>
              <w:bidi w:val="0"/>
              <w:rPr>
                <w:rFonts w:hint="eastAsia" w:eastAsia="宋体"/>
                <w:color w:val="auto"/>
                <w:highlight w:val="none"/>
                <w:lang w:eastAsia="zh-CN"/>
              </w:rPr>
            </w:pPr>
            <w:r>
              <w:rPr>
                <w:rFonts w:hint="eastAsia"/>
                <w:color w:val="auto"/>
                <w:highlight w:val="none"/>
                <w:lang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孔家沟煤矿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7.91</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19</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8.0</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default" w:eastAsia="宋体"/>
                <w:color w:val="auto"/>
                <w:highlight w:val="none"/>
                <w:lang w:val="en-US" w:eastAsia="zh-CN"/>
              </w:rPr>
            </w:pPr>
            <w:r>
              <w:rPr>
                <w:rFonts w:hint="eastAsia"/>
                <w:color w:val="auto"/>
                <w:highlight w:val="none"/>
                <w:lang w:val="en-US" w:eastAsia="zh-CN"/>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平桥煤矿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8.27</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23</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12.0</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default" w:eastAsia="宋体"/>
                <w:color w:val="auto"/>
                <w:highlight w:val="none"/>
                <w:lang w:val="en-US" w:eastAsia="zh-CN"/>
              </w:rPr>
            </w:pPr>
            <w:r>
              <w:rPr>
                <w:rFonts w:hint="eastAsia"/>
                <w:color w:val="auto"/>
                <w:highlight w:val="none"/>
                <w:lang w:val="en-US" w:eastAsia="zh-CN"/>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牛郎沟煤矿</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8.32</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33</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39.0</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default" w:eastAsia="宋体"/>
                <w:color w:val="auto"/>
                <w:highlight w:val="none"/>
                <w:lang w:val="en-US" w:eastAsia="zh-CN"/>
              </w:rPr>
            </w:pPr>
            <w:r>
              <w:rPr>
                <w:rFonts w:hint="eastAsia"/>
                <w:color w:val="auto"/>
                <w:highlight w:val="none"/>
                <w:lang w:val="en-US" w:eastAsia="zh-CN"/>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新桥红星煤矿</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34"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140" w:type="dxa"/>
          </w:tcPr>
          <w:p>
            <w:pPr>
              <w:pStyle w:val="22"/>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86" w:type="dxa"/>
          </w:tcPr>
          <w:p>
            <w:pPr>
              <w:pStyle w:val="22"/>
              <w:bidi w:val="0"/>
              <w:rPr>
                <w:rFonts w:hint="eastAsia"/>
                <w:color w:val="auto"/>
                <w:highlight w:val="none"/>
              </w:rPr>
            </w:pPr>
            <w:r>
              <w:rPr>
                <w:rFonts w:hint="eastAsia"/>
                <w:color w:val="auto"/>
                <w:highlight w:val="none"/>
              </w:rPr>
              <w:t>执行标准</w:t>
            </w:r>
          </w:p>
        </w:tc>
        <w:tc>
          <w:tcPr>
            <w:tcW w:w="1134" w:type="dxa"/>
          </w:tcPr>
          <w:p>
            <w:pPr>
              <w:pStyle w:val="22"/>
              <w:bidi w:val="0"/>
              <w:rPr>
                <w:color w:val="auto"/>
                <w:highlight w:val="none"/>
              </w:rPr>
            </w:pPr>
            <w:r>
              <w:rPr>
                <w:color w:val="auto"/>
                <w:highlight w:val="none"/>
              </w:rPr>
              <w:t>6‐9</w:t>
            </w:r>
          </w:p>
        </w:tc>
        <w:tc>
          <w:tcPr>
            <w:tcW w:w="1134" w:type="dxa"/>
          </w:tcPr>
          <w:p>
            <w:pPr>
              <w:pStyle w:val="22"/>
              <w:bidi w:val="0"/>
              <w:rPr>
                <w:color w:val="auto"/>
                <w:highlight w:val="none"/>
              </w:rPr>
            </w:pPr>
            <w:r>
              <w:rPr>
                <w:color w:val="auto"/>
                <w:highlight w:val="none"/>
              </w:rPr>
              <w:t>0.5</w:t>
            </w:r>
          </w:p>
        </w:tc>
        <w:tc>
          <w:tcPr>
            <w:tcW w:w="1134" w:type="dxa"/>
          </w:tcPr>
          <w:p>
            <w:pPr>
              <w:pStyle w:val="22"/>
              <w:bidi w:val="0"/>
              <w:rPr>
                <w:color w:val="auto"/>
                <w:highlight w:val="none"/>
              </w:rPr>
            </w:pPr>
            <w:r>
              <w:rPr>
                <w:color w:val="auto"/>
                <w:highlight w:val="none"/>
              </w:rPr>
              <w:t>50</w:t>
            </w:r>
          </w:p>
        </w:tc>
        <w:tc>
          <w:tcPr>
            <w:tcW w:w="1134" w:type="dxa"/>
          </w:tcPr>
          <w:p>
            <w:pPr>
              <w:pStyle w:val="22"/>
              <w:bidi w:val="0"/>
              <w:rPr>
                <w:color w:val="auto"/>
                <w:highlight w:val="none"/>
              </w:rPr>
            </w:pPr>
            <w:r>
              <w:rPr>
                <w:color w:val="auto"/>
                <w:highlight w:val="none"/>
              </w:rPr>
              <w:t>50</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1134" w:type="dxa"/>
          </w:tcPr>
          <w:p>
            <w:pPr>
              <w:pStyle w:val="22"/>
              <w:bidi w:val="0"/>
              <w:rPr>
                <w:rFonts w:hint="default" w:eastAsia="宋体"/>
                <w:color w:val="auto"/>
                <w:highlight w:val="none"/>
                <w:lang w:val="en-US" w:eastAsia="zh-CN"/>
              </w:rPr>
            </w:pPr>
            <w:r>
              <w:rPr>
                <w:rFonts w:hint="eastAsia"/>
                <w:color w:val="auto"/>
                <w:highlight w:val="none"/>
                <w:lang w:val="en-US" w:eastAsia="zh-CN"/>
              </w:rPr>
              <w:t>0.5</w:t>
            </w:r>
          </w:p>
        </w:tc>
        <w:tc>
          <w:tcPr>
            <w:tcW w:w="1140" w:type="dxa"/>
          </w:tcPr>
          <w:p>
            <w:pPr>
              <w:pStyle w:val="22"/>
              <w:bidi w:val="0"/>
              <w:rPr>
                <w:color w:val="auto"/>
                <w:highlight w:val="none"/>
              </w:rPr>
            </w:pPr>
            <w:r>
              <w:rPr>
                <w:color w:val="auto"/>
                <w:highlight w:val="none"/>
              </w:rPr>
              <w:t>5</w:t>
            </w:r>
          </w:p>
        </w:tc>
      </w:tr>
    </w:tbl>
    <w:p>
      <w:pPr>
        <w:pStyle w:val="22"/>
        <w:bidi w:val="0"/>
        <w:rPr>
          <w:rFonts w:hint="eastAsia"/>
          <w:color w:val="auto"/>
          <w:highlight w:val="none"/>
          <w:lang w:val="en-US" w:eastAsia="zh-CN"/>
        </w:rPr>
      </w:pPr>
    </w:p>
    <w:p>
      <w:pPr>
        <w:bidi w:val="0"/>
        <w:rPr>
          <w:rFonts w:hint="eastAsia"/>
          <w:color w:val="auto"/>
          <w:highlight w:val="none"/>
          <w:lang w:eastAsia="zh-CN"/>
        </w:rPr>
      </w:pPr>
      <w:r>
        <w:rPr>
          <w:rFonts w:hint="eastAsia"/>
          <w:color w:val="auto"/>
          <w:highlight w:val="none"/>
          <w:lang w:eastAsia="zh-CN"/>
        </w:rPr>
        <w:t>由表可以判断，现有矿井水处理站的出水水质可以满足《污水综合排放标准》（GB8978‐1996）、《煤炭工业污染物排放标准》（GB20426‐2006）中相应的要求。</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）生活污水及处理设施</w:t>
      </w:r>
    </w:p>
    <w:p>
      <w:pPr>
        <w:bidi w:val="0"/>
        <w:rPr>
          <w:rFonts w:hint="eastAsia"/>
          <w:color w:val="auto"/>
          <w:highlight w:val="none"/>
          <w:lang w:eastAsia="zh-CN"/>
        </w:rPr>
      </w:pPr>
      <w:r>
        <w:rPr>
          <w:rFonts w:hint="eastAsia"/>
          <w:color w:val="auto"/>
          <w:highlight w:val="none"/>
          <w:lang w:eastAsia="zh-CN"/>
        </w:rPr>
        <w:t>矿区内生产煤矿生活污水产生量及处理情况参见下表。</w:t>
      </w:r>
    </w:p>
    <w:p>
      <w:pPr>
        <w:pStyle w:val="22"/>
        <w:bidi w:val="0"/>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3.6-   现有煤矿生活污水处理措施一览表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686"/>
        <w:gridCol w:w="1266"/>
        <w:gridCol w:w="1056"/>
        <w:gridCol w:w="1686"/>
        <w:gridCol w:w="2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1307" w:type="dxa"/>
            <w:vAlign w:val="center"/>
          </w:tcPr>
          <w:p>
            <w:pPr>
              <w:pStyle w:val="22"/>
              <w:bidi w:val="0"/>
              <w:rPr>
                <w:rFonts w:hint="eastAsia"/>
                <w:color w:val="auto"/>
                <w:highlight w:val="none"/>
              </w:rPr>
            </w:pPr>
            <w:r>
              <w:rPr>
                <w:rFonts w:hint="eastAsia"/>
                <w:color w:val="auto"/>
                <w:highlight w:val="none"/>
              </w:rPr>
              <w:t>名称</w:t>
            </w:r>
          </w:p>
        </w:tc>
        <w:tc>
          <w:tcPr>
            <w:tcW w:w="1686" w:type="dxa"/>
            <w:vAlign w:val="center"/>
          </w:tcPr>
          <w:p>
            <w:pPr>
              <w:pStyle w:val="22"/>
              <w:bidi w:val="0"/>
              <w:rPr>
                <w:rFonts w:hint="eastAsia"/>
                <w:color w:val="auto"/>
                <w:highlight w:val="none"/>
              </w:rPr>
            </w:pPr>
            <w:r>
              <w:rPr>
                <w:rFonts w:hint="eastAsia"/>
                <w:color w:val="auto"/>
                <w:highlight w:val="none"/>
              </w:rPr>
              <w:t>生活污水产生量</w:t>
            </w:r>
          </w:p>
          <w:p>
            <w:pPr>
              <w:pStyle w:val="22"/>
              <w:bidi w:val="0"/>
              <w:rPr>
                <w:rFonts w:hint="eastAsia"/>
                <w:color w:val="auto"/>
                <w:highlight w:val="none"/>
              </w:rPr>
            </w:pPr>
            <w:r>
              <w:rPr>
                <w:rFonts w:hint="eastAsia"/>
                <w:color w:val="auto"/>
                <w:highlight w:val="none"/>
              </w:rPr>
              <w:t>（</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p>
        </w:tc>
        <w:tc>
          <w:tcPr>
            <w:tcW w:w="1266" w:type="dxa"/>
            <w:vAlign w:val="center"/>
          </w:tcPr>
          <w:p>
            <w:pPr>
              <w:pStyle w:val="22"/>
              <w:bidi w:val="0"/>
              <w:rPr>
                <w:rFonts w:hint="eastAsia"/>
                <w:color w:val="auto"/>
                <w:highlight w:val="none"/>
              </w:rPr>
            </w:pPr>
            <w:r>
              <w:rPr>
                <w:rFonts w:hint="eastAsia"/>
                <w:color w:val="auto"/>
                <w:highlight w:val="none"/>
              </w:rPr>
              <w:t>处理站规模</w:t>
            </w:r>
          </w:p>
          <w:p>
            <w:pPr>
              <w:pStyle w:val="22"/>
              <w:bidi w:val="0"/>
              <w:rPr>
                <w:rFonts w:hint="eastAsia"/>
                <w:color w:val="auto"/>
                <w:highlight w:val="none"/>
              </w:rPr>
            </w:pPr>
            <w:r>
              <w:rPr>
                <w:rFonts w:hint="eastAsia"/>
                <w:color w:val="auto"/>
                <w:highlight w:val="none"/>
              </w:rPr>
              <w:t>（</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rFonts w:hint="eastAsia"/>
                <w:color w:val="auto"/>
                <w:highlight w:val="none"/>
              </w:rPr>
              <w:t>）</w:t>
            </w:r>
          </w:p>
        </w:tc>
        <w:tc>
          <w:tcPr>
            <w:tcW w:w="1056" w:type="dxa"/>
            <w:tcBorders>
              <w:right w:val="single" w:color="000000" w:sz="6" w:space="0"/>
            </w:tcBorders>
            <w:vAlign w:val="center"/>
          </w:tcPr>
          <w:p>
            <w:pPr>
              <w:pStyle w:val="22"/>
              <w:bidi w:val="0"/>
              <w:rPr>
                <w:rFonts w:hint="eastAsia"/>
                <w:color w:val="auto"/>
                <w:highlight w:val="none"/>
              </w:rPr>
            </w:pPr>
            <w:r>
              <w:rPr>
                <w:rFonts w:hint="eastAsia"/>
                <w:color w:val="auto"/>
                <w:highlight w:val="none"/>
              </w:rPr>
              <w:t>处理工艺</w:t>
            </w:r>
          </w:p>
        </w:tc>
        <w:tc>
          <w:tcPr>
            <w:tcW w:w="1686" w:type="dxa"/>
            <w:tcBorders>
              <w:left w:val="single" w:color="000000" w:sz="6" w:space="0"/>
            </w:tcBorders>
            <w:vAlign w:val="center"/>
          </w:tcPr>
          <w:p>
            <w:pPr>
              <w:pStyle w:val="22"/>
              <w:bidi w:val="0"/>
              <w:rPr>
                <w:rFonts w:hint="eastAsia"/>
                <w:color w:val="auto"/>
                <w:highlight w:val="none"/>
              </w:rPr>
            </w:pPr>
            <w:r>
              <w:rPr>
                <w:rFonts w:hint="eastAsia"/>
                <w:color w:val="auto"/>
                <w:highlight w:val="none"/>
              </w:rPr>
              <w:t>生活污水排放量</w:t>
            </w:r>
          </w:p>
          <w:p>
            <w:pPr>
              <w:pStyle w:val="22"/>
              <w:bidi w:val="0"/>
              <w:rPr>
                <w:rFonts w:hint="eastAsia"/>
                <w:color w:val="auto"/>
                <w:highlight w:val="none"/>
              </w:rPr>
            </w:pPr>
            <w:r>
              <w:rPr>
                <w:rFonts w:hint="eastAsia"/>
                <w:color w:val="auto"/>
                <w:highlight w:val="none"/>
              </w:rPr>
              <w:t>（</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p>
        </w:tc>
        <w:tc>
          <w:tcPr>
            <w:tcW w:w="2286" w:type="dxa"/>
            <w:vAlign w:val="center"/>
          </w:tcPr>
          <w:p>
            <w:pPr>
              <w:pStyle w:val="22"/>
              <w:bidi w:val="0"/>
              <w:rPr>
                <w:rFonts w:hint="eastAsia"/>
                <w:color w:val="auto"/>
                <w:highlight w:val="none"/>
              </w:rPr>
            </w:pPr>
            <w:r>
              <w:rPr>
                <w:rFonts w:hint="eastAsia"/>
                <w:color w:val="auto"/>
                <w:highlight w:val="none"/>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堡子煤矿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31</w:t>
            </w:r>
          </w:p>
        </w:tc>
        <w:tc>
          <w:tcPr>
            <w:tcW w:w="126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二级生化</w:t>
            </w:r>
          </w:p>
        </w:tc>
        <w:tc>
          <w:tcPr>
            <w:tcW w:w="1686" w:type="dxa"/>
            <w:tcBorders>
              <w:lef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31</w:t>
            </w:r>
          </w:p>
        </w:tc>
        <w:tc>
          <w:tcPr>
            <w:tcW w:w="2286" w:type="dxa"/>
            <w:vAlign w:val="center"/>
          </w:tcPr>
          <w:p>
            <w:pPr>
              <w:pStyle w:val="22"/>
              <w:bidi w:val="0"/>
              <w:rPr>
                <w:rFonts w:hint="eastAsia"/>
                <w:color w:val="auto"/>
                <w:highlight w:val="none"/>
              </w:rPr>
            </w:pPr>
            <w:r>
              <w:rPr>
                <w:rFonts w:hint="eastAsia"/>
                <w:color w:val="auto"/>
                <w:highlight w:val="none"/>
                <w:lang w:eastAsia="zh-CN"/>
              </w:rPr>
              <w:t>达</w:t>
            </w:r>
            <w:r>
              <w:rPr>
                <w:rFonts w:hint="eastAsia"/>
                <w:color w:val="auto"/>
                <w:highlight w:val="none"/>
                <w:lang w:val="en-US" w:eastAsia="zh-CN"/>
              </w:rPr>
              <w:t>GB8978-1996表4一级标准后排入溪沟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大硐坪煤矿</w:t>
            </w:r>
          </w:p>
        </w:tc>
        <w:tc>
          <w:tcPr>
            <w:tcW w:w="16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126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800（包含矿井水处理）</w:t>
            </w:r>
          </w:p>
        </w:tc>
        <w:tc>
          <w:tcPr>
            <w:tcW w:w="1056" w:type="dxa"/>
            <w:tcBorders>
              <w:right w:val="single" w:color="000000" w:sz="6" w:space="0"/>
            </w:tcBorders>
            <w:vAlign w:val="center"/>
          </w:tcPr>
          <w:p>
            <w:pPr>
              <w:pStyle w:val="22"/>
              <w:bidi w:val="0"/>
              <w:rPr>
                <w:rFonts w:hint="eastAsia"/>
                <w:color w:val="auto"/>
                <w:highlight w:val="none"/>
              </w:rPr>
            </w:pPr>
            <w:r>
              <w:rPr>
                <w:rFonts w:hint="eastAsia"/>
                <w:color w:val="auto"/>
                <w:highlight w:val="none"/>
                <w:lang w:eastAsia="zh-CN"/>
              </w:rPr>
              <w:t>二级生化</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2286" w:type="dxa"/>
            <w:vAlign w:val="center"/>
          </w:tcPr>
          <w:p>
            <w:pPr>
              <w:pStyle w:val="22"/>
              <w:bidi w:val="0"/>
              <w:rPr>
                <w:rFonts w:hint="eastAsia"/>
                <w:color w:val="auto"/>
                <w:highlight w:val="none"/>
              </w:rPr>
            </w:pPr>
            <w:r>
              <w:rPr>
                <w:rFonts w:hint="eastAsia"/>
                <w:color w:val="auto"/>
                <w:highlight w:val="none"/>
                <w:lang w:eastAsia="zh-CN"/>
              </w:rPr>
              <w:t>达GB20426‐2006</w:t>
            </w:r>
            <w:r>
              <w:rPr>
                <w:rFonts w:hint="eastAsia"/>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大河沟煤矿</w:t>
            </w:r>
          </w:p>
        </w:tc>
        <w:tc>
          <w:tcPr>
            <w:tcW w:w="16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9</w:t>
            </w:r>
          </w:p>
        </w:tc>
        <w:tc>
          <w:tcPr>
            <w:tcW w:w="1266" w:type="dxa"/>
            <w:vAlign w:val="center"/>
          </w:tcPr>
          <w:p>
            <w:pPr>
              <w:pStyle w:val="22"/>
              <w:bidi w:val="0"/>
              <w:rPr>
                <w:rFonts w:hint="default"/>
                <w:color w:val="auto"/>
                <w:highlight w:val="none"/>
                <w:lang w:val="en-US"/>
              </w:rPr>
            </w:pPr>
            <w:r>
              <w:rPr>
                <w:rFonts w:hint="eastAsia"/>
                <w:color w:val="auto"/>
                <w:highlight w:val="none"/>
                <w:lang w:val="en-US" w:eastAsia="zh-CN"/>
              </w:rPr>
              <w:t>20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color w:val="auto"/>
                <w:highlight w:val="none"/>
              </w:rPr>
            </w:pPr>
            <w:r>
              <w:rPr>
                <w:rFonts w:hint="eastAsia"/>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观音煤矿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w:t>
            </w:r>
          </w:p>
        </w:tc>
        <w:tc>
          <w:tcPr>
            <w:tcW w:w="1266" w:type="dxa"/>
            <w:vAlign w:val="center"/>
          </w:tcPr>
          <w:p>
            <w:pPr>
              <w:pStyle w:val="22"/>
              <w:bidi w:val="0"/>
              <w:rPr>
                <w:color w:val="auto"/>
                <w:highlight w:val="none"/>
              </w:rPr>
            </w:pPr>
            <w:r>
              <w:rPr>
                <w:rFonts w:hint="eastAsia"/>
                <w:color w:val="auto"/>
                <w:highlight w:val="none"/>
                <w:lang w:val="en-US" w:eastAsia="zh-CN"/>
              </w:rPr>
              <w:t>2000（包含生活污水处理）</w:t>
            </w:r>
          </w:p>
        </w:tc>
        <w:tc>
          <w:tcPr>
            <w:tcW w:w="1056" w:type="dxa"/>
            <w:tcBorders>
              <w:right w:val="single" w:color="000000" w:sz="6" w:space="0"/>
            </w:tcBorders>
            <w:vAlign w:val="center"/>
          </w:tcPr>
          <w:p>
            <w:pPr>
              <w:pStyle w:val="22"/>
              <w:bidi w:val="0"/>
              <w:rPr>
                <w:rFonts w:hint="eastAsia"/>
                <w:color w:val="auto"/>
                <w:highlight w:val="none"/>
              </w:rPr>
            </w:pPr>
            <w:r>
              <w:rPr>
                <w:rFonts w:hint="eastAsia"/>
                <w:color w:val="auto"/>
                <w:highlight w:val="none"/>
                <w:lang w:eastAsia="zh-CN"/>
              </w:rPr>
              <w:t>二级生化</w:t>
            </w:r>
          </w:p>
        </w:tc>
        <w:tc>
          <w:tcPr>
            <w:tcW w:w="1686" w:type="dxa"/>
            <w:tcBorders>
              <w:lef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20</w:t>
            </w:r>
          </w:p>
        </w:tc>
        <w:tc>
          <w:tcPr>
            <w:tcW w:w="2286" w:type="dxa"/>
            <w:vAlign w:val="center"/>
          </w:tcPr>
          <w:p>
            <w:pPr>
              <w:pStyle w:val="22"/>
              <w:bidi w:val="0"/>
              <w:rPr>
                <w:rFonts w:hint="eastAsia"/>
                <w:color w:val="auto"/>
                <w:highlight w:val="none"/>
              </w:rPr>
            </w:pPr>
            <w:r>
              <w:rPr>
                <w:rFonts w:hint="eastAsia"/>
                <w:color w:val="auto"/>
                <w:highlight w:val="none"/>
                <w:lang w:eastAsia="zh-CN"/>
              </w:rPr>
              <w:t>达GB20426‐2006</w:t>
            </w:r>
            <w:r>
              <w:rPr>
                <w:rFonts w:hint="eastAsia"/>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刘家沟煤矿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8.5</w:t>
            </w:r>
          </w:p>
        </w:tc>
        <w:tc>
          <w:tcPr>
            <w:tcW w:w="1266" w:type="dxa"/>
            <w:vAlign w:val="center"/>
          </w:tcPr>
          <w:p>
            <w:pPr>
              <w:pStyle w:val="22"/>
              <w:bidi w:val="0"/>
              <w:rPr>
                <w:color w:val="auto"/>
                <w:highlight w:val="none"/>
              </w:rPr>
            </w:pPr>
            <w:r>
              <w:rPr>
                <w:rFonts w:hint="eastAsia"/>
                <w:color w:val="auto"/>
                <w:highlight w:val="none"/>
                <w:lang w:val="en-US" w:eastAsia="zh-CN"/>
              </w:rPr>
              <w:t>900（包含生活污水处理）</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二级生化</w:t>
            </w:r>
          </w:p>
        </w:tc>
        <w:tc>
          <w:tcPr>
            <w:tcW w:w="1686" w:type="dxa"/>
            <w:tcBorders>
              <w:lef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8.5</w:t>
            </w:r>
          </w:p>
        </w:tc>
        <w:tc>
          <w:tcPr>
            <w:tcW w:w="2286" w:type="dxa"/>
            <w:vAlign w:val="center"/>
          </w:tcPr>
          <w:p>
            <w:pPr>
              <w:pStyle w:val="22"/>
              <w:bidi w:val="0"/>
              <w:rPr>
                <w:rFonts w:hint="eastAsia"/>
                <w:color w:val="auto"/>
                <w:highlight w:val="none"/>
              </w:rPr>
            </w:pPr>
            <w:r>
              <w:rPr>
                <w:rFonts w:hint="eastAsia"/>
                <w:color w:val="auto"/>
                <w:highlight w:val="none"/>
                <w:lang w:eastAsia="zh-CN"/>
              </w:rPr>
              <w:t>达GB20426‐2006</w:t>
            </w:r>
            <w:r>
              <w:rPr>
                <w:rFonts w:hint="eastAsia"/>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华家沟煤矿</w:t>
            </w:r>
          </w:p>
        </w:tc>
        <w:tc>
          <w:tcPr>
            <w:tcW w:w="16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8</w:t>
            </w:r>
          </w:p>
        </w:tc>
        <w:tc>
          <w:tcPr>
            <w:tcW w:w="1266" w:type="dxa"/>
            <w:vAlign w:val="center"/>
          </w:tcPr>
          <w:p>
            <w:pPr>
              <w:pStyle w:val="22"/>
              <w:bidi w:val="0"/>
              <w:rPr>
                <w:color w:val="auto"/>
                <w:highlight w:val="none"/>
              </w:rPr>
            </w:pPr>
            <w:r>
              <w:rPr>
                <w:rFonts w:hint="eastAsia"/>
                <w:color w:val="auto"/>
                <w:highlight w:val="none"/>
                <w:lang w:val="en-US" w:eastAsia="zh-CN"/>
              </w:rPr>
              <w:t>50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color w:val="auto"/>
                <w:highlight w:val="none"/>
              </w:rPr>
            </w:pPr>
            <w:r>
              <w:rPr>
                <w:rFonts w:hint="eastAsia"/>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田坝煤矿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18</w:t>
            </w:r>
          </w:p>
        </w:tc>
        <w:tc>
          <w:tcPr>
            <w:tcW w:w="1266" w:type="dxa"/>
            <w:vAlign w:val="center"/>
          </w:tcPr>
          <w:p>
            <w:pPr>
              <w:pStyle w:val="22"/>
              <w:bidi w:val="0"/>
              <w:rPr>
                <w:color w:val="auto"/>
                <w:highlight w:val="none"/>
              </w:rPr>
            </w:pPr>
            <w:r>
              <w:rPr>
                <w:rFonts w:hint="eastAsia"/>
                <w:color w:val="auto"/>
                <w:highlight w:val="none"/>
                <w:lang w:val="en-US" w:eastAsia="zh-CN"/>
              </w:rPr>
              <w:t>50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color w:val="auto"/>
                <w:highlight w:val="none"/>
              </w:rPr>
            </w:pPr>
            <w:r>
              <w:rPr>
                <w:rFonts w:hint="eastAsia"/>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柏林煤矿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52</w:t>
            </w:r>
          </w:p>
        </w:tc>
        <w:tc>
          <w:tcPr>
            <w:tcW w:w="1266" w:type="dxa"/>
            <w:vAlign w:val="center"/>
          </w:tcPr>
          <w:p>
            <w:pPr>
              <w:pStyle w:val="22"/>
              <w:bidi w:val="0"/>
              <w:rPr>
                <w:color w:val="auto"/>
                <w:highlight w:val="none"/>
              </w:rPr>
            </w:pPr>
            <w:r>
              <w:rPr>
                <w:rFonts w:hint="eastAsia"/>
                <w:color w:val="auto"/>
                <w:highlight w:val="none"/>
                <w:lang w:val="en-US" w:eastAsia="zh-CN"/>
              </w:rPr>
              <w:t>1200（包含生活污水处理）</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二级生化</w:t>
            </w:r>
          </w:p>
        </w:tc>
        <w:tc>
          <w:tcPr>
            <w:tcW w:w="1686" w:type="dxa"/>
            <w:tcBorders>
              <w:lef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52</w:t>
            </w:r>
          </w:p>
        </w:tc>
        <w:tc>
          <w:tcPr>
            <w:tcW w:w="2286" w:type="dxa"/>
            <w:vAlign w:val="center"/>
          </w:tcPr>
          <w:p>
            <w:pPr>
              <w:pStyle w:val="22"/>
              <w:bidi w:val="0"/>
              <w:rPr>
                <w:rFonts w:hint="eastAsia"/>
                <w:color w:val="auto"/>
                <w:highlight w:val="none"/>
              </w:rPr>
            </w:pPr>
            <w:r>
              <w:rPr>
                <w:rFonts w:hint="eastAsia"/>
                <w:color w:val="auto"/>
                <w:highlight w:val="none"/>
                <w:lang w:eastAsia="zh-CN"/>
              </w:rPr>
              <w:t>达</w:t>
            </w:r>
            <w:r>
              <w:rPr>
                <w:rFonts w:hint="eastAsia"/>
                <w:color w:val="auto"/>
                <w:highlight w:val="none"/>
                <w:lang w:val="en-US" w:eastAsia="zh-CN"/>
              </w:rPr>
              <w:t>GB1891-2002及</w:t>
            </w:r>
            <w:r>
              <w:rPr>
                <w:rFonts w:hint="eastAsia"/>
                <w:color w:val="auto"/>
                <w:highlight w:val="none"/>
                <w:lang w:eastAsia="zh-CN"/>
              </w:rPr>
              <w:t>GB20426‐2006</w:t>
            </w:r>
            <w:r>
              <w:rPr>
                <w:rFonts w:hint="eastAsia"/>
                <w:color w:val="auto"/>
                <w:highlight w:val="none"/>
                <w:lang w:val="en-US" w:eastAsia="zh-CN"/>
              </w:rPr>
              <w:t>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荣华煤矿</w:t>
            </w:r>
          </w:p>
        </w:tc>
        <w:tc>
          <w:tcPr>
            <w:tcW w:w="16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266" w:type="dxa"/>
            <w:vAlign w:val="center"/>
          </w:tcPr>
          <w:p>
            <w:pPr>
              <w:pStyle w:val="22"/>
              <w:bidi w:val="0"/>
              <w:rPr>
                <w:color w:val="auto"/>
                <w:highlight w:val="none"/>
              </w:rPr>
            </w:pPr>
            <w:r>
              <w:rPr>
                <w:rFonts w:hint="eastAsia"/>
                <w:color w:val="auto"/>
                <w:highlight w:val="none"/>
                <w:lang w:val="en-US" w:eastAsia="zh-CN"/>
              </w:rPr>
              <w:t>/</w:t>
            </w:r>
          </w:p>
        </w:tc>
        <w:tc>
          <w:tcPr>
            <w:tcW w:w="1056" w:type="dxa"/>
            <w:tcBorders>
              <w:righ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黑滩煤矿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11.5</w:t>
            </w:r>
          </w:p>
        </w:tc>
        <w:tc>
          <w:tcPr>
            <w:tcW w:w="126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400</w:t>
            </w:r>
          </w:p>
        </w:tc>
        <w:tc>
          <w:tcPr>
            <w:tcW w:w="1056" w:type="dxa"/>
            <w:tcBorders>
              <w:righ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color w:val="auto"/>
                <w:highlight w:val="none"/>
              </w:rPr>
            </w:pPr>
            <w:r>
              <w:rPr>
                <w:rFonts w:hint="eastAsia"/>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孔家沟煤矿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26</w:t>
            </w:r>
          </w:p>
        </w:tc>
        <w:tc>
          <w:tcPr>
            <w:tcW w:w="126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120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eastAsia="宋体"/>
                <w:color w:val="auto"/>
                <w:highlight w:val="none"/>
                <w:lang w:eastAsia="zh-CN"/>
              </w:rPr>
            </w:pPr>
            <w:r>
              <w:rPr>
                <w:rFonts w:hint="eastAsia"/>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平桥煤矿</w:t>
            </w:r>
          </w:p>
        </w:tc>
        <w:tc>
          <w:tcPr>
            <w:tcW w:w="168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126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二级生化</w:t>
            </w:r>
          </w:p>
        </w:tc>
        <w:tc>
          <w:tcPr>
            <w:tcW w:w="1686" w:type="dxa"/>
            <w:tcBorders>
              <w:lef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w:t>
            </w:r>
          </w:p>
        </w:tc>
        <w:tc>
          <w:tcPr>
            <w:tcW w:w="2286" w:type="dxa"/>
            <w:vAlign w:val="center"/>
          </w:tcPr>
          <w:p>
            <w:pPr>
              <w:pStyle w:val="22"/>
              <w:bidi w:val="0"/>
              <w:rPr>
                <w:rFonts w:hint="default" w:eastAsia="宋体"/>
                <w:color w:val="auto"/>
                <w:highlight w:val="none"/>
                <w:lang w:val="en-US" w:eastAsia="zh-CN"/>
              </w:rPr>
            </w:pPr>
            <w:r>
              <w:rPr>
                <w:rFonts w:hint="eastAsia"/>
                <w:color w:val="auto"/>
                <w:highlight w:val="none"/>
                <w:lang w:eastAsia="zh-CN"/>
              </w:rPr>
              <w:t>达</w:t>
            </w:r>
            <w:r>
              <w:rPr>
                <w:rFonts w:hint="eastAsia"/>
                <w:color w:val="auto"/>
                <w:highlight w:val="none"/>
                <w:lang w:val="en-US" w:eastAsia="zh-CN"/>
              </w:rPr>
              <w:t>GB8978-1996表4一级标准后排入溪沟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牛郎沟煤矿</w:t>
            </w:r>
          </w:p>
        </w:tc>
        <w:tc>
          <w:tcPr>
            <w:tcW w:w="16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4</w:t>
            </w:r>
          </w:p>
        </w:tc>
        <w:tc>
          <w:tcPr>
            <w:tcW w:w="126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c>
          <w:tcPr>
            <w:tcW w:w="1056" w:type="dxa"/>
            <w:tcBorders>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w:t>
            </w:r>
          </w:p>
        </w:tc>
        <w:tc>
          <w:tcPr>
            <w:tcW w:w="2286" w:type="dxa"/>
            <w:vAlign w:val="center"/>
          </w:tcPr>
          <w:p>
            <w:pPr>
              <w:pStyle w:val="22"/>
              <w:bidi w:val="0"/>
              <w:rPr>
                <w:rFonts w:hint="eastAsia" w:eastAsia="宋体"/>
                <w:color w:val="auto"/>
                <w:highlight w:val="none"/>
                <w:lang w:eastAsia="zh-CN"/>
              </w:rPr>
            </w:pPr>
            <w:r>
              <w:rPr>
                <w:rFonts w:hint="eastAsia"/>
                <w:color w:val="auto"/>
                <w:highlight w:val="none"/>
                <w:lang w:eastAsia="zh-CN"/>
              </w:rPr>
              <w:t>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新桥红星煤矿</w:t>
            </w:r>
          </w:p>
        </w:tc>
        <w:tc>
          <w:tcPr>
            <w:tcW w:w="1686" w:type="dxa"/>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7</w:t>
            </w:r>
          </w:p>
        </w:tc>
        <w:tc>
          <w:tcPr>
            <w:tcW w:w="1266" w:type="dxa"/>
            <w:vAlign w:val="center"/>
          </w:tcPr>
          <w:p>
            <w:pPr>
              <w:pStyle w:val="22"/>
              <w:bidi w:val="0"/>
              <w:rPr>
                <w:color w:val="auto"/>
                <w:highlight w:val="none"/>
              </w:rPr>
            </w:pPr>
            <w:r>
              <w:rPr>
                <w:rFonts w:hint="eastAsia"/>
                <w:color w:val="auto"/>
                <w:highlight w:val="none"/>
                <w:lang w:val="en-US" w:eastAsia="zh-CN"/>
              </w:rPr>
              <w:t>50</w:t>
            </w:r>
          </w:p>
        </w:tc>
        <w:tc>
          <w:tcPr>
            <w:tcW w:w="1056" w:type="dxa"/>
            <w:tcBorders>
              <w:right w:val="single" w:color="000000" w:sz="6" w:space="0"/>
            </w:tcBorders>
            <w:vAlign w:val="center"/>
          </w:tcPr>
          <w:p>
            <w:pPr>
              <w:pStyle w:val="22"/>
              <w:bidi w:val="0"/>
              <w:rPr>
                <w:rFonts w:hint="eastAsia"/>
                <w:color w:val="auto"/>
                <w:highlight w:val="none"/>
              </w:rPr>
            </w:pPr>
            <w:r>
              <w:rPr>
                <w:rFonts w:hint="eastAsia"/>
                <w:color w:val="auto"/>
                <w:highlight w:val="none"/>
                <w:lang w:eastAsia="zh-CN"/>
              </w:rPr>
              <w:t>化粪池</w:t>
            </w:r>
          </w:p>
        </w:tc>
        <w:tc>
          <w:tcPr>
            <w:tcW w:w="1686" w:type="dxa"/>
            <w:tcBorders>
              <w:lef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c>
          <w:tcPr>
            <w:tcW w:w="2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用作农肥</w:t>
            </w:r>
          </w:p>
        </w:tc>
      </w:tr>
    </w:tbl>
    <w:p>
      <w:pPr>
        <w:pStyle w:val="22"/>
        <w:bidi w:val="0"/>
        <w:rPr>
          <w:rFonts w:hint="default"/>
          <w:color w:val="auto"/>
          <w:highlight w:val="none"/>
          <w:lang w:val="en-US" w:eastAsia="zh-CN"/>
        </w:rPr>
      </w:pPr>
    </w:p>
    <w:p>
      <w:pPr>
        <w:bidi w:val="0"/>
        <w:rPr>
          <w:rFonts w:hint="default"/>
          <w:color w:val="auto"/>
          <w:highlight w:val="none"/>
          <w:lang w:val="en-US" w:eastAsia="zh-CN"/>
        </w:rPr>
      </w:pPr>
      <w:r>
        <w:rPr>
          <w:rFonts w:hint="eastAsia"/>
          <w:color w:val="auto"/>
          <w:highlight w:val="none"/>
          <w:lang w:eastAsia="zh-CN"/>
        </w:rPr>
        <w:t>有调查可知，规划区内现有矿井的生活污水处理方式主要有</w:t>
      </w:r>
      <w:r>
        <w:rPr>
          <w:rFonts w:hint="eastAsia"/>
          <w:color w:val="auto"/>
          <w:highlight w:val="none"/>
          <w:lang w:val="en-US" w:eastAsia="zh-CN"/>
        </w:rPr>
        <w:t>3种，一是直接收集经化粪池处理后用作农肥不外排；二是独立修建一座一体化生活污水处理设施，处理后达标排放；三是修建一座与矿井水一并处理的污水处理站，经处理达标后排放</w:t>
      </w:r>
      <w:r>
        <w:rPr>
          <w:rFonts w:hint="eastAsia"/>
          <w:color w:val="auto"/>
          <w:highlight w:val="none"/>
          <w:lang w:eastAsia="zh-CN"/>
        </w:rPr>
        <w:t>。以上三种方式是根据各个矿井的不同情况设置，均合理可行，但由于大部分矿井停产停运或受到今年雨季的洪水损毁，仅有柏林煤矿、堡子煤矿、平桥煤矿、观音煤矿</w:t>
      </w:r>
      <w:r>
        <w:rPr>
          <w:rFonts w:hint="eastAsia"/>
          <w:color w:val="auto"/>
          <w:highlight w:val="none"/>
          <w:lang w:val="en-US" w:eastAsia="zh-CN"/>
        </w:rPr>
        <w:t>4家煤矿的污水处理设施在正常运行。</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3.6.2.3 噪声排放情况及治理措施</w:t>
      </w:r>
    </w:p>
    <w:p>
      <w:pPr>
        <w:rPr>
          <w:color w:val="auto"/>
          <w:highlight w:val="none"/>
        </w:rPr>
      </w:pPr>
      <w:r>
        <w:rPr>
          <w:color w:val="auto"/>
          <w:highlight w:val="none"/>
        </w:rPr>
        <w:t>矿区的噪声污染主要来自工矿企业生产设备噪声、社会生活噪声和道路交通噪声。矿井工业场地的通风机房、主副井提升机房、</w:t>
      </w:r>
      <w:r>
        <w:rPr>
          <w:rFonts w:hint="eastAsia"/>
          <w:color w:val="auto"/>
          <w:highlight w:val="none"/>
          <w:lang w:eastAsia="zh-CN"/>
        </w:rPr>
        <w:t>输送机、绳运机</w:t>
      </w:r>
      <w:r>
        <w:rPr>
          <w:color w:val="auto"/>
          <w:highlight w:val="none"/>
        </w:rPr>
        <w:t>锅炉房、筛分车间、选煤厂主厂房和维修车间及其他生产车间的高噪设备是影响区域环境的主要噪声源。工业场地的厂界噪声在51～63dB(A)之间，道路交通噪声级在58～73dB(A)之间，矿井周围及生活居住区的社会生活噪声一般为42～58dB(A)。</w:t>
      </w:r>
    </w:p>
    <w:p>
      <w:pPr>
        <w:pStyle w:val="22"/>
        <w:bidi w:val="0"/>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3.6-   现有煤矿在产期间的噪声自行监测数据</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6"/>
        <w:gridCol w:w="2339"/>
        <w:gridCol w:w="2067"/>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监测点</w:t>
            </w:r>
          </w:p>
        </w:tc>
        <w:tc>
          <w:tcPr>
            <w:tcW w:w="2339"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监测时间</w:t>
            </w:r>
          </w:p>
        </w:tc>
        <w:tc>
          <w:tcPr>
            <w:tcW w:w="206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昼间</w:t>
            </w:r>
          </w:p>
        </w:tc>
        <w:tc>
          <w:tcPr>
            <w:tcW w:w="193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柏林煤矿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厂界东</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2020.11.26</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59</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58</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厂界西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56</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厂界北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59</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堡子煤矿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工业广场厂界东</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2020.12.19</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56</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洗煤区厂界南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58</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洗煤区厂界西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55</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洗煤区厂界北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57</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工业广场界西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56</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南风井房边界</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51</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北风井房边界</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53</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大河沟煤矿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厂界东</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2017.1.17</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46.9</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46.6</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45.2</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53.0</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黑滩煤矿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厂界北</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2018.3.12</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57.5</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54.3</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58.3</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厂界东</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58.3</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孔家沟煤矿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厂界东</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2019.5.17</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50.4</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56.9</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53.0</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57.0</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田坝煤矿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厂界北</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2019.3.22</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54.7</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厂界西</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50.1</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50.6</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厂界东</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53.1</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牛郎沟煤矿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厂界东北</w:t>
            </w:r>
          </w:p>
        </w:tc>
        <w:tc>
          <w:tcPr>
            <w:tcW w:w="2339"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2019.5.16</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58.7</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57.6</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59.2</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平桥煤矿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厂界西北</w:t>
            </w:r>
          </w:p>
        </w:tc>
        <w:tc>
          <w:tcPr>
            <w:tcW w:w="2339" w:type="dxa"/>
            <w:vMerge w:val="restart"/>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2019.5.16</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52.5</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58.9</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厂界东南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56.8</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6"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厂界北</w:t>
            </w:r>
          </w:p>
        </w:tc>
        <w:tc>
          <w:tcPr>
            <w:tcW w:w="2339" w:type="dxa"/>
            <w:vMerge w:val="continue"/>
            <w:vAlign w:val="center"/>
          </w:tcPr>
          <w:p>
            <w:pPr>
              <w:pStyle w:val="22"/>
              <w:bidi w:val="0"/>
              <w:rPr>
                <w:rFonts w:hint="default"/>
                <w:color w:val="auto"/>
                <w:highlight w:val="none"/>
                <w:vertAlign w:val="baseline"/>
                <w:lang w:val="en-US" w:eastAsia="zh-CN"/>
              </w:rPr>
            </w:pP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53.5</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5" w:type="dxa"/>
            <w:gridSpan w:val="2"/>
            <w:vAlign w:val="center"/>
          </w:tcPr>
          <w:p>
            <w:pPr>
              <w:pStyle w:val="22"/>
              <w:bidi w:val="0"/>
              <w:rPr>
                <w:rFonts w:hint="default"/>
                <w:color w:val="auto"/>
                <w:highlight w:val="none"/>
                <w:vertAlign w:val="baseline"/>
                <w:lang w:val="en-US" w:eastAsia="zh-CN"/>
              </w:rPr>
            </w:pPr>
            <w:r>
              <w:rPr>
                <w:rFonts w:hint="default"/>
                <w:color w:val="auto"/>
                <w:highlight w:val="none"/>
                <w:vertAlign w:val="baseline"/>
                <w:lang w:val="en-US" w:eastAsia="zh-CN"/>
              </w:rPr>
              <w:t>《工业企业厂界环境噪声排放标准》（GB12348‐2008）</w:t>
            </w:r>
            <w:r>
              <w:rPr>
                <w:rFonts w:hint="eastAsia"/>
                <w:color w:val="auto"/>
                <w:highlight w:val="none"/>
                <w:vertAlign w:val="baseline"/>
                <w:lang w:val="en-US" w:eastAsia="zh-CN"/>
              </w:rPr>
              <w:t>2类</w:t>
            </w:r>
          </w:p>
        </w:tc>
        <w:tc>
          <w:tcPr>
            <w:tcW w:w="206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60</w:t>
            </w:r>
          </w:p>
        </w:tc>
        <w:tc>
          <w:tcPr>
            <w:tcW w:w="193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50</w:t>
            </w:r>
          </w:p>
        </w:tc>
      </w:tr>
    </w:tbl>
    <w:p>
      <w:pPr>
        <w:pStyle w:val="22"/>
        <w:bidi w:val="0"/>
        <w:rPr>
          <w:rFonts w:hint="default"/>
          <w:color w:val="auto"/>
          <w:highlight w:val="none"/>
          <w:lang w:val="en-US" w:eastAsia="zh-CN"/>
        </w:rPr>
      </w:pPr>
    </w:p>
    <w:p>
      <w:pPr>
        <w:rPr>
          <w:rFonts w:hint="default"/>
          <w:color w:val="auto"/>
          <w:highlight w:val="none"/>
          <w:lang w:val="en-US" w:eastAsia="zh-CN"/>
        </w:rPr>
      </w:pPr>
      <w:r>
        <w:rPr>
          <w:rFonts w:hint="eastAsia"/>
          <w:color w:val="auto"/>
          <w:highlight w:val="none"/>
          <w:lang w:val="en-US" w:eastAsia="zh-CN"/>
        </w:rPr>
        <w:t>根据调查，规划区内现有各矿井在正常生产期间的自行例行监测厂界噪声均满足《工业企业厂界环境噪声排放标准》（GB12348-2008）中2类标准要求，且各矿井运行期间没有收到相关的噪声扰民投诉等。</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3.6.2.4 固体废弃物产生及排放情况</w:t>
      </w:r>
    </w:p>
    <w:p>
      <w:pPr>
        <w:rPr>
          <w:rFonts w:hint="eastAsia"/>
          <w:color w:val="auto"/>
          <w:highlight w:val="none"/>
          <w:lang w:eastAsia="zh-CN"/>
        </w:rPr>
      </w:pPr>
      <w:r>
        <w:rPr>
          <w:color w:val="auto"/>
          <w:highlight w:val="none"/>
        </w:rPr>
        <w:t>煤矿固体废弃物主要包括煤矸石、生活垃圾</w:t>
      </w:r>
      <w:r>
        <w:rPr>
          <w:rFonts w:hint="eastAsia"/>
          <w:color w:val="auto"/>
          <w:highlight w:val="none"/>
          <w:lang w:eastAsia="zh-CN"/>
        </w:rPr>
        <w:t>、少量的污水处理设施污泥和煤泥以及少量的危险废物等</w:t>
      </w:r>
      <w:r>
        <w:rPr>
          <w:color w:val="auto"/>
          <w:highlight w:val="none"/>
        </w:rPr>
        <w:t>。现有煤矿固废产生量及去向详细见表</w:t>
      </w:r>
      <w:r>
        <w:rPr>
          <w:rFonts w:hint="eastAsia"/>
          <w:color w:val="auto"/>
          <w:highlight w:val="none"/>
          <w:lang w:eastAsia="zh-CN"/>
        </w:rPr>
        <w:t>。</w:t>
      </w:r>
    </w:p>
    <w:p>
      <w:pPr>
        <w:pStyle w:val="22"/>
        <w:bidi w:val="0"/>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3.6-   现有煤矿2020年固废产生量及排放去向</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1925"/>
        <w:gridCol w:w="1925"/>
        <w:gridCol w:w="1514"/>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项目</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类别</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产生量（t/a）</w:t>
            </w:r>
          </w:p>
        </w:tc>
        <w:tc>
          <w:tcPr>
            <w:tcW w:w="151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回用量（t/a）</w:t>
            </w:r>
          </w:p>
        </w:tc>
        <w:tc>
          <w:tcPr>
            <w:tcW w:w="233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柏林煤矿</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矸石</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48000</w:t>
            </w:r>
          </w:p>
        </w:tc>
        <w:tc>
          <w:tcPr>
            <w:tcW w:w="151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c>
          <w:tcPr>
            <w:tcW w:w="233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矸砖厂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生活垃圾</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90</w:t>
            </w:r>
          </w:p>
        </w:tc>
        <w:tc>
          <w:tcPr>
            <w:tcW w:w="151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c>
          <w:tcPr>
            <w:tcW w:w="233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危险废物</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1514" w:type="dxa"/>
            <w:vAlign w:val="center"/>
          </w:tcPr>
          <w:p>
            <w:pPr>
              <w:pStyle w:val="22"/>
              <w:bidi w:val="0"/>
              <w:rPr>
                <w:rFonts w:hint="eastAsia"/>
                <w:color w:val="auto"/>
                <w:highlight w:val="none"/>
                <w:vertAlign w:val="baseline"/>
                <w:lang w:val="en-US" w:eastAsia="zh-CN"/>
              </w:rPr>
            </w:pPr>
          </w:p>
        </w:tc>
        <w:tc>
          <w:tcPr>
            <w:tcW w:w="2337" w:type="dxa"/>
            <w:vAlign w:val="center"/>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堡子煤矿</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矸石</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7000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污泥和煤泥</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ascii="Times New Roman" w:hAnsi="Times New Roman" w:cs="宋体"/>
                <w:color w:val="auto"/>
                <w:sz w:val="21"/>
                <w:szCs w:val="21"/>
                <w:highlight w:val="none"/>
                <w:vertAlign w:val="baseline"/>
                <w:lang w:val="en-US" w:eastAsia="zh-CN" w:bidi="ar-SA"/>
              </w:rPr>
              <w:t>2300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ascii="Times New Roman" w:hAnsi="Times New Roman" w:cs="宋体"/>
                <w:color w:val="auto"/>
                <w:sz w:val="21"/>
                <w:szCs w:val="21"/>
                <w:highlight w:val="none"/>
                <w:vertAlign w:val="baseline"/>
                <w:lang w:val="en-US" w:eastAsia="zh-CN" w:bidi="ar-SA"/>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清掏、压滤后外售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生活垃圾</w:t>
            </w:r>
          </w:p>
        </w:tc>
        <w:tc>
          <w:tcPr>
            <w:tcW w:w="1925" w:type="dxa"/>
            <w:vAlign w:val="center"/>
          </w:tcPr>
          <w:p>
            <w:pPr>
              <w:pStyle w:val="22"/>
              <w:bidi w:val="0"/>
              <w:ind w:left="0" w:leftChars="0" w:right="0" w:rightChars="0" w:firstLine="0" w:firstLineChars="0"/>
              <w:rPr>
                <w:rFonts w:hint="default" w:ascii="Times New Roman" w:hAnsi="Times New Roman" w:cs="宋体"/>
                <w:color w:val="auto"/>
                <w:sz w:val="21"/>
                <w:szCs w:val="21"/>
                <w:highlight w:val="none"/>
                <w:vertAlign w:val="baseline"/>
                <w:lang w:val="en-US" w:eastAsia="zh-CN" w:bidi="ar-SA"/>
              </w:rPr>
            </w:pPr>
            <w:r>
              <w:rPr>
                <w:rFonts w:hint="eastAsia" w:ascii="Times New Roman" w:hAnsi="Times New Roman" w:cs="宋体"/>
                <w:color w:val="auto"/>
                <w:sz w:val="21"/>
                <w:szCs w:val="21"/>
                <w:highlight w:val="none"/>
                <w:vertAlign w:val="baseline"/>
                <w:lang w:val="en-US" w:eastAsia="zh-CN" w:bidi="ar-SA"/>
              </w:rPr>
              <w:t>20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ascii="Times New Roman" w:hAnsi="Times New Roman" w:cs="宋体"/>
                <w:color w:val="auto"/>
                <w:sz w:val="21"/>
                <w:szCs w:val="21"/>
                <w:highlight w:val="none"/>
                <w:vertAlign w:val="baseline"/>
                <w:lang w:val="en-US" w:eastAsia="zh-CN" w:bidi="ar-SA"/>
              </w:rPr>
              <w:t>/</w:t>
            </w:r>
          </w:p>
        </w:tc>
        <w:tc>
          <w:tcPr>
            <w:tcW w:w="2337"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危险废物</w:t>
            </w:r>
          </w:p>
        </w:tc>
        <w:tc>
          <w:tcPr>
            <w:tcW w:w="1925"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514"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c>
          <w:tcPr>
            <w:tcW w:w="233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大河沟煤矿</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矸石</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3400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污泥</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20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清掏、压滤后外售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生活垃圾</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25</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危险废物</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大硐坪煤矿</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矸石</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1400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污泥</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5</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清掏、压滤后外售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生活垃圾</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15</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危险废物</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灰渣</w:t>
            </w:r>
          </w:p>
        </w:tc>
        <w:tc>
          <w:tcPr>
            <w:tcW w:w="1925" w:type="dxa"/>
            <w:vAlign w:val="center"/>
          </w:tcPr>
          <w:p>
            <w:pPr>
              <w:pStyle w:val="22"/>
              <w:bidi w:val="0"/>
              <w:ind w:left="0" w:leftChars="0" w:right="0" w:rightChars="0" w:firstLine="0" w:firstLineChars="0"/>
              <w:rPr>
                <w:rFonts w:hint="default"/>
                <w:color w:val="auto"/>
                <w:highlight w:val="none"/>
                <w:vertAlign w:val="baseline"/>
                <w:lang w:val="en-US" w:eastAsia="zh-CN"/>
              </w:rPr>
            </w:pPr>
            <w:r>
              <w:rPr>
                <w:rFonts w:hint="eastAsia"/>
                <w:color w:val="auto"/>
                <w:highlight w:val="none"/>
                <w:vertAlign w:val="baseline"/>
                <w:lang w:val="en-US" w:eastAsia="zh-CN"/>
              </w:rPr>
              <w:t>4000</w:t>
            </w:r>
          </w:p>
        </w:tc>
        <w:tc>
          <w:tcPr>
            <w:tcW w:w="1514" w:type="dxa"/>
            <w:vAlign w:val="center"/>
          </w:tcPr>
          <w:p>
            <w:pPr>
              <w:pStyle w:val="22"/>
              <w:bidi w:val="0"/>
              <w:ind w:left="0" w:leftChars="0" w:right="0" w:rightChars="0" w:firstLine="0" w:firstLineChars="0"/>
              <w:rPr>
                <w:rFonts w:hint="eastAsia"/>
                <w:color w:val="auto"/>
                <w:highlight w:val="none"/>
                <w:vertAlign w:val="baseline"/>
                <w:lang w:val="en-US" w:eastAsia="zh-CN"/>
              </w:rPr>
            </w:pPr>
          </w:p>
        </w:tc>
        <w:tc>
          <w:tcPr>
            <w:tcW w:w="2337" w:type="dxa"/>
            <w:vAlign w:val="center"/>
          </w:tcPr>
          <w:p>
            <w:pPr>
              <w:pStyle w:val="22"/>
              <w:bidi w:val="0"/>
              <w:ind w:left="0" w:leftChars="0" w:right="0" w:rightChars="0" w:firstLine="0" w:firstLineChars="0"/>
              <w:rPr>
                <w:rFonts w:hint="eastAsia"/>
                <w:color w:val="auto"/>
                <w:highlight w:val="none"/>
                <w:vertAlign w:val="baseline"/>
                <w:lang w:val="en-US" w:eastAsia="zh-CN"/>
              </w:rPr>
            </w:pPr>
            <w:r>
              <w:rPr>
                <w:rFonts w:hint="eastAsia"/>
                <w:color w:val="auto"/>
                <w:highlight w:val="none"/>
                <w:vertAlign w:val="baseline"/>
                <w:lang w:val="en-US" w:eastAsia="zh-CN"/>
              </w:rPr>
              <w:t>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restart"/>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观音煤矿</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矸石</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1300</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矸砖厂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污泥</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5</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清掏、压滤后外售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生活垃圾</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18</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Merge w:val="continue"/>
            <w:vAlign w:val="center"/>
          </w:tcPr>
          <w:p>
            <w:pPr>
              <w:pStyle w:val="22"/>
              <w:bidi w:val="0"/>
              <w:rPr>
                <w:rFonts w:hint="default"/>
                <w:color w:val="auto"/>
                <w:highlight w:val="none"/>
                <w:vertAlign w:val="baseline"/>
                <w:lang w:val="en-US" w:eastAsia="zh-CN"/>
              </w:rPr>
            </w:pP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危险废物</w:t>
            </w:r>
          </w:p>
        </w:tc>
        <w:tc>
          <w:tcPr>
            <w:tcW w:w="1925"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1</w:t>
            </w:r>
          </w:p>
        </w:tc>
        <w:tc>
          <w:tcPr>
            <w:tcW w:w="1514"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w:t>
            </w:r>
          </w:p>
        </w:tc>
        <w:tc>
          <w:tcPr>
            <w:tcW w:w="2337"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有资质的单位清运处置</w:t>
            </w:r>
          </w:p>
        </w:tc>
      </w:tr>
    </w:tbl>
    <w:p>
      <w:pPr>
        <w:pStyle w:val="22"/>
        <w:bidi w:val="0"/>
        <w:rPr>
          <w:rFonts w:hint="default"/>
          <w:color w:val="auto"/>
          <w:highlight w:val="none"/>
          <w:lang w:val="en-US" w:eastAsia="zh-CN"/>
        </w:rPr>
      </w:pPr>
    </w:p>
    <w:p>
      <w:pPr>
        <w:bidi w:val="0"/>
        <w:rPr>
          <w:rFonts w:hint="default"/>
          <w:color w:val="auto"/>
          <w:highlight w:val="none"/>
          <w:lang w:val="en-US" w:eastAsia="zh-CN"/>
        </w:rPr>
      </w:pPr>
      <w:r>
        <w:rPr>
          <w:rFonts w:hint="default"/>
          <w:color w:val="auto"/>
          <w:highlight w:val="none"/>
          <w:lang w:val="en-US" w:eastAsia="zh-CN"/>
        </w:rPr>
        <w:t>根据</w:t>
      </w:r>
      <w:r>
        <w:rPr>
          <w:rFonts w:hint="eastAsia"/>
          <w:color w:val="auto"/>
          <w:highlight w:val="none"/>
          <w:lang w:val="en-US" w:eastAsia="zh-CN"/>
        </w:rPr>
        <w:t>调查各矿井2020年</w:t>
      </w:r>
      <w:r>
        <w:rPr>
          <w:rFonts w:hint="default"/>
          <w:color w:val="auto"/>
          <w:highlight w:val="none"/>
          <w:lang w:val="en-US" w:eastAsia="zh-CN"/>
        </w:rPr>
        <w:t>的生产情况，现有煤矿煤矸石</w:t>
      </w:r>
      <w:r>
        <w:rPr>
          <w:rFonts w:hint="eastAsia"/>
          <w:color w:val="auto"/>
          <w:highlight w:val="none"/>
          <w:lang w:val="en-US" w:eastAsia="zh-CN"/>
        </w:rPr>
        <w:t>主要</w:t>
      </w:r>
      <w:r>
        <w:rPr>
          <w:rFonts w:hint="default"/>
          <w:color w:val="auto"/>
          <w:highlight w:val="none"/>
          <w:lang w:val="en-US" w:eastAsia="zh-CN"/>
        </w:rPr>
        <w:t>以</w:t>
      </w:r>
      <w:r>
        <w:rPr>
          <w:rFonts w:hint="eastAsia"/>
          <w:color w:val="auto"/>
          <w:highlight w:val="none"/>
          <w:lang w:val="en-US" w:eastAsia="zh-CN"/>
        </w:rPr>
        <w:t>均销往大竹县内各矸砖厂为主</w:t>
      </w:r>
      <w:r>
        <w:rPr>
          <w:rFonts w:hint="default"/>
          <w:color w:val="auto"/>
          <w:highlight w:val="none"/>
          <w:lang w:val="en-US" w:eastAsia="zh-CN"/>
        </w:rPr>
        <w:t>；锅炉灰渣以铺设场外道路为主</w:t>
      </w:r>
      <w:r>
        <w:rPr>
          <w:rFonts w:hint="eastAsia"/>
          <w:color w:val="auto"/>
          <w:highlight w:val="none"/>
          <w:lang w:val="en-US" w:eastAsia="zh-CN"/>
        </w:rPr>
        <w:t>；生活垃圾经收集后统一由当地环卫部门清运处置；废矿物油及废蓄电池等危险废物均设置有危废间然后定期交由有资质的单位清运处置。</w:t>
      </w:r>
    </w:p>
    <w:p>
      <w:pPr>
        <w:pStyle w:val="6"/>
        <w:numPr>
          <w:ilvl w:val="2"/>
          <w:numId w:val="5"/>
        </w:numPr>
        <w:bidi w:val="0"/>
        <w:rPr>
          <w:color w:val="auto"/>
          <w:highlight w:val="none"/>
        </w:rPr>
      </w:pPr>
      <w:bookmarkStart w:id="263" w:name="_Toc21869"/>
      <w:bookmarkStart w:id="264" w:name="_Toc20011"/>
      <w:r>
        <w:rPr>
          <w:rFonts w:hint="eastAsia"/>
          <w:color w:val="auto"/>
          <w:highlight w:val="none"/>
          <w:lang w:eastAsia="zh-CN"/>
        </w:rPr>
        <w:t>地表沉陷影响回顾性评价</w:t>
      </w:r>
      <w:bookmarkEnd w:id="263"/>
      <w:bookmarkEnd w:id="264"/>
    </w:p>
    <w:p>
      <w:pPr>
        <w:bidi w:val="0"/>
        <w:rPr>
          <w:rFonts w:hint="eastAsia"/>
          <w:color w:val="auto"/>
          <w:highlight w:val="none"/>
          <w:lang w:val="en-US" w:eastAsia="zh-CN"/>
        </w:rPr>
      </w:pPr>
      <w:r>
        <w:rPr>
          <w:color w:val="auto"/>
          <w:spacing w:val="-3"/>
          <w:highlight w:val="none"/>
        </w:rPr>
        <w:t>以</w:t>
      </w:r>
      <w:r>
        <w:rPr>
          <w:rFonts w:hint="eastAsia"/>
          <w:color w:val="auto"/>
          <w:spacing w:val="-3"/>
          <w:highlight w:val="none"/>
          <w:lang w:eastAsia="zh-CN"/>
        </w:rPr>
        <w:t>四川省达州市大竹县煤炭矿区</w:t>
      </w:r>
      <w:r>
        <w:rPr>
          <w:color w:val="auto"/>
          <w:spacing w:val="-3"/>
          <w:highlight w:val="none"/>
        </w:rPr>
        <w:t>相关的历史地质资料以及地表沉陷观测基础资料为依据，回顾分析矿</w:t>
      </w:r>
      <w:r>
        <w:rPr>
          <w:color w:val="auto"/>
          <w:spacing w:val="-4"/>
          <w:highlight w:val="none"/>
        </w:rPr>
        <w:t>区开发以来煤炭开采造成的采空区其分布情况，总结矿区煤炭开采活动导致的地表形态</w:t>
      </w:r>
      <w:r>
        <w:rPr>
          <w:color w:val="auto"/>
          <w:spacing w:val="-6"/>
          <w:highlight w:val="none"/>
        </w:rPr>
        <w:t>变化及沉陷特征，分析已经采取的地表沉陷防治措施，以便进一步完善规划实施的生态</w:t>
      </w:r>
      <w:r>
        <w:rPr>
          <w:color w:val="auto"/>
          <w:highlight w:val="none"/>
        </w:rPr>
        <w:t>影响减缓措施。</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3.6.3.1 地下采空区分布情况</w:t>
      </w:r>
    </w:p>
    <w:p>
      <w:pPr>
        <w:rPr>
          <w:rFonts w:hint="eastAsia"/>
          <w:color w:val="auto"/>
          <w:highlight w:val="none"/>
          <w:lang w:val="en-US" w:eastAsia="zh-CN"/>
        </w:rPr>
      </w:pPr>
      <w:r>
        <w:rPr>
          <w:rFonts w:hint="eastAsia"/>
          <w:color w:val="auto"/>
          <w:highlight w:val="none"/>
          <w:lang w:val="en-US" w:eastAsia="zh-CN"/>
        </w:rPr>
        <w:t>规划区内各矿井及周边小矿大多成立多年，经过多年的开采，采空区分布较广，根据各煤矿企业提供资源核定报告、采区图等资料，规划区内各矿井采空区分布如下：</w:t>
      </w:r>
    </w:p>
    <w:p>
      <w:pPr>
        <w:bidi w:val="0"/>
        <w:rPr>
          <w:rFonts w:hint="eastAsia" w:cs="Times New Roman"/>
          <w:color w:val="auto"/>
          <w:szCs w:val="28"/>
          <w:highlight w:val="none"/>
          <w:lang w:eastAsia="zh-CN"/>
        </w:rPr>
      </w:pPr>
      <w:r>
        <w:rPr>
          <w:rFonts w:hint="eastAsia"/>
          <w:color w:val="auto"/>
          <w:highlight w:val="none"/>
          <w:lang w:val="en-US" w:eastAsia="zh-CN"/>
        </w:rPr>
        <w:t>①华家沟煤矿：+262m~+470m之间，</w:t>
      </w:r>
      <w:r>
        <w:rPr>
          <w:rFonts w:hint="default" w:ascii="Times New Roman" w:hAnsi="Times New Roman" w:cs="Times New Roman"/>
          <w:color w:val="auto"/>
          <w:szCs w:val="28"/>
          <w:highlight w:val="none"/>
          <w:lang w:val="en-US" w:eastAsia="zh-CN"/>
        </w:rPr>
        <w:t>K9煤层</w:t>
      </w:r>
      <w:r>
        <w:rPr>
          <w:rFonts w:hint="default" w:ascii="Times New Roman" w:hAnsi="Times New Roman" w:cs="Times New Roman"/>
          <w:color w:val="auto"/>
          <w:szCs w:val="28"/>
          <w:highlight w:val="none"/>
        </w:rPr>
        <w:t>采空区斜面积为</w:t>
      </w:r>
      <w:r>
        <w:rPr>
          <w:rFonts w:hint="default" w:ascii="Times New Roman" w:hAnsi="Times New Roman" w:cs="Times New Roman"/>
          <w:color w:val="auto"/>
          <w:szCs w:val="28"/>
          <w:highlight w:val="none"/>
          <w:lang w:val="en-US" w:eastAsia="zh-CN"/>
        </w:rPr>
        <w:t>1</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1677</w:t>
      </w:r>
      <w:r>
        <w:rPr>
          <w:rFonts w:hint="eastAsia" w:cs="Times New Roman"/>
          <w:color w:val="auto"/>
          <w:szCs w:val="28"/>
          <w:highlight w:val="none"/>
          <w:lang w:val="en-US" w:eastAsia="zh-CN"/>
        </w:rPr>
        <w:t>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default" w:ascii="Times New Roman" w:hAnsi="Times New Roman" w:cs="Times New Roman"/>
          <w:color w:val="auto"/>
          <w:szCs w:val="28"/>
          <w:highlight w:val="none"/>
          <w:lang w:val="en-US" w:eastAsia="zh-CN"/>
        </w:rPr>
        <w:t>K10煤层</w:t>
      </w:r>
      <w:r>
        <w:rPr>
          <w:rFonts w:hint="default" w:ascii="Times New Roman" w:hAnsi="Times New Roman" w:cs="Times New Roman"/>
          <w:color w:val="auto"/>
          <w:szCs w:val="28"/>
          <w:highlight w:val="none"/>
        </w:rPr>
        <w:t>采空区斜面积为1</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0480</w:t>
      </w:r>
      <w:r>
        <w:rPr>
          <w:rFonts w:hint="eastAsia" w:cs="Times New Roman"/>
          <w:color w:val="auto"/>
          <w:szCs w:val="28"/>
          <w:highlight w:val="none"/>
          <w:lang w:val="en-US" w:eastAsia="zh-CN"/>
        </w:rPr>
        <w:t>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default" w:ascii="Times New Roman" w:hAnsi="Times New Roman" w:cs="Times New Roman"/>
          <w:color w:val="auto"/>
          <w:szCs w:val="28"/>
          <w:highlight w:val="none"/>
        </w:rPr>
        <w:t>采空区累计</w:t>
      </w:r>
      <w:r>
        <w:rPr>
          <w:rFonts w:hint="default" w:ascii="Times New Roman" w:hAnsi="Times New Roman" w:cs="Times New Roman"/>
          <w:color w:val="auto"/>
          <w:szCs w:val="28"/>
          <w:highlight w:val="none"/>
          <w:lang w:eastAsia="zh-CN"/>
        </w:rPr>
        <w:t>斜</w:t>
      </w:r>
      <w:r>
        <w:rPr>
          <w:rFonts w:hint="default" w:ascii="Times New Roman" w:hAnsi="Times New Roman" w:cs="Times New Roman"/>
          <w:color w:val="auto"/>
          <w:szCs w:val="28"/>
          <w:highlight w:val="none"/>
        </w:rPr>
        <w:t>面积达</w:t>
      </w:r>
      <w:r>
        <w:rPr>
          <w:rFonts w:hint="default" w:ascii="Times New Roman" w:hAnsi="Times New Roman" w:cs="Times New Roman"/>
          <w:color w:val="auto"/>
          <w:szCs w:val="28"/>
          <w:highlight w:val="none"/>
          <w:lang w:val="en-US" w:eastAsia="zh-CN"/>
        </w:rPr>
        <w:t>2</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2157</w:t>
      </w:r>
      <w:r>
        <w:rPr>
          <w:rFonts w:hint="eastAsia" w:cs="Times New Roman"/>
          <w:color w:val="auto"/>
          <w:szCs w:val="28"/>
          <w:highlight w:val="none"/>
          <w:lang w:val="en-US" w:eastAsia="zh-CN"/>
        </w:rPr>
        <w:t>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default" w:ascii="Times New Roman" w:hAnsi="Times New Roman" w:cs="Times New Roman"/>
          <w:color w:val="auto"/>
          <w:szCs w:val="28"/>
          <w:highlight w:val="none"/>
        </w:rPr>
        <w:t>（煤层倾角一般为65°）</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②大河沟煤矿：</w:t>
      </w:r>
      <w:r>
        <w:rPr>
          <w:rFonts w:hint="default" w:ascii="Times New Roman" w:hAnsi="Times New Roman" w:cs="Times New Roman"/>
          <w:color w:val="auto"/>
          <w:szCs w:val="28"/>
          <w:highlight w:val="none"/>
        </w:rPr>
        <w:t>三夹连煤层已形成的采空区平面积为1</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rPr>
        <w:t>056</w:t>
      </w:r>
      <w:r>
        <w:rPr>
          <w:rFonts w:hint="eastAsia" w:cs="Times New Roman"/>
          <w:color w:val="auto"/>
          <w:szCs w:val="28"/>
          <w:highlight w:val="none"/>
          <w:lang w:val="en-US" w:eastAsia="zh-CN"/>
        </w:rPr>
        <w:t>0k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default" w:ascii="Times New Roman" w:hAnsi="Times New Roman" w:cs="Times New Roman"/>
          <w:color w:val="auto"/>
          <w:szCs w:val="28"/>
          <w:highlight w:val="none"/>
        </w:rPr>
        <w:t>内夹连煤层已形成的采空区平面积为1</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rPr>
        <w:t>1561</w:t>
      </w:r>
      <w:r>
        <w:rPr>
          <w:rFonts w:hint="eastAsia" w:cs="Times New Roman"/>
          <w:color w:val="auto"/>
          <w:szCs w:val="28"/>
          <w:highlight w:val="none"/>
          <w:lang w:val="en-US" w:eastAsia="zh-CN"/>
        </w:rPr>
        <w:t>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default" w:ascii="Times New Roman" w:hAnsi="Times New Roman" w:cs="Times New Roman"/>
          <w:color w:val="auto"/>
          <w:szCs w:val="28"/>
          <w:highlight w:val="none"/>
        </w:rPr>
        <w:t>内三夹连煤层已形成的采空区平面积为</w:t>
      </w:r>
      <w:r>
        <w:rPr>
          <w:rFonts w:hint="eastAsia" w:cs="Times New Roman"/>
          <w:color w:val="auto"/>
          <w:szCs w:val="28"/>
          <w:highlight w:val="none"/>
          <w:lang w:val="en-US" w:eastAsia="zh-CN"/>
        </w:rPr>
        <w:t>0.</w:t>
      </w:r>
      <w:r>
        <w:rPr>
          <w:rFonts w:hint="default" w:ascii="Times New Roman" w:hAnsi="Times New Roman" w:cs="Times New Roman"/>
          <w:color w:val="auto"/>
          <w:szCs w:val="28"/>
          <w:highlight w:val="none"/>
        </w:rPr>
        <w:t>7042</w:t>
      </w:r>
      <w:r>
        <w:rPr>
          <w:rFonts w:hint="eastAsia" w:cs="Times New Roman"/>
          <w:color w:val="auto"/>
          <w:szCs w:val="28"/>
          <w:highlight w:val="none"/>
          <w:lang w:val="en-US" w:eastAsia="zh-CN"/>
        </w:rPr>
        <w:t>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default" w:ascii="Times New Roman" w:hAnsi="Times New Roman" w:cs="Times New Roman"/>
          <w:color w:val="auto"/>
          <w:szCs w:val="28"/>
          <w:highlight w:val="none"/>
        </w:rPr>
        <w:t>矿井累计采空区平面积</w:t>
      </w:r>
      <w:r>
        <w:rPr>
          <w:rFonts w:hint="eastAsia" w:ascii="Times New Roman" w:hAnsi="Times New Roman" w:cs="Times New Roman"/>
          <w:color w:val="auto"/>
          <w:szCs w:val="28"/>
          <w:highlight w:val="none"/>
          <w:lang w:eastAsia="zh-CN"/>
        </w:rPr>
        <w:t>为</w:t>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rPr>
        <w:t>9167</w:t>
      </w:r>
      <w:r>
        <w:rPr>
          <w:rFonts w:hint="eastAsia" w:cs="Times New Roman"/>
          <w:color w:val="auto"/>
          <w:szCs w:val="28"/>
          <w:highlight w:val="none"/>
          <w:lang w:val="en-US" w:eastAsia="zh-CN"/>
        </w:rPr>
        <w:t>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p>
    <w:p>
      <w:pPr>
        <w:bidi w:val="0"/>
        <w:rPr>
          <w:rFonts w:hint="eastAsia" w:eastAsia="宋体" w:cs="Times New Roman"/>
          <w:color w:val="auto"/>
          <w:szCs w:val="28"/>
          <w:highlight w:val="none"/>
          <w:vertAlign w:val="baseline"/>
          <w:lang w:eastAsia="zh-CN"/>
        </w:rPr>
      </w:pPr>
      <w:r>
        <w:rPr>
          <w:rFonts w:hint="eastAsia" w:cs="Times New Roman"/>
          <w:color w:val="auto"/>
          <w:szCs w:val="28"/>
          <w:highlight w:val="none"/>
          <w:lang w:eastAsia="zh-CN"/>
        </w:rPr>
        <w:t>③刘家沟煤矿：</w:t>
      </w:r>
      <w:r>
        <w:rPr>
          <w:color w:val="auto"/>
          <w:szCs w:val="28"/>
          <w:highlight w:val="none"/>
        </w:rPr>
        <w:t>矿区范围内</w:t>
      </w:r>
      <w:r>
        <w:rPr>
          <w:rFonts w:hint="eastAsia"/>
          <w:color w:val="auto"/>
          <w:szCs w:val="28"/>
          <w:highlight w:val="none"/>
        </w:rPr>
        <w:t>K14</w:t>
      </w:r>
      <w:r>
        <w:rPr>
          <w:color w:val="auto"/>
          <w:szCs w:val="28"/>
          <w:highlight w:val="none"/>
        </w:rPr>
        <w:t>煤层已</w:t>
      </w:r>
      <w:r>
        <w:rPr>
          <w:rFonts w:hint="eastAsia"/>
          <w:color w:val="auto"/>
          <w:szCs w:val="28"/>
          <w:highlight w:val="none"/>
        </w:rPr>
        <w:t>大部</w:t>
      </w:r>
      <w:r>
        <w:rPr>
          <w:color w:val="auto"/>
          <w:szCs w:val="28"/>
          <w:highlight w:val="none"/>
        </w:rPr>
        <w:t>采空</w:t>
      </w:r>
      <w:r>
        <w:rPr>
          <w:rFonts w:hint="eastAsia"/>
          <w:color w:val="auto"/>
          <w:szCs w:val="28"/>
          <w:highlight w:val="none"/>
          <w:lang w:eastAsia="zh-CN"/>
        </w:rPr>
        <w:t>，</w:t>
      </w:r>
      <w:r>
        <w:rPr>
          <w:rFonts w:hint="eastAsia"/>
          <w:color w:val="auto"/>
          <w:szCs w:val="28"/>
          <w:highlight w:val="none"/>
        </w:rPr>
        <w:t>K6、K4</w:t>
      </w:r>
      <w:r>
        <w:rPr>
          <w:color w:val="auto"/>
          <w:szCs w:val="28"/>
          <w:highlight w:val="none"/>
        </w:rPr>
        <w:t>煤层</w:t>
      </w:r>
      <w:r>
        <w:rPr>
          <w:rFonts w:hint="eastAsia"/>
          <w:color w:val="auto"/>
          <w:szCs w:val="28"/>
          <w:highlight w:val="none"/>
        </w:rPr>
        <w:t>部分</w:t>
      </w:r>
      <w:r>
        <w:rPr>
          <w:color w:val="auto"/>
          <w:szCs w:val="28"/>
          <w:highlight w:val="none"/>
        </w:rPr>
        <w:t>采空</w:t>
      </w:r>
      <w:r>
        <w:rPr>
          <w:rFonts w:hint="eastAsia"/>
          <w:color w:val="auto"/>
          <w:szCs w:val="28"/>
          <w:highlight w:val="none"/>
          <w:lang w:eastAsia="zh-CN"/>
        </w:rPr>
        <w:t>，</w:t>
      </w:r>
      <w:r>
        <w:rPr>
          <w:color w:val="auto"/>
          <w:szCs w:val="28"/>
          <w:highlight w:val="none"/>
        </w:rPr>
        <w:t>采空面积总计</w:t>
      </w:r>
      <w:r>
        <w:rPr>
          <w:rFonts w:hint="eastAsia"/>
          <w:color w:val="auto"/>
          <w:szCs w:val="28"/>
          <w:highlight w:val="none"/>
        </w:rPr>
        <w:t>1</w:t>
      </w:r>
      <w:r>
        <w:rPr>
          <w:rFonts w:hint="eastAsia"/>
          <w:color w:val="auto"/>
          <w:szCs w:val="28"/>
          <w:highlight w:val="none"/>
          <w:lang w:val="en-US" w:eastAsia="zh-CN"/>
        </w:rPr>
        <w:t>.</w:t>
      </w:r>
      <w:r>
        <w:rPr>
          <w:rFonts w:hint="eastAsia"/>
          <w:color w:val="auto"/>
          <w:szCs w:val="28"/>
          <w:highlight w:val="none"/>
        </w:rPr>
        <w:t>0238</w:t>
      </w:r>
      <w:r>
        <w:rPr>
          <w:rFonts w:hint="eastAsia"/>
          <w:color w:val="auto"/>
          <w:szCs w:val="28"/>
          <w:highlight w:val="none"/>
          <w:lang w:val="en-US" w:eastAsia="zh-CN"/>
        </w:rPr>
        <w:t>k</w:t>
      </w:r>
      <w:r>
        <w:rPr>
          <w:color w:val="auto"/>
          <w:szCs w:val="28"/>
          <w:highlight w:val="none"/>
        </w:rPr>
        <w:t>m</w:t>
      </w:r>
      <w:r>
        <w:rPr>
          <w:color w:val="auto"/>
          <w:szCs w:val="28"/>
          <w:highlight w:val="none"/>
          <w:vertAlign w:val="superscript"/>
        </w:rPr>
        <w:t>2</w:t>
      </w:r>
      <w:r>
        <w:rPr>
          <w:rFonts w:hint="eastAsia"/>
          <w:color w:val="auto"/>
          <w:szCs w:val="28"/>
          <w:highlight w:val="none"/>
          <w:vertAlign w:val="baseli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④田坝煤矿：</w:t>
      </w:r>
      <w:r>
        <w:rPr>
          <w:color w:val="auto"/>
          <w:highlight w:val="none"/>
        </w:rPr>
        <w:t>目前+224m水平以上正连煤层全部采空</w:t>
      </w:r>
      <w:r>
        <w:rPr>
          <w:rFonts w:hint="eastAsia"/>
          <w:color w:val="auto"/>
          <w:highlight w:val="none"/>
          <w:lang w:eastAsia="zh-CN"/>
        </w:rPr>
        <w:t>，采空区总面积1.3171</w:t>
      </w:r>
      <w:r>
        <w:rPr>
          <w:rFonts w:hint="eastAsia"/>
          <w:color w:val="auto"/>
          <w:highlight w:val="none"/>
          <w:lang w:val="en-US" w:eastAsia="zh-CN"/>
        </w:rPr>
        <w:t>km</w:t>
      </w:r>
      <w:r>
        <w:rPr>
          <w:rFonts w:hint="eastAsia"/>
          <w:color w:val="auto"/>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⑤大硐坪煤矿：目前+534m标高以上三夹连和内连煤层已全部被采空，+534m</w:t>
      </w:r>
      <w:r>
        <w:rPr>
          <w:rFonts w:hint="eastAsia" w:cs="Times New Roman"/>
          <w:color w:val="auto"/>
          <w:szCs w:val="28"/>
          <w:highlight w:val="none"/>
          <w:lang w:val="zh-CN" w:eastAsia="zh-CN"/>
        </w:rPr>
        <w:t>～</w:t>
      </w:r>
      <w:r>
        <w:rPr>
          <w:rFonts w:hint="eastAsia" w:cs="Times New Roman"/>
          <w:color w:val="auto"/>
          <w:szCs w:val="28"/>
          <w:highlight w:val="none"/>
          <w:lang w:eastAsia="zh-CN"/>
        </w:rPr>
        <w:t>+463</w:t>
      </w:r>
      <w:r>
        <w:rPr>
          <w:rFonts w:hint="eastAsia" w:cs="Times New Roman"/>
          <w:color w:val="auto"/>
          <w:szCs w:val="28"/>
          <w:highlight w:val="none"/>
          <w:lang w:val="zh-CN" w:eastAsia="zh-CN"/>
        </w:rPr>
        <w:t>m之间，三夹连和内连已大部采空</w:t>
      </w:r>
      <w:r>
        <w:rPr>
          <w:rFonts w:hint="eastAsia" w:cs="Times New Roman"/>
          <w:color w:val="auto"/>
          <w:szCs w:val="28"/>
          <w:highlight w:val="none"/>
          <w:lang w:eastAsia="zh-CN"/>
        </w:rPr>
        <w:t>，</w:t>
      </w:r>
      <w:r>
        <w:rPr>
          <w:color w:val="auto"/>
          <w:szCs w:val="28"/>
          <w:highlight w:val="none"/>
        </w:rPr>
        <w:t>采空面积总计</w:t>
      </w:r>
      <w:r>
        <w:rPr>
          <w:rFonts w:hint="eastAsia"/>
          <w:color w:val="auto"/>
          <w:szCs w:val="28"/>
          <w:highlight w:val="none"/>
          <w:lang w:val="en-US" w:eastAsia="zh-CN"/>
        </w:rPr>
        <w:t>3.5610k</w:t>
      </w:r>
      <w:r>
        <w:rPr>
          <w:color w:val="auto"/>
          <w:szCs w:val="28"/>
          <w:highlight w:val="none"/>
        </w:rPr>
        <w:t>m</w:t>
      </w:r>
      <w:r>
        <w:rPr>
          <w:color w:val="auto"/>
          <w:szCs w:val="28"/>
          <w:highlight w:val="none"/>
          <w:vertAlign w:val="superscript"/>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⑥堡子煤矿：</w:t>
      </w:r>
      <w:r>
        <w:rPr>
          <w:rFonts w:hint="eastAsia" w:cs="Times New Roman"/>
          <w:color w:val="auto"/>
          <w:szCs w:val="28"/>
          <w:highlight w:val="none"/>
          <w:lang w:val="en-US" w:eastAsia="zh-CN"/>
        </w:rPr>
        <w:t>外大连</w:t>
      </w:r>
      <w:r>
        <w:rPr>
          <w:rFonts w:hint="default" w:ascii="Times New Roman" w:hAnsi="Times New Roman" w:cs="Times New Roman"/>
          <w:color w:val="auto"/>
          <w:szCs w:val="28"/>
          <w:highlight w:val="none"/>
          <w:lang w:val="en-US" w:eastAsia="zh-CN"/>
        </w:rPr>
        <w:t>煤层</w:t>
      </w:r>
      <w:r>
        <w:rPr>
          <w:rFonts w:hint="default" w:ascii="Times New Roman" w:hAnsi="Times New Roman" w:cs="Times New Roman"/>
          <w:color w:val="auto"/>
          <w:szCs w:val="28"/>
          <w:highlight w:val="none"/>
        </w:rPr>
        <w:t>采空区斜面积为</w:t>
      </w:r>
      <w:r>
        <w:rPr>
          <w:rFonts w:hint="eastAsia" w:cs="Times New Roman"/>
          <w:color w:val="auto"/>
          <w:szCs w:val="28"/>
          <w:highlight w:val="none"/>
          <w:lang w:val="en-US" w:eastAsia="zh-CN"/>
        </w:rPr>
        <w:t>4.1955k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eastAsia" w:cs="Times New Roman"/>
          <w:color w:val="auto"/>
          <w:szCs w:val="28"/>
          <w:highlight w:val="none"/>
          <w:lang w:val="en-US" w:eastAsia="zh-CN"/>
        </w:rPr>
        <w:t>蛮炭</w:t>
      </w:r>
      <w:r>
        <w:rPr>
          <w:rFonts w:hint="default" w:ascii="Times New Roman" w:hAnsi="Times New Roman" w:cs="Times New Roman"/>
          <w:color w:val="auto"/>
          <w:szCs w:val="28"/>
          <w:highlight w:val="none"/>
          <w:lang w:val="en-US" w:eastAsia="zh-CN"/>
        </w:rPr>
        <w:t>煤层</w:t>
      </w:r>
      <w:r>
        <w:rPr>
          <w:rFonts w:hint="default" w:ascii="Times New Roman" w:hAnsi="Times New Roman" w:cs="Times New Roman"/>
          <w:color w:val="auto"/>
          <w:szCs w:val="28"/>
          <w:highlight w:val="none"/>
        </w:rPr>
        <w:t>采空区斜面积为</w:t>
      </w:r>
      <w:r>
        <w:rPr>
          <w:rFonts w:hint="eastAsia" w:cs="Times New Roman"/>
          <w:color w:val="auto"/>
          <w:szCs w:val="28"/>
          <w:highlight w:val="none"/>
          <w:lang w:val="en-US" w:eastAsia="zh-CN"/>
        </w:rPr>
        <w:t>4.3658k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r>
        <w:rPr>
          <w:rFonts w:hint="default" w:ascii="Times New Roman" w:hAnsi="Times New Roman" w:cs="Times New Roman"/>
          <w:color w:val="auto"/>
          <w:szCs w:val="28"/>
          <w:highlight w:val="none"/>
        </w:rPr>
        <w:t>采空区累计</w:t>
      </w:r>
      <w:r>
        <w:rPr>
          <w:rFonts w:hint="default" w:ascii="Times New Roman" w:hAnsi="Times New Roman" w:cs="Times New Roman"/>
          <w:color w:val="auto"/>
          <w:szCs w:val="28"/>
          <w:highlight w:val="none"/>
          <w:lang w:eastAsia="zh-CN"/>
        </w:rPr>
        <w:t>斜</w:t>
      </w:r>
      <w:r>
        <w:rPr>
          <w:rFonts w:hint="default" w:ascii="Times New Roman" w:hAnsi="Times New Roman" w:cs="Times New Roman"/>
          <w:color w:val="auto"/>
          <w:szCs w:val="28"/>
          <w:highlight w:val="none"/>
        </w:rPr>
        <w:t>面积达</w:t>
      </w:r>
      <w:r>
        <w:rPr>
          <w:rFonts w:hint="eastAsia" w:cs="Times New Roman"/>
          <w:color w:val="auto"/>
          <w:szCs w:val="28"/>
          <w:highlight w:val="none"/>
          <w:lang w:val="en-US" w:eastAsia="zh-CN"/>
        </w:rPr>
        <w:t>8.5613k</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⑦观音煤矿：目前</w:t>
      </w:r>
      <w:r>
        <w:rPr>
          <w:rFonts w:hint="eastAsia" w:cs="Times New Roman"/>
          <w:color w:val="auto"/>
          <w:szCs w:val="28"/>
          <w:highlight w:val="none"/>
          <w:lang w:val="en-US" w:eastAsia="zh-CN"/>
        </w:rPr>
        <w:t>矿井总采空面积3.0888km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⑧黑滩煤矿：目前矿井正连、内正连煤层+320m水平以上资源已基本采空，形成总采空区面积</w:t>
      </w:r>
      <w:r>
        <w:rPr>
          <w:rFonts w:hint="eastAsia" w:cs="Times New Roman"/>
          <w:color w:val="auto"/>
          <w:szCs w:val="28"/>
          <w:highlight w:val="none"/>
          <w:lang w:val="en-US" w:eastAsia="zh-CN"/>
        </w:rPr>
        <w:t>1.4392km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⑨新桥红星煤矿：目前矿井五大连煤层+160m～+235m间大部分已开采；+80m～+160m间北大巷北端采空约700m，形成总采空区面积</w:t>
      </w:r>
      <w:r>
        <w:rPr>
          <w:rFonts w:hint="eastAsia" w:cs="Times New Roman"/>
          <w:color w:val="auto"/>
          <w:szCs w:val="28"/>
          <w:highlight w:val="none"/>
          <w:lang w:val="en-US" w:eastAsia="zh-CN"/>
        </w:rPr>
        <w:t>1.1200km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⑩牛郎沟煤矿：目前</w:t>
      </w:r>
      <w:r>
        <w:rPr>
          <w:rFonts w:hint="eastAsia" w:cs="Times New Roman"/>
          <w:color w:val="auto"/>
          <w:szCs w:val="28"/>
          <w:highlight w:val="none"/>
          <w:lang w:val="zh-CN" w:eastAsia="zh-CN"/>
        </w:rPr>
        <w:t>主平硐以上K8、K13煤层均采空，K7、K14煤层主平硐之上部分采空，形成</w:t>
      </w:r>
      <w:r>
        <w:rPr>
          <w:rFonts w:hint="eastAsia" w:cs="Times New Roman"/>
          <w:color w:val="auto"/>
          <w:szCs w:val="28"/>
          <w:highlight w:val="none"/>
          <w:lang w:eastAsia="zh-CN"/>
        </w:rPr>
        <w:t>总采空区面积</w:t>
      </w:r>
      <w:r>
        <w:rPr>
          <w:rFonts w:hint="eastAsia" w:cs="Times New Roman"/>
          <w:color w:val="auto"/>
          <w:szCs w:val="28"/>
          <w:highlight w:val="none"/>
          <w:lang w:val="en-US" w:eastAsia="zh-CN"/>
        </w:rPr>
        <w:t>2.4204km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⑪平桥煤矿：目前K16、K15、K8煤层</w:t>
      </w:r>
      <w:r>
        <w:rPr>
          <w:rFonts w:hint="eastAsia" w:cs="Times New Roman"/>
          <w:color w:val="auto"/>
          <w:szCs w:val="28"/>
          <w:highlight w:val="none"/>
          <w:lang w:val="en-US" w:eastAsia="zh-CN"/>
        </w:rPr>
        <w:t>+250m水平以上</w:t>
      </w:r>
      <w:r>
        <w:rPr>
          <w:rFonts w:hint="eastAsia" w:cs="Times New Roman"/>
          <w:color w:val="auto"/>
          <w:szCs w:val="28"/>
          <w:highlight w:val="none"/>
          <w:lang w:eastAsia="zh-CN"/>
        </w:rPr>
        <w:t>基本采空，</w:t>
      </w:r>
      <w:r>
        <w:rPr>
          <w:rFonts w:hint="eastAsia" w:cs="Times New Roman"/>
          <w:color w:val="auto"/>
          <w:szCs w:val="28"/>
          <w:highlight w:val="none"/>
          <w:lang w:val="zh-CN" w:eastAsia="zh-CN"/>
        </w:rPr>
        <w:t>形成</w:t>
      </w:r>
      <w:r>
        <w:rPr>
          <w:rFonts w:hint="eastAsia" w:cs="Times New Roman"/>
          <w:color w:val="auto"/>
          <w:szCs w:val="28"/>
          <w:highlight w:val="none"/>
          <w:lang w:eastAsia="zh-CN"/>
        </w:rPr>
        <w:t>总采空区面积</w:t>
      </w:r>
      <w:r>
        <w:rPr>
          <w:rFonts w:hint="eastAsia" w:cs="Times New Roman"/>
          <w:color w:val="auto"/>
          <w:szCs w:val="28"/>
          <w:highlight w:val="none"/>
          <w:lang w:val="en-US" w:eastAsia="zh-CN"/>
        </w:rPr>
        <w:t>3.8950km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⑫孔家沟煤矿：目前矿井+243m以上基本采空，煤层K11、K9采空面积为2.88</w:t>
      </w:r>
      <w:r>
        <w:rPr>
          <w:rFonts w:hint="eastAsia" w:cs="Times New Roman"/>
          <w:color w:val="auto"/>
          <w:szCs w:val="28"/>
          <w:highlight w:val="none"/>
          <w:lang w:val="en-US" w:eastAsia="zh-CN"/>
        </w:rPr>
        <w:t>00k</w:t>
      </w:r>
      <w:r>
        <w:rPr>
          <w:rFonts w:hint="eastAsia" w:cs="Times New Roman"/>
          <w:color w:val="auto"/>
          <w:szCs w:val="28"/>
          <w:highlight w:val="none"/>
          <w:lang w:eastAsia="zh-CN"/>
        </w:rPr>
        <w:t>m</w:t>
      </w:r>
      <w:r>
        <w:rPr>
          <w:rFonts w:hint="eastAsia" w:cs="Times New Roman"/>
          <w:color w:val="auto"/>
          <w:szCs w:val="28"/>
          <w:highlight w:val="none"/>
          <w:vertAlign w:val="superscript"/>
          <w:lang w:eastAsia="zh-CN"/>
        </w:rPr>
        <w:t>2</w:t>
      </w:r>
      <w:r>
        <w:rPr>
          <w:rFonts w:hint="eastAsia" w:cs="Times New Roman"/>
          <w:color w:val="auto"/>
          <w:szCs w:val="28"/>
          <w:highlight w:val="none"/>
          <w:lang w:eastAsia="zh-CN"/>
        </w:rPr>
        <w:t>，K6采空面积为1.92</w:t>
      </w:r>
      <w:r>
        <w:rPr>
          <w:rFonts w:hint="eastAsia" w:cs="Times New Roman"/>
          <w:color w:val="auto"/>
          <w:szCs w:val="28"/>
          <w:highlight w:val="none"/>
          <w:lang w:val="en-US" w:eastAsia="zh-CN"/>
        </w:rPr>
        <w:t>00k</w:t>
      </w:r>
      <w:r>
        <w:rPr>
          <w:rFonts w:hint="eastAsia" w:cs="Times New Roman"/>
          <w:color w:val="auto"/>
          <w:szCs w:val="28"/>
          <w:highlight w:val="none"/>
          <w:lang w:eastAsia="zh-CN"/>
        </w:rPr>
        <w:t>m</w:t>
      </w:r>
      <w:r>
        <w:rPr>
          <w:rFonts w:hint="eastAsia" w:cs="Times New Roman"/>
          <w:color w:val="auto"/>
          <w:szCs w:val="28"/>
          <w:highlight w:val="none"/>
          <w:vertAlign w:val="superscript"/>
          <w:lang w:eastAsia="zh-CN"/>
        </w:rPr>
        <w:t>2</w:t>
      </w:r>
      <w:r>
        <w:rPr>
          <w:rFonts w:hint="eastAsia" w:cs="Times New Roman"/>
          <w:color w:val="auto"/>
          <w:szCs w:val="28"/>
          <w:highlight w:val="none"/>
          <w:vertAlign w:val="baseline"/>
          <w:lang w:eastAsia="zh-CN"/>
        </w:rPr>
        <w:t>，</w:t>
      </w:r>
      <w:r>
        <w:rPr>
          <w:rFonts w:hint="eastAsia" w:cs="Times New Roman"/>
          <w:color w:val="auto"/>
          <w:szCs w:val="28"/>
          <w:highlight w:val="none"/>
          <w:lang w:val="zh-CN" w:eastAsia="zh-CN"/>
        </w:rPr>
        <w:t>形成</w:t>
      </w:r>
      <w:r>
        <w:rPr>
          <w:rFonts w:hint="eastAsia" w:cs="Times New Roman"/>
          <w:color w:val="auto"/>
          <w:szCs w:val="28"/>
          <w:highlight w:val="none"/>
          <w:lang w:eastAsia="zh-CN"/>
        </w:rPr>
        <w:t>总采空区面积</w:t>
      </w:r>
      <w:r>
        <w:rPr>
          <w:rFonts w:hint="eastAsia" w:cs="Times New Roman"/>
          <w:color w:val="auto"/>
          <w:szCs w:val="28"/>
          <w:highlight w:val="none"/>
          <w:lang w:val="en-US" w:eastAsia="zh-CN"/>
        </w:rPr>
        <w:t>4.8000km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cs="Times New Roman"/>
          <w:color w:val="auto"/>
          <w:szCs w:val="28"/>
          <w:highlight w:val="none"/>
          <w:lang w:eastAsia="zh-CN"/>
        </w:rPr>
      </w:pPr>
      <w:r>
        <w:rPr>
          <w:rFonts w:hint="eastAsia" w:cs="Times New Roman"/>
          <w:color w:val="auto"/>
          <w:szCs w:val="28"/>
          <w:highlight w:val="none"/>
          <w:lang w:eastAsia="zh-CN"/>
        </w:rPr>
        <w:t>⑬荣华煤矿：目前</w:t>
      </w:r>
      <w:r>
        <w:rPr>
          <w:rFonts w:hint="eastAsia" w:cs="Times New Roman"/>
          <w:color w:val="auto"/>
          <w:szCs w:val="28"/>
          <w:highlight w:val="none"/>
          <w:lang w:val="en-US" w:eastAsia="zh-CN"/>
        </w:rPr>
        <w:t>+100m以上已基本采空，</w:t>
      </w:r>
      <w:r>
        <w:rPr>
          <w:rFonts w:hint="eastAsia" w:cs="Times New Roman"/>
          <w:color w:val="auto"/>
          <w:szCs w:val="28"/>
          <w:highlight w:val="none"/>
          <w:lang w:val="zh-CN" w:eastAsia="zh-CN"/>
        </w:rPr>
        <w:t>形成</w:t>
      </w:r>
      <w:r>
        <w:rPr>
          <w:rFonts w:hint="eastAsia" w:cs="Times New Roman"/>
          <w:color w:val="auto"/>
          <w:szCs w:val="28"/>
          <w:highlight w:val="none"/>
          <w:lang w:eastAsia="zh-CN"/>
        </w:rPr>
        <w:t>总采空区面积</w:t>
      </w:r>
      <w:r>
        <w:rPr>
          <w:rFonts w:hint="eastAsia" w:cs="Times New Roman"/>
          <w:color w:val="auto"/>
          <w:szCs w:val="28"/>
          <w:highlight w:val="none"/>
          <w:lang w:val="en-US" w:eastAsia="zh-CN"/>
        </w:rPr>
        <w:t>1.3840km</w:t>
      </w:r>
      <w:r>
        <w:rPr>
          <w:rFonts w:hint="eastAsia" w:cs="Times New Roman"/>
          <w:color w:val="auto"/>
          <w:szCs w:val="28"/>
          <w:highlight w:val="none"/>
          <w:vertAlign w:val="superscript"/>
          <w:lang w:val="en-US" w:eastAsia="zh-CN"/>
        </w:rPr>
        <w:t>2</w:t>
      </w:r>
      <w:r>
        <w:rPr>
          <w:rFonts w:hint="eastAsia" w:cs="Times New Roman"/>
          <w:color w:val="auto"/>
          <w:szCs w:val="28"/>
          <w:highlight w:val="none"/>
          <w:lang w:eastAsia="zh-CN"/>
        </w:rPr>
        <w:t>；</w:t>
      </w:r>
    </w:p>
    <w:p>
      <w:pPr>
        <w:bidi w:val="0"/>
        <w:rPr>
          <w:rFonts w:hint="eastAsia" w:eastAsia="宋体"/>
          <w:color w:val="auto"/>
          <w:highlight w:val="none"/>
          <w:lang w:val="en-US" w:eastAsia="zh-CN"/>
        </w:rPr>
      </w:pPr>
      <w:r>
        <w:rPr>
          <w:rFonts w:hint="eastAsia" w:cs="Times New Roman"/>
          <w:color w:val="auto"/>
          <w:szCs w:val="28"/>
          <w:highlight w:val="none"/>
          <w:lang w:eastAsia="zh-CN"/>
        </w:rPr>
        <w:t>⑭柏林煤矿：K18煤层+230~±0水平除082采区外均已开采完毕，±0~-200水平的采空区范围为10~15号勘探线之间；K24煤层+230~±0水平除047、043采区外均已开采，±0~-200水平的采空区范围为12~15号勘探线之间；K25煤层+230~±0水平除043采区外均已开采，±0~-200水平的采空区范围为12~15号勘探线之间；K26煤层+230~±0水平均已开采完毕，±0~-200水平的采空区范围为5~8号勘探线之间；K27煤层+230~±0水平均已开采完毕，±0~-200水平的采空区范围为5~8号勘探线之间；</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3.6.3.2 地表沉陷表现形式</w:t>
      </w:r>
    </w:p>
    <w:p>
      <w:pPr>
        <w:bidi w:val="0"/>
        <w:rPr>
          <w:rFonts w:hint="eastAsia"/>
          <w:color w:val="auto"/>
          <w:highlight w:val="none"/>
          <w:lang w:val="en-US" w:eastAsia="zh-CN"/>
        </w:rPr>
      </w:pPr>
      <w:r>
        <w:rPr>
          <w:rFonts w:hint="eastAsia"/>
          <w:color w:val="auto"/>
          <w:highlight w:val="none"/>
          <w:lang w:val="en-US" w:eastAsia="zh-CN"/>
        </w:rPr>
        <w:t>规划区内的各煤炭矿井已存在多年，经过充分采动和泥砂充填，原形成的采空塌陷区现已基本稳定，且植被恢复良好，经过现在的封山育林，森林茂密，据收集到的各煤矿资料和此次调查，规划区内各矿井地表未见明显的采空塌陷裂隙等地质灾害。</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3.6.3.3 治理措施</w:t>
      </w:r>
    </w:p>
    <w:p>
      <w:pPr>
        <w:bidi w:val="0"/>
        <w:rPr>
          <w:rFonts w:hint="default"/>
          <w:color w:val="auto"/>
          <w:highlight w:val="none"/>
          <w:lang w:val="en-US" w:eastAsia="zh-CN"/>
        </w:rPr>
      </w:pPr>
      <w:r>
        <w:rPr>
          <w:rFonts w:hint="default"/>
          <w:color w:val="auto"/>
          <w:highlight w:val="none"/>
          <w:lang w:val="en-US" w:eastAsia="zh-CN"/>
        </w:rPr>
        <w:t>对于采空区矿区采取了局部充填的方法，即利用周围的废渣矿石和井下煤矸石对主要地段进行充填。</w:t>
      </w:r>
    </w:p>
    <w:p>
      <w:pPr>
        <w:pStyle w:val="6"/>
        <w:numPr>
          <w:ilvl w:val="2"/>
          <w:numId w:val="5"/>
        </w:numPr>
        <w:bidi w:val="0"/>
        <w:rPr>
          <w:color w:val="auto"/>
          <w:highlight w:val="none"/>
        </w:rPr>
      </w:pPr>
      <w:bookmarkStart w:id="265" w:name="_Toc24142"/>
      <w:bookmarkStart w:id="266" w:name="_Toc9924"/>
      <w:r>
        <w:rPr>
          <w:rFonts w:hint="eastAsia"/>
          <w:color w:val="auto"/>
          <w:highlight w:val="none"/>
          <w:lang w:eastAsia="zh-CN"/>
        </w:rPr>
        <w:t>生态环境影响回顾性评价</w:t>
      </w:r>
      <w:bookmarkEnd w:id="265"/>
      <w:bookmarkEnd w:id="266"/>
    </w:p>
    <w:p>
      <w:pPr>
        <w:bidi w:val="0"/>
        <w:rPr>
          <w:color w:val="auto"/>
          <w:highlight w:val="none"/>
        </w:rPr>
      </w:pPr>
      <w:r>
        <w:rPr>
          <w:rFonts w:hint="eastAsia"/>
          <w:color w:val="auto"/>
          <w:highlight w:val="none"/>
        </w:rPr>
        <w:t>大竹县规划设置的14个采矿权，其中有升级改造矿井9个（荣华煤矿、华家沟煤矿、孔家沟煤矿、刘家沟联合煤矿、平桥煤矿、牛郎沟煤矿、田坝煤矿、黑滩煤矿和新桥红星煤矿），保留生产矿井5个（堡子煤矿、观音煤矿、柏林煤矿、大硐坪煤矿和大河沟煤矿）。矿山建设及开采过程中必然对区域生态环境造成一定的影响，由于项目各矿井均开采运营多年，其对区域生态环境的影响已经形成且达到稳定水平。结合实地调查，综合分析项目矿井的开采对区域生态环境造成的影响为小。</w:t>
      </w:r>
    </w:p>
    <w:p>
      <w:pPr>
        <w:bidi w:val="0"/>
        <w:rPr>
          <w:color w:val="auto"/>
          <w:highlight w:val="none"/>
        </w:rPr>
      </w:pPr>
      <w:r>
        <w:rPr>
          <w:rFonts w:hint="eastAsia"/>
          <w:color w:val="auto"/>
          <w:highlight w:val="none"/>
        </w:rPr>
        <w:t>（1）本次</w:t>
      </w:r>
      <w:r>
        <w:rPr>
          <w:color w:val="auto"/>
          <w:highlight w:val="none"/>
        </w:rPr>
        <w:t>野外调查及参阅相关资料记载，不完全统计有维管植物133科473属792种，其中，蕨类植物17科27属48种、裸子植物5科10属14种、被子植111科436属730种（其中：单子叶植物16科80属130种，双子叶植物95科356属600种）</w:t>
      </w:r>
      <w:r>
        <w:rPr>
          <w:rFonts w:hint="eastAsia"/>
          <w:color w:val="auto"/>
          <w:highlight w:val="none"/>
        </w:rPr>
        <w:t>。</w:t>
      </w:r>
      <w:r>
        <w:rPr>
          <w:color w:val="auto"/>
          <w:highlight w:val="none"/>
        </w:rPr>
        <w:t>有保护植物11种，其中，国家Ⅰ级保护植物2种，国家Ⅱ级保护植物9种</w:t>
      </w:r>
      <w:r>
        <w:rPr>
          <w:rFonts w:hint="eastAsia"/>
          <w:color w:val="auto"/>
          <w:highlight w:val="none"/>
        </w:rPr>
        <w:t>。</w:t>
      </w:r>
      <w:r>
        <w:rPr>
          <w:color w:val="auto"/>
          <w:highlight w:val="none"/>
        </w:rPr>
        <w:t>评价区内自然植被可以分为6个植被型、6个植被亚型、10个群系，主要有马尾松林、杉木林、柏木林、</w:t>
      </w:r>
      <w:r>
        <w:rPr>
          <w:rFonts w:hint="eastAsia"/>
          <w:color w:val="auto"/>
          <w:highlight w:val="none"/>
        </w:rPr>
        <w:t>竹林、黄荆-马桑</w:t>
      </w:r>
      <w:r>
        <w:rPr>
          <w:color w:val="auto"/>
          <w:highlight w:val="none"/>
        </w:rPr>
        <w:t>灌丛、</w:t>
      </w:r>
      <w:r>
        <w:rPr>
          <w:rFonts w:hint="eastAsia"/>
          <w:color w:val="auto"/>
          <w:highlight w:val="none"/>
        </w:rPr>
        <w:t>丝茅</w:t>
      </w:r>
      <w:r>
        <w:rPr>
          <w:color w:val="auto"/>
          <w:highlight w:val="none"/>
        </w:rPr>
        <w:t>灌草丛等</w:t>
      </w:r>
      <w:r>
        <w:rPr>
          <w:rFonts w:hint="eastAsia"/>
          <w:color w:val="auto"/>
          <w:highlight w:val="none"/>
        </w:rPr>
        <w:t>，植被类型中以柏木林、马尾松林及竹林为主</w:t>
      </w:r>
      <w:r>
        <w:rPr>
          <w:color w:val="auto"/>
          <w:highlight w:val="none"/>
        </w:rPr>
        <w:t>。</w:t>
      </w:r>
      <w:r>
        <w:rPr>
          <w:rFonts w:hint="eastAsia"/>
          <w:color w:val="auto"/>
          <w:highlight w:val="none"/>
        </w:rPr>
        <w:t>可见，项目评价区植物多样性较高，植被类型未受到矿山开采而导致大面积的破坏。由此，项目煤炭矿区开采至今未对区域植物多样性及植被造成显著影响。</w:t>
      </w:r>
    </w:p>
    <w:p>
      <w:pPr>
        <w:bidi w:val="0"/>
        <w:rPr>
          <w:color w:val="auto"/>
          <w:highlight w:val="none"/>
        </w:rPr>
      </w:pPr>
      <w:r>
        <w:rPr>
          <w:rFonts w:hint="eastAsia"/>
          <w:color w:val="auto"/>
          <w:highlight w:val="none"/>
        </w:rPr>
        <w:t>（2）本次</w:t>
      </w:r>
      <w:r>
        <w:rPr>
          <w:color w:val="auto"/>
          <w:highlight w:val="none"/>
        </w:rPr>
        <w:t>评价区内</w:t>
      </w:r>
      <w:r>
        <w:rPr>
          <w:rFonts w:hint="eastAsia"/>
          <w:color w:val="auto"/>
          <w:highlight w:val="none"/>
        </w:rPr>
        <w:t>陆生</w:t>
      </w:r>
      <w:r>
        <w:rPr>
          <w:color w:val="auto"/>
          <w:highlight w:val="none"/>
        </w:rPr>
        <w:t>脊椎动物种数</w:t>
      </w:r>
      <w:r>
        <w:rPr>
          <w:rFonts w:hint="eastAsia"/>
          <w:color w:val="auto"/>
          <w:highlight w:val="none"/>
        </w:rPr>
        <w:t>不完全</w:t>
      </w:r>
      <w:r>
        <w:rPr>
          <w:color w:val="auto"/>
          <w:highlight w:val="none"/>
        </w:rPr>
        <w:t>计</w:t>
      </w:r>
      <w:r>
        <w:rPr>
          <w:rFonts w:hint="eastAsia"/>
          <w:color w:val="auto"/>
          <w:highlight w:val="none"/>
        </w:rPr>
        <w:t>有</w:t>
      </w:r>
      <w:r>
        <w:rPr>
          <w:color w:val="auto"/>
          <w:highlight w:val="none"/>
        </w:rPr>
        <w:t>129种，分属于4纲22目67科，其中：两栖类1目4科9种、爬行类2目6科13种，鸟类13目38科88种，兽类6目9科19种。实地调查记录到苍鹰、灰胸竹鸡、小䴙䴘、棕胸竹鸡</w:t>
      </w:r>
      <w:r>
        <w:rPr>
          <w:rFonts w:hint="eastAsia"/>
          <w:color w:val="auto"/>
          <w:highlight w:val="none"/>
        </w:rPr>
        <w:t>的活动。评价区内动物多样性较高，同时在项目矿井附近记录有白头鹎、白颊噪鹛、白鹡鸰、珠颈斑鸠等大量的鸟类活动，表明项目煤炭开采至今未对区域动物多样性造成显著影响。</w:t>
      </w:r>
    </w:p>
    <w:p>
      <w:pPr>
        <w:bidi w:val="0"/>
        <w:rPr>
          <w:color w:val="auto"/>
          <w:highlight w:val="none"/>
        </w:rPr>
      </w:pPr>
      <w:r>
        <w:rPr>
          <w:rFonts w:hint="eastAsia"/>
          <w:color w:val="auto"/>
          <w:highlight w:val="none"/>
        </w:rPr>
        <w:t>（3）</w:t>
      </w:r>
      <w:r>
        <w:rPr>
          <w:color w:val="auto"/>
          <w:highlight w:val="none"/>
        </w:rPr>
        <w:t>调查区域内土地利用现状由</w:t>
      </w:r>
      <w:r>
        <w:rPr>
          <w:rFonts w:hint="eastAsia"/>
          <w:color w:val="auto"/>
          <w:highlight w:val="none"/>
        </w:rPr>
        <w:t>有林地、灌木林地、耕地、城乡居民及工矿用地、交通运输用地和水域</w:t>
      </w:r>
      <w:r>
        <w:rPr>
          <w:color w:val="auto"/>
          <w:highlight w:val="none"/>
        </w:rPr>
        <w:t>6种类型。项目</w:t>
      </w:r>
      <w:r>
        <w:rPr>
          <w:rFonts w:hint="eastAsia"/>
          <w:color w:val="auto"/>
          <w:highlight w:val="none"/>
        </w:rPr>
        <w:t>规划</w:t>
      </w:r>
      <w:r>
        <w:rPr>
          <w:color w:val="auto"/>
          <w:highlight w:val="none"/>
        </w:rPr>
        <w:t>评价区域内生态系统可以分为自然生态系统和人工生态系统两大类型，自然生态系统又以森林生态系统、灌</w:t>
      </w:r>
      <w:r>
        <w:rPr>
          <w:rFonts w:hint="eastAsia"/>
          <w:color w:val="auto"/>
          <w:highlight w:val="none"/>
        </w:rPr>
        <w:t>草</w:t>
      </w:r>
      <w:r>
        <w:rPr>
          <w:color w:val="auto"/>
          <w:highlight w:val="none"/>
        </w:rPr>
        <w:t>丛生态系统和水域生态系统</w:t>
      </w:r>
      <w:r>
        <w:rPr>
          <w:rFonts w:hint="eastAsia"/>
          <w:color w:val="auto"/>
          <w:highlight w:val="none"/>
        </w:rPr>
        <w:t>三</w:t>
      </w:r>
      <w:r>
        <w:rPr>
          <w:color w:val="auto"/>
          <w:highlight w:val="none"/>
        </w:rPr>
        <w:t>种类型为主。人工生态系统主要是农田</w:t>
      </w:r>
      <w:r>
        <w:rPr>
          <w:rFonts w:hint="eastAsia"/>
          <w:color w:val="auto"/>
          <w:highlight w:val="none"/>
        </w:rPr>
        <w:t>聚落</w:t>
      </w:r>
      <w:r>
        <w:rPr>
          <w:color w:val="auto"/>
          <w:highlight w:val="none"/>
        </w:rPr>
        <w:t>生态系统与</w:t>
      </w:r>
      <w:r>
        <w:rPr>
          <w:rFonts w:hint="eastAsia"/>
          <w:color w:val="auto"/>
          <w:highlight w:val="none"/>
        </w:rPr>
        <w:t>道路</w:t>
      </w:r>
      <w:r>
        <w:rPr>
          <w:color w:val="auto"/>
          <w:highlight w:val="none"/>
        </w:rPr>
        <w:t>生态系统。</w:t>
      </w:r>
      <w:r>
        <w:rPr>
          <w:rFonts w:hint="eastAsia"/>
          <w:color w:val="auto"/>
          <w:highlight w:val="none"/>
        </w:rPr>
        <w:t>区域植被及生态系统未受到煤炭开采而导致大面积的破坏，故项目矿井的开采对区域生态系统结构及功能的影响较小</w:t>
      </w:r>
      <w:r>
        <w:rPr>
          <w:color w:val="auto"/>
          <w:highlight w:val="none"/>
        </w:rPr>
        <w:t>。</w:t>
      </w:r>
    </w:p>
    <w:p>
      <w:pPr>
        <w:bidi w:val="0"/>
        <w:rPr>
          <w:color w:val="auto"/>
          <w:highlight w:val="none"/>
        </w:rPr>
      </w:pPr>
      <w:r>
        <w:rPr>
          <w:rFonts w:hint="eastAsia"/>
          <w:color w:val="auto"/>
          <w:highlight w:val="none"/>
        </w:rPr>
        <w:t>综上所述，项目矿井开采至今未对区域植物多样性、植被、动物多样性及生态系统结构和功能造成显著影响，区域仍保持较高的动植物多样性，表明矿山开采至今对对区域生态环境造成的影响为小。</w:t>
      </w:r>
    </w:p>
    <w:p>
      <w:pPr>
        <w:pStyle w:val="6"/>
        <w:numPr>
          <w:ilvl w:val="2"/>
          <w:numId w:val="5"/>
        </w:numPr>
        <w:bidi w:val="0"/>
        <w:rPr>
          <w:color w:val="auto"/>
          <w:highlight w:val="none"/>
        </w:rPr>
      </w:pPr>
      <w:bookmarkStart w:id="267" w:name="_Toc20256"/>
      <w:bookmarkStart w:id="268" w:name="_Toc29215"/>
      <w:r>
        <w:rPr>
          <w:rFonts w:hint="eastAsia"/>
          <w:color w:val="auto"/>
          <w:highlight w:val="none"/>
          <w:lang w:eastAsia="zh-CN"/>
        </w:rPr>
        <w:t>规划煤炭矿区内各级环保督察交办事项、环保投诉等情况调查</w:t>
      </w:r>
      <w:bookmarkEnd w:id="267"/>
      <w:bookmarkEnd w:id="268"/>
    </w:p>
    <w:p>
      <w:pPr>
        <w:pStyle w:val="22"/>
        <w:bidi w:val="0"/>
        <w:rPr>
          <w:rFonts w:hint="eastAsia"/>
          <w:color w:val="auto"/>
          <w:highlight w:val="none"/>
          <w:lang w:eastAsia="zh-CN"/>
        </w:rPr>
      </w:pPr>
      <w:r>
        <w:rPr>
          <w:rFonts w:hint="eastAsia"/>
          <w:color w:val="auto"/>
          <w:highlight w:val="none"/>
          <w:lang w:eastAsia="zh-CN"/>
        </w:rPr>
        <w:t>表</w:t>
      </w:r>
      <w:r>
        <w:rPr>
          <w:rFonts w:hint="eastAsia"/>
          <w:color w:val="auto"/>
          <w:highlight w:val="none"/>
          <w:lang w:val="en-US" w:eastAsia="zh-CN"/>
        </w:rPr>
        <w:t xml:space="preserve">3.5-1   </w:t>
      </w:r>
      <w:r>
        <w:rPr>
          <w:rFonts w:hint="eastAsia"/>
          <w:color w:val="auto"/>
          <w:highlight w:val="none"/>
          <w:lang w:eastAsia="zh-CN"/>
        </w:rPr>
        <w:t>各级环保督察交办事项、环保投诉情况一览表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903"/>
        <w:gridCol w:w="861"/>
        <w:gridCol w:w="2469"/>
        <w:gridCol w:w="3508"/>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序号</w:t>
            </w:r>
          </w:p>
        </w:tc>
        <w:tc>
          <w:tcPr>
            <w:tcW w:w="903"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年份</w:t>
            </w:r>
          </w:p>
        </w:tc>
        <w:tc>
          <w:tcPr>
            <w:tcW w:w="861"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级别</w:t>
            </w:r>
          </w:p>
        </w:tc>
        <w:tc>
          <w:tcPr>
            <w:tcW w:w="2469"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问题情况</w:t>
            </w:r>
          </w:p>
        </w:tc>
        <w:tc>
          <w:tcPr>
            <w:tcW w:w="3508"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解决及整改情况</w:t>
            </w:r>
          </w:p>
        </w:tc>
        <w:tc>
          <w:tcPr>
            <w:tcW w:w="1232"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903"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2017</w:t>
            </w:r>
          </w:p>
        </w:tc>
        <w:tc>
          <w:tcPr>
            <w:tcW w:w="861"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中央</w:t>
            </w:r>
          </w:p>
        </w:tc>
        <w:tc>
          <w:tcPr>
            <w:tcW w:w="2469"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达州市大竹县清水镇的小枫树煤矿，将50万吨煤矿矸石矿渣随意堆放，未采取任何环保处理措施，造成了河流和土地严重污染。</w:t>
            </w:r>
          </w:p>
        </w:tc>
        <w:tc>
          <w:tcPr>
            <w:tcW w:w="3508"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①大硐坪煤矿已对大竹县大硐坪煤矿和原小枫树煤矿的煤矸石砌筑挡矸墙，并采取了遮盖和洒水防尘、清理溪沟等措施；</w:t>
            </w:r>
          </w:p>
          <w:p>
            <w:pPr>
              <w:pStyle w:val="22"/>
              <w:bidi w:val="0"/>
              <w:rPr>
                <w:rFonts w:hint="eastAsia"/>
                <w:color w:val="auto"/>
                <w:highlight w:val="none"/>
                <w:vertAlign w:val="baseline"/>
                <w:lang w:eastAsia="zh-CN"/>
              </w:rPr>
            </w:pPr>
            <w:r>
              <w:rPr>
                <w:rFonts w:hint="eastAsia"/>
                <w:color w:val="auto"/>
                <w:highlight w:val="none"/>
                <w:vertAlign w:val="baseline"/>
                <w:lang w:eastAsia="zh-CN"/>
              </w:rPr>
              <w:t>②四川树信检测技术服务有限公司已对土壤进行检测，检测结论为：该样品所检项目中环境质量指标符合GB15618-1995《土壤环境质量标准》的二级标准</w:t>
            </w:r>
          </w:p>
        </w:tc>
        <w:tc>
          <w:tcPr>
            <w:tcW w:w="123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eastAsia="zh-CN"/>
              </w:rPr>
              <w:t>已在规定的</w:t>
            </w:r>
            <w:r>
              <w:rPr>
                <w:rFonts w:hint="eastAsia"/>
                <w:color w:val="auto"/>
                <w:highlight w:val="none"/>
                <w:vertAlign w:val="baseline"/>
                <w:lang w:val="en-US" w:eastAsia="zh-CN"/>
              </w:rPr>
              <w:t>2017年9月30日前完成整改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903"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2018</w:t>
            </w:r>
          </w:p>
        </w:tc>
        <w:tc>
          <w:tcPr>
            <w:tcW w:w="861"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中央</w:t>
            </w:r>
          </w:p>
        </w:tc>
        <w:tc>
          <w:tcPr>
            <w:tcW w:w="2469"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达州市大竹县平桥煤矿，煤矸石乱堆破坏土地，大概有一千亩左右的土地被破坏，还存在安全隐患，开矿废水到处流，污染河流和农田，希望调查处理各级责任人，并解决污染问题，恢复植被。</w:t>
            </w:r>
          </w:p>
        </w:tc>
        <w:tc>
          <w:tcPr>
            <w:tcW w:w="3508"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①关于煤矸石乱堆破坏土地的问题。回填工业广场的矸石已平整、②关于大概有一千亩左右的土地被破坏的问题。已加强生产过程中的煤矸石管理。已实现煤矸石综合利用。（已由海螺水泥厂使用）</w:t>
            </w:r>
          </w:p>
          <w:p>
            <w:pPr>
              <w:pStyle w:val="22"/>
              <w:bidi w:val="0"/>
              <w:rPr>
                <w:rFonts w:hint="eastAsia"/>
                <w:color w:val="auto"/>
                <w:highlight w:val="none"/>
                <w:vertAlign w:val="baseline"/>
                <w:lang w:eastAsia="zh-CN"/>
              </w:rPr>
            </w:pPr>
            <w:r>
              <w:rPr>
                <w:rFonts w:hint="eastAsia"/>
                <w:color w:val="auto"/>
                <w:highlight w:val="none"/>
                <w:vertAlign w:val="baseline"/>
                <w:lang w:eastAsia="zh-CN"/>
              </w:rPr>
              <w:t>③关于存在安全隐患的问题。已经对边坡进行处理，同时在危险区域设置了安全警示标识、标牌</w:t>
            </w:r>
          </w:p>
          <w:p>
            <w:pPr>
              <w:pStyle w:val="22"/>
              <w:bidi w:val="0"/>
              <w:rPr>
                <w:rFonts w:hint="eastAsia"/>
                <w:color w:val="auto"/>
                <w:highlight w:val="none"/>
                <w:vertAlign w:val="baseline"/>
                <w:lang w:eastAsia="zh-CN"/>
              </w:rPr>
            </w:pPr>
            <w:r>
              <w:rPr>
                <w:rFonts w:hint="eastAsia"/>
                <w:color w:val="auto"/>
                <w:highlight w:val="none"/>
                <w:vertAlign w:val="baseline"/>
                <w:lang w:eastAsia="zh-CN"/>
              </w:rPr>
              <w:t>④关于开矿废水到处流，污染河流和农田的问题。（1）加强废水处理站设备设施维护和检修，随时保证各种环保设施正常运行；(2)在工业广场距离耕作农田前15米处修筑挡矸挡碴墙。</w:t>
            </w:r>
          </w:p>
          <w:p>
            <w:pPr>
              <w:pStyle w:val="22"/>
              <w:bidi w:val="0"/>
              <w:rPr>
                <w:rFonts w:hint="eastAsia"/>
                <w:color w:val="auto"/>
                <w:highlight w:val="none"/>
                <w:vertAlign w:val="baseline"/>
                <w:lang w:eastAsia="zh-CN"/>
              </w:rPr>
            </w:pPr>
            <w:r>
              <w:rPr>
                <w:rFonts w:hint="eastAsia"/>
                <w:color w:val="auto"/>
                <w:highlight w:val="none"/>
                <w:vertAlign w:val="baseline"/>
                <w:lang w:eastAsia="zh-CN"/>
              </w:rPr>
              <w:t>⑤关于解决污染、恢复植被的问题。（1）加强污水处理站设备设施维护和检修，随时保证各种设备正常运行，杜绝污染事件的发生；（2）在矿区内外栽种花草树木，修筑花台，绿化、美化、亮化矿区及周边环境；（3）矿井停止开采的同时按照《土地复垦方案》落实整改</w:t>
            </w:r>
          </w:p>
        </w:tc>
        <w:tc>
          <w:tcPr>
            <w:tcW w:w="123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eastAsia="zh-CN"/>
              </w:rPr>
              <w:t>已于规定的</w:t>
            </w:r>
            <w:r>
              <w:rPr>
                <w:rFonts w:hint="eastAsia"/>
                <w:color w:val="auto"/>
                <w:highlight w:val="none"/>
                <w:vertAlign w:val="baseline"/>
                <w:lang w:val="en-US" w:eastAsia="zh-CN"/>
              </w:rPr>
              <w:t>4月30日前完成整改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903"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2018</w:t>
            </w:r>
          </w:p>
        </w:tc>
        <w:tc>
          <w:tcPr>
            <w:tcW w:w="861"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中央</w:t>
            </w:r>
          </w:p>
        </w:tc>
        <w:tc>
          <w:tcPr>
            <w:tcW w:w="2469"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达州市大竹县朝阳乡群众反映乌木水库附近部分企业被关停，但元亨煤矿未关停，认为执法不公。</w:t>
            </w:r>
          </w:p>
        </w:tc>
        <w:tc>
          <w:tcPr>
            <w:tcW w:w="3508"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①关于反映“部分企业被关停”问题，(1)行政处罚情况。无违法行为，不予处罚。(2)责成大竹县经信局、国土资源局做好被关闭企业的政策解释、法制宣传。</w:t>
            </w:r>
          </w:p>
          <w:p>
            <w:pPr>
              <w:pStyle w:val="22"/>
              <w:bidi w:val="0"/>
              <w:rPr>
                <w:rFonts w:hint="eastAsia"/>
                <w:color w:val="auto"/>
                <w:highlight w:val="none"/>
                <w:vertAlign w:val="baseline"/>
                <w:lang w:eastAsia="zh-CN"/>
              </w:rPr>
            </w:pPr>
            <w:r>
              <w:rPr>
                <w:rFonts w:hint="eastAsia"/>
                <w:color w:val="auto"/>
                <w:highlight w:val="none"/>
                <w:vertAlign w:val="baseline"/>
                <w:lang w:eastAsia="zh-CN"/>
              </w:rPr>
              <w:t>②关于反映“元亨煤矿未关停”问题，(1)行政处罚情况。无违法行为，不予处罚。(2)责成大竹县安监局会同朝阳乡人民政府做好煤矿去产能政策的宣传引导。</w:t>
            </w:r>
          </w:p>
          <w:p>
            <w:pPr>
              <w:pStyle w:val="22"/>
              <w:bidi w:val="0"/>
              <w:rPr>
                <w:rFonts w:hint="eastAsia"/>
                <w:color w:val="auto"/>
                <w:highlight w:val="none"/>
                <w:vertAlign w:val="baseline"/>
                <w:lang w:eastAsia="zh-CN"/>
              </w:rPr>
            </w:pPr>
            <w:r>
              <w:rPr>
                <w:rFonts w:hint="eastAsia"/>
                <w:color w:val="auto"/>
                <w:highlight w:val="none"/>
                <w:vertAlign w:val="baseline"/>
                <w:lang w:eastAsia="zh-CN"/>
              </w:rPr>
              <w:t>③关于反映“认为执法不公”问题，经调查，(1)行政处罚情况。无违法行为，不予处罚。(2)责成大竹县安监局、经信局、环保局、国土资源局、朝阳乡人民政府按照法定职能职责加大饮用水源地环境保护、非煤矿山关闭、煤矿企业关闭等相关政策的宣传解释，教育和引导辖区居民和生产企业形成保护环境、爱护环境的良好社会氛围。</w:t>
            </w:r>
          </w:p>
        </w:tc>
        <w:tc>
          <w:tcPr>
            <w:tcW w:w="1232"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eastAsia="zh-CN"/>
              </w:rPr>
              <w:t>已于规定的</w:t>
            </w:r>
            <w:r>
              <w:rPr>
                <w:rFonts w:hint="eastAsia"/>
                <w:color w:val="auto"/>
                <w:highlight w:val="none"/>
                <w:vertAlign w:val="baseline"/>
                <w:lang w:val="en-US" w:eastAsia="zh-CN"/>
              </w:rPr>
              <w:t>2018年11月24日前完成整改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903"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2019</w:t>
            </w:r>
          </w:p>
        </w:tc>
        <w:tc>
          <w:tcPr>
            <w:tcW w:w="861"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乡镇</w:t>
            </w:r>
          </w:p>
        </w:tc>
        <w:tc>
          <w:tcPr>
            <w:tcW w:w="2469"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堡子煤矿污水直接排入广子河污染了广子河道水源</w:t>
            </w:r>
          </w:p>
        </w:tc>
        <w:tc>
          <w:tcPr>
            <w:tcW w:w="3508"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立即对煤矸石场进行场地腾空、修建沉淀池；立即增设污水沉淀池；要求矸石运输车辆出厂前先覆盖篷布</w:t>
            </w:r>
          </w:p>
        </w:tc>
        <w:tc>
          <w:tcPr>
            <w:tcW w:w="1232"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已于规定的时间内完成整改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903"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2020</w:t>
            </w:r>
          </w:p>
        </w:tc>
        <w:tc>
          <w:tcPr>
            <w:tcW w:w="861"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县</w:t>
            </w:r>
          </w:p>
        </w:tc>
        <w:tc>
          <w:tcPr>
            <w:tcW w:w="2469"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建渣堆放不规范</w:t>
            </w:r>
          </w:p>
        </w:tc>
        <w:tc>
          <w:tcPr>
            <w:tcW w:w="3508"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立即清理建渣，场地硬化、新建围墙</w:t>
            </w:r>
          </w:p>
        </w:tc>
        <w:tc>
          <w:tcPr>
            <w:tcW w:w="1232" w:type="dxa"/>
            <w:vAlign w:val="center"/>
          </w:tcPr>
          <w:p>
            <w:pPr>
              <w:pStyle w:val="22"/>
              <w:bidi w:val="0"/>
              <w:rPr>
                <w:rFonts w:hint="eastAsia"/>
                <w:color w:val="auto"/>
                <w:highlight w:val="none"/>
                <w:vertAlign w:val="baseline"/>
                <w:lang w:eastAsia="zh-CN"/>
              </w:rPr>
            </w:pPr>
            <w:r>
              <w:rPr>
                <w:rFonts w:hint="eastAsia"/>
                <w:color w:val="auto"/>
                <w:highlight w:val="none"/>
                <w:vertAlign w:val="baseline"/>
                <w:lang w:eastAsia="zh-CN"/>
              </w:rPr>
              <w:t>已于规定的时间内完成整改</w:t>
            </w:r>
          </w:p>
        </w:tc>
      </w:tr>
    </w:tbl>
    <w:p>
      <w:pPr>
        <w:pStyle w:val="22"/>
        <w:bidi w:val="0"/>
        <w:rPr>
          <w:rFonts w:hint="eastAsia"/>
          <w:color w:val="auto"/>
          <w:highlight w:val="none"/>
          <w:lang w:eastAsia="zh-CN"/>
        </w:rPr>
      </w:pPr>
    </w:p>
    <w:p>
      <w:pPr>
        <w:bidi w:val="0"/>
        <w:rPr>
          <w:rFonts w:hint="eastAsia"/>
          <w:color w:val="auto"/>
          <w:highlight w:val="none"/>
          <w:lang w:eastAsia="zh-CN"/>
        </w:rPr>
      </w:pPr>
    </w:p>
    <w:p>
      <w:pPr>
        <w:pStyle w:val="6"/>
        <w:numPr>
          <w:ilvl w:val="2"/>
          <w:numId w:val="5"/>
        </w:numPr>
        <w:bidi w:val="0"/>
        <w:rPr>
          <w:color w:val="auto"/>
          <w:highlight w:val="none"/>
        </w:rPr>
      </w:pPr>
      <w:bookmarkStart w:id="269" w:name="_Toc18971"/>
      <w:bookmarkStart w:id="270" w:name="_Toc11628"/>
      <w:r>
        <w:rPr>
          <w:rFonts w:hint="eastAsia"/>
          <w:color w:val="auto"/>
          <w:highlight w:val="none"/>
          <w:lang w:eastAsia="zh-CN"/>
        </w:rPr>
        <w:t>矿区开发存在主要环境问题及整改措施</w:t>
      </w:r>
      <w:bookmarkEnd w:id="269"/>
      <w:bookmarkEnd w:id="270"/>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3.6.6.1 存在的环境问题</w:t>
      </w:r>
    </w:p>
    <w:p>
      <w:pPr>
        <w:rPr>
          <w:rFonts w:hint="eastAsia"/>
          <w:color w:val="auto"/>
          <w:highlight w:val="none"/>
          <w:lang w:val="en-US" w:eastAsia="zh-CN"/>
        </w:rPr>
      </w:pPr>
      <w:r>
        <w:rPr>
          <w:rFonts w:hint="eastAsia"/>
          <w:color w:val="auto"/>
          <w:highlight w:val="none"/>
          <w:lang w:val="en-US" w:eastAsia="zh-CN"/>
        </w:rPr>
        <w:t>矿区内原有生产矿井多且规模小，环保设施落后，存在不达标排放的状况。目前矿区内原有生产的小煤矿均已关闭退出，根据政策须保留、升级改造或兼并重组的煤矿均已停产，现存在主要问题有：</w:t>
      </w:r>
    </w:p>
    <w:p>
      <w:pPr>
        <w:rPr>
          <w:rFonts w:hint="eastAsia"/>
          <w:color w:val="auto"/>
          <w:highlight w:val="none"/>
          <w:lang w:val="en-US" w:eastAsia="zh-CN"/>
        </w:rPr>
      </w:pPr>
      <w:r>
        <w:rPr>
          <w:rFonts w:hint="eastAsia"/>
          <w:color w:val="auto"/>
          <w:highlight w:val="none"/>
          <w:lang w:val="en-US" w:eastAsia="zh-CN"/>
        </w:rPr>
        <w:t>（1）场地未平整，对已破坏的生态环境未采取任何措施；</w:t>
      </w:r>
    </w:p>
    <w:p>
      <w:pPr>
        <w:rPr>
          <w:rFonts w:hint="eastAsia"/>
          <w:color w:val="auto"/>
          <w:highlight w:val="none"/>
          <w:lang w:val="en-US" w:eastAsia="zh-CN"/>
        </w:rPr>
      </w:pPr>
      <w:r>
        <w:rPr>
          <w:rFonts w:hint="eastAsia"/>
          <w:color w:val="auto"/>
          <w:highlight w:val="none"/>
          <w:lang w:val="en-US" w:eastAsia="zh-CN"/>
        </w:rPr>
        <w:t>（2）普遍存在原有环保设施落后，均达不到环保要求；</w:t>
      </w:r>
    </w:p>
    <w:p>
      <w:pPr>
        <w:rPr>
          <w:rFonts w:hint="eastAsia"/>
          <w:color w:val="auto"/>
          <w:highlight w:val="none"/>
          <w:lang w:val="en-US" w:eastAsia="zh-CN"/>
        </w:rPr>
      </w:pPr>
      <w:r>
        <w:rPr>
          <w:rFonts w:hint="eastAsia"/>
          <w:color w:val="auto"/>
          <w:highlight w:val="none"/>
          <w:lang w:val="en-US" w:eastAsia="zh-CN"/>
        </w:rPr>
        <w:t>（3）留有矸石堆场，未进行系统性的场地整治；</w:t>
      </w:r>
    </w:p>
    <w:p>
      <w:pPr>
        <w:rPr>
          <w:rFonts w:hint="eastAsia"/>
          <w:color w:val="auto"/>
          <w:highlight w:val="none"/>
          <w:lang w:val="en-US" w:eastAsia="zh-CN"/>
        </w:rPr>
      </w:pPr>
      <w:r>
        <w:rPr>
          <w:rFonts w:hint="eastAsia"/>
          <w:color w:val="auto"/>
          <w:highlight w:val="none"/>
          <w:lang w:val="en-US" w:eastAsia="zh-CN"/>
        </w:rPr>
        <w:t>（4）刘家沟煤矿工业场地占用国家二级公益林，不符合《国家级公益林管理办法》；</w:t>
      </w:r>
    </w:p>
    <w:p>
      <w:pPr>
        <w:rPr>
          <w:rFonts w:hint="eastAsia"/>
          <w:color w:val="auto"/>
          <w:highlight w:val="none"/>
          <w:lang w:val="en-US" w:eastAsia="zh-CN"/>
        </w:rPr>
      </w:pPr>
      <w:r>
        <w:rPr>
          <w:rFonts w:hint="eastAsia"/>
          <w:color w:val="auto"/>
          <w:highlight w:val="none"/>
          <w:lang w:val="en-US" w:eastAsia="zh-CN"/>
        </w:rPr>
        <w:t>（5）大河沟煤矿厂区在龙潭水库饮用水水源保护区准保护区内，可能对饮用水水源造成影响。</w:t>
      </w:r>
    </w:p>
    <w:p>
      <w:pPr>
        <w:pStyle w:val="7"/>
        <w:bidi w:val="0"/>
        <w:ind w:left="0" w:leftChars="0" w:firstLine="0" w:firstLineChars="0"/>
        <w:rPr>
          <w:rFonts w:hint="eastAsia"/>
          <w:color w:val="auto"/>
          <w:highlight w:val="none"/>
          <w:lang w:val="en-US" w:eastAsia="zh-CN"/>
        </w:rPr>
      </w:pPr>
      <w:r>
        <w:rPr>
          <w:rFonts w:hint="eastAsia"/>
          <w:color w:val="auto"/>
          <w:highlight w:val="none"/>
          <w:lang w:val="en-US" w:eastAsia="zh-CN"/>
        </w:rPr>
        <w:t>3.6.6.2 整改措施</w:t>
      </w:r>
    </w:p>
    <w:p>
      <w:pPr>
        <w:bidi w:val="0"/>
        <w:rPr>
          <w:rFonts w:hint="eastAsia"/>
          <w:color w:val="auto"/>
          <w:spacing w:val="-3"/>
          <w:highlight w:val="none"/>
          <w:lang w:eastAsia="zh-CN"/>
        </w:rPr>
      </w:pPr>
      <w:r>
        <w:rPr>
          <w:rFonts w:hint="eastAsia"/>
          <w:color w:val="auto"/>
          <w:spacing w:val="-3"/>
          <w:highlight w:val="none"/>
          <w:lang w:eastAsia="zh-CN"/>
        </w:rPr>
        <w:t>（</w:t>
      </w:r>
      <w:r>
        <w:rPr>
          <w:rFonts w:hint="eastAsia"/>
          <w:color w:val="auto"/>
          <w:spacing w:val="-3"/>
          <w:highlight w:val="none"/>
          <w:lang w:val="en-US" w:eastAsia="zh-CN"/>
        </w:rPr>
        <w:t>1</w:t>
      </w:r>
      <w:r>
        <w:rPr>
          <w:rFonts w:hint="eastAsia"/>
          <w:color w:val="auto"/>
          <w:spacing w:val="-3"/>
          <w:highlight w:val="none"/>
          <w:lang w:eastAsia="zh-CN"/>
        </w:rPr>
        <w:t>）规划区内关停的小煤矿多数是政策性永久关闭，需按照相关政策做好关闭手续，不留环境遗留问题；部分属于资源整合区，资源整合区在开发时，要将原有小煤矿遗留环境问题进行整治，做好“以新带老”措施。</w:t>
      </w:r>
    </w:p>
    <w:p>
      <w:pPr>
        <w:bidi w:val="0"/>
        <w:rPr>
          <w:rFonts w:hint="eastAsia"/>
          <w:color w:val="auto"/>
          <w:spacing w:val="-3"/>
          <w:highlight w:val="none"/>
          <w:lang w:eastAsia="zh-CN"/>
        </w:rPr>
      </w:pPr>
      <w:r>
        <w:rPr>
          <w:rFonts w:hint="eastAsia"/>
          <w:color w:val="auto"/>
          <w:spacing w:val="-3"/>
          <w:highlight w:val="none"/>
          <w:lang w:eastAsia="zh-CN"/>
        </w:rPr>
        <w:t>（</w:t>
      </w:r>
      <w:r>
        <w:rPr>
          <w:rFonts w:hint="eastAsia"/>
          <w:color w:val="auto"/>
          <w:spacing w:val="-3"/>
          <w:highlight w:val="none"/>
          <w:lang w:val="en-US" w:eastAsia="zh-CN"/>
        </w:rPr>
        <w:t>2</w:t>
      </w:r>
      <w:r>
        <w:rPr>
          <w:rFonts w:hint="eastAsia"/>
          <w:color w:val="auto"/>
          <w:spacing w:val="-3"/>
          <w:highlight w:val="none"/>
          <w:lang w:eastAsia="zh-CN"/>
        </w:rPr>
        <w:t>）资源整合区兼并重组项目对关停小煤矿遗留工业场地进行平整并进行恢复，矸石场地要进行生态恢复；</w:t>
      </w:r>
    </w:p>
    <w:p>
      <w:pPr>
        <w:bidi w:val="0"/>
        <w:rPr>
          <w:rFonts w:hint="eastAsia"/>
          <w:color w:val="auto"/>
          <w:spacing w:val="-3"/>
          <w:highlight w:val="none"/>
          <w:lang w:eastAsia="zh-CN"/>
        </w:rPr>
      </w:pPr>
      <w:r>
        <w:rPr>
          <w:rFonts w:hint="eastAsia"/>
          <w:color w:val="auto"/>
          <w:spacing w:val="-3"/>
          <w:highlight w:val="none"/>
          <w:lang w:eastAsia="zh-CN"/>
        </w:rPr>
        <w:t>（</w:t>
      </w:r>
      <w:r>
        <w:rPr>
          <w:rFonts w:hint="eastAsia"/>
          <w:color w:val="auto"/>
          <w:spacing w:val="-3"/>
          <w:highlight w:val="none"/>
          <w:lang w:val="en-US" w:eastAsia="zh-CN"/>
        </w:rPr>
        <w:t>3</w:t>
      </w:r>
      <w:r>
        <w:rPr>
          <w:rFonts w:hint="eastAsia"/>
          <w:color w:val="auto"/>
          <w:spacing w:val="-3"/>
          <w:highlight w:val="none"/>
          <w:lang w:eastAsia="zh-CN"/>
        </w:rPr>
        <w:t>）规划区内矿井环保措施要“以新带老”，达标排放，符合环保要求；</w:t>
      </w:r>
    </w:p>
    <w:p>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）刘家沟煤矿于</w:t>
      </w:r>
      <w:r>
        <w:rPr>
          <w:rFonts w:hint="eastAsia"/>
          <w:color w:val="auto"/>
          <w:highlight w:val="none"/>
          <w:lang w:val="en-US" w:eastAsia="zh-CN"/>
        </w:rPr>
        <w:t>1993年建设实施，而大竹县内当前的国家二级公益林于2016年划定，在时序上刘家沟煤矿建成远早于公益林的划定，此属于历史遗留问题，鉴于《国家级公益林管理办法》的规定，因此本评价要求刘家沟煤矿须协同林业相关部门积极补办相关手续或在取得相应补偿后组织整体搬迁；</w:t>
      </w:r>
    </w:p>
    <w:p>
      <w:pPr>
        <w:bidi w:val="0"/>
        <w:rPr>
          <w:rFonts w:hint="default"/>
          <w:color w:val="auto"/>
          <w:highlight w:val="none"/>
          <w:lang w:val="en-US" w:eastAsia="zh-CN"/>
        </w:rPr>
      </w:pPr>
      <w:r>
        <w:rPr>
          <w:rFonts w:hint="eastAsia"/>
          <w:color w:val="auto"/>
          <w:highlight w:val="none"/>
          <w:lang w:val="en-US" w:eastAsia="zh-CN"/>
        </w:rPr>
        <w:t>（5）大河沟煤矿未保留矿井，不进行升级改造和扩能，因此评价要求该煤矿严格按照《四川省饮用水水源保护管理条例》和龙潭水库饮用水水源保护保护区保护要求，不得新增排污量、废水必须达标排放、不得排放有毒有害水污染物、固废及产品堆场设置严格的防护设施、规范运输。</w:t>
      </w:r>
    </w:p>
    <w:p>
      <w:pPr>
        <w:rPr>
          <w:color w:val="auto"/>
          <w:highlight w:val="none"/>
        </w:rPr>
      </w:pPr>
    </w:p>
    <w:p>
      <w:pPr>
        <w:pStyle w:val="11"/>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271" w:name="_bookmark21"/>
      <w:bookmarkEnd w:id="271"/>
      <w:bookmarkStart w:id="272" w:name="4 环境影响识别与评价指标体系"/>
      <w:bookmarkEnd w:id="272"/>
      <w:bookmarkStart w:id="273" w:name="_Toc27497"/>
      <w:bookmarkStart w:id="274" w:name="_Toc756"/>
      <w:r>
        <w:rPr>
          <w:color w:val="auto"/>
          <w:highlight w:val="none"/>
        </w:rPr>
        <w:t>环境影响识别与评价指标体系</w:t>
      </w:r>
      <w:bookmarkEnd w:id="273"/>
      <w:bookmarkEnd w:id="274"/>
    </w:p>
    <w:p>
      <w:pPr>
        <w:pStyle w:val="5"/>
        <w:numPr>
          <w:ilvl w:val="1"/>
          <w:numId w:val="5"/>
        </w:numPr>
        <w:bidi w:val="0"/>
        <w:rPr>
          <w:color w:val="auto"/>
          <w:highlight w:val="none"/>
        </w:rPr>
      </w:pPr>
      <w:bookmarkStart w:id="275" w:name="_bookmark22"/>
      <w:bookmarkEnd w:id="275"/>
      <w:bookmarkStart w:id="276" w:name="4.1 环境影响识别"/>
      <w:bookmarkEnd w:id="276"/>
      <w:bookmarkStart w:id="277" w:name="_Toc17767"/>
      <w:bookmarkStart w:id="278" w:name="_Toc26884"/>
      <w:r>
        <w:rPr>
          <w:color w:val="auto"/>
          <w:highlight w:val="none"/>
        </w:rPr>
        <w:t>环境影响识别</w:t>
      </w:r>
      <w:bookmarkEnd w:id="277"/>
      <w:bookmarkEnd w:id="278"/>
    </w:p>
    <w:p>
      <w:pPr>
        <w:bidi w:val="0"/>
        <w:rPr>
          <w:color w:val="auto"/>
          <w:highlight w:val="none"/>
        </w:rPr>
      </w:pPr>
      <w:r>
        <w:rPr>
          <w:color w:val="auto"/>
          <w:highlight w:val="none"/>
        </w:rPr>
        <w:t>煤炭矿区规划环评属于生态类规划环评项目，具有生态影响和污染影响并存的双重特征，其中以生态类影响为主。本次矿区共规划有</w:t>
      </w:r>
      <w:r>
        <w:rPr>
          <w:rFonts w:hint="eastAsia" w:ascii="Times New Roman" w:hAnsi="Times New Roman"/>
          <w:color w:val="auto"/>
          <w:highlight w:val="none"/>
          <w:lang w:val="en-US" w:eastAsia="zh-CN"/>
        </w:rPr>
        <w:t>14</w:t>
      </w:r>
      <w:r>
        <w:rPr>
          <w:color w:val="auto"/>
          <w:highlight w:val="none"/>
        </w:rPr>
        <w:t>宗矿井，均为井工开采，规划实施对生态环境的影响，主要为采煤沉陷导致的地表变形、地下水流场改变、地表破坏、耕地等的影响，以及煤炭采选产生的</w:t>
      </w:r>
      <w:r>
        <w:rPr>
          <w:rFonts w:ascii="Times New Roman" w:hAnsi="Times New Roman" w:eastAsia="Times New Roman"/>
          <w:color w:val="auto"/>
          <w:highlight w:val="none"/>
        </w:rPr>
        <w:t>“</w:t>
      </w:r>
      <w:r>
        <w:rPr>
          <w:color w:val="auto"/>
          <w:highlight w:val="none"/>
        </w:rPr>
        <w:t>三废</w:t>
      </w:r>
      <w:r>
        <w:rPr>
          <w:rFonts w:ascii="Times New Roman" w:hAnsi="Times New Roman" w:eastAsia="Times New Roman"/>
          <w:color w:val="auto"/>
          <w:highlight w:val="none"/>
        </w:rPr>
        <w:t>”</w:t>
      </w:r>
      <w:r>
        <w:rPr>
          <w:color w:val="auto"/>
          <w:highlight w:val="none"/>
        </w:rPr>
        <w:t>排放对周围环境的污染影响。另外，从广义的环境角度来看，还包括因矿区煤炭开采所带来的周围地区社会经济环境方面的影响。</w:t>
      </w:r>
    </w:p>
    <w:p>
      <w:pPr>
        <w:pStyle w:val="6"/>
        <w:numPr>
          <w:ilvl w:val="2"/>
          <w:numId w:val="5"/>
        </w:numPr>
        <w:bidi w:val="0"/>
        <w:rPr>
          <w:color w:val="auto"/>
          <w:highlight w:val="none"/>
        </w:rPr>
      </w:pPr>
      <w:bookmarkStart w:id="279" w:name="4.1.1 矿区环境影响因子识别"/>
      <w:bookmarkEnd w:id="279"/>
      <w:bookmarkStart w:id="280" w:name="4.1.1 矿区环境影响因子识别"/>
      <w:bookmarkEnd w:id="280"/>
      <w:bookmarkStart w:id="281" w:name="_Toc4262"/>
      <w:bookmarkStart w:id="282" w:name="_Toc6923"/>
      <w:r>
        <w:rPr>
          <w:color w:val="auto"/>
          <w:highlight w:val="none"/>
        </w:rPr>
        <w:t>矿区环境影响因子识别</w:t>
      </w:r>
      <w:bookmarkEnd w:id="281"/>
      <w:bookmarkEnd w:id="282"/>
    </w:p>
    <w:p>
      <w:pPr>
        <w:pStyle w:val="7"/>
        <w:numPr>
          <w:ilvl w:val="3"/>
          <w:numId w:val="8"/>
        </w:numPr>
        <w:bidi w:val="0"/>
        <w:ind w:left="0" w:leftChars="0" w:firstLine="0" w:firstLineChars="0"/>
        <w:rPr>
          <w:color w:val="auto"/>
          <w:highlight w:val="none"/>
        </w:rPr>
      </w:pPr>
      <w:r>
        <w:rPr>
          <w:color w:val="auto"/>
          <w:highlight w:val="none"/>
        </w:rPr>
        <w:t>生态类影响因子识别</w:t>
      </w:r>
    </w:p>
    <w:p>
      <w:pPr>
        <w:bidi w:val="0"/>
        <w:rPr>
          <w:color w:val="auto"/>
          <w:highlight w:val="none"/>
        </w:rPr>
      </w:pPr>
      <w:r>
        <w:rPr>
          <w:color w:val="auto"/>
          <w:highlight w:val="none"/>
        </w:rPr>
        <w:t>矿区开发对生态环境的影响主要表现为采煤沉陷对地形地貌、地表植被、耕地、地下水流场、地下水资源及水土流失等的影响。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对地形地貌、植被的影响</w:t>
      </w:r>
    </w:p>
    <w:p>
      <w:pPr>
        <w:bidi w:val="0"/>
        <w:rPr>
          <w:color w:val="auto"/>
          <w:highlight w:val="none"/>
        </w:rPr>
      </w:pPr>
      <w:r>
        <w:rPr>
          <w:color w:val="auto"/>
          <w:highlight w:val="none"/>
        </w:rPr>
        <w:t>矿区开发对地形地貌、植被影响主要由于项目占地、地表沉陷两个方面引起。矿区规划项目占地分为两种类型：一是工业场地、道路、矸石场</w:t>
      </w:r>
      <w:r>
        <w:rPr>
          <w:rFonts w:hint="eastAsia"/>
          <w:color w:val="auto"/>
          <w:highlight w:val="none"/>
          <w:lang w:eastAsia="zh-CN"/>
        </w:rPr>
        <w:t>、生活区</w:t>
      </w:r>
      <w:r>
        <w:rPr>
          <w:color w:val="auto"/>
          <w:highlight w:val="none"/>
        </w:rPr>
        <w:t>等永久占地，二是施工过程的临时占地。井工开采采煤沉陷将导致地表变形，对于变形较为严重的区域，将对该区域植被等造成一定程度的破坏，局部甚至将完全丧失生产能力。</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对耕地设施的影响</w:t>
      </w:r>
    </w:p>
    <w:p>
      <w:pPr>
        <w:bidi w:val="0"/>
        <w:rPr>
          <w:color w:val="auto"/>
          <w:highlight w:val="none"/>
        </w:rPr>
      </w:pPr>
      <w:r>
        <w:rPr>
          <w:color w:val="auto"/>
          <w:highlight w:val="none"/>
        </w:rPr>
        <w:t>矿区内及周边分布有耕地，采煤沉陷导致的地表变形，对耕地造成破坏，造成农业生产能力的降低。</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土壤侵蚀与水土流失</w:t>
      </w:r>
    </w:p>
    <w:p>
      <w:pPr>
        <w:bidi w:val="0"/>
        <w:rPr>
          <w:color w:val="auto"/>
          <w:highlight w:val="none"/>
        </w:rPr>
      </w:pPr>
      <w:r>
        <w:rPr>
          <w:color w:val="auto"/>
          <w:highlight w:val="none"/>
        </w:rPr>
        <w:t>采煤沉陷形成的地表裂缝、塌陷坑等将会导致影响区域土壤侵蚀、水土流失加重。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地下水流场和水资源影响</w:t>
      </w:r>
    </w:p>
    <w:p>
      <w:pPr>
        <w:bidi w:val="0"/>
        <w:rPr>
          <w:color w:val="auto"/>
          <w:highlight w:val="none"/>
        </w:rPr>
      </w:pPr>
      <w:r>
        <w:rPr>
          <w:color w:val="auto"/>
          <w:highlight w:val="none"/>
        </w:rPr>
        <w:t>采煤地表沉陷会导致矿区沉陷区域内的地下含水层位置发生变化，进而导致沉陷区内地下水流场发生改变；采煤所形成的导水裂缝带，对上部含水层的导通作用，将使所导通的含水层被疏干，以矿井水的形式排出矿井，裂缝带导通作用同时对地下水流畅和水资源量产生影响。</w:t>
      </w:r>
    </w:p>
    <w:p>
      <w:pPr>
        <w:pStyle w:val="7"/>
        <w:numPr>
          <w:ilvl w:val="3"/>
          <w:numId w:val="8"/>
        </w:numPr>
        <w:bidi w:val="0"/>
        <w:rPr>
          <w:color w:val="auto"/>
          <w:highlight w:val="none"/>
        </w:rPr>
      </w:pPr>
      <w:r>
        <w:rPr>
          <w:color w:val="auto"/>
          <w:highlight w:val="none"/>
        </w:rPr>
        <w:t>污染类影响因子识别</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大气环境污染影响</w:t>
      </w:r>
    </w:p>
    <w:p>
      <w:pPr>
        <w:bidi w:val="0"/>
        <w:rPr>
          <w:color w:val="auto"/>
          <w:highlight w:val="none"/>
        </w:rPr>
      </w:pPr>
      <w:r>
        <w:rPr>
          <w:color w:val="auto"/>
          <w:highlight w:val="none"/>
        </w:rPr>
        <w:t>矿区开发对大气环境的影响主要来自煤炭生产、储存及运输过程中产生的扬尘，污染物排放会对环境空气和植物资源产生影响。排放的大气污染物主要为：TSP。污染物排放量与生产工艺、煤质、生产规模与生产能力、采取的污染治理设施等因素有关。</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水环境污染影响</w:t>
      </w:r>
    </w:p>
    <w:p>
      <w:pPr>
        <w:bidi w:val="0"/>
        <w:rPr>
          <w:color w:val="auto"/>
          <w:highlight w:val="none"/>
        </w:rPr>
      </w:pPr>
      <w:r>
        <w:rPr>
          <w:color w:val="auto"/>
          <w:highlight w:val="none"/>
        </w:rPr>
        <w:t>矿区开发水环境影响来源于矿井排水、选煤厂煤泥水以及生活污水等污水。规划对煤泥水闭路循环不外排，多余矿井排水</w:t>
      </w:r>
      <w:r>
        <w:rPr>
          <w:rFonts w:hint="eastAsia"/>
          <w:color w:val="auto"/>
          <w:highlight w:val="none"/>
          <w:lang w:eastAsia="zh-CN"/>
        </w:rPr>
        <w:t>及</w:t>
      </w:r>
      <w:r>
        <w:rPr>
          <w:color w:val="auto"/>
          <w:highlight w:val="none"/>
        </w:rPr>
        <w:t>生活污水经处理后外排，会对地表水和地下水产生一定的不利影响。井下排水主要污染因子为SS。此外，井下排水对地下水流场以及资源的影响。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声环境污染影响</w:t>
      </w:r>
    </w:p>
    <w:p>
      <w:pPr>
        <w:bidi w:val="0"/>
        <w:rPr>
          <w:color w:val="auto"/>
          <w:highlight w:val="none"/>
        </w:rPr>
      </w:pPr>
      <w:r>
        <w:rPr>
          <w:color w:val="auto"/>
          <w:highlight w:val="none"/>
        </w:rPr>
        <w:t>矿区各规划矿井生产设备（含运输设备）运行噪声将对周围声环境质量产生影响，主要来源于：提升机房、通风机房、空压机、选煤厂</w:t>
      </w:r>
      <w:r>
        <w:rPr>
          <w:rFonts w:hint="eastAsia"/>
          <w:color w:val="auto"/>
          <w:highlight w:val="none"/>
          <w:lang w:eastAsia="zh-CN"/>
        </w:rPr>
        <w:t>、输送机</w:t>
      </w:r>
      <w:r>
        <w:rPr>
          <w:color w:val="auto"/>
          <w:highlight w:val="none"/>
        </w:rPr>
        <w:t>等，多为固定、连续噪声；其次来源于道路运输噪声。</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固体废物污染影响</w:t>
      </w:r>
    </w:p>
    <w:p>
      <w:pPr>
        <w:bidi w:val="0"/>
        <w:rPr>
          <w:color w:val="auto"/>
          <w:highlight w:val="none"/>
        </w:rPr>
      </w:pPr>
      <w:r>
        <w:rPr>
          <w:color w:val="auto"/>
          <w:highlight w:val="none"/>
        </w:rPr>
        <w:t>煤炭资源开发固体废物主要为煤矸石、生活垃圾、检修车间废油以及煤泥等固体废物，这些固体废物的排放将会对土地资源、环境空气、水土流失及土壤环境等产生影响。</w:t>
      </w:r>
    </w:p>
    <w:p>
      <w:pPr>
        <w:pStyle w:val="7"/>
        <w:numPr>
          <w:ilvl w:val="3"/>
          <w:numId w:val="8"/>
        </w:numPr>
        <w:bidi w:val="0"/>
        <w:rPr>
          <w:color w:val="auto"/>
          <w:highlight w:val="none"/>
        </w:rPr>
      </w:pPr>
      <w:r>
        <w:rPr>
          <w:color w:val="auto"/>
          <w:highlight w:val="none"/>
        </w:rPr>
        <w:t>社会经济影响识别</w:t>
      </w:r>
    </w:p>
    <w:p>
      <w:pPr>
        <w:bidi w:val="0"/>
        <w:rPr>
          <w:color w:val="auto"/>
          <w:highlight w:val="none"/>
        </w:rPr>
      </w:pPr>
      <w:r>
        <w:rPr>
          <w:color w:val="auto"/>
          <w:highlight w:val="none"/>
        </w:rPr>
        <w:t>矿区开发对社会经济的影响，主要通过三个方面作用：一是矿区煤炭开发对地面基础设施的影响，二是矿区煤炭资源开采所导致的土地利用结构变化； 三是矿区开发对当地社会和经济的推动作用。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基础设施</w:t>
      </w:r>
    </w:p>
    <w:p>
      <w:pPr>
        <w:bidi w:val="0"/>
        <w:rPr>
          <w:color w:val="auto"/>
          <w:highlight w:val="none"/>
        </w:rPr>
      </w:pPr>
      <w:r>
        <w:rPr>
          <w:color w:val="auto"/>
          <w:highlight w:val="none"/>
        </w:rPr>
        <w:t>矿区开发后，区内给排水、采暖、供电等基础设施逐步完善。</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土地利用结构</w:t>
      </w:r>
    </w:p>
    <w:p>
      <w:pPr>
        <w:bidi w:val="0"/>
        <w:rPr>
          <w:color w:val="auto"/>
          <w:highlight w:val="none"/>
        </w:rPr>
      </w:pPr>
      <w:r>
        <w:rPr>
          <w:color w:val="auto"/>
          <w:highlight w:val="none"/>
        </w:rPr>
        <w:t>矿区采煤将导致矿区地形地貌改变，工矿用地、建设用地以及交通用地增加，从而导致矿区土地利用结构的改变。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社会和经济</w:t>
      </w:r>
    </w:p>
    <w:p>
      <w:pPr>
        <w:bidi w:val="0"/>
        <w:rPr>
          <w:color w:val="auto"/>
          <w:highlight w:val="none"/>
        </w:rPr>
      </w:pPr>
      <w:r>
        <w:rPr>
          <w:color w:val="auto"/>
          <w:highlight w:val="none"/>
        </w:rPr>
        <w:t>矿区建设对于促进当地经济转型，增加就业，提高居民生活水平和当地的基础设施建设，推动当地文化、教育和卫生事业的发展，具有十分重要的意义。</w:t>
      </w:r>
    </w:p>
    <w:p>
      <w:pPr>
        <w:pStyle w:val="6"/>
        <w:numPr>
          <w:ilvl w:val="2"/>
          <w:numId w:val="5"/>
        </w:numPr>
        <w:bidi w:val="0"/>
        <w:rPr>
          <w:color w:val="auto"/>
          <w:highlight w:val="none"/>
        </w:rPr>
      </w:pPr>
      <w:bookmarkStart w:id="283" w:name="4.1.2 矿区开发对敏感目标的影响"/>
      <w:bookmarkEnd w:id="283"/>
      <w:bookmarkStart w:id="284" w:name="4.1.2 矿区开发对敏感目标的影响"/>
      <w:bookmarkEnd w:id="284"/>
      <w:bookmarkStart w:id="285" w:name="_Toc20417"/>
      <w:bookmarkStart w:id="286" w:name="_Toc10867"/>
      <w:r>
        <w:rPr>
          <w:color w:val="auto"/>
          <w:highlight w:val="none"/>
        </w:rPr>
        <w:t>矿区开发对敏感目标的影响</w:t>
      </w:r>
      <w:bookmarkEnd w:id="285"/>
      <w:bookmarkEnd w:id="286"/>
    </w:p>
    <w:p>
      <w:pPr>
        <w:bidi w:val="0"/>
        <w:rPr>
          <w:color w:val="auto"/>
          <w:highlight w:val="none"/>
        </w:rPr>
      </w:pPr>
      <w:r>
        <w:rPr>
          <w:color w:val="auto"/>
          <w:highlight w:val="none"/>
        </w:rPr>
        <w:t>矿区规划范围内的敏感目标主要是区域内分布的水源保护区、工业场地生活区、</w:t>
      </w:r>
      <w:r>
        <w:rPr>
          <w:rFonts w:hint="eastAsia"/>
          <w:color w:val="auto"/>
          <w:highlight w:val="none"/>
          <w:lang w:eastAsia="zh-CN"/>
        </w:rPr>
        <w:t>村庄等集中居民区、</w:t>
      </w:r>
      <w:r>
        <w:rPr>
          <w:color w:val="auto"/>
          <w:highlight w:val="none"/>
        </w:rPr>
        <w:t>公路等地面设施。矿区开发不当可能造成地表设施受地表变形和地面沉降影响而遭到破坏，还可能导致浅层地下水漏失，影响水源地的汇水，造成农村居民饮水安全问题。</w:t>
      </w:r>
    </w:p>
    <w:p>
      <w:pPr>
        <w:bidi w:val="0"/>
        <w:rPr>
          <w:color w:val="auto"/>
          <w:highlight w:val="none"/>
        </w:rPr>
      </w:pPr>
      <w:r>
        <w:rPr>
          <w:color w:val="auto"/>
          <w:highlight w:val="none"/>
        </w:rPr>
        <w:t>规划矿区范围外侧紧邻的</w:t>
      </w:r>
      <w:r>
        <w:rPr>
          <w:rFonts w:hint="eastAsia"/>
          <w:color w:val="auto"/>
          <w:highlight w:val="none"/>
          <w:lang w:eastAsia="zh-CN"/>
        </w:rPr>
        <w:t>五峰山</w:t>
      </w:r>
      <w:r>
        <w:rPr>
          <w:color w:val="auto"/>
          <w:highlight w:val="none"/>
        </w:rPr>
        <w:t>森林公园</w:t>
      </w:r>
      <w:r>
        <w:rPr>
          <w:rFonts w:hint="eastAsia"/>
          <w:color w:val="auto"/>
          <w:highlight w:val="none"/>
          <w:lang w:eastAsia="zh-CN"/>
        </w:rPr>
        <w:t>、乌木水库饮用水源地</w:t>
      </w:r>
      <w:r>
        <w:rPr>
          <w:color w:val="auto"/>
          <w:highlight w:val="none"/>
        </w:rPr>
        <w:t>的影响也应尤为关注。</w:t>
      </w:r>
    </w:p>
    <w:p>
      <w:pPr>
        <w:pStyle w:val="6"/>
        <w:numPr>
          <w:ilvl w:val="2"/>
          <w:numId w:val="5"/>
        </w:numPr>
        <w:bidi w:val="0"/>
        <w:rPr>
          <w:color w:val="auto"/>
          <w:highlight w:val="none"/>
        </w:rPr>
      </w:pPr>
      <w:bookmarkStart w:id="287" w:name="4.1.3 环境影响识别矩阵分析"/>
      <w:bookmarkEnd w:id="287"/>
      <w:bookmarkStart w:id="288" w:name="4.1.3 环境影响识别矩阵分析"/>
      <w:bookmarkEnd w:id="288"/>
      <w:bookmarkStart w:id="289" w:name="_Toc5347"/>
      <w:bookmarkStart w:id="290" w:name="_Toc10992"/>
      <w:r>
        <w:rPr>
          <w:color w:val="auto"/>
          <w:highlight w:val="none"/>
        </w:rPr>
        <w:t>环境影响识别矩阵分析</w:t>
      </w:r>
      <w:bookmarkEnd w:id="289"/>
      <w:bookmarkEnd w:id="290"/>
    </w:p>
    <w:p>
      <w:pPr>
        <w:bidi w:val="0"/>
        <w:rPr>
          <w:color w:val="auto"/>
          <w:highlight w:val="none"/>
        </w:rPr>
      </w:pPr>
      <w:r>
        <w:rPr>
          <w:color w:val="auto"/>
          <w:highlight w:val="none"/>
        </w:rPr>
        <w:t>矿区总体规划方案实施对环境影响识别结果见表</w:t>
      </w:r>
      <w:r>
        <w:rPr>
          <w:rFonts w:ascii="Times New Roman" w:eastAsia="Times New Roman"/>
          <w:color w:val="auto"/>
          <w:highlight w:val="none"/>
        </w:rPr>
        <w:t>4.1-1</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4.1-1</w:t>
      </w:r>
      <w:r>
        <w:rPr>
          <w:rFonts w:ascii="Times New Roman" w:eastAsia="Times New Roman"/>
          <w:b/>
          <w:color w:val="auto"/>
          <w:sz w:val="21"/>
          <w:highlight w:val="none"/>
        </w:rPr>
        <w:tab/>
      </w:r>
      <w:r>
        <w:rPr>
          <w:b/>
          <w:color w:val="auto"/>
          <w:w w:val="95"/>
          <w:sz w:val="21"/>
          <w:highlight w:val="none"/>
        </w:rPr>
        <w:t>矿区总体规划环境影响因素识别一览表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09"/>
        <w:gridCol w:w="1817"/>
        <w:gridCol w:w="1578"/>
        <w:gridCol w:w="1578"/>
        <w:gridCol w:w="1578"/>
        <w:gridCol w:w="15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2726" w:type="dxa"/>
            <w:gridSpan w:val="2"/>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主要活动环境因素</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煤炭开采</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煤炭洗选</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煤炭运输</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固体废物处置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自然资源与生态环境</w:t>
            </w: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土地资源</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水资源</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矿产资源</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－3L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地形地貌</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6"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水土流失</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－2S</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植物资源</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－2S</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动物资源</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生物多样性</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909"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环境质量</w:t>
            </w: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环境空气</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地表水</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地下水</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声环境</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土壤环境</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909"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社会经济环境</w:t>
            </w: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社会经济发展</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＋3L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基础设施</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搬迁</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农业生产</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9"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公路</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－2L</w:t>
            </w: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78"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9040" w:type="dxa"/>
            <w:gridSpan w:val="6"/>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sz w:val="21"/>
                <w:highlight w:val="none"/>
              </w:rPr>
              <w:t>备注：影响性质：</w:t>
            </w:r>
            <w:r>
              <w:rPr>
                <w:rFonts w:ascii="Times New Roman" w:hAnsi="Times New Roman" w:eastAsia="Times New Roman"/>
                <w:color w:val="auto"/>
                <w:sz w:val="21"/>
                <w:highlight w:val="none"/>
              </w:rPr>
              <w:t>“</w:t>
            </w:r>
            <w:r>
              <w:rPr>
                <w:color w:val="auto"/>
                <w:sz w:val="21"/>
                <w:highlight w:val="none"/>
              </w:rPr>
              <w:t>＋</w:t>
            </w:r>
            <w:r>
              <w:rPr>
                <w:rFonts w:ascii="Times New Roman" w:hAnsi="Times New Roman" w:eastAsia="Times New Roman"/>
                <w:color w:val="auto"/>
                <w:sz w:val="21"/>
                <w:highlight w:val="none"/>
              </w:rPr>
              <w:t>”</w:t>
            </w:r>
            <w:r>
              <w:rPr>
                <w:color w:val="auto"/>
                <w:sz w:val="21"/>
                <w:highlight w:val="none"/>
              </w:rPr>
              <w:t>表示有利影响；</w:t>
            </w:r>
            <w:r>
              <w:rPr>
                <w:rFonts w:ascii="Times New Roman" w:hAnsi="Times New Roman" w:eastAsia="Times New Roman"/>
                <w:color w:val="auto"/>
                <w:sz w:val="21"/>
                <w:highlight w:val="none"/>
              </w:rPr>
              <w:t>“</w:t>
            </w:r>
            <w:r>
              <w:rPr>
                <w:color w:val="auto"/>
                <w:sz w:val="21"/>
                <w:highlight w:val="none"/>
              </w:rPr>
              <w:t>－</w:t>
            </w:r>
            <w:r>
              <w:rPr>
                <w:rFonts w:ascii="Times New Roman" w:hAnsi="Times New Roman" w:eastAsia="Times New Roman"/>
                <w:color w:val="auto"/>
                <w:sz w:val="21"/>
                <w:highlight w:val="none"/>
              </w:rPr>
              <w:t>”</w:t>
            </w:r>
            <w:r>
              <w:rPr>
                <w:color w:val="auto"/>
                <w:sz w:val="21"/>
                <w:highlight w:val="none"/>
              </w:rPr>
              <w:t>表示不利影响；影响时间：</w:t>
            </w:r>
            <w:r>
              <w:rPr>
                <w:rFonts w:ascii="Times New Roman" w:hAnsi="Times New Roman" w:eastAsia="Times New Roman"/>
                <w:color w:val="auto"/>
                <w:sz w:val="21"/>
                <w:highlight w:val="none"/>
              </w:rPr>
              <w:t>“L”</w:t>
            </w:r>
            <w:r>
              <w:rPr>
                <w:color w:val="auto"/>
                <w:sz w:val="21"/>
                <w:highlight w:val="none"/>
              </w:rPr>
              <w:t>表示长时间影响；</w:t>
            </w:r>
            <w:r>
              <w:rPr>
                <w:rFonts w:ascii="Times New Roman" w:hAnsi="Times New Roman" w:eastAsia="Times New Roman"/>
                <w:color w:val="auto"/>
                <w:sz w:val="21"/>
                <w:highlight w:val="none"/>
              </w:rPr>
              <w:t xml:space="preserve">“S” </w:t>
            </w:r>
            <w:r>
              <w:rPr>
                <w:color w:val="auto"/>
                <w:sz w:val="21"/>
                <w:highlight w:val="none"/>
              </w:rPr>
              <w:t>表示短时间影响；影响程度：</w:t>
            </w:r>
            <w:r>
              <w:rPr>
                <w:rFonts w:ascii="Times New Roman" w:hAnsi="Times New Roman" w:eastAsia="Times New Roman"/>
                <w:color w:val="auto"/>
                <w:sz w:val="21"/>
                <w:highlight w:val="none"/>
              </w:rPr>
              <w:t xml:space="preserve">1 </w:t>
            </w:r>
            <w:r>
              <w:rPr>
                <w:color w:val="auto"/>
                <w:sz w:val="21"/>
                <w:highlight w:val="none"/>
              </w:rPr>
              <w:t>表示影响程度轻微，</w:t>
            </w:r>
            <w:r>
              <w:rPr>
                <w:rFonts w:ascii="Times New Roman" w:hAnsi="Times New Roman" w:eastAsia="Times New Roman"/>
                <w:color w:val="auto"/>
                <w:sz w:val="21"/>
                <w:highlight w:val="none"/>
              </w:rPr>
              <w:t xml:space="preserve">2 </w:t>
            </w:r>
            <w:r>
              <w:rPr>
                <w:color w:val="auto"/>
                <w:sz w:val="21"/>
                <w:highlight w:val="none"/>
              </w:rPr>
              <w:t>表示影响程度一般，</w:t>
            </w:r>
            <w:r>
              <w:rPr>
                <w:rFonts w:ascii="Times New Roman" w:hAnsi="Times New Roman" w:eastAsia="Times New Roman"/>
                <w:color w:val="auto"/>
                <w:sz w:val="21"/>
                <w:highlight w:val="none"/>
              </w:rPr>
              <w:t xml:space="preserve">3 </w:t>
            </w:r>
            <w:r>
              <w:rPr>
                <w:color w:val="auto"/>
                <w:sz w:val="21"/>
                <w:highlight w:val="none"/>
              </w:rPr>
              <w:t>表示影响程度显著。</w:t>
            </w:r>
          </w:p>
        </w:tc>
      </w:tr>
    </w:tbl>
    <w:p>
      <w:pPr>
        <w:pStyle w:val="6"/>
        <w:numPr>
          <w:ilvl w:val="2"/>
          <w:numId w:val="5"/>
        </w:numPr>
        <w:bidi w:val="0"/>
        <w:rPr>
          <w:color w:val="auto"/>
          <w:highlight w:val="none"/>
        </w:rPr>
      </w:pPr>
      <w:bookmarkStart w:id="291" w:name="4.1.4 评价因子的确定"/>
      <w:bookmarkEnd w:id="291"/>
      <w:bookmarkStart w:id="292" w:name="4.1.4 评价因子的确定"/>
      <w:bookmarkEnd w:id="292"/>
      <w:bookmarkStart w:id="293" w:name="_Toc24675"/>
      <w:bookmarkStart w:id="294" w:name="_Toc28345"/>
      <w:r>
        <w:rPr>
          <w:color w:val="auto"/>
          <w:highlight w:val="none"/>
        </w:rPr>
        <w:t>评价因子的确定</w:t>
      </w:r>
      <w:bookmarkEnd w:id="293"/>
      <w:bookmarkEnd w:id="294"/>
    </w:p>
    <w:p>
      <w:pPr>
        <w:bidi w:val="0"/>
        <w:rPr>
          <w:color w:val="auto"/>
          <w:highlight w:val="none"/>
        </w:rPr>
      </w:pPr>
      <w:r>
        <w:rPr>
          <w:color w:val="auto"/>
          <w:highlight w:val="none"/>
        </w:rPr>
        <w:t>根据矿区主要开发活动环境影响识别的基础上，结合矿区开发环境影响回顾性评价和矿区环境现状调查，确定评价因子，具体见表4.1-2。</w:t>
      </w:r>
    </w:p>
    <w:p>
      <w:pPr>
        <w:pStyle w:val="22"/>
        <w:bidi w:val="0"/>
        <w:rPr>
          <w:b/>
          <w:color w:val="auto"/>
          <w:sz w:val="21"/>
          <w:highlight w:val="none"/>
        </w:rPr>
      </w:pPr>
      <w:r>
        <w:rPr>
          <w:b/>
          <w:color w:val="auto"/>
          <w:sz w:val="21"/>
          <w:highlight w:val="none"/>
        </w:rPr>
        <w:t>表</w:t>
      </w:r>
      <w:r>
        <w:rPr>
          <w:b/>
          <w:color w:val="auto"/>
          <w:spacing w:val="-53"/>
          <w:sz w:val="21"/>
          <w:highlight w:val="none"/>
        </w:rPr>
        <w:t xml:space="preserve"> </w:t>
      </w:r>
      <w:r>
        <w:rPr>
          <w:rFonts w:ascii="Times New Roman" w:eastAsia="Times New Roman"/>
          <w:b/>
          <w:color w:val="auto"/>
          <w:sz w:val="21"/>
          <w:highlight w:val="none"/>
        </w:rPr>
        <w:t>4.1-2</w:t>
      </w:r>
      <w:r>
        <w:rPr>
          <w:rFonts w:ascii="Times New Roman" w:eastAsia="Times New Roman"/>
          <w:b/>
          <w:color w:val="auto"/>
          <w:sz w:val="21"/>
          <w:highlight w:val="none"/>
        </w:rPr>
        <w:tab/>
      </w:r>
      <w:r>
        <w:rPr>
          <w:b/>
          <w:color w:val="auto"/>
          <w:sz w:val="21"/>
          <w:highlight w:val="none"/>
        </w:rPr>
        <w:t>重点评价对象和评价因子</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
        <w:gridCol w:w="1155"/>
        <w:gridCol w:w="5193"/>
        <w:gridCol w:w="2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646" w:type="dxa"/>
            <w:gridSpan w:val="2"/>
            <w:tcBorders>
              <w:left w:val="nil"/>
            </w:tcBorders>
            <w:vAlign w:val="center"/>
          </w:tcPr>
          <w:p>
            <w:pPr>
              <w:pStyle w:val="22"/>
              <w:bidi w:val="0"/>
              <w:rPr>
                <w:color w:val="auto"/>
                <w:highlight w:val="none"/>
              </w:rPr>
            </w:pPr>
            <w:r>
              <w:rPr>
                <w:color w:val="auto"/>
                <w:highlight w:val="none"/>
              </w:rPr>
              <w:t>环境、资源 要</w:t>
            </w:r>
          </w:p>
          <w:p>
            <w:pPr>
              <w:pStyle w:val="22"/>
              <w:bidi w:val="0"/>
              <w:rPr>
                <w:color w:val="auto"/>
                <w:highlight w:val="none"/>
              </w:rPr>
            </w:pPr>
            <w:r>
              <w:rPr>
                <w:color w:val="auto"/>
                <w:highlight w:val="none"/>
              </w:rPr>
              <w:t>素</w:t>
            </w:r>
          </w:p>
        </w:tc>
        <w:tc>
          <w:tcPr>
            <w:tcW w:w="5193" w:type="dxa"/>
            <w:vAlign w:val="center"/>
          </w:tcPr>
          <w:p>
            <w:pPr>
              <w:pStyle w:val="22"/>
              <w:bidi w:val="0"/>
              <w:rPr>
                <w:color w:val="auto"/>
                <w:highlight w:val="none"/>
              </w:rPr>
            </w:pPr>
            <w:r>
              <w:rPr>
                <w:color w:val="auto"/>
                <w:highlight w:val="none"/>
              </w:rPr>
              <w:t>重点评价内容、因子</w:t>
            </w:r>
          </w:p>
        </w:tc>
        <w:tc>
          <w:tcPr>
            <w:tcW w:w="2187" w:type="dxa"/>
            <w:tcBorders>
              <w:right w:val="nil"/>
            </w:tcBorders>
            <w:vAlign w:val="center"/>
          </w:tcPr>
          <w:p>
            <w:pPr>
              <w:pStyle w:val="22"/>
              <w:bidi w:val="0"/>
              <w:rPr>
                <w:color w:val="auto"/>
                <w:highlight w:val="none"/>
              </w:rPr>
            </w:pPr>
            <w:r>
              <w:rPr>
                <w:color w:val="auto"/>
                <w:highlight w:val="none"/>
              </w:rPr>
              <w:t>重点评价对象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491" w:type="dxa"/>
            <w:vMerge w:val="restart"/>
            <w:tcBorders>
              <w:left w:val="nil"/>
            </w:tcBorders>
            <w:vAlign w:val="center"/>
          </w:tcPr>
          <w:p>
            <w:pPr>
              <w:pStyle w:val="22"/>
              <w:bidi w:val="0"/>
              <w:rPr>
                <w:color w:val="auto"/>
                <w:highlight w:val="none"/>
              </w:rPr>
            </w:pPr>
            <w:r>
              <w:rPr>
                <w:color w:val="auto"/>
                <w:highlight w:val="none"/>
              </w:rPr>
              <w:t>自然环境要素</w:t>
            </w:r>
          </w:p>
        </w:tc>
        <w:tc>
          <w:tcPr>
            <w:tcW w:w="1155" w:type="dxa"/>
            <w:vAlign w:val="center"/>
          </w:tcPr>
          <w:p>
            <w:pPr>
              <w:pStyle w:val="22"/>
              <w:bidi w:val="0"/>
              <w:rPr>
                <w:color w:val="auto"/>
                <w:highlight w:val="none"/>
              </w:rPr>
            </w:pPr>
            <w:r>
              <w:rPr>
                <w:color w:val="auto"/>
                <w:highlight w:val="none"/>
              </w:rPr>
              <w:t>地下水</w:t>
            </w:r>
          </w:p>
        </w:tc>
        <w:tc>
          <w:tcPr>
            <w:tcW w:w="5193" w:type="dxa"/>
            <w:vAlign w:val="center"/>
          </w:tcPr>
          <w:p>
            <w:pPr>
              <w:pStyle w:val="22"/>
              <w:bidi w:val="0"/>
              <w:rPr>
                <w:color w:val="auto"/>
                <w:highlight w:val="none"/>
              </w:rPr>
            </w:pPr>
            <w:r>
              <w:rPr>
                <w:color w:val="auto"/>
                <w:highlight w:val="none"/>
              </w:rPr>
              <w:t>地下水资源利用情况及承载力、井工开采对地下水含水层的影响。重点评价因子：总硬度等</w:t>
            </w:r>
          </w:p>
        </w:tc>
        <w:tc>
          <w:tcPr>
            <w:tcW w:w="2187" w:type="dxa"/>
            <w:tcBorders>
              <w:right w:val="nil"/>
            </w:tcBorders>
            <w:vAlign w:val="center"/>
          </w:tcPr>
          <w:p>
            <w:pPr>
              <w:pStyle w:val="22"/>
              <w:bidi w:val="0"/>
              <w:rPr>
                <w:color w:val="auto"/>
                <w:highlight w:val="none"/>
              </w:rPr>
            </w:pPr>
            <w:r>
              <w:rPr>
                <w:color w:val="auto"/>
                <w:highlight w:val="none"/>
              </w:rPr>
              <w:t>地下水资源量、矿区浅部含水层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环境空气</w:t>
            </w:r>
          </w:p>
        </w:tc>
        <w:tc>
          <w:tcPr>
            <w:tcW w:w="5193" w:type="dxa"/>
            <w:vAlign w:val="center"/>
          </w:tcPr>
          <w:p>
            <w:pPr>
              <w:pStyle w:val="22"/>
              <w:bidi w:val="0"/>
              <w:rPr>
                <w:color w:val="auto"/>
                <w:highlight w:val="none"/>
              </w:rPr>
            </w:pPr>
            <w:r>
              <w:rPr>
                <w:color w:val="auto"/>
                <w:highlight w:val="none"/>
              </w:rPr>
              <w:t>废气处理、扬尘污染控制方案是否合理，重点评价因子：TSP</w:t>
            </w:r>
          </w:p>
        </w:tc>
        <w:tc>
          <w:tcPr>
            <w:tcW w:w="2187" w:type="dxa"/>
            <w:tcBorders>
              <w:right w:val="nil"/>
            </w:tcBorders>
            <w:vAlign w:val="center"/>
          </w:tcPr>
          <w:p>
            <w:pPr>
              <w:pStyle w:val="22"/>
              <w:bidi w:val="0"/>
              <w:rPr>
                <w:color w:val="auto"/>
                <w:highlight w:val="none"/>
              </w:rPr>
            </w:pPr>
            <w:r>
              <w:rPr>
                <w:color w:val="auto"/>
                <w:highlight w:val="none"/>
              </w:rPr>
              <w:t>无组织扬尘源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地表水</w:t>
            </w:r>
          </w:p>
        </w:tc>
        <w:tc>
          <w:tcPr>
            <w:tcW w:w="5193" w:type="dxa"/>
            <w:vAlign w:val="center"/>
          </w:tcPr>
          <w:p>
            <w:pPr>
              <w:pStyle w:val="22"/>
              <w:bidi w:val="0"/>
              <w:rPr>
                <w:color w:val="auto"/>
                <w:highlight w:val="none"/>
              </w:rPr>
            </w:pPr>
            <w:r>
              <w:rPr>
                <w:color w:val="auto"/>
                <w:highlight w:val="none"/>
              </w:rPr>
              <w:t>井下排水、生活污水处置以及资源化利用途径，影响分析</w:t>
            </w:r>
          </w:p>
        </w:tc>
        <w:tc>
          <w:tcPr>
            <w:tcW w:w="2187" w:type="dxa"/>
            <w:tcBorders>
              <w:right w:val="nil"/>
            </w:tcBorders>
            <w:vAlign w:val="center"/>
          </w:tcPr>
          <w:p>
            <w:pPr>
              <w:pStyle w:val="22"/>
              <w:bidi w:val="0"/>
              <w:rPr>
                <w:color w:val="auto"/>
                <w:highlight w:val="none"/>
              </w:rPr>
            </w:pPr>
            <w:r>
              <w:rPr>
                <w:color w:val="auto"/>
                <w:highlight w:val="none"/>
              </w:rPr>
              <w:t>井下排水、生活污水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固体废物</w:t>
            </w:r>
          </w:p>
        </w:tc>
        <w:tc>
          <w:tcPr>
            <w:tcW w:w="5193" w:type="dxa"/>
            <w:vAlign w:val="center"/>
          </w:tcPr>
          <w:p>
            <w:pPr>
              <w:pStyle w:val="22"/>
              <w:bidi w:val="0"/>
              <w:rPr>
                <w:color w:val="auto"/>
                <w:highlight w:val="none"/>
              </w:rPr>
            </w:pPr>
            <w:r>
              <w:rPr>
                <w:color w:val="auto"/>
                <w:highlight w:val="none"/>
              </w:rPr>
              <w:t>固体废物处置方式、资源化综合利用途径、环境影响分析</w:t>
            </w:r>
          </w:p>
        </w:tc>
        <w:tc>
          <w:tcPr>
            <w:tcW w:w="2187" w:type="dxa"/>
            <w:tcBorders>
              <w:right w:val="nil"/>
            </w:tcBorders>
            <w:vAlign w:val="center"/>
          </w:tcPr>
          <w:p>
            <w:pPr>
              <w:pStyle w:val="22"/>
              <w:bidi w:val="0"/>
              <w:rPr>
                <w:color w:val="auto"/>
                <w:highlight w:val="none"/>
              </w:rPr>
            </w:pPr>
            <w:r>
              <w:rPr>
                <w:color w:val="auto"/>
                <w:highlight w:val="none"/>
              </w:rPr>
              <w:t>矸石、炉渣、生活垃圾等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0"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生态环境</w:t>
            </w:r>
          </w:p>
        </w:tc>
        <w:tc>
          <w:tcPr>
            <w:tcW w:w="5193" w:type="dxa"/>
            <w:vAlign w:val="center"/>
          </w:tcPr>
          <w:p>
            <w:pPr>
              <w:pStyle w:val="22"/>
              <w:bidi w:val="0"/>
              <w:rPr>
                <w:color w:val="auto"/>
                <w:highlight w:val="none"/>
              </w:rPr>
            </w:pPr>
            <w:r>
              <w:rPr>
                <w:color w:val="auto"/>
                <w:highlight w:val="none"/>
              </w:rPr>
              <w:t>生态环境：生态类型、群落类型、植被分布、生态结构、生态功能、生态景观的现状及变化土地利用：土地利用类型、结构、分布的现状及变化植被：植被种类、分布、组成、盖度、分布的现状及变化耕地：农作物类型、产量及分布，配套的农灌渠；</w:t>
            </w:r>
          </w:p>
          <w:p>
            <w:pPr>
              <w:pStyle w:val="22"/>
              <w:bidi w:val="0"/>
              <w:rPr>
                <w:color w:val="auto"/>
                <w:highlight w:val="none"/>
              </w:rPr>
            </w:pPr>
            <w:r>
              <w:rPr>
                <w:color w:val="auto"/>
                <w:highlight w:val="none"/>
              </w:rPr>
              <w:t>动物：动物种类、特征、分布、多样性的现状及变化；</w:t>
            </w:r>
          </w:p>
          <w:p>
            <w:pPr>
              <w:pStyle w:val="22"/>
              <w:bidi w:val="0"/>
              <w:rPr>
                <w:color w:val="auto"/>
                <w:highlight w:val="none"/>
              </w:rPr>
            </w:pPr>
            <w:r>
              <w:rPr>
                <w:color w:val="auto"/>
                <w:highlight w:val="none"/>
              </w:rPr>
              <w:t>土壤：土壤类型、理化性质、立地特征、分布的现状及变化；</w:t>
            </w:r>
          </w:p>
          <w:p>
            <w:pPr>
              <w:pStyle w:val="22"/>
              <w:bidi w:val="0"/>
              <w:rPr>
                <w:color w:val="auto"/>
                <w:highlight w:val="none"/>
              </w:rPr>
            </w:pPr>
            <w:r>
              <w:rPr>
                <w:color w:val="auto"/>
                <w:highlight w:val="none"/>
              </w:rPr>
              <w:t>水土流失：水土流失影响及防治措施</w:t>
            </w:r>
          </w:p>
        </w:tc>
        <w:tc>
          <w:tcPr>
            <w:tcW w:w="2187" w:type="dxa"/>
            <w:tcBorders>
              <w:right w:val="nil"/>
            </w:tcBorders>
            <w:vAlign w:val="center"/>
          </w:tcPr>
          <w:p>
            <w:pPr>
              <w:pStyle w:val="22"/>
              <w:bidi w:val="0"/>
              <w:rPr>
                <w:color w:val="auto"/>
                <w:highlight w:val="none"/>
              </w:rPr>
            </w:pPr>
            <w:r>
              <w:rPr>
                <w:color w:val="auto"/>
                <w:highlight w:val="none"/>
              </w:rPr>
              <w:t>地表沉陷、水土流失、生态功能、基本农田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restart"/>
            <w:tcBorders>
              <w:left w:val="nil"/>
            </w:tcBorders>
            <w:vAlign w:val="center"/>
          </w:tcPr>
          <w:p>
            <w:pPr>
              <w:pStyle w:val="22"/>
              <w:bidi w:val="0"/>
              <w:rPr>
                <w:color w:val="auto"/>
                <w:highlight w:val="none"/>
              </w:rPr>
            </w:pPr>
            <w:r>
              <w:rPr>
                <w:color w:val="auto"/>
                <w:highlight w:val="none"/>
              </w:rPr>
              <w:t>资源要素</w:t>
            </w:r>
          </w:p>
        </w:tc>
        <w:tc>
          <w:tcPr>
            <w:tcW w:w="1155" w:type="dxa"/>
            <w:vAlign w:val="center"/>
          </w:tcPr>
          <w:p>
            <w:pPr>
              <w:pStyle w:val="22"/>
              <w:bidi w:val="0"/>
              <w:rPr>
                <w:color w:val="auto"/>
                <w:highlight w:val="none"/>
              </w:rPr>
            </w:pPr>
            <w:r>
              <w:rPr>
                <w:color w:val="auto"/>
                <w:highlight w:val="none"/>
              </w:rPr>
              <w:t>矿产资源</w:t>
            </w:r>
          </w:p>
        </w:tc>
        <w:tc>
          <w:tcPr>
            <w:tcW w:w="5193" w:type="dxa"/>
            <w:vAlign w:val="center"/>
          </w:tcPr>
          <w:p>
            <w:pPr>
              <w:pStyle w:val="22"/>
              <w:bidi w:val="0"/>
              <w:rPr>
                <w:color w:val="auto"/>
                <w:highlight w:val="none"/>
              </w:rPr>
            </w:pPr>
            <w:r>
              <w:rPr>
                <w:color w:val="auto"/>
                <w:highlight w:val="none"/>
              </w:rPr>
              <w:t>矿产资源适度合理开发及可持续利用</w:t>
            </w:r>
          </w:p>
        </w:tc>
        <w:tc>
          <w:tcPr>
            <w:tcW w:w="2187" w:type="dxa"/>
            <w:tcBorders>
              <w:right w:val="nil"/>
            </w:tcBorders>
            <w:vAlign w:val="center"/>
          </w:tcPr>
          <w:p>
            <w:pPr>
              <w:pStyle w:val="22"/>
              <w:bidi w:val="0"/>
              <w:rPr>
                <w:color w:val="auto"/>
                <w:highlight w:val="none"/>
              </w:rPr>
            </w:pPr>
            <w:r>
              <w:rPr>
                <w:color w:val="auto"/>
                <w:highlight w:val="none"/>
              </w:rPr>
              <w:t>煤炭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土地资源</w:t>
            </w:r>
          </w:p>
        </w:tc>
        <w:tc>
          <w:tcPr>
            <w:tcW w:w="5193" w:type="dxa"/>
            <w:vAlign w:val="center"/>
          </w:tcPr>
          <w:p>
            <w:pPr>
              <w:pStyle w:val="22"/>
              <w:bidi w:val="0"/>
              <w:rPr>
                <w:color w:val="auto"/>
                <w:highlight w:val="none"/>
              </w:rPr>
            </w:pPr>
            <w:r>
              <w:rPr>
                <w:color w:val="auto"/>
                <w:highlight w:val="none"/>
              </w:rPr>
              <w:t>土地资源可持续利用、土地资源承载力分析、项目建设及采煤沉陷对土地资源的影响</w:t>
            </w:r>
          </w:p>
        </w:tc>
        <w:tc>
          <w:tcPr>
            <w:tcW w:w="2187" w:type="dxa"/>
            <w:tcBorders>
              <w:right w:val="nil"/>
            </w:tcBorders>
            <w:vAlign w:val="center"/>
          </w:tcPr>
          <w:p>
            <w:pPr>
              <w:pStyle w:val="22"/>
              <w:bidi w:val="0"/>
              <w:rPr>
                <w:color w:val="auto"/>
                <w:highlight w:val="none"/>
              </w:rPr>
            </w:pPr>
            <w:r>
              <w:rPr>
                <w:color w:val="auto"/>
                <w:highlight w:val="none"/>
              </w:rPr>
              <w:t>耕地、草地、林地， 土地生产力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水资源</w:t>
            </w:r>
          </w:p>
        </w:tc>
        <w:tc>
          <w:tcPr>
            <w:tcW w:w="5193" w:type="dxa"/>
            <w:vAlign w:val="center"/>
          </w:tcPr>
          <w:p>
            <w:pPr>
              <w:pStyle w:val="22"/>
              <w:bidi w:val="0"/>
              <w:rPr>
                <w:color w:val="auto"/>
                <w:highlight w:val="none"/>
              </w:rPr>
            </w:pPr>
            <w:r>
              <w:rPr>
                <w:color w:val="auto"/>
                <w:highlight w:val="none"/>
              </w:rPr>
              <w:t>煤炭开采对水资源的破坏，水资源可持续利用、水资源承载力分析，水资源开发与保护</w:t>
            </w:r>
          </w:p>
        </w:tc>
        <w:tc>
          <w:tcPr>
            <w:tcW w:w="2187" w:type="dxa"/>
            <w:tcBorders>
              <w:right w:val="nil"/>
            </w:tcBorders>
            <w:vAlign w:val="center"/>
          </w:tcPr>
          <w:p>
            <w:pPr>
              <w:pStyle w:val="22"/>
              <w:bidi w:val="0"/>
              <w:rPr>
                <w:color w:val="auto"/>
                <w:highlight w:val="none"/>
              </w:rPr>
            </w:pPr>
            <w:r>
              <w:rPr>
                <w:color w:val="auto"/>
                <w:highlight w:val="none"/>
              </w:rPr>
              <w:t>区域可利用水资源、</w:t>
            </w:r>
          </w:p>
          <w:p>
            <w:pPr>
              <w:pStyle w:val="22"/>
              <w:bidi w:val="0"/>
              <w:rPr>
                <w:color w:val="auto"/>
                <w:highlight w:val="none"/>
              </w:rPr>
            </w:pPr>
            <w:r>
              <w:rPr>
                <w:color w:val="auto"/>
                <w:highlight w:val="none"/>
              </w:rPr>
              <w:t>矿井水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restart"/>
            <w:tcBorders>
              <w:left w:val="nil"/>
            </w:tcBorders>
            <w:vAlign w:val="center"/>
          </w:tcPr>
          <w:p>
            <w:pPr>
              <w:pStyle w:val="22"/>
              <w:bidi w:val="0"/>
              <w:rPr>
                <w:color w:val="auto"/>
                <w:highlight w:val="none"/>
              </w:rPr>
            </w:pPr>
            <w:r>
              <w:rPr>
                <w:color w:val="auto"/>
                <w:highlight w:val="none"/>
              </w:rPr>
              <w:t>社会经济</w:t>
            </w:r>
          </w:p>
        </w:tc>
        <w:tc>
          <w:tcPr>
            <w:tcW w:w="1155" w:type="dxa"/>
            <w:vAlign w:val="center"/>
          </w:tcPr>
          <w:p>
            <w:pPr>
              <w:pStyle w:val="22"/>
              <w:bidi w:val="0"/>
              <w:rPr>
                <w:color w:val="auto"/>
                <w:highlight w:val="none"/>
              </w:rPr>
            </w:pPr>
            <w:r>
              <w:rPr>
                <w:color w:val="auto"/>
                <w:highlight w:val="none"/>
              </w:rPr>
              <w:t>经济总量</w:t>
            </w:r>
          </w:p>
        </w:tc>
        <w:tc>
          <w:tcPr>
            <w:tcW w:w="5193" w:type="dxa"/>
            <w:vAlign w:val="center"/>
          </w:tcPr>
          <w:p>
            <w:pPr>
              <w:pStyle w:val="22"/>
              <w:bidi w:val="0"/>
              <w:rPr>
                <w:color w:val="auto"/>
                <w:highlight w:val="none"/>
              </w:rPr>
            </w:pPr>
            <w:r>
              <w:rPr>
                <w:color w:val="auto"/>
                <w:highlight w:val="none"/>
              </w:rPr>
              <w:t>矿区开发对当地经济总量的贡献</w:t>
            </w:r>
          </w:p>
        </w:tc>
        <w:tc>
          <w:tcPr>
            <w:tcW w:w="2187" w:type="dxa"/>
            <w:vMerge w:val="restart"/>
            <w:tcBorders>
              <w:right w:val="nil"/>
            </w:tcBorders>
            <w:vAlign w:val="center"/>
          </w:tcPr>
          <w:p>
            <w:pPr>
              <w:pStyle w:val="22"/>
              <w:bidi w:val="0"/>
              <w:rPr>
                <w:color w:val="auto"/>
                <w:highlight w:val="none"/>
              </w:rPr>
            </w:pPr>
            <w:r>
              <w:rPr>
                <w:color w:val="auto"/>
                <w:highlight w:val="none"/>
              </w:rPr>
              <w:t>重点评价矿区规划范围的经济社会影响，并分享对达州市、</w:t>
            </w:r>
            <w:r>
              <w:rPr>
                <w:rFonts w:hint="eastAsia"/>
                <w:color w:val="auto"/>
                <w:highlight w:val="none"/>
                <w:lang w:eastAsia="zh-CN"/>
              </w:rPr>
              <w:t>大竹县</w:t>
            </w:r>
            <w:r>
              <w:rPr>
                <w:color w:val="auto"/>
                <w:highlight w:val="none"/>
              </w:rPr>
              <w:t>的经济社会贡献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产业结构</w:t>
            </w:r>
          </w:p>
        </w:tc>
        <w:tc>
          <w:tcPr>
            <w:tcW w:w="5193" w:type="dxa"/>
            <w:vAlign w:val="center"/>
          </w:tcPr>
          <w:p>
            <w:pPr>
              <w:pStyle w:val="22"/>
              <w:bidi w:val="0"/>
              <w:rPr>
                <w:color w:val="auto"/>
                <w:highlight w:val="none"/>
              </w:rPr>
            </w:pPr>
            <w:r>
              <w:rPr>
                <w:color w:val="auto"/>
                <w:highlight w:val="none"/>
              </w:rPr>
              <w:t>产业结构比重变化</w:t>
            </w:r>
          </w:p>
        </w:tc>
        <w:tc>
          <w:tcPr>
            <w:tcW w:w="2187"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城镇化</w:t>
            </w:r>
          </w:p>
        </w:tc>
        <w:tc>
          <w:tcPr>
            <w:tcW w:w="5193" w:type="dxa"/>
            <w:vAlign w:val="center"/>
          </w:tcPr>
          <w:p>
            <w:pPr>
              <w:pStyle w:val="22"/>
              <w:bidi w:val="0"/>
              <w:rPr>
                <w:color w:val="auto"/>
                <w:highlight w:val="none"/>
              </w:rPr>
            </w:pPr>
            <w:r>
              <w:rPr>
                <w:color w:val="auto"/>
                <w:highlight w:val="none"/>
              </w:rPr>
              <w:t>矿区开发推动周边区域城镇化建设，提高城镇化率</w:t>
            </w:r>
          </w:p>
        </w:tc>
        <w:tc>
          <w:tcPr>
            <w:tcW w:w="2187"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人口</w:t>
            </w:r>
          </w:p>
        </w:tc>
        <w:tc>
          <w:tcPr>
            <w:tcW w:w="5193" w:type="dxa"/>
            <w:vAlign w:val="center"/>
          </w:tcPr>
          <w:p>
            <w:pPr>
              <w:pStyle w:val="22"/>
              <w:bidi w:val="0"/>
              <w:rPr>
                <w:color w:val="auto"/>
                <w:highlight w:val="none"/>
              </w:rPr>
            </w:pPr>
            <w:r>
              <w:rPr>
                <w:color w:val="auto"/>
                <w:highlight w:val="none"/>
              </w:rPr>
              <w:t>人口数量、人口机械增长率</w:t>
            </w:r>
          </w:p>
        </w:tc>
        <w:tc>
          <w:tcPr>
            <w:tcW w:w="2187"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劳动就业</w:t>
            </w:r>
          </w:p>
        </w:tc>
        <w:tc>
          <w:tcPr>
            <w:tcW w:w="5193" w:type="dxa"/>
            <w:vAlign w:val="center"/>
          </w:tcPr>
          <w:p>
            <w:pPr>
              <w:pStyle w:val="22"/>
              <w:bidi w:val="0"/>
              <w:rPr>
                <w:color w:val="auto"/>
                <w:highlight w:val="none"/>
              </w:rPr>
            </w:pPr>
            <w:r>
              <w:rPr>
                <w:color w:val="auto"/>
                <w:highlight w:val="none"/>
              </w:rPr>
              <w:t>矿区开发提供的劳动岗位，社会就业率的影响</w:t>
            </w:r>
          </w:p>
        </w:tc>
        <w:tc>
          <w:tcPr>
            <w:tcW w:w="2187"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生活质量</w:t>
            </w:r>
          </w:p>
        </w:tc>
        <w:tc>
          <w:tcPr>
            <w:tcW w:w="5193" w:type="dxa"/>
            <w:vAlign w:val="center"/>
          </w:tcPr>
          <w:p>
            <w:pPr>
              <w:pStyle w:val="22"/>
              <w:bidi w:val="0"/>
              <w:rPr>
                <w:color w:val="auto"/>
                <w:highlight w:val="none"/>
              </w:rPr>
            </w:pPr>
            <w:r>
              <w:rPr>
                <w:color w:val="auto"/>
                <w:highlight w:val="none"/>
              </w:rPr>
              <w:t>区域城镇居民人均可支配收入、浓密人均纯收入</w:t>
            </w:r>
          </w:p>
        </w:tc>
        <w:tc>
          <w:tcPr>
            <w:tcW w:w="2187"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城镇</w:t>
            </w:r>
          </w:p>
        </w:tc>
        <w:tc>
          <w:tcPr>
            <w:tcW w:w="5193" w:type="dxa"/>
            <w:vAlign w:val="center"/>
          </w:tcPr>
          <w:p>
            <w:pPr>
              <w:pStyle w:val="22"/>
              <w:bidi w:val="0"/>
              <w:rPr>
                <w:color w:val="auto"/>
                <w:highlight w:val="none"/>
              </w:rPr>
            </w:pPr>
            <w:r>
              <w:rPr>
                <w:color w:val="auto"/>
                <w:highlight w:val="none"/>
              </w:rPr>
              <w:t>对城镇（达州市、</w:t>
            </w:r>
            <w:r>
              <w:rPr>
                <w:rFonts w:hint="eastAsia"/>
                <w:color w:val="auto"/>
                <w:highlight w:val="none"/>
                <w:lang w:eastAsia="zh-CN"/>
              </w:rPr>
              <w:t>大竹县</w:t>
            </w:r>
            <w:r>
              <w:rPr>
                <w:color w:val="auto"/>
                <w:highlight w:val="none"/>
              </w:rPr>
              <w:t>）的影响</w:t>
            </w:r>
          </w:p>
        </w:tc>
        <w:tc>
          <w:tcPr>
            <w:tcW w:w="2187"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491" w:type="dxa"/>
            <w:vMerge w:val="continue"/>
            <w:tcBorders>
              <w:top w:val="nil"/>
              <w:left w:val="nil"/>
            </w:tcBorders>
            <w:vAlign w:val="center"/>
          </w:tcPr>
          <w:p>
            <w:pPr>
              <w:pStyle w:val="22"/>
              <w:bidi w:val="0"/>
              <w:rPr>
                <w:color w:val="auto"/>
                <w:highlight w:val="none"/>
              </w:rPr>
            </w:pPr>
          </w:p>
        </w:tc>
        <w:tc>
          <w:tcPr>
            <w:tcW w:w="1155" w:type="dxa"/>
            <w:vAlign w:val="center"/>
          </w:tcPr>
          <w:p>
            <w:pPr>
              <w:pStyle w:val="22"/>
              <w:bidi w:val="0"/>
              <w:rPr>
                <w:color w:val="auto"/>
                <w:highlight w:val="none"/>
              </w:rPr>
            </w:pPr>
            <w:r>
              <w:rPr>
                <w:color w:val="auto"/>
                <w:highlight w:val="none"/>
              </w:rPr>
              <w:t>清洁生产</w:t>
            </w:r>
          </w:p>
        </w:tc>
        <w:tc>
          <w:tcPr>
            <w:tcW w:w="5193" w:type="dxa"/>
            <w:vAlign w:val="center"/>
          </w:tcPr>
          <w:p>
            <w:pPr>
              <w:pStyle w:val="22"/>
              <w:bidi w:val="0"/>
              <w:rPr>
                <w:color w:val="auto"/>
                <w:highlight w:val="none"/>
              </w:rPr>
            </w:pPr>
            <w:r>
              <w:rPr>
                <w:color w:val="auto"/>
                <w:highlight w:val="none"/>
              </w:rPr>
              <w:t>万元GDP能耗、水耗、矿产资源消耗变化；废水排放达标率、废气排放达标率；废水回用率，固体废物综合利用率</w:t>
            </w:r>
          </w:p>
        </w:tc>
        <w:tc>
          <w:tcPr>
            <w:tcW w:w="2187" w:type="dxa"/>
            <w:vMerge w:val="continue"/>
            <w:tcBorders>
              <w:top w:val="nil"/>
              <w:right w:val="nil"/>
            </w:tcBorders>
            <w:vAlign w:val="center"/>
          </w:tcPr>
          <w:p>
            <w:pPr>
              <w:pStyle w:val="22"/>
              <w:bidi w:val="0"/>
              <w:rPr>
                <w:color w:val="auto"/>
                <w:highlight w:val="none"/>
              </w:rPr>
            </w:pPr>
          </w:p>
        </w:tc>
      </w:tr>
    </w:tbl>
    <w:p>
      <w:pPr>
        <w:pStyle w:val="5"/>
        <w:numPr>
          <w:ilvl w:val="1"/>
          <w:numId w:val="5"/>
        </w:numPr>
        <w:bidi w:val="0"/>
        <w:rPr>
          <w:color w:val="auto"/>
          <w:highlight w:val="none"/>
        </w:rPr>
      </w:pPr>
      <w:bookmarkStart w:id="295" w:name="_bookmark23"/>
      <w:bookmarkEnd w:id="295"/>
      <w:bookmarkStart w:id="296" w:name="4.2 环境目标"/>
      <w:bookmarkEnd w:id="296"/>
      <w:bookmarkStart w:id="297" w:name="_Toc5043"/>
      <w:bookmarkStart w:id="298" w:name="_Toc4664"/>
      <w:r>
        <w:rPr>
          <w:color w:val="auto"/>
          <w:highlight w:val="none"/>
        </w:rPr>
        <w:t>环境目标</w:t>
      </w:r>
      <w:bookmarkEnd w:id="297"/>
      <w:bookmarkEnd w:id="298"/>
    </w:p>
    <w:p>
      <w:pPr>
        <w:bidi w:val="0"/>
        <w:rPr>
          <w:color w:val="auto"/>
          <w:highlight w:val="none"/>
        </w:rPr>
      </w:pPr>
      <w:r>
        <w:rPr>
          <w:color w:val="auto"/>
          <w:highlight w:val="none"/>
        </w:rPr>
        <w:t>针对矿区总体规划实施可能涉及的环境主题、环境要素、区域敏感环境制约因素，根据环境保护政策、法规、标准和相关规划，以及环境功能区划，确定符合区域社会、经济可持续发展的矿区总体规划环境目标。</w:t>
      </w:r>
    </w:p>
    <w:p>
      <w:pPr>
        <w:pStyle w:val="5"/>
        <w:numPr>
          <w:ilvl w:val="1"/>
          <w:numId w:val="5"/>
        </w:numPr>
        <w:bidi w:val="0"/>
        <w:rPr>
          <w:color w:val="auto"/>
          <w:highlight w:val="none"/>
        </w:rPr>
      </w:pPr>
      <w:bookmarkStart w:id="299" w:name="4.3 评价指标体系"/>
      <w:bookmarkEnd w:id="299"/>
      <w:bookmarkStart w:id="300" w:name="_bookmark24"/>
      <w:bookmarkEnd w:id="300"/>
      <w:bookmarkStart w:id="301" w:name="_Toc20634"/>
      <w:bookmarkStart w:id="302" w:name="_Toc21378"/>
      <w:r>
        <w:rPr>
          <w:color w:val="auto"/>
          <w:highlight w:val="none"/>
        </w:rPr>
        <w:t>评价指标体系</w:t>
      </w:r>
      <w:bookmarkEnd w:id="301"/>
      <w:bookmarkEnd w:id="302"/>
    </w:p>
    <w:p>
      <w:pPr>
        <w:pStyle w:val="6"/>
        <w:numPr>
          <w:ilvl w:val="2"/>
          <w:numId w:val="5"/>
        </w:numPr>
        <w:bidi w:val="0"/>
        <w:rPr>
          <w:color w:val="auto"/>
          <w:highlight w:val="none"/>
        </w:rPr>
      </w:pPr>
      <w:bookmarkStart w:id="303" w:name="4.3.1 评价指标的选取原则"/>
      <w:bookmarkEnd w:id="303"/>
      <w:bookmarkStart w:id="304" w:name="4.3.1 评价指标的选取原则"/>
      <w:bookmarkEnd w:id="304"/>
      <w:bookmarkStart w:id="305" w:name="_Toc31363"/>
      <w:bookmarkStart w:id="306" w:name="_Toc30032"/>
      <w:r>
        <w:rPr>
          <w:color w:val="auto"/>
          <w:highlight w:val="none"/>
        </w:rPr>
        <w:t>评价指标的选取原则</w:t>
      </w:r>
      <w:bookmarkEnd w:id="305"/>
      <w:bookmarkEnd w:id="306"/>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科学性：评价指标的选取应建立在科学、合理的基础上，符合客观实际与自然规律，符合相关政策、法规、标准的要求，评价指标所包含的内容能客观反映和评判矿区总体规划的环境影响和发展特点。</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系统性：评价指标的选取要充分考虑矿区开发对自然、社会和经济环境的影响，反映各系统之间相互联系和相互依赖的关系。</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可操作性：选取的评价指标简洁实用，可获取、可测量、可调控，定性指标与定量指标相结合，便于进行客观判断。</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前瞻性：评价指标的确定除反映行业一般水平外，还应提出矿区可持续发展的更高要求。</w:t>
      </w:r>
    </w:p>
    <w:p>
      <w:pPr>
        <w:pStyle w:val="6"/>
        <w:numPr>
          <w:ilvl w:val="2"/>
          <w:numId w:val="5"/>
        </w:numPr>
        <w:bidi w:val="0"/>
        <w:rPr>
          <w:color w:val="auto"/>
          <w:highlight w:val="none"/>
        </w:rPr>
      </w:pPr>
      <w:bookmarkStart w:id="307" w:name="4.3.2 评价指标体系"/>
      <w:bookmarkEnd w:id="307"/>
      <w:bookmarkStart w:id="308" w:name="4.3.2 评价指标体系"/>
      <w:bookmarkEnd w:id="308"/>
      <w:bookmarkStart w:id="309" w:name="_Toc27533"/>
      <w:bookmarkStart w:id="310" w:name="_Toc25576"/>
      <w:r>
        <w:rPr>
          <w:color w:val="auto"/>
          <w:highlight w:val="none"/>
        </w:rPr>
        <w:t>评价指标体系</w:t>
      </w:r>
      <w:bookmarkEnd w:id="309"/>
      <w:bookmarkEnd w:id="310"/>
    </w:p>
    <w:p>
      <w:pPr>
        <w:bidi w:val="0"/>
        <w:rPr>
          <w:color w:val="auto"/>
          <w:highlight w:val="none"/>
        </w:rPr>
      </w:pPr>
      <w:r>
        <w:rPr>
          <w:color w:val="auto"/>
          <w:highlight w:val="none"/>
        </w:rPr>
        <w:t>根据环境影响因素分析和环境影响识别，结合所规划的主要内容和开发活动，规划及环境背景调查情况，规划所涉及生态区环境保护目标，规划环境目标与评价指标如表4.3-</w:t>
      </w:r>
      <w:r>
        <w:rPr>
          <w:rFonts w:hint="eastAsia"/>
          <w:color w:val="auto"/>
          <w:highlight w:val="none"/>
          <w:lang w:val="en-US" w:eastAsia="zh-CN"/>
        </w:rPr>
        <w:t>1</w:t>
      </w:r>
      <w:r>
        <w:rPr>
          <w:color w:val="auto"/>
          <w:highlight w:val="none"/>
        </w:rPr>
        <w:t>。</w:t>
      </w:r>
    </w:p>
    <w:p>
      <w:pPr>
        <w:pStyle w:val="22"/>
        <w:bidi w:val="0"/>
        <w:rPr>
          <w:b/>
          <w:color w:val="auto"/>
          <w:sz w:val="21"/>
          <w:highlight w:val="none"/>
        </w:rPr>
      </w:pPr>
      <w:r>
        <w:rPr>
          <w:b/>
          <w:color w:val="auto"/>
          <w:sz w:val="21"/>
          <w:highlight w:val="none"/>
        </w:rPr>
        <w:t xml:space="preserve">表 </w:t>
      </w:r>
      <w:r>
        <w:rPr>
          <w:rFonts w:ascii="Times New Roman" w:eastAsia="Times New Roman"/>
          <w:b/>
          <w:color w:val="auto"/>
          <w:sz w:val="21"/>
          <w:highlight w:val="none"/>
        </w:rPr>
        <w:t xml:space="preserve">4.3-1 </w:t>
      </w:r>
      <w:r>
        <w:rPr>
          <w:b/>
          <w:color w:val="auto"/>
          <w:sz w:val="21"/>
          <w:highlight w:val="none"/>
        </w:rPr>
        <w:t>矿区总体规划环境目标和评价指标表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6"/>
        <w:gridCol w:w="645"/>
        <w:gridCol w:w="1007"/>
        <w:gridCol w:w="1050"/>
        <w:gridCol w:w="3117"/>
        <w:gridCol w:w="1433"/>
        <w:gridCol w:w="13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1091" w:type="dxa"/>
            <w:gridSpan w:val="2"/>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环境主题</w:t>
            </w:r>
          </w:p>
        </w:tc>
        <w:tc>
          <w:tcPr>
            <w:tcW w:w="1007"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环境目标</w:t>
            </w:r>
          </w:p>
        </w:tc>
        <w:tc>
          <w:tcPr>
            <w:tcW w:w="4167" w:type="dxa"/>
            <w:gridSpan w:val="2"/>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评价指标</w:t>
            </w:r>
          </w:p>
        </w:tc>
        <w:tc>
          <w:tcPr>
            <w:tcW w:w="1433"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目标值</w:t>
            </w:r>
          </w:p>
        </w:tc>
        <w:tc>
          <w:tcPr>
            <w:tcW w:w="1363" w:type="dxa"/>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依据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86" w:hRule="atLeast"/>
          <w:jc w:val="center"/>
        </w:trPr>
        <w:tc>
          <w:tcPr>
            <w:tcW w:w="446" w:type="dxa"/>
            <w:vMerge w:val="restart"/>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自然资源</w:t>
            </w:r>
          </w:p>
        </w:tc>
        <w:tc>
          <w:tcPr>
            <w:tcW w:w="645" w:type="dxa"/>
            <w:vMerge w:val="restart"/>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资源</w:t>
            </w:r>
          </w:p>
        </w:tc>
        <w:tc>
          <w:tcPr>
            <w:tcW w:w="1007" w:type="dxa"/>
            <w:vMerge w:val="restart"/>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实现矿区资源和能源的可持续开发利用</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煤炭资源配置与效率指标</w:t>
            </w: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薄煤层资源回采率（％）</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≥87</w:t>
            </w:r>
          </w:p>
        </w:tc>
        <w:tc>
          <w:tcPr>
            <w:tcW w:w="1363" w:type="dxa"/>
            <w:vMerge w:val="restart"/>
            <w:tcBorders>
              <w:top w:val="single" w:color="000000" w:sz="4" w:space="0"/>
              <w:left w:val="single" w:color="000000" w:sz="4" w:space="0"/>
              <w:right w:val="nil"/>
            </w:tcBorders>
            <w:vAlign w:val="center"/>
          </w:tcPr>
          <w:p>
            <w:pPr>
              <w:pStyle w:val="22"/>
              <w:bidi w:val="0"/>
              <w:rPr>
                <w:color w:val="auto"/>
                <w:highlight w:val="none"/>
              </w:rPr>
            </w:pPr>
            <w:r>
              <w:rPr>
                <w:color w:val="auto"/>
                <w:highlight w:val="none"/>
              </w:rPr>
              <w:t>《清洁生产 标准- 煤炭 采选业》、《煤炭工业矿井设计规范》、《煤炭行业清洁生产评价指标体系》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中厚煤层资源回采率（％）</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≥82</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厚煤层资源回采率（％）</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≥77</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原煤入选率（%）</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采煤机械化程度（%）</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≥90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掘进机械化程度（%）</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≥90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5"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资源消耗指标</w:t>
            </w: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井工矿原煤生产水耗（不含选煤厂）（m</w:t>
            </w:r>
            <w:r>
              <w:rPr>
                <w:color w:val="auto"/>
                <w:highlight w:val="none"/>
                <w:vertAlign w:val="superscript"/>
              </w:rPr>
              <w:t>3</w:t>
            </w:r>
            <w:r>
              <w:rPr>
                <w:color w:val="auto"/>
                <w:highlight w:val="none"/>
              </w:rPr>
              <w:t>/t）</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≤0.2</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吨煤电耗（KWh/t）</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≤20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选煤厂新鲜水补水量（m</w:t>
            </w:r>
            <w:r>
              <w:rPr>
                <w:color w:val="auto"/>
                <w:highlight w:val="none"/>
                <w:vertAlign w:val="superscript"/>
              </w:rPr>
              <w:t>3</w:t>
            </w:r>
            <w:r>
              <w:rPr>
                <w:color w:val="auto"/>
                <w:highlight w:val="none"/>
              </w:rPr>
              <w:t>/t）</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≤0.1</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资源回收</w:t>
            </w:r>
          </w:p>
        </w:tc>
        <w:tc>
          <w:tcPr>
            <w:tcW w:w="311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粉煤灰综合利用率（%）</w:t>
            </w:r>
          </w:p>
        </w:tc>
        <w:tc>
          <w:tcPr>
            <w:tcW w:w="143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restart"/>
            <w:vAlign w:val="center"/>
          </w:tcPr>
          <w:p>
            <w:pPr>
              <w:pStyle w:val="22"/>
              <w:bidi w:val="0"/>
              <w:rPr>
                <w:color w:val="auto"/>
                <w:highlight w:val="none"/>
              </w:rPr>
            </w:pPr>
            <w:r>
              <w:rPr>
                <w:color w:val="auto"/>
                <w:highlight w:val="none"/>
              </w:rPr>
              <w:t>与利用指标</w:t>
            </w:r>
          </w:p>
        </w:tc>
        <w:tc>
          <w:tcPr>
            <w:tcW w:w="3117" w:type="dxa"/>
            <w:vAlign w:val="center"/>
          </w:tcPr>
          <w:p>
            <w:pPr>
              <w:pStyle w:val="22"/>
              <w:bidi w:val="0"/>
              <w:rPr>
                <w:color w:val="auto"/>
                <w:highlight w:val="none"/>
              </w:rPr>
            </w:pPr>
            <w:r>
              <w:rPr>
                <w:color w:val="auto"/>
                <w:highlight w:val="none"/>
              </w:rPr>
              <w:t>煤矸石综合利用率（%）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灰渣综合利用率（%）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矿井水回用率（%）</w:t>
            </w:r>
          </w:p>
        </w:tc>
        <w:tc>
          <w:tcPr>
            <w:tcW w:w="1433" w:type="dxa"/>
            <w:vAlign w:val="center"/>
          </w:tcPr>
          <w:p>
            <w:pPr>
              <w:pStyle w:val="22"/>
              <w:bidi w:val="0"/>
              <w:rPr>
                <w:rFonts w:hint="default" w:eastAsia="宋体"/>
                <w:color w:val="auto"/>
                <w:highlight w:val="none"/>
                <w:lang w:val="en-US" w:eastAsia="zh-CN"/>
              </w:rPr>
            </w:pPr>
            <w:r>
              <w:rPr>
                <w:color w:val="auto"/>
                <w:highlight w:val="none"/>
              </w:rPr>
              <w:t>≥</w:t>
            </w:r>
            <w:r>
              <w:rPr>
                <w:rFonts w:hint="eastAsia"/>
                <w:color w:val="auto"/>
                <w:highlight w:val="none"/>
                <w:lang w:val="en-US" w:eastAsia="zh-CN"/>
              </w:rPr>
              <w:t>80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生活污水回用率（%）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restart"/>
            <w:tcBorders>
              <w:bottom w:val="single" w:color="000000" w:sz="12" w:space="0"/>
            </w:tcBorders>
            <w:vAlign w:val="center"/>
          </w:tcPr>
          <w:p>
            <w:pPr>
              <w:pStyle w:val="22"/>
              <w:bidi w:val="0"/>
              <w:rPr>
                <w:color w:val="auto"/>
                <w:highlight w:val="none"/>
              </w:rPr>
            </w:pPr>
            <w:r>
              <w:rPr>
                <w:color w:val="auto"/>
                <w:highlight w:val="none"/>
              </w:rPr>
              <w:t>资源承载力指标</w:t>
            </w:r>
          </w:p>
        </w:tc>
        <w:tc>
          <w:tcPr>
            <w:tcW w:w="3117" w:type="dxa"/>
            <w:vAlign w:val="center"/>
          </w:tcPr>
          <w:p>
            <w:pPr>
              <w:pStyle w:val="22"/>
              <w:bidi w:val="0"/>
              <w:rPr>
                <w:color w:val="auto"/>
                <w:highlight w:val="none"/>
              </w:rPr>
            </w:pPr>
            <w:r>
              <w:rPr>
                <w:color w:val="auto"/>
                <w:highlight w:val="none"/>
              </w:rPr>
              <w:t>区域水资源承载力</w:t>
            </w:r>
          </w:p>
        </w:tc>
        <w:tc>
          <w:tcPr>
            <w:tcW w:w="1433" w:type="dxa"/>
            <w:vAlign w:val="center"/>
          </w:tcPr>
          <w:p>
            <w:pPr>
              <w:pStyle w:val="22"/>
              <w:bidi w:val="0"/>
              <w:rPr>
                <w:color w:val="auto"/>
                <w:highlight w:val="none"/>
              </w:rPr>
            </w:pPr>
            <w:r>
              <w:rPr>
                <w:color w:val="auto"/>
                <w:highlight w:val="none"/>
              </w:rPr>
              <w:t>可承载</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right w:val="single" w:color="000000" w:sz="4" w:space="0"/>
            </w:tcBorders>
            <w:vAlign w:val="center"/>
          </w:tcPr>
          <w:p>
            <w:pPr>
              <w:pStyle w:val="22"/>
              <w:bidi w:val="0"/>
              <w:rPr>
                <w:color w:val="auto"/>
                <w:highlight w:val="none"/>
              </w:rPr>
            </w:pPr>
          </w:p>
        </w:tc>
        <w:tc>
          <w:tcPr>
            <w:tcW w:w="1050" w:type="dxa"/>
            <w:vMerge w:val="continue"/>
            <w:tcBorders>
              <w:top w:val="nil"/>
              <w:bottom w:val="single" w:color="000000" w:sz="12" w:space="0"/>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区域生态承载力</w:t>
            </w:r>
          </w:p>
        </w:tc>
        <w:tc>
          <w:tcPr>
            <w:tcW w:w="1433" w:type="dxa"/>
            <w:vAlign w:val="center"/>
          </w:tcPr>
          <w:p>
            <w:pPr>
              <w:pStyle w:val="22"/>
              <w:bidi w:val="0"/>
              <w:rPr>
                <w:color w:val="auto"/>
                <w:highlight w:val="none"/>
              </w:rPr>
            </w:pPr>
            <w:r>
              <w:rPr>
                <w:color w:val="auto"/>
                <w:highlight w:val="none"/>
              </w:rPr>
              <w:t>可承载</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left w:val="single" w:color="000000" w:sz="4" w:space="0"/>
              <w:bottom w:val="single" w:color="000000" w:sz="12" w:space="0"/>
              <w:right w:val="single" w:color="000000" w:sz="4" w:space="0"/>
            </w:tcBorders>
            <w:vAlign w:val="center"/>
          </w:tcPr>
          <w:p>
            <w:pPr>
              <w:pStyle w:val="22"/>
              <w:bidi w:val="0"/>
              <w:rPr>
                <w:color w:val="auto"/>
                <w:highlight w:val="none"/>
              </w:rPr>
            </w:pPr>
          </w:p>
        </w:tc>
        <w:tc>
          <w:tcPr>
            <w:tcW w:w="1007" w:type="dxa"/>
            <w:vMerge w:val="continue"/>
            <w:tcBorders>
              <w:left w:val="single" w:color="000000" w:sz="4" w:space="0"/>
              <w:bottom w:val="single" w:color="000000" w:sz="12" w:space="0"/>
              <w:right w:val="single" w:color="000000" w:sz="4" w:space="0"/>
            </w:tcBorders>
            <w:vAlign w:val="center"/>
          </w:tcPr>
          <w:p>
            <w:pPr>
              <w:pStyle w:val="22"/>
              <w:bidi w:val="0"/>
              <w:rPr>
                <w:color w:val="auto"/>
                <w:highlight w:val="none"/>
              </w:rPr>
            </w:pPr>
          </w:p>
        </w:tc>
        <w:tc>
          <w:tcPr>
            <w:tcW w:w="1050" w:type="dxa"/>
            <w:vMerge w:val="continue"/>
            <w:tcBorders>
              <w:top w:val="nil"/>
              <w:bottom w:val="single" w:color="000000" w:sz="12" w:space="0"/>
            </w:tcBorders>
            <w:vAlign w:val="center"/>
          </w:tcPr>
          <w:p>
            <w:pPr>
              <w:pStyle w:val="22"/>
              <w:bidi w:val="0"/>
              <w:rPr>
                <w:color w:val="auto"/>
                <w:highlight w:val="none"/>
              </w:rPr>
            </w:pPr>
          </w:p>
        </w:tc>
        <w:tc>
          <w:tcPr>
            <w:tcW w:w="3117" w:type="dxa"/>
            <w:tcBorders>
              <w:bottom w:val="single" w:color="000000" w:sz="12" w:space="0"/>
            </w:tcBorders>
            <w:vAlign w:val="center"/>
          </w:tcPr>
          <w:p>
            <w:pPr>
              <w:pStyle w:val="22"/>
              <w:bidi w:val="0"/>
              <w:rPr>
                <w:color w:val="auto"/>
                <w:highlight w:val="none"/>
              </w:rPr>
            </w:pPr>
            <w:r>
              <w:rPr>
                <w:color w:val="auto"/>
                <w:highlight w:val="none"/>
              </w:rPr>
              <w:t>区域土地资源承载力</w:t>
            </w:r>
          </w:p>
        </w:tc>
        <w:tc>
          <w:tcPr>
            <w:tcW w:w="1433" w:type="dxa"/>
            <w:tcBorders>
              <w:bottom w:val="single" w:color="000000" w:sz="12" w:space="0"/>
            </w:tcBorders>
            <w:vAlign w:val="center"/>
          </w:tcPr>
          <w:p>
            <w:pPr>
              <w:pStyle w:val="22"/>
              <w:bidi w:val="0"/>
              <w:rPr>
                <w:color w:val="auto"/>
                <w:highlight w:val="none"/>
              </w:rPr>
            </w:pPr>
            <w:r>
              <w:rPr>
                <w:color w:val="auto"/>
                <w:highlight w:val="none"/>
              </w:rPr>
              <w:t>可承载</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restart"/>
            <w:tcBorders>
              <w:top w:val="single" w:color="000000" w:sz="12" w:space="0"/>
            </w:tcBorders>
            <w:vAlign w:val="center"/>
          </w:tcPr>
          <w:p>
            <w:pPr>
              <w:pStyle w:val="22"/>
              <w:bidi w:val="0"/>
              <w:rPr>
                <w:color w:val="auto"/>
                <w:highlight w:val="none"/>
              </w:rPr>
            </w:pPr>
            <w:r>
              <w:rPr>
                <w:color w:val="auto"/>
                <w:highlight w:val="none"/>
              </w:rPr>
              <w:t>环境要素</w:t>
            </w:r>
          </w:p>
        </w:tc>
        <w:tc>
          <w:tcPr>
            <w:tcW w:w="1007" w:type="dxa"/>
            <w:vMerge w:val="restart"/>
            <w:tcBorders>
              <w:top w:val="single" w:color="000000" w:sz="12" w:space="0"/>
            </w:tcBorders>
            <w:vAlign w:val="center"/>
          </w:tcPr>
          <w:p>
            <w:pPr>
              <w:pStyle w:val="22"/>
              <w:bidi w:val="0"/>
              <w:rPr>
                <w:color w:val="auto"/>
                <w:highlight w:val="none"/>
              </w:rPr>
            </w:pPr>
            <w:r>
              <w:rPr>
                <w:color w:val="auto"/>
                <w:highlight w:val="none"/>
              </w:rPr>
              <w:t>避免或减轻煤炭开发活动产生的各种污染影响</w:t>
            </w:r>
          </w:p>
        </w:tc>
        <w:tc>
          <w:tcPr>
            <w:tcW w:w="1050" w:type="dxa"/>
            <w:vMerge w:val="restart"/>
            <w:tcBorders>
              <w:top w:val="single" w:color="000000" w:sz="12" w:space="0"/>
            </w:tcBorders>
            <w:vAlign w:val="center"/>
          </w:tcPr>
          <w:p>
            <w:pPr>
              <w:pStyle w:val="22"/>
              <w:bidi w:val="0"/>
              <w:rPr>
                <w:color w:val="auto"/>
                <w:highlight w:val="none"/>
              </w:rPr>
            </w:pPr>
            <w:r>
              <w:rPr>
                <w:color w:val="auto"/>
                <w:highlight w:val="none"/>
              </w:rPr>
              <w:t>大气污染控制指标</w:t>
            </w:r>
          </w:p>
        </w:tc>
        <w:tc>
          <w:tcPr>
            <w:tcW w:w="3117" w:type="dxa"/>
            <w:tcBorders>
              <w:top w:val="single" w:color="000000" w:sz="12" w:space="0"/>
            </w:tcBorders>
            <w:vAlign w:val="center"/>
          </w:tcPr>
          <w:p>
            <w:pPr>
              <w:pStyle w:val="22"/>
              <w:bidi w:val="0"/>
              <w:rPr>
                <w:color w:val="auto"/>
                <w:highlight w:val="none"/>
              </w:rPr>
            </w:pPr>
            <w:r>
              <w:rPr>
                <w:color w:val="auto"/>
                <w:highlight w:val="none"/>
              </w:rPr>
              <w:t>大气污染物达标排放率（%）</w:t>
            </w:r>
          </w:p>
        </w:tc>
        <w:tc>
          <w:tcPr>
            <w:tcW w:w="1433" w:type="dxa"/>
            <w:tcBorders>
              <w:top w:val="single" w:color="000000" w:sz="12" w:space="0"/>
            </w:tcBorders>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SO</w:t>
            </w:r>
            <w:r>
              <w:rPr>
                <w:color w:val="auto"/>
                <w:highlight w:val="none"/>
                <w:vertAlign w:val="subscript"/>
              </w:rPr>
              <w:t>2</w:t>
            </w:r>
            <w:r>
              <w:rPr>
                <w:color w:val="auto"/>
                <w:highlight w:val="none"/>
              </w:rPr>
              <w:t>和NO</w:t>
            </w:r>
            <w:r>
              <w:rPr>
                <w:color w:val="auto"/>
                <w:highlight w:val="none"/>
                <w:vertAlign w:val="subscript"/>
              </w:rPr>
              <w:t>X</w:t>
            </w:r>
            <w:r>
              <w:rPr>
                <w:color w:val="auto"/>
                <w:highlight w:val="none"/>
              </w:rPr>
              <w:t>的排放量（t/a）</w:t>
            </w:r>
          </w:p>
        </w:tc>
        <w:tc>
          <w:tcPr>
            <w:tcW w:w="1433" w:type="dxa"/>
            <w:vAlign w:val="center"/>
          </w:tcPr>
          <w:p>
            <w:pPr>
              <w:pStyle w:val="22"/>
              <w:bidi w:val="0"/>
              <w:rPr>
                <w:color w:val="auto"/>
                <w:highlight w:val="none"/>
              </w:rPr>
            </w:pPr>
            <w:r>
              <w:rPr>
                <w:color w:val="auto"/>
                <w:highlight w:val="none"/>
              </w:rPr>
              <w:t>符合区域总量控制要求</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restart"/>
            <w:vAlign w:val="center"/>
          </w:tcPr>
          <w:p>
            <w:pPr>
              <w:pStyle w:val="22"/>
              <w:bidi w:val="0"/>
              <w:rPr>
                <w:color w:val="auto"/>
                <w:highlight w:val="none"/>
              </w:rPr>
            </w:pPr>
            <w:r>
              <w:rPr>
                <w:color w:val="auto"/>
                <w:highlight w:val="none"/>
              </w:rPr>
              <w:t>水污染控制指标</w:t>
            </w:r>
          </w:p>
        </w:tc>
        <w:tc>
          <w:tcPr>
            <w:tcW w:w="3117" w:type="dxa"/>
            <w:vAlign w:val="center"/>
          </w:tcPr>
          <w:p>
            <w:pPr>
              <w:pStyle w:val="22"/>
              <w:bidi w:val="0"/>
              <w:rPr>
                <w:color w:val="auto"/>
                <w:highlight w:val="none"/>
              </w:rPr>
            </w:pPr>
            <w:r>
              <w:rPr>
                <w:color w:val="auto"/>
                <w:highlight w:val="none"/>
              </w:rPr>
              <w:t>矿井水处理率（%）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生活污水处理率（%）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煤泥水闭路循环等级</w:t>
            </w:r>
          </w:p>
        </w:tc>
        <w:tc>
          <w:tcPr>
            <w:tcW w:w="1433" w:type="dxa"/>
            <w:vAlign w:val="center"/>
          </w:tcPr>
          <w:p>
            <w:pPr>
              <w:pStyle w:val="22"/>
              <w:bidi w:val="0"/>
              <w:rPr>
                <w:rFonts w:hint="eastAsia" w:eastAsia="宋体"/>
                <w:color w:val="auto"/>
                <w:highlight w:val="none"/>
                <w:lang w:eastAsia="zh-CN"/>
              </w:rPr>
            </w:pPr>
            <w:r>
              <w:rPr>
                <w:rFonts w:hint="eastAsia"/>
                <w:color w:val="auto"/>
                <w:highlight w:val="none"/>
                <w:lang w:eastAsia="zh-CN"/>
              </w:rPr>
              <w:t>一级</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水污染物达标排放率（％）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COD和氨氮排放量（t/a）</w:t>
            </w:r>
          </w:p>
        </w:tc>
        <w:tc>
          <w:tcPr>
            <w:tcW w:w="1433" w:type="dxa"/>
            <w:vAlign w:val="center"/>
          </w:tcPr>
          <w:p>
            <w:pPr>
              <w:pStyle w:val="22"/>
              <w:bidi w:val="0"/>
              <w:rPr>
                <w:color w:val="auto"/>
                <w:highlight w:val="none"/>
              </w:rPr>
            </w:pPr>
            <w:r>
              <w:rPr>
                <w:color w:val="auto"/>
                <w:highlight w:val="none"/>
              </w:rPr>
              <w:t>符合区域总量控制要求</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restart"/>
            <w:vAlign w:val="center"/>
          </w:tcPr>
          <w:p>
            <w:pPr>
              <w:pStyle w:val="22"/>
              <w:bidi w:val="0"/>
              <w:rPr>
                <w:color w:val="auto"/>
                <w:highlight w:val="none"/>
              </w:rPr>
            </w:pPr>
            <w:r>
              <w:rPr>
                <w:color w:val="auto"/>
                <w:highlight w:val="none"/>
              </w:rPr>
              <w:t>固体废物处置指标</w:t>
            </w:r>
          </w:p>
        </w:tc>
        <w:tc>
          <w:tcPr>
            <w:tcW w:w="3117" w:type="dxa"/>
            <w:vAlign w:val="center"/>
          </w:tcPr>
          <w:p>
            <w:pPr>
              <w:pStyle w:val="22"/>
              <w:bidi w:val="0"/>
              <w:rPr>
                <w:color w:val="auto"/>
                <w:highlight w:val="none"/>
              </w:rPr>
            </w:pPr>
            <w:r>
              <w:rPr>
                <w:color w:val="auto"/>
                <w:highlight w:val="none"/>
              </w:rPr>
              <w:t>煤矸石处置率（%）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灰渣及脱硫石膏处置率（%）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生活垃圾处置率（%）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污泥处置率（%）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Align w:val="center"/>
          </w:tcPr>
          <w:p>
            <w:pPr>
              <w:pStyle w:val="22"/>
              <w:bidi w:val="0"/>
              <w:rPr>
                <w:color w:val="auto"/>
                <w:highlight w:val="none"/>
              </w:rPr>
            </w:pPr>
            <w:r>
              <w:rPr>
                <w:color w:val="auto"/>
                <w:highlight w:val="none"/>
              </w:rPr>
              <w:t>噪声环境影响指标</w:t>
            </w:r>
          </w:p>
        </w:tc>
        <w:tc>
          <w:tcPr>
            <w:tcW w:w="3117" w:type="dxa"/>
            <w:vAlign w:val="center"/>
          </w:tcPr>
          <w:p>
            <w:pPr>
              <w:pStyle w:val="22"/>
              <w:bidi w:val="0"/>
              <w:rPr>
                <w:color w:val="auto"/>
                <w:highlight w:val="none"/>
              </w:rPr>
            </w:pPr>
            <w:r>
              <w:rPr>
                <w:color w:val="auto"/>
                <w:highlight w:val="none"/>
              </w:rPr>
              <w:t>声环境功能区达标率（%）</w:t>
            </w:r>
          </w:p>
        </w:tc>
        <w:tc>
          <w:tcPr>
            <w:tcW w:w="1433" w:type="dxa"/>
            <w:vAlign w:val="center"/>
          </w:tcPr>
          <w:p>
            <w:pPr>
              <w:pStyle w:val="22"/>
              <w:bidi w:val="0"/>
              <w:rPr>
                <w:color w:val="auto"/>
                <w:highlight w:val="none"/>
              </w:rPr>
            </w:pPr>
            <w:r>
              <w:rPr>
                <w:color w:val="auto"/>
                <w:highlight w:val="none"/>
              </w:rPr>
              <w:t>100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restart"/>
            <w:vAlign w:val="center"/>
          </w:tcPr>
          <w:p>
            <w:pPr>
              <w:pStyle w:val="22"/>
              <w:bidi w:val="0"/>
              <w:rPr>
                <w:color w:val="auto"/>
                <w:highlight w:val="none"/>
              </w:rPr>
            </w:pPr>
            <w:r>
              <w:rPr>
                <w:color w:val="auto"/>
                <w:highlight w:val="none"/>
              </w:rPr>
              <w:t>避免或减轻煤炭开发活动产生的生态破坏</w:t>
            </w:r>
          </w:p>
        </w:tc>
        <w:tc>
          <w:tcPr>
            <w:tcW w:w="1050" w:type="dxa"/>
            <w:vMerge w:val="restart"/>
            <w:vAlign w:val="center"/>
          </w:tcPr>
          <w:p>
            <w:pPr>
              <w:pStyle w:val="22"/>
              <w:bidi w:val="0"/>
              <w:rPr>
                <w:color w:val="auto"/>
                <w:highlight w:val="none"/>
              </w:rPr>
            </w:pPr>
            <w:r>
              <w:rPr>
                <w:color w:val="auto"/>
                <w:highlight w:val="none"/>
              </w:rPr>
              <w:t>生态保护与恢复指标</w:t>
            </w:r>
          </w:p>
        </w:tc>
        <w:tc>
          <w:tcPr>
            <w:tcW w:w="3117" w:type="dxa"/>
            <w:vAlign w:val="center"/>
          </w:tcPr>
          <w:p>
            <w:pPr>
              <w:pStyle w:val="22"/>
              <w:bidi w:val="0"/>
              <w:rPr>
                <w:color w:val="auto"/>
                <w:highlight w:val="none"/>
              </w:rPr>
            </w:pPr>
            <w:r>
              <w:rPr>
                <w:color w:val="auto"/>
                <w:highlight w:val="none"/>
              </w:rPr>
              <w:t>水土流失控制率（%）</w:t>
            </w:r>
          </w:p>
        </w:tc>
        <w:tc>
          <w:tcPr>
            <w:tcW w:w="1433" w:type="dxa"/>
            <w:vAlign w:val="center"/>
          </w:tcPr>
          <w:p>
            <w:pPr>
              <w:pStyle w:val="22"/>
              <w:bidi w:val="0"/>
              <w:rPr>
                <w:color w:val="auto"/>
                <w:highlight w:val="none"/>
              </w:rPr>
            </w:pPr>
            <w:r>
              <w:rPr>
                <w:color w:val="auto"/>
                <w:highlight w:val="none"/>
              </w:rPr>
              <w:t>≥85</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沉陷土地复垦率（%）</w:t>
            </w:r>
          </w:p>
        </w:tc>
        <w:tc>
          <w:tcPr>
            <w:tcW w:w="1433" w:type="dxa"/>
            <w:vAlign w:val="center"/>
          </w:tcPr>
          <w:p>
            <w:pPr>
              <w:pStyle w:val="22"/>
              <w:bidi w:val="0"/>
              <w:rPr>
                <w:color w:val="auto"/>
                <w:highlight w:val="none"/>
              </w:rPr>
            </w:pPr>
            <w:r>
              <w:rPr>
                <w:color w:val="auto"/>
                <w:highlight w:val="none"/>
              </w:rPr>
              <w:t>≥95</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排矸场生态恢复率（%）</w:t>
            </w:r>
          </w:p>
        </w:tc>
        <w:tc>
          <w:tcPr>
            <w:tcW w:w="1433" w:type="dxa"/>
            <w:vAlign w:val="center"/>
          </w:tcPr>
          <w:p>
            <w:pPr>
              <w:pStyle w:val="22"/>
              <w:bidi w:val="0"/>
              <w:rPr>
                <w:color w:val="auto"/>
                <w:highlight w:val="none"/>
              </w:rPr>
            </w:pPr>
            <w:r>
              <w:rPr>
                <w:color w:val="auto"/>
                <w:highlight w:val="none"/>
              </w:rPr>
              <w:t>≥90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取土场生态恢复率（%）</w:t>
            </w:r>
          </w:p>
        </w:tc>
        <w:tc>
          <w:tcPr>
            <w:tcW w:w="1433" w:type="dxa"/>
            <w:vAlign w:val="center"/>
          </w:tcPr>
          <w:p>
            <w:pPr>
              <w:pStyle w:val="22"/>
              <w:bidi w:val="0"/>
              <w:rPr>
                <w:color w:val="auto"/>
                <w:highlight w:val="none"/>
              </w:rPr>
            </w:pPr>
            <w:r>
              <w:rPr>
                <w:color w:val="auto"/>
                <w:highlight w:val="none"/>
              </w:rPr>
              <w:t>≥90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恢复后植被覆盖率（%）</w:t>
            </w:r>
          </w:p>
        </w:tc>
        <w:tc>
          <w:tcPr>
            <w:tcW w:w="1433" w:type="dxa"/>
            <w:vAlign w:val="center"/>
          </w:tcPr>
          <w:p>
            <w:pPr>
              <w:pStyle w:val="22"/>
              <w:bidi w:val="0"/>
              <w:rPr>
                <w:color w:val="auto"/>
                <w:highlight w:val="none"/>
              </w:rPr>
            </w:pPr>
            <w:r>
              <w:rPr>
                <w:color w:val="auto"/>
                <w:highlight w:val="none"/>
              </w:rPr>
              <w:t>不低于矿区内现状覆盖率</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5" w:hRule="atLeast"/>
          <w:jc w:val="center"/>
        </w:trPr>
        <w:tc>
          <w:tcPr>
            <w:tcW w:w="446" w:type="dxa"/>
            <w:vMerge w:val="continue"/>
            <w:tcBorders>
              <w:left w:val="nil"/>
              <w:right w:val="single" w:color="000000" w:sz="4" w:space="0"/>
            </w:tcBorders>
            <w:vAlign w:val="center"/>
          </w:tcPr>
          <w:p>
            <w:pPr>
              <w:pStyle w:val="22"/>
              <w:bidi w:val="0"/>
              <w:rPr>
                <w:color w:val="auto"/>
                <w:highlight w:val="none"/>
              </w:rPr>
            </w:pPr>
          </w:p>
        </w:tc>
        <w:tc>
          <w:tcPr>
            <w:tcW w:w="645" w:type="dxa"/>
            <w:vMerge w:val="continue"/>
            <w:tcBorders>
              <w:top w:val="nil"/>
            </w:tcBorders>
            <w:vAlign w:val="center"/>
          </w:tcPr>
          <w:p>
            <w:pPr>
              <w:pStyle w:val="22"/>
              <w:bidi w:val="0"/>
              <w:rPr>
                <w:color w:val="auto"/>
                <w:highlight w:val="none"/>
              </w:rPr>
            </w:pPr>
          </w:p>
        </w:tc>
        <w:tc>
          <w:tcPr>
            <w:tcW w:w="1007" w:type="dxa"/>
            <w:vMerge w:val="continue"/>
            <w:tcBorders>
              <w:top w:val="nil"/>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生态系统整体性和功能变化趋势</w:t>
            </w:r>
          </w:p>
        </w:tc>
        <w:tc>
          <w:tcPr>
            <w:tcW w:w="1433" w:type="dxa"/>
            <w:vAlign w:val="center"/>
          </w:tcPr>
          <w:p>
            <w:pPr>
              <w:pStyle w:val="22"/>
              <w:bidi w:val="0"/>
              <w:rPr>
                <w:color w:val="auto"/>
                <w:highlight w:val="none"/>
              </w:rPr>
            </w:pPr>
            <w:r>
              <w:rPr>
                <w:color w:val="auto"/>
                <w:highlight w:val="none"/>
              </w:rPr>
              <w:t>对生态系统的整体性和变化</w:t>
            </w:r>
          </w:p>
          <w:p>
            <w:pPr>
              <w:pStyle w:val="22"/>
              <w:bidi w:val="0"/>
              <w:rPr>
                <w:color w:val="auto"/>
                <w:highlight w:val="none"/>
              </w:rPr>
            </w:pPr>
            <w:r>
              <w:rPr>
                <w:color w:val="auto"/>
                <w:highlight w:val="none"/>
              </w:rPr>
              <w:t>趋势影响不大</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091" w:type="dxa"/>
            <w:gridSpan w:val="2"/>
            <w:vMerge w:val="restart"/>
            <w:tcBorders>
              <w:left w:val="nil"/>
              <w:bottom w:val="single" w:color="000000" w:sz="12" w:space="0"/>
            </w:tcBorders>
            <w:vAlign w:val="center"/>
          </w:tcPr>
          <w:p>
            <w:pPr>
              <w:pStyle w:val="22"/>
              <w:bidi w:val="0"/>
              <w:rPr>
                <w:color w:val="auto"/>
                <w:highlight w:val="none"/>
              </w:rPr>
            </w:pPr>
            <w:r>
              <w:rPr>
                <w:color w:val="auto"/>
                <w:highlight w:val="none"/>
              </w:rPr>
              <w:t>社会环境</w:t>
            </w:r>
          </w:p>
        </w:tc>
        <w:tc>
          <w:tcPr>
            <w:tcW w:w="1007" w:type="dxa"/>
            <w:vMerge w:val="restart"/>
            <w:tcBorders>
              <w:bottom w:val="single" w:color="000000" w:sz="12" w:space="0"/>
            </w:tcBorders>
            <w:vAlign w:val="center"/>
          </w:tcPr>
          <w:p>
            <w:pPr>
              <w:pStyle w:val="22"/>
              <w:bidi w:val="0"/>
              <w:rPr>
                <w:color w:val="auto"/>
                <w:highlight w:val="none"/>
              </w:rPr>
            </w:pPr>
            <w:r>
              <w:rPr>
                <w:color w:val="auto"/>
                <w:highlight w:val="none"/>
              </w:rPr>
              <w:t>促进区域社会、经济可持续发展</w:t>
            </w:r>
          </w:p>
        </w:tc>
        <w:tc>
          <w:tcPr>
            <w:tcW w:w="1050" w:type="dxa"/>
            <w:vMerge w:val="restart"/>
            <w:vAlign w:val="center"/>
          </w:tcPr>
          <w:p>
            <w:pPr>
              <w:pStyle w:val="22"/>
              <w:bidi w:val="0"/>
              <w:rPr>
                <w:color w:val="auto"/>
                <w:highlight w:val="none"/>
              </w:rPr>
            </w:pPr>
            <w:r>
              <w:rPr>
                <w:color w:val="auto"/>
                <w:highlight w:val="none"/>
              </w:rPr>
              <w:t>社会发展指标</w:t>
            </w:r>
          </w:p>
        </w:tc>
        <w:tc>
          <w:tcPr>
            <w:tcW w:w="3117" w:type="dxa"/>
            <w:vAlign w:val="center"/>
          </w:tcPr>
          <w:p>
            <w:pPr>
              <w:pStyle w:val="22"/>
              <w:bidi w:val="0"/>
              <w:rPr>
                <w:color w:val="auto"/>
                <w:highlight w:val="none"/>
              </w:rPr>
            </w:pPr>
            <w:r>
              <w:rPr>
                <w:color w:val="auto"/>
                <w:highlight w:val="none"/>
              </w:rPr>
              <w:t>万元工业增加值水耗（t/万元）</w:t>
            </w:r>
          </w:p>
        </w:tc>
        <w:tc>
          <w:tcPr>
            <w:tcW w:w="1433" w:type="dxa"/>
            <w:vAlign w:val="center"/>
          </w:tcPr>
          <w:p>
            <w:pPr>
              <w:pStyle w:val="22"/>
              <w:bidi w:val="0"/>
              <w:rPr>
                <w:color w:val="auto"/>
                <w:highlight w:val="none"/>
              </w:rPr>
            </w:pPr>
            <w:r>
              <w:rPr>
                <w:color w:val="auto"/>
                <w:highlight w:val="none"/>
              </w:rPr>
              <w:t>≤60</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091" w:type="dxa"/>
            <w:gridSpan w:val="2"/>
            <w:vMerge w:val="continue"/>
            <w:tcBorders>
              <w:top w:val="nil"/>
              <w:left w:val="nil"/>
              <w:bottom w:val="single" w:color="000000" w:sz="12" w:space="0"/>
            </w:tcBorders>
            <w:vAlign w:val="center"/>
          </w:tcPr>
          <w:p>
            <w:pPr>
              <w:pStyle w:val="22"/>
              <w:bidi w:val="0"/>
              <w:rPr>
                <w:color w:val="auto"/>
                <w:highlight w:val="none"/>
              </w:rPr>
            </w:pPr>
          </w:p>
        </w:tc>
        <w:tc>
          <w:tcPr>
            <w:tcW w:w="1007" w:type="dxa"/>
            <w:vMerge w:val="continue"/>
            <w:tcBorders>
              <w:top w:val="nil"/>
              <w:bottom w:val="single" w:color="000000" w:sz="12" w:space="0"/>
            </w:tcBorders>
            <w:vAlign w:val="center"/>
          </w:tcPr>
          <w:p>
            <w:pPr>
              <w:pStyle w:val="22"/>
              <w:bidi w:val="0"/>
              <w:rPr>
                <w:color w:val="auto"/>
                <w:highlight w:val="none"/>
              </w:rPr>
            </w:pPr>
          </w:p>
        </w:tc>
        <w:tc>
          <w:tcPr>
            <w:tcW w:w="1050" w:type="dxa"/>
            <w:vMerge w:val="continue"/>
            <w:tcBorders>
              <w:top w:val="nil"/>
            </w:tcBorders>
            <w:vAlign w:val="center"/>
          </w:tcPr>
          <w:p>
            <w:pPr>
              <w:pStyle w:val="22"/>
              <w:bidi w:val="0"/>
              <w:rPr>
                <w:color w:val="auto"/>
                <w:highlight w:val="none"/>
              </w:rPr>
            </w:pPr>
          </w:p>
        </w:tc>
        <w:tc>
          <w:tcPr>
            <w:tcW w:w="3117" w:type="dxa"/>
            <w:vAlign w:val="center"/>
          </w:tcPr>
          <w:p>
            <w:pPr>
              <w:pStyle w:val="22"/>
              <w:bidi w:val="0"/>
              <w:rPr>
                <w:color w:val="auto"/>
                <w:highlight w:val="none"/>
              </w:rPr>
            </w:pPr>
            <w:r>
              <w:rPr>
                <w:color w:val="auto"/>
                <w:highlight w:val="none"/>
              </w:rPr>
              <w:t>万元工业增加值能耗（t/万元）</w:t>
            </w:r>
          </w:p>
        </w:tc>
        <w:tc>
          <w:tcPr>
            <w:tcW w:w="1433" w:type="dxa"/>
            <w:vAlign w:val="center"/>
          </w:tcPr>
          <w:p>
            <w:pPr>
              <w:pStyle w:val="22"/>
              <w:bidi w:val="0"/>
              <w:rPr>
                <w:color w:val="auto"/>
                <w:highlight w:val="none"/>
              </w:rPr>
            </w:pPr>
            <w:r>
              <w:rPr>
                <w:color w:val="auto"/>
                <w:highlight w:val="none"/>
              </w:rPr>
              <w:t>≤1.1</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1" w:hRule="atLeast"/>
          <w:jc w:val="center"/>
        </w:trPr>
        <w:tc>
          <w:tcPr>
            <w:tcW w:w="1091" w:type="dxa"/>
            <w:gridSpan w:val="2"/>
            <w:vMerge w:val="continue"/>
            <w:tcBorders>
              <w:top w:val="nil"/>
              <w:left w:val="nil"/>
              <w:bottom w:val="single" w:color="000000" w:sz="12" w:space="0"/>
            </w:tcBorders>
            <w:vAlign w:val="center"/>
          </w:tcPr>
          <w:p>
            <w:pPr>
              <w:pStyle w:val="22"/>
              <w:bidi w:val="0"/>
              <w:rPr>
                <w:color w:val="auto"/>
                <w:highlight w:val="none"/>
              </w:rPr>
            </w:pPr>
          </w:p>
        </w:tc>
        <w:tc>
          <w:tcPr>
            <w:tcW w:w="1007" w:type="dxa"/>
            <w:vMerge w:val="continue"/>
            <w:tcBorders>
              <w:top w:val="nil"/>
              <w:bottom w:val="single" w:color="000000" w:sz="12" w:space="0"/>
            </w:tcBorders>
            <w:vAlign w:val="center"/>
          </w:tcPr>
          <w:p>
            <w:pPr>
              <w:pStyle w:val="22"/>
              <w:bidi w:val="0"/>
              <w:rPr>
                <w:color w:val="auto"/>
                <w:highlight w:val="none"/>
              </w:rPr>
            </w:pPr>
          </w:p>
        </w:tc>
        <w:tc>
          <w:tcPr>
            <w:tcW w:w="1050" w:type="dxa"/>
            <w:vMerge w:val="restart"/>
            <w:tcBorders>
              <w:bottom w:val="single" w:color="000000" w:sz="12" w:space="0"/>
            </w:tcBorders>
            <w:vAlign w:val="center"/>
          </w:tcPr>
          <w:p>
            <w:pPr>
              <w:pStyle w:val="22"/>
              <w:bidi w:val="0"/>
              <w:rPr>
                <w:color w:val="auto"/>
                <w:highlight w:val="none"/>
              </w:rPr>
            </w:pPr>
            <w:r>
              <w:rPr>
                <w:color w:val="auto"/>
                <w:highlight w:val="none"/>
              </w:rPr>
              <w:t>经济发展指标</w:t>
            </w:r>
          </w:p>
        </w:tc>
        <w:tc>
          <w:tcPr>
            <w:tcW w:w="3117" w:type="dxa"/>
            <w:vAlign w:val="center"/>
          </w:tcPr>
          <w:p>
            <w:pPr>
              <w:pStyle w:val="22"/>
              <w:bidi w:val="0"/>
              <w:rPr>
                <w:color w:val="auto"/>
                <w:highlight w:val="none"/>
              </w:rPr>
            </w:pPr>
            <w:r>
              <w:rPr>
                <w:color w:val="auto"/>
                <w:highlight w:val="none"/>
              </w:rPr>
              <w:t>矿区工业总产值（万元）</w:t>
            </w:r>
          </w:p>
        </w:tc>
        <w:tc>
          <w:tcPr>
            <w:tcW w:w="1433" w:type="dxa"/>
            <w:vAlign w:val="center"/>
          </w:tcPr>
          <w:p>
            <w:pPr>
              <w:pStyle w:val="22"/>
              <w:bidi w:val="0"/>
              <w:rPr>
                <w:color w:val="auto"/>
                <w:highlight w:val="none"/>
              </w:rPr>
            </w:pPr>
            <w:r>
              <w:rPr>
                <w:color w:val="auto"/>
                <w:highlight w:val="none"/>
              </w:rPr>
              <w:t>增加</w:t>
            </w:r>
          </w:p>
        </w:tc>
        <w:tc>
          <w:tcPr>
            <w:tcW w:w="1363" w:type="dxa"/>
            <w:vMerge w:val="continue"/>
            <w:tcBorders>
              <w:left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091" w:type="dxa"/>
            <w:gridSpan w:val="2"/>
            <w:vMerge w:val="continue"/>
            <w:tcBorders>
              <w:top w:val="nil"/>
              <w:left w:val="nil"/>
              <w:bottom w:val="single" w:color="000000" w:sz="12" w:space="0"/>
            </w:tcBorders>
            <w:vAlign w:val="center"/>
          </w:tcPr>
          <w:p>
            <w:pPr>
              <w:pStyle w:val="22"/>
              <w:bidi w:val="0"/>
              <w:rPr>
                <w:color w:val="auto"/>
                <w:highlight w:val="none"/>
              </w:rPr>
            </w:pPr>
          </w:p>
        </w:tc>
        <w:tc>
          <w:tcPr>
            <w:tcW w:w="1007" w:type="dxa"/>
            <w:vMerge w:val="continue"/>
            <w:tcBorders>
              <w:top w:val="nil"/>
              <w:bottom w:val="single" w:color="000000" w:sz="12" w:space="0"/>
            </w:tcBorders>
            <w:vAlign w:val="center"/>
          </w:tcPr>
          <w:p>
            <w:pPr>
              <w:pStyle w:val="22"/>
              <w:bidi w:val="0"/>
              <w:rPr>
                <w:color w:val="auto"/>
                <w:highlight w:val="none"/>
              </w:rPr>
            </w:pPr>
          </w:p>
        </w:tc>
        <w:tc>
          <w:tcPr>
            <w:tcW w:w="1050" w:type="dxa"/>
            <w:vMerge w:val="continue"/>
            <w:tcBorders>
              <w:top w:val="nil"/>
              <w:bottom w:val="single" w:color="000000" w:sz="12" w:space="0"/>
            </w:tcBorders>
            <w:vAlign w:val="center"/>
          </w:tcPr>
          <w:p>
            <w:pPr>
              <w:pStyle w:val="22"/>
              <w:bidi w:val="0"/>
              <w:rPr>
                <w:color w:val="auto"/>
                <w:highlight w:val="none"/>
              </w:rPr>
            </w:pPr>
          </w:p>
        </w:tc>
        <w:tc>
          <w:tcPr>
            <w:tcW w:w="3117" w:type="dxa"/>
            <w:tcBorders>
              <w:bottom w:val="single" w:color="000000" w:sz="12" w:space="0"/>
            </w:tcBorders>
            <w:vAlign w:val="center"/>
          </w:tcPr>
          <w:p>
            <w:pPr>
              <w:pStyle w:val="22"/>
              <w:bidi w:val="0"/>
              <w:rPr>
                <w:color w:val="auto"/>
                <w:highlight w:val="none"/>
              </w:rPr>
            </w:pPr>
            <w:r>
              <w:rPr>
                <w:color w:val="auto"/>
                <w:highlight w:val="none"/>
              </w:rPr>
              <w:t>税收（万元）</w:t>
            </w:r>
          </w:p>
        </w:tc>
        <w:tc>
          <w:tcPr>
            <w:tcW w:w="1433" w:type="dxa"/>
            <w:tcBorders>
              <w:bottom w:val="single" w:color="000000" w:sz="12" w:space="0"/>
            </w:tcBorders>
            <w:vAlign w:val="center"/>
          </w:tcPr>
          <w:p>
            <w:pPr>
              <w:pStyle w:val="22"/>
              <w:bidi w:val="0"/>
              <w:rPr>
                <w:color w:val="auto"/>
                <w:highlight w:val="none"/>
              </w:rPr>
            </w:pPr>
            <w:r>
              <w:rPr>
                <w:color w:val="auto"/>
                <w:highlight w:val="none"/>
              </w:rPr>
              <w:t>增加</w:t>
            </w:r>
          </w:p>
        </w:tc>
        <w:tc>
          <w:tcPr>
            <w:tcW w:w="1363" w:type="dxa"/>
            <w:vMerge w:val="continue"/>
            <w:tcBorders>
              <w:left w:val="single" w:color="000000" w:sz="4" w:space="0"/>
              <w:bottom w:val="single" w:color="000000" w:sz="12" w:space="0"/>
              <w:right w:val="nil"/>
            </w:tcBorders>
            <w:vAlign w:val="center"/>
          </w:tcPr>
          <w:p>
            <w:pPr>
              <w:pStyle w:val="22"/>
              <w:bidi w:val="0"/>
              <w:rPr>
                <w:color w:val="auto"/>
                <w:highlight w:val="none"/>
              </w:rPr>
            </w:pPr>
          </w:p>
        </w:tc>
      </w:tr>
    </w:tbl>
    <w:p>
      <w:pPr>
        <w:spacing w:after="0"/>
        <w:rPr>
          <w:color w:val="auto"/>
          <w:sz w:val="2"/>
          <w:szCs w:val="2"/>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311" w:name="5 矿区总体规划实施环境影响预测、分析与评价"/>
      <w:bookmarkEnd w:id="311"/>
      <w:bookmarkStart w:id="312" w:name="_bookmark25"/>
      <w:bookmarkEnd w:id="312"/>
      <w:bookmarkStart w:id="313" w:name="_Toc12882"/>
      <w:bookmarkStart w:id="314" w:name="_Toc29963"/>
      <w:r>
        <w:rPr>
          <w:color w:val="auto"/>
          <w:highlight w:val="none"/>
        </w:rPr>
        <w:t>矿区总体规划实施环境影响预测、分析与评价</w:t>
      </w:r>
      <w:bookmarkEnd w:id="313"/>
      <w:bookmarkEnd w:id="314"/>
    </w:p>
    <w:p>
      <w:pPr>
        <w:pStyle w:val="5"/>
        <w:numPr>
          <w:ilvl w:val="1"/>
          <w:numId w:val="5"/>
        </w:numPr>
        <w:bidi w:val="0"/>
        <w:rPr>
          <w:color w:val="auto"/>
          <w:highlight w:val="none"/>
        </w:rPr>
      </w:pPr>
      <w:bookmarkStart w:id="315" w:name="_bookmark26"/>
      <w:bookmarkEnd w:id="315"/>
      <w:bookmarkStart w:id="316" w:name="5.1 生态环境影响预测与评价"/>
      <w:bookmarkEnd w:id="316"/>
      <w:bookmarkStart w:id="317" w:name="_Toc7622"/>
      <w:bookmarkStart w:id="318" w:name="_Toc24592"/>
      <w:r>
        <w:rPr>
          <w:color w:val="auto"/>
          <w:highlight w:val="none"/>
        </w:rPr>
        <w:t>生态环境影响预测与评价</w:t>
      </w:r>
      <w:bookmarkEnd w:id="317"/>
      <w:bookmarkEnd w:id="318"/>
    </w:p>
    <w:p>
      <w:pPr>
        <w:bidi w:val="0"/>
        <w:rPr>
          <w:rFonts w:hint="eastAsia"/>
          <w:color w:val="auto"/>
          <w:highlight w:val="none"/>
        </w:rPr>
      </w:pPr>
      <w:r>
        <w:rPr>
          <w:rFonts w:hint="eastAsia"/>
          <w:color w:val="auto"/>
          <w:highlight w:val="none"/>
        </w:rPr>
        <w:t>煤炭矿区生态类影响的主要因子</w:t>
      </w:r>
      <w:r>
        <w:rPr>
          <w:rFonts w:hint="eastAsia"/>
          <w:color w:val="auto"/>
          <w:highlight w:val="none"/>
          <w:lang w:eastAsia="zh-CN"/>
        </w:rPr>
        <w:t>之一</w:t>
      </w:r>
      <w:r>
        <w:rPr>
          <w:rFonts w:hint="eastAsia"/>
          <w:color w:val="auto"/>
          <w:highlight w:val="none"/>
        </w:rPr>
        <w:t>为井工矿采空区塌陷所致的地表沉陷，其影响具有多层次和多方面、直接和间接作用的特征。因此，在进行矿区规划环境影响预测与评价之前，尤其是生态类影响分析与评价，首先应了解矿区煤矿采煤沉陷特点显得十分必要,有助于矿区生态环境、水环境及社会环境影响分析与评价。</w:t>
      </w:r>
    </w:p>
    <w:p>
      <w:pPr>
        <w:pStyle w:val="6"/>
        <w:numPr>
          <w:ilvl w:val="2"/>
          <w:numId w:val="5"/>
        </w:numPr>
        <w:bidi w:val="0"/>
        <w:rPr>
          <w:color w:val="auto"/>
          <w:highlight w:val="none"/>
        </w:rPr>
      </w:pPr>
      <w:bookmarkStart w:id="319" w:name="5.1.1 地表沉陷影响预测"/>
      <w:bookmarkEnd w:id="319"/>
      <w:bookmarkStart w:id="320" w:name="5.1.1 地表沉陷影响预测"/>
      <w:bookmarkEnd w:id="320"/>
      <w:bookmarkStart w:id="321" w:name="_Toc25640"/>
      <w:bookmarkStart w:id="322" w:name="_Toc13268"/>
      <w:r>
        <w:rPr>
          <w:color w:val="auto"/>
          <w:highlight w:val="none"/>
        </w:rPr>
        <w:t>地表沉陷</w:t>
      </w:r>
      <w:r>
        <w:rPr>
          <w:rFonts w:hint="eastAsia"/>
          <w:color w:val="auto"/>
          <w:highlight w:val="none"/>
          <w:lang w:eastAsia="zh-CN"/>
        </w:rPr>
        <w:t>分析和</w:t>
      </w:r>
      <w:r>
        <w:rPr>
          <w:color w:val="auto"/>
          <w:highlight w:val="none"/>
        </w:rPr>
        <w:t>预测</w:t>
      </w:r>
      <w:bookmarkEnd w:id="321"/>
      <w:bookmarkEnd w:id="322"/>
    </w:p>
    <w:p>
      <w:pPr>
        <w:rPr>
          <w:rFonts w:hint="eastAsia"/>
          <w:color w:val="auto"/>
          <w:highlight w:val="none"/>
          <w:lang w:val="en-US" w:eastAsia="zh-CN"/>
        </w:rPr>
      </w:pPr>
      <w:r>
        <w:rPr>
          <w:rFonts w:hint="eastAsia"/>
          <w:color w:val="auto"/>
          <w:highlight w:val="none"/>
          <w:lang w:eastAsia="zh-CN"/>
        </w:rPr>
        <w:t>本规划矿区规划分为华蓥山北段矿区及中山明月峡矿区，共设置</w:t>
      </w:r>
      <w:r>
        <w:rPr>
          <w:rFonts w:hint="eastAsia"/>
          <w:color w:val="auto"/>
          <w:highlight w:val="none"/>
          <w:lang w:val="en-US" w:eastAsia="zh-CN"/>
        </w:rPr>
        <w:t>14家矿权，3处探矿权。其中华蓥山北段矿区内含煤地层为二叠上统统龙潭组（P</w:t>
      </w:r>
      <w:r>
        <w:rPr>
          <w:rFonts w:hint="eastAsia"/>
          <w:color w:val="auto"/>
          <w:highlight w:val="none"/>
          <w:vertAlign w:val="subscript"/>
          <w:lang w:val="en-US" w:eastAsia="zh-CN"/>
        </w:rPr>
        <w:t>2</w:t>
      </w:r>
      <w:r>
        <w:rPr>
          <w:rFonts w:hint="eastAsia"/>
          <w:color w:val="auto"/>
          <w:highlight w:val="none"/>
          <w:lang w:val="en-US" w:eastAsia="zh-CN"/>
        </w:rPr>
        <w:t>l）和三叠系上统须家河组(T</w:t>
      </w:r>
      <w:r>
        <w:rPr>
          <w:rFonts w:hint="eastAsia"/>
          <w:color w:val="auto"/>
          <w:highlight w:val="none"/>
          <w:vertAlign w:val="subscript"/>
          <w:lang w:val="en-US" w:eastAsia="zh-CN"/>
        </w:rPr>
        <w:t>3</w:t>
      </w:r>
      <w:r>
        <w:rPr>
          <w:rFonts w:hint="eastAsia"/>
          <w:color w:val="auto"/>
          <w:highlight w:val="none"/>
          <w:lang w:val="en-US" w:eastAsia="zh-CN"/>
        </w:rPr>
        <w:t>xj)，中山明月峡矿区内含煤地层三叠系上统须家河组(T</w:t>
      </w:r>
      <w:r>
        <w:rPr>
          <w:rFonts w:hint="eastAsia"/>
          <w:color w:val="auto"/>
          <w:highlight w:val="none"/>
          <w:vertAlign w:val="subscript"/>
          <w:lang w:val="en-US" w:eastAsia="zh-CN"/>
        </w:rPr>
        <w:t>3</w:t>
      </w:r>
      <w:r>
        <w:rPr>
          <w:rFonts w:hint="eastAsia"/>
          <w:color w:val="auto"/>
          <w:highlight w:val="none"/>
          <w:lang w:val="en-US" w:eastAsia="zh-CN"/>
        </w:rPr>
        <w:t>xj)。可采和局部可采煤层22层。</w:t>
      </w:r>
    </w:p>
    <w:p>
      <w:pPr>
        <w:bidi w:val="0"/>
        <w:rPr>
          <w:rFonts w:hint="eastAsia"/>
          <w:color w:val="auto"/>
          <w:highlight w:val="none"/>
          <w:lang w:val="en-US" w:eastAsia="zh-CN"/>
        </w:rPr>
      </w:pPr>
      <w:r>
        <w:rPr>
          <w:rFonts w:hint="eastAsia"/>
          <w:color w:val="auto"/>
          <w:highlight w:val="none"/>
          <w:lang w:val="en-US" w:eastAsia="zh-CN"/>
        </w:rPr>
        <w:t>本规划区</w:t>
      </w:r>
      <w:r>
        <w:rPr>
          <w:rFonts w:hint="default"/>
          <w:color w:val="auto"/>
          <w:highlight w:val="none"/>
          <w:lang w:val="en-US" w:eastAsia="zh-CN"/>
        </w:rPr>
        <w:t>由西山(华蓥山背斜山脉)、中山(铜锣峡背斜山脉)、东山(明月峡背斜山脉)构成“三山两槽”的平行岭谷地形，由北东、南西向平行排列</w:t>
      </w:r>
      <w:r>
        <w:rPr>
          <w:rFonts w:hint="eastAsia"/>
          <w:color w:val="auto"/>
          <w:highlight w:val="none"/>
          <w:lang w:val="en-US" w:eastAsia="zh-CN"/>
        </w:rPr>
        <w:t>。由于受横谷切割，多形成“V”字形沟谷，密布全区，区内无水库等大型地表水体，大气降水后地表径流条件较好，溪沟水流量较小，溪沟水对浅部矿坑充水有一定的影响。</w:t>
      </w:r>
      <w:r>
        <w:rPr>
          <w:rFonts w:hint="default"/>
          <w:color w:val="auto"/>
          <w:highlight w:val="none"/>
          <w:lang w:val="en-US" w:eastAsia="zh-CN"/>
        </w:rPr>
        <w:t>区</w:t>
      </w:r>
      <w:r>
        <w:rPr>
          <w:rFonts w:hint="eastAsia"/>
          <w:color w:val="auto"/>
          <w:highlight w:val="none"/>
          <w:lang w:val="en-US" w:eastAsia="zh-CN"/>
        </w:rPr>
        <w:t>域</w:t>
      </w:r>
      <w:r>
        <w:rPr>
          <w:rFonts w:hint="default"/>
          <w:color w:val="auto"/>
          <w:highlight w:val="none"/>
          <w:lang w:val="en-US" w:eastAsia="zh-CN"/>
        </w:rPr>
        <w:t>含水层有灰岩岩溶含水层（中三叠统雷口坡组(T2l)至上二迭统长兴组(P2c)）、三叠系上统须家河组(T3xj )砂岩含水层</w:t>
      </w:r>
      <w:r>
        <w:rPr>
          <w:rFonts w:hint="eastAsia"/>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本次评价在规划区东、中、西部共选择3个矿井，他们分别是位于矿区东部的典型代表煤矿黑滩煤矿、位于矿区中部的典型代表煤矿华家沟煤矿、位于矿区西部的典型代表煤矿观音煤矿。评价将对这3个典型煤矿进行沉陷预测分析，并对其它11个矿井的地表沉陷情况及影响进行类比分析。</w:t>
      </w:r>
    </w:p>
    <w:p>
      <w:pPr>
        <w:pStyle w:val="7"/>
        <w:numPr>
          <w:ilvl w:val="3"/>
          <w:numId w:val="9"/>
        </w:numPr>
        <w:bidi w:val="0"/>
        <w:rPr>
          <w:color w:val="auto"/>
          <w:highlight w:val="none"/>
        </w:rPr>
      </w:pPr>
      <w:r>
        <w:rPr>
          <w:rFonts w:hint="eastAsia"/>
          <w:color w:val="auto"/>
          <w:highlight w:val="none"/>
          <w:lang w:eastAsia="zh-CN"/>
        </w:rPr>
        <w:t>典型煤矿煤层特点及</w:t>
      </w:r>
      <w:r>
        <w:rPr>
          <w:color w:val="auto"/>
          <w:highlight w:val="none"/>
        </w:rPr>
        <w:t>开拓开采简况</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黑滩煤矿</w:t>
      </w:r>
    </w:p>
    <w:p>
      <w:pPr>
        <w:bidi w:val="0"/>
        <w:rPr>
          <w:rFonts w:hint="eastAsia" w:eastAsia="宋体"/>
          <w:color w:val="auto"/>
          <w:highlight w:val="none"/>
          <w:lang w:eastAsia="zh-CN"/>
        </w:rPr>
      </w:pPr>
      <w:r>
        <w:rPr>
          <w:rFonts w:hint="eastAsia"/>
          <w:color w:val="auto"/>
          <w:highlight w:val="none"/>
        </w:rPr>
        <w:t>达州市黑滩煤业有限公司黑滩煤矿根据矿井资源条件及开采技术条件，规划矿井进行独立升级改造，升级改造后生产能力为30万吨/年，规划开采标高至-60m，保有资源量355.40万吨，设计可采资源量269.53万吨，矿井服务年限为6.9年。批准开采煤层为正连、内正连、三夹连煤层</w:t>
      </w:r>
      <w:r>
        <w:rPr>
          <w:rFonts w:hint="eastAsia"/>
          <w:color w:val="auto"/>
          <w:highlight w:val="none"/>
          <w:lang w:eastAsia="zh-CN"/>
        </w:rPr>
        <w:t>。矿权面积2.7693km</w:t>
      </w:r>
      <w:r>
        <w:rPr>
          <w:rFonts w:hint="eastAsia"/>
          <w:color w:val="auto"/>
          <w:highlight w:val="none"/>
          <w:vertAlign w:val="superscript"/>
          <w:lang w:eastAsia="zh-CN"/>
        </w:rPr>
        <w:t>2</w:t>
      </w:r>
      <w:r>
        <w:rPr>
          <w:rFonts w:hint="eastAsia"/>
          <w:color w:val="auto"/>
          <w:highlight w:val="none"/>
          <w:lang w:eastAsia="zh-CN"/>
        </w:rPr>
        <w:t>。</w:t>
      </w:r>
    </w:p>
    <w:p>
      <w:pPr>
        <w:bidi w:val="0"/>
        <w:rPr>
          <w:color w:val="auto"/>
          <w:highlight w:val="none"/>
        </w:rPr>
      </w:pPr>
      <w:r>
        <w:rPr>
          <w:rFonts w:hint="eastAsia"/>
          <w:color w:val="auto"/>
          <w:highlight w:val="none"/>
        </w:rPr>
        <w:t>矿井采用平硐斜井开拓，布置3条井筒，即主平硐、材料斜井、回风平硐。划分为1个水平，即+200m水平，为上、下山开采，共划分为2个采区，一采区为上山采区、二采区为下山采区。设计采用</w:t>
      </w:r>
      <w:r>
        <w:rPr>
          <w:color w:val="auto"/>
          <w:highlight w:val="none"/>
        </w:rPr>
        <w:t>综合机械化采煤法</w:t>
      </w:r>
      <w:r>
        <w:rPr>
          <w:rFonts w:hint="eastAsia"/>
          <w:color w:val="auto"/>
          <w:highlight w:val="none"/>
          <w:lang w:eastAsia="zh-CN"/>
        </w:rPr>
        <w:t>、</w:t>
      </w:r>
      <w:r>
        <w:rPr>
          <w:rFonts w:hint="eastAsia"/>
          <w:color w:val="auto"/>
          <w:highlight w:val="none"/>
        </w:rPr>
        <w:t>全部跨落法管理顶板，工作面采用后退式回采。</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华家沟煤矿</w:t>
      </w:r>
    </w:p>
    <w:p>
      <w:pPr>
        <w:bidi w:val="0"/>
        <w:rPr>
          <w:rFonts w:hint="default" w:eastAsia="宋体"/>
          <w:color w:val="auto"/>
          <w:highlight w:val="none"/>
          <w:lang w:val="en-US" w:eastAsia="zh-CN"/>
        </w:rPr>
      </w:pPr>
      <w:r>
        <w:rPr>
          <w:rFonts w:hint="eastAsia"/>
          <w:color w:val="auto"/>
          <w:highlight w:val="none"/>
        </w:rPr>
        <w:t>大竹县永兴矿业有限责任公司华家沟煤矿根据矿井资源条件及开采技术条件，规划矿井进行独立升级改造，升级改造后生产能力为30万吨/年，矿井保有资源量431.30万吨，设计可采资源量283.27万吨，矿井服务年限为7.3年。</w:t>
      </w:r>
      <w:r>
        <w:rPr>
          <w:rFonts w:hint="eastAsia" w:ascii="宋体" w:hAnsi="宋体" w:cs="宋体"/>
          <w:color w:val="auto"/>
          <w:kern w:val="0"/>
          <w:szCs w:val="21"/>
          <w:highlight w:val="none"/>
        </w:rPr>
        <w:t>开</w:t>
      </w:r>
      <w:r>
        <w:rPr>
          <w:rFonts w:hint="default" w:ascii="Times New Roman" w:hAnsi="Times New Roman" w:cs="Times New Roman"/>
          <w:color w:val="auto"/>
          <w:kern w:val="0"/>
          <w:szCs w:val="21"/>
          <w:highlight w:val="none"/>
        </w:rPr>
        <w:t>采K</w:t>
      </w:r>
      <w:r>
        <w:rPr>
          <w:rFonts w:hint="default" w:ascii="Times New Roman" w:hAnsi="Times New Roman" w:cs="Times New Roman"/>
          <w:color w:val="auto"/>
          <w:kern w:val="0"/>
          <w:szCs w:val="21"/>
          <w:highlight w:val="none"/>
          <w:vertAlign w:val="subscript"/>
        </w:rPr>
        <w:t>7</w:t>
      </w:r>
      <w:r>
        <w:rPr>
          <w:rFonts w:hint="default" w:ascii="Times New Roman" w:hAnsi="Times New Roman" w:cs="Times New Roman"/>
          <w:color w:val="auto"/>
          <w:kern w:val="0"/>
          <w:szCs w:val="21"/>
          <w:highlight w:val="none"/>
        </w:rPr>
        <w:t>、K</w:t>
      </w:r>
      <w:r>
        <w:rPr>
          <w:rFonts w:hint="default" w:ascii="Times New Roman" w:hAnsi="Times New Roman" w:cs="Times New Roman"/>
          <w:color w:val="auto"/>
          <w:kern w:val="0"/>
          <w:szCs w:val="21"/>
          <w:highlight w:val="none"/>
          <w:vertAlign w:val="subscript"/>
        </w:rPr>
        <w:t>9</w:t>
      </w:r>
      <w:r>
        <w:rPr>
          <w:rFonts w:hint="default" w:ascii="Times New Roman" w:hAnsi="Times New Roman" w:cs="Times New Roman"/>
          <w:color w:val="auto"/>
          <w:kern w:val="0"/>
          <w:szCs w:val="21"/>
          <w:highlight w:val="none"/>
        </w:rPr>
        <w:t>、K</w:t>
      </w:r>
      <w:r>
        <w:rPr>
          <w:rFonts w:hint="default" w:ascii="Times New Roman" w:hAnsi="Times New Roman" w:cs="Times New Roman"/>
          <w:color w:val="auto"/>
          <w:kern w:val="0"/>
          <w:szCs w:val="21"/>
          <w:highlight w:val="none"/>
          <w:vertAlign w:val="subscript"/>
        </w:rPr>
        <w:t>10</w:t>
      </w:r>
      <w:r>
        <w:rPr>
          <w:rFonts w:hint="default" w:ascii="Times New Roman" w:hAnsi="Times New Roman" w:cs="Times New Roman"/>
          <w:color w:val="auto"/>
          <w:kern w:val="0"/>
          <w:szCs w:val="21"/>
          <w:highlight w:val="none"/>
        </w:rPr>
        <w:t>煤层</w:t>
      </w:r>
      <w:r>
        <w:rPr>
          <w:rFonts w:hint="eastAsia" w:ascii="Times New Roman" w:hAnsi="Times New Roman" w:cs="Times New Roman"/>
          <w:color w:val="auto"/>
          <w:kern w:val="0"/>
          <w:szCs w:val="21"/>
          <w:highlight w:val="none"/>
          <w:lang w:eastAsia="zh-CN"/>
        </w:rPr>
        <w:t>。矿权面积</w:t>
      </w:r>
      <w:r>
        <w:rPr>
          <w:rFonts w:hint="eastAsia" w:ascii="Times New Roman" w:hAnsi="Times New Roman" w:cs="Times New Roman"/>
          <w:color w:val="auto"/>
          <w:kern w:val="0"/>
          <w:szCs w:val="21"/>
          <w:highlight w:val="none"/>
          <w:lang w:val="en-US" w:eastAsia="zh-CN"/>
        </w:rPr>
        <w:t>1.0554km</w:t>
      </w:r>
      <w:r>
        <w:rPr>
          <w:rFonts w:hint="eastAsia" w:ascii="Times New Roman" w:hAnsi="Times New Roman" w:cs="Times New Roman"/>
          <w:color w:val="auto"/>
          <w:kern w:val="0"/>
          <w:szCs w:val="21"/>
          <w:highlight w:val="none"/>
          <w:vertAlign w:val="superscript"/>
          <w:lang w:val="en-US" w:eastAsia="zh-CN"/>
        </w:rPr>
        <w:t>2</w:t>
      </w:r>
      <w:r>
        <w:rPr>
          <w:rFonts w:hint="eastAsia" w:ascii="Times New Roman" w:hAnsi="Times New Roman" w:cs="Times New Roman"/>
          <w:color w:val="auto"/>
          <w:kern w:val="0"/>
          <w:szCs w:val="21"/>
          <w:highlight w:val="none"/>
          <w:lang w:val="en-US" w:eastAsia="zh-CN"/>
        </w:rPr>
        <w:t>。</w:t>
      </w:r>
    </w:p>
    <w:p>
      <w:pPr>
        <w:bidi w:val="0"/>
        <w:rPr>
          <w:rFonts w:hint="eastAsia"/>
          <w:color w:val="auto"/>
          <w:highlight w:val="none"/>
        </w:rPr>
      </w:pPr>
      <w:r>
        <w:rPr>
          <w:rFonts w:hint="eastAsia"/>
          <w:color w:val="auto"/>
          <w:highlight w:val="none"/>
        </w:rPr>
        <w:t>矿井采用斜井+平硐综合开拓方式，布置3条出地表的井筒，即+455m主斜井、+432m副平硐和+471m回风斜井。共划分为2个水平，即+262m水平（上山开采）和+100m水平（上下山开采）。其中+262m标高以上的K10、K9煤层已经采完，拟增设K7煤层，+262m水平以上北翼布置1个13采区开采K7煤层；+100m水平划分3个上山采区和2个下山采区。设计采用</w:t>
      </w:r>
      <w:r>
        <w:rPr>
          <w:color w:val="auto"/>
          <w:highlight w:val="none"/>
        </w:rPr>
        <w:t>综合机械化采煤法</w:t>
      </w:r>
      <w:r>
        <w:rPr>
          <w:rFonts w:hint="eastAsia"/>
          <w:color w:val="auto"/>
          <w:highlight w:val="none"/>
          <w:lang w:eastAsia="zh-CN"/>
        </w:rPr>
        <w:t>、</w:t>
      </w:r>
      <w:r>
        <w:rPr>
          <w:rFonts w:hint="eastAsia"/>
          <w:color w:val="auto"/>
          <w:highlight w:val="none"/>
        </w:rPr>
        <w:t>全部跨落法管理顶板，工作面采用后退式回采。</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观音煤矿</w:t>
      </w:r>
    </w:p>
    <w:p>
      <w:pPr>
        <w:bidi w:val="0"/>
        <w:rPr>
          <w:rFonts w:hint="default" w:eastAsia="宋体"/>
          <w:color w:val="auto"/>
          <w:highlight w:val="none"/>
          <w:lang w:val="en-US" w:eastAsia="zh-CN"/>
        </w:rPr>
      </w:pPr>
      <w:r>
        <w:rPr>
          <w:rFonts w:hint="eastAsia"/>
          <w:color w:val="auto"/>
          <w:highlight w:val="none"/>
        </w:rPr>
        <w:t>四川神州矿业开发有限公司观音煤矿根据矿井资源条件及开采技术条件，规划生产能力为15万吨/年，矿井保有资源量140.15万吨，设计可采资源量121.93万吨，则矿井服务年限为6.3年。</w:t>
      </w:r>
      <w:r>
        <w:rPr>
          <w:rFonts w:hint="default" w:ascii="Times New Roman" w:hAnsi="Times New Roman" w:cs="Times New Roman"/>
          <w:color w:val="auto"/>
          <w:kern w:val="0"/>
          <w:szCs w:val="21"/>
          <w:highlight w:val="none"/>
        </w:rPr>
        <w:t>开采K</w:t>
      </w:r>
      <w:r>
        <w:rPr>
          <w:rFonts w:hint="default" w:ascii="Times New Roman" w:hAnsi="Times New Roman" w:cs="Times New Roman"/>
          <w:color w:val="auto"/>
          <w:kern w:val="0"/>
          <w:szCs w:val="21"/>
          <w:highlight w:val="none"/>
          <w:vertAlign w:val="subscript"/>
        </w:rPr>
        <w:t>3</w:t>
      </w:r>
      <w:r>
        <w:rPr>
          <w:rFonts w:hint="default" w:ascii="Times New Roman" w:hAnsi="Times New Roman" w:cs="Times New Roman"/>
          <w:color w:val="auto"/>
          <w:kern w:val="0"/>
          <w:szCs w:val="21"/>
          <w:highlight w:val="none"/>
        </w:rPr>
        <w:t>、K</w:t>
      </w:r>
      <w:r>
        <w:rPr>
          <w:rFonts w:hint="default" w:ascii="Times New Roman" w:hAnsi="Times New Roman" w:cs="Times New Roman"/>
          <w:color w:val="auto"/>
          <w:kern w:val="0"/>
          <w:szCs w:val="21"/>
          <w:highlight w:val="none"/>
          <w:vertAlign w:val="subscript"/>
        </w:rPr>
        <w:t>4</w:t>
      </w:r>
      <w:r>
        <w:rPr>
          <w:rFonts w:hint="default" w:ascii="Times New Roman" w:hAnsi="Times New Roman" w:cs="Times New Roman"/>
          <w:color w:val="auto"/>
          <w:kern w:val="0"/>
          <w:szCs w:val="21"/>
          <w:highlight w:val="none"/>
        </w:rPr>
        <w:t>、K</w:t>
      </w:r>
      <w:r>
        <w:rPr>
          <w:rFonts w:hint="default" w:ascii="Times New Roman" w:hAnsi="Times New Roman" w:cs="Times New Roman"/>
          <w:color w:val="auto"/>
          <w:kern w:val="0"/>
          <w:szCs w:val="21"/>
          <w:highlight w:val="none"/>
          <w:vertAlign w:val="subscript"/>
        </w:rPr>
        <w:t>6</w:t>
      </w:r>
      <w:r>
        <w:rPr>
          <w:rFonts w:hint="default" w:ascii="Times New Roman" w:hAnsi="Times New Roman" w:cs="Times New Roman"/>
          <w:color w:val="auto"/>
          <w:kern w:val="0"/>
          <w:szCs w:val="21"/>
          <w:highlight w:val="none"/>
        </w:rPr>
        <w:t>、K</w:t>
      </w:r>
      <w:r>
        <w:rPr>
          <w:rFonts w:hint="default" w:ascii="Times New Roman" w:hAnsi="Times New Roman" w:cs="Times New Roman"/>
          <w:color w:val="auto"/>
          <w:kern w:val="0"/>
          <w:szCs w:val="21"/>
          <w:highlight w:val="none"/>
          <w:vertAlign w:val="subscript"/>
        </w:rPr>
        <w:t>7</w:t>
      </w:r>
      <w:r>
        <w:rPr>
          <w:rFonts w:hint="default" w:ascii="Times New Roman" w:hAnsi="Times New Roman" w:cs="Times New Roman"/>
          <w:color w:val="auto"/>
          <w:kern w:val="0"/>
          <w:szCs w:val="21"/>
          <w:highlight w:val="none"/>
        </w:rPr>
        <w:t>煤层</w:t>
      </w:r>
      <w:r>
        <w:rPr>
          <w:rFonts w:hint="default" w:ascii="Times New Roman" w:hAnsi="Times New Roman" w:cs="Times New Roman"/>
          <w:color w:val="auto"/>
          <w:kern w:val="0"/>
          <w:szCs w:val="21"/>
          <w:highlight w:val="none"/>
          <w:lang w:eastAsia="zh-CN"/>
        </w:rPr>
        <w:t>。矿权面积</w:t>
      </w:r>
      <w:r>
        <w:rPr>
          <w:rFonts w:hint="default" w:ascii="Times New Roman" w:hAnsi="Times New Roman" w:cs="Times New Roman"/>
          <w:color w:val="auto"/>
          <w:kern w:val="0"/>
          <w:szCs w:val="21"/>
          <w:highlight w:val="none"/>
          <w:lang w:val="en-US" w:eastAsia="zh-CN"/>
        </w:rPr>
        <w:t>4.5872km</w:t>
      </w:r>
      <w:r>
        <w:rPr>
          <w:rFonts w:hint="default" w:ascii="Times New Roman" w:hAnsi="Times New Roman" w:cs="Times New Roman"/>
          <w:color w:val="auto"/>
          <w:kern w:val="0"/>
          <w:szCs w:val="21"/>
          <w:highlight w:val="none"/>
          <w:vertAlign w:val="superscript"/>
          <w:lang w:val="en-US" w:eastAsia="zh-CN"/>
        </w:rPr>
        <w:t>2</w:t>
      </w:r>
      <w:r>
        <w:rPr>
          <w:rFonts w:hint="default" w:ascii="Times New Roman" w:hAnsi="Times New Roman" w:cs="Times New Roman"/>
          <w:color w:val="auto"/>
          <w:kern w:val="0"/>
          <w:szCs w:val="21"/>
          <w:highlight w:val="none"/>
          <w:lang w:val="en-US" w:eastAsia="zh-CN"/>
        </w:rPr>
        <w:t>。</w:t>
      </w:r>
    </w:p>
    <w:p>
      <w:pPr>
        <w:bidi w:val="0"/>
        <w:rPr>
          <w:rFonts w:hint="eastAsia"/>
          <w:color w:val="auto"/>
          <w:highlight w:val="none"/>
        </w:rPr>
      </w:pPr>
      <w:r>
        <w:rPr>
          <w:rFonts w:hint="eastAsia"/>
          <w:color w:val="auto"/>
          <w:highlight w:val="none"/>
        </w:rPr>
        <w:t>矿井采用平硐开拓，布置3条出地表井筒，即+511m主平硐、+511m副平硐和+562m回风平硐。划分为1个水平，即+200m水平（上下山开采）。共划分5个采区，其中+200m水平上山段3个采区，下山段2个采区。设计采用</w:t>
      </w:r>
      <w:r>
        <w:rPr>
          <w:color w:val="auto"/>
          <w:highlight w:val="none"/>
        </w:rPr>
        <w:t>综合机械化采煤法</w:t>
      </w:r>
      <w:r>
        <w:rPr>
          <w:rFonts w:hint="eastAsia"/>
          <w:color w:val="auto"/>
          <w:highlight w:val="none"/>
          <w:lang w:eastAsia="zh-CN"/>
        </w:rPr>
        <w:t>、</w:t>
      </w:r>
      <w:r>
        <w:rPr>
          <w:rFonts w:hint="eastAsia"/>
          <w:color w:val="auto"/>
          <w:highlight w:val="none"/>
        </w:rPr>
        <w:t>全部跨落法管理顶板，工作面采用后退式回采。</w:t>
      </w:r>
    </w:p>
    <w:p>
      <w:pPr>
        <w:pStyle w:val="7"/>
        <w:numPr>
          <w:ilvl w:val="3"/>
          <w:numId w:val="9"/>
        </w:numPr>
        <w:bidi w:val="0"/>
        <w:rPr>
          <w:color w:val="auto"/>
          <w:highlight w:val="none"/>
        </w:rPr>
      </w:pPr>
      <w:r>
        <w:rPr>
          <w:color w:val="auto"/>
          <w:highlight w:val="none"/>
        </w:rPr>
        <w:t>地表沉陷预测</w:t>
      </w:r>
      <w:r>
        <w:rPr>
          <w:rFonts w:hint="eastAsia"/>
          <w:color w:val="auto"/>
          <w:highlight w:val="none"/>
          <w:lang w:eastAsia="zh-CN"/>
        </w:rPr>
        <w:t>模型</w:t>
      </w:r>
    </w:p>
    <w:p>
      <w:pPr>
        <w:bidi w:val="0"/>
        <w:rPr>
          <w:rFonts w:hint="eastAsia"/>
          <w:color w:val="auto"/>
          <w:highlight w:val="none"/>
          <w:lang w:eastAsia="zh-CN"/>
        </w:rPr>
      </w:pPr>
      <w:r>
        <w:rPr>
          <w:rFonts w:hint="eastAsia"/>
          <w:color w:val="auto"/>
          <w:highlight w:val="none"/>
          <w:lang w:eastAsia="zh-CN"/>
        </w:rPr>
        <w:t>本次沉陷预测采用概率积分法模型。该模型描述如下：</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）稳定态预测模型</w:t>
      </w:r>
    </w:p>
    <w:p>
      <w:pPr>
        <w:bidi w:val="0"/>
        <w:rPr>
          <w:rFonts w:hint="eastAsia"/>
          <w:color w:val="auto"/>
          <w:highlight w:val="none"/>
          <w:lang w:val="en-US" w:eastAsia="zh-CN"/>
        </w:rPr>
      </w:pPr>
      <w:r>
        <w:rPr>
          <w:rFonts w:hint="eastAsia"/>
          <w:color w:val="auto"/>
          <w:highlight w:val="none"/>
          <w:lang w:eastAsia="zh-CN"/>
        </w:rPr>
        <w:t>在倾斜煤层中开采某单元</w:t>
      </w:r>
      <w:r>
        <w:rPr>
          <w:rFonts w:hint="eastAsia"/>
          <w:color w:val="auto"/>
          <w:highlight w:val="none"/>
          <w:lang w:val="en-US" w:eastAsia="zh-CN"/>
        </w:rPr>
        <w:t>i，按概率积分法的基本原理，单元开采引起地表任意点（x，y）的下沉（最终值）为：</w:t>
      </w:r>
    </w:p>
    <w:p>
      <w:pPr>
        <w:pStyle w:val="22"/>
        <w:bidi w:val="0"/>
        <w:rPr>
          <w:color w:val="auto"/>
          <w:highlight w:val="none"/>
        </w:rPr>
      </w:pPr>
      <w:r>
        <w:rPr>
          <w:color w:val="auto"/>
          <w:highlight w:val="none"/>
        </w:rPr>
        <w:drawing>
          <wp:inline distT="0" distB="0" distL="114300" distR="114300">
            <wp:extent cx="5038725" cy="2190750"/>
            <wp:effectExtent l="0" t="0" r="9525"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164"/>
                    <a:stretch>
                      <a:fillRect/>
                    </a:stretch>
                  </pic:blipFill>
                  <pic:spPr>
                    <a:xfrm>
                      <a:off x="0" y="0"/>
                      <a:ext cx="5038725" cy="2190750"/>
                    </a:xfrm>
                    <a:prstGeom prst="rect">
                      <a:avLst/>
                    </a:prstGeom>
                    <a:noFill/>
                    <a:ln>
                      <a:noFill/>
                    </a:ln>
                  </pic:spPr>
                </pic:pic>
              </a:graphicData>
            </a:graphic>
          </wp:inline>
        </w:drawing>
      </w:r>
    </w:p>
    <w:p>
      <w:pPr>
        <w:rPr>
          <w:rFonts w:hint="eastAsia"/>
          <w:color w:val="auto"/>
          <w:highlight w:val="none"/>
          <w:lang w:val="en-US" w:eastAsia="zh-CN"/>
        </w:rPr>
      </w:pPr>
      <w:r>
        <w:rPr>
          <w:rFonts w:hint="eastAsia"/>
          <w:color w:val="auto"/>
          <w:highlight w:val="none"/>
          <w:lang w:eastAsia="zh-CN"/>
        </w:rPr>
        <w:t>设工作面范围为：</w:t>
      </w:r>
      <w:r>
        <w:rPr>
          <w:rFonts w:hint="eastAsia"/>
          <w:color w:val="auto"/>
          <w:highlight w:val="none"/>
          <w:lang w:val="en-US" w:eastAsia="zh-CN"/>
        </w:rPr>
        <w:t>0~p，0~a组成的矩形。</w:t>
      </w:r>
    </w:p>
    <w:p>
      <w:pPr>
        <w:bidi w:val="0"/>
        <w:rPr>
          <w:rFonts w:hint="eastAsia"/>
          <w:color w:val="auto"/>
          <w:highlight w:val="none"/>
          <w:lang w:val="en-US" w:eastAsia="zh-CN"/>
        </w:rPr>
      </w:pPr>
      <w:r>
        <w:rPr>
          <w:rFonts w:hint="eastAsia"/>
          <w:color w:val="auto"/>
          <w:highlight w:val="none"/>
          <w:lang w:val="en-US" w:eastAsia="zh-CN"/>
        </w:rPr>
        <w:t>①地表任一点的下沉为：</w:t>
      </w:r>
    </w:p>
    <w:p>
      <w:pPr>
        <w:bidi w:val="0"/>
        <w:rPr>
          <w:rFonts w:hint="eastAsia"/>
          <w:color w:val="auto"/>
          <w:highlight w:val="none"/>
          <w:lang w:val="en-US" w:eastAsia="zh-CN"/>
        </w:rPr>
      </w:pPr>
      <w:r>
        <w:rPr>
          <w:color w:val="auto"/>
          <w:highlight w:val="none"/>
        </w:rPr>
        <w:drawing>
          <wp:inline distT="0" distB="0" distL="114300" distR="114300">
            <wp:extent cx="5048250" cy="1333500"/>
            <wp:effectExtent l="0" t="0" r="0" b="0"/>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165"/>
                    <a:stretch>
                      <a:fillRect/>
                    </a:stretch>
                  </pic:blipFill>
                  <pic:spPr>
                    <a:xfrm>
                      <a:off x="0" y="0"/>
                      <a:ext cx="5048250" cy="1333500"/>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也可以写为：</w:t>
      </w:r>
    </w:p>
    <w:p>
      <w:pPr>
        <w:bidi w:val="0"/>
        <w:rPr>
          <w:rFonts w:hint="eastAsia"/>
          <w:color w:val="auto"/>
          <w:highlight w:val="none"/>
          <w:lang w:val="en-US" w:eastAsia="zh-CN"/>
        </w:rPr>
      </w:pPr>
      <w:r>
        <w:rPr>
          <w:color w:val="auto"/>
          <w:highlight w:val="none"/>
        </w:rPr>
        <w:drawing>
          <wp:inline distT="0" distB="0" distL="114300" distR="114300">
            <wp:extent cx="5210175" cy="1219200"/>
            <wp:effectExtent l="0" t="0" r="9525" b="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166"/>
                    <a:stretch>
                      <a:fillRect/>
                    </a:stretch>
                  </pic:blipFill>
                  <pic:spPr>
                    <a:xfrm>
                      <a:off x="0" y="0"/>
                      <a:ext cx="5210175" cy="1219200"/>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根据下沉表达式，可推导出地表（x，y）的其它移动变形值。注意：除下沉外的其它移动变形都有方向性，同一点沿各个方向的变形值是不一样的，要对单元下沉盆地求方向导数，然后积分。</w:t>
      </w:r>
    </w:p>
    <w:p>
      <w:pPr>
        <w:bidi w:val="0"/>
        <w:rPr>
          <w:rFonts w:hint="default"/>
          <w:color w:val="auto"/>
          <w:highlight w:val="none"/>
          <w:lang w:val="en-US" w:eastAsia="zh-CN"/>
        </w:rPr>
      </w:pPr>
      <w:r>
        <w:rPr>
          <w:rFonts w:hint="eastAsia"/>
          <w:color w:val="auto"/>
          <w:highlight w:val="none"/>
          <w:lang w:val="en-US" w:eastAsia="zh-CN"/>
        </w:rPr>
        <w:t>②沿</w:t>
      </w:r>
      <w:r>
        <w:rPr>
          <w:rFonts w:hint="default" w:ascii="Times New Roman" w:hAnsi="Times New Roman" w:cs="Times New Roman"/>
          <w:color w:val="auto"/>
          <w:highlight w:val="none"/>
          <w:lang w:val="en-US" w:eastAsia="zh-CN"/>
        </w:rPr>
        <w:t>φ</w:t>
      </w:r>
      <w:r>
        <w:rPr>
          <w:rFonts w:hint="eastAsia" w:ascii="Times New Roman" w:hAnsi="Times New Roman" w:cs="Times New Roman"/>
          <w:color w:val="auto"/>
          <w:highlight w:val="none"/>
          <w:lang w:val="en-US" w:eastAsia="zh-CN"/>
        </w:rPr>
        <w:t>方向的倾斜i（x，y，</w:t>
      </w:r>
      <w:r>
        <w:rPr>
          <w:rFonts w:hint="default" w:ascii="Times New Roman" w:hAnsi="Times New Roman" w:cs="Times New Roman"/>
          <w:color w:val="auto"/>
          <w:highlight w:val="none"/>
          <w:lang w:val="en-US" w:eastAsia="zh-CN"/>
        </w:rPr>
        <w:t>φ</w:t>
      </w:r>
      <w:r>
        <w:rPr>
          <w:rFonts w:hint="eastAsia" w:ascii="Times New Roman" w:hAnsi="Times New Roman" w:cs="Times New Roman"/>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设</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角为从x轴的正向沿逆时针方向与指定预计方向所夹的角度。</w:t>
      </w:r>
    </w:p>
    <w:p>
      <w:pPr>
        <w:bidi w:val="0"/>
        <w:rPr>
          <w:rFonts w:hint="default"/>
          <w:color w:val="auto"/>
          <w:highlight w:val="none"/>
          <w:lang w:val="en-US" w:eastAsia="zh-CN"/>
        </w:rPr>
      </w:pPr>
      <w:r>
        <w:rPr>
          <w:rFonts w:hint="eastAsia"/>
          <w:color w:val="auto"/>
          <w:highlight w:val="none"/>
          <w:lang w:val="en-US" w:eastAsia="zh-CN"/>
        </w:rPr>
        <w:t>坐标为（x，y）的点沿</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方向的倾斜为下沉W（x，y）在</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方向上单位距离的变化率，在数学上即为</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方向的方向导数，即为：</w:t>
      </w:r>
    </w:p>
    <w:p>
      <w:pPr>
        <w:bidi w:val="0"/>
        <w:rPr>
          <w:rFonts w:hint="eastAsia"/>
          <w:color w:val="auto"/>
          <w:highlight w:val="none"/>
          <w:lang w:val="en-US" w:eastAsia="zh-CN"/>
        </w:rPr>
      </w:pPr>
      <w:r>
        <w:rPr>
          <w:color w:val="auto"/>
          <w:highlight w:val="none"/>
        </w:rPr>
        <w:drawing>
          <wp:inline distT="0" distB="0" distL="114300" distR="114300">
            <wp:extent cx="3228975" cy="428625"/>
            <wp:effectExtent l="0" t="0" r="9525" b="9525"/>
            <wp:docPr id="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pic:cNvPicPr>
                      <a:picLocks noChangeAspect="1"/>
                    </pic:cNvPicPr>
                  </pic:nvPicPr>
                  <pic:blipFill>
                    <a:blip r:embed="rId167"/>
                    <a:stretch>
                      <a:fillRect/>
                    </a:stretch>
                  </pic:blipFill>
                  <pic:spPr>
                    <a:xfrm>
                      <a:off x="0" y="0"/>
                      <a:ext cx="3228975" cy="428625"/>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可将上式化简为：</w:t>
      </w:r>
    </w:p>
    <w:p>
      <w:pPr>
        <w:bidi w:val="0"/>
        <w:rPr>
          <w:rFonts w:hint="eastAsia"/>
          <w:color w:val="auto"/>
          <w:highlight w:val="none"/>
          <w:lang w:val="en-US" w:eastAsia="zh-CN"/>
        </w:rPr>
      </w:pPr>
      <w:r>
        <w:rPr>
          <w:color w:val="auto"/>
          <w:highlight w:val="none"/>
        </w:rPr>
        <w:drawing>
          <wp:inline distT="0" distB="0" distL="114300" distR="114300">
            <wp:extent cx="3362325" cy="476250"/>
            <wp:effectExtent l="0" t="0" r="9525" b="0"/>
            <wp:docPr id="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pic:cNvPicPr>
                      <a:picLocks noChangeAspect="1"/>
                    </pic:cNvPicPr>
                  </pic:nvPicPr>
                  <pic:blipFill>
                    <a:blip r:embed="rId168"/>
                    <a:stretch>
                      <a:fillRect/>
                    </a:stretch>
                  </pic:blipFill>
                  <pic:spPr>
                    <a:xfrm>
                      <a:off x="0" y="0"/>
                      <a:ext cx="3362325" cy="476250"/>
                    </a:xfrm>
                    <a:prstGeom prst="rect">
                      <a:avLst/>
                    </a:prstGeom>
                    <a:noFill/>
                    <a:ln>
                      <a:noFill/>
                    </a:ln>
                  </pic:spPr>
                </pic:pic>
              </a:graphicData>
            </a:graphic>
          </wp:inline>
        </w:drawing>
      </w:r>
    </w:p>
    <w:p>
      <w:pPr>
        <w:bidi w:val="0"/>
        <w:rPr>
          <w:rFonts w:hint="default"/>
          <w:color w:val="auto"/>
          <w:highlight w:val="none"/>
          <w:lang w:val="en-US" w:eastAsia="zh-CN"/>
        </w:rPr>
      </w:pPr>
      <w:r>
        <w:rPr>
          <w:rFonts w:hint="eastAsia"/>
          <w:color w:val="auto"/>
          <w:highlight w:val="none"/>
          <w:lang w:val="en-US" w:eastAsia="zh-CN"/>
        </w:rPr>
        <w:t>③沿</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方向的曲率k（x，y，</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坐标为（x，y）的点</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方向的曲率为倾斜i（x，y，</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）在</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方向上单位距离的变化率，在数学上即为</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方向的方向导数，即为：</w:t>
      </w:r>
    </w:p>
    <w:p>
      <w:pPr>
        <w:bidi w:val="0"/>
        <w:rPr>
          <w:rFonts w:hint="eastAsia"/>
          <w:color w:val="auto"/>
          <w:highlight w:val="none"/>
          <w:lang w:val="en-US" w:eastAsia="zh-CN"/>
        </w:rPr>
      </w:pPr>
      <w:r>
        <w:rPr>
          <w:color w:val="auto"/>
          <w:highlight w:val="none"/>
        </w:rPr>
        <w:drawing>
          <wp:inline distT="0" distB="0" distL="114300" distR="114300">
            <wp:extent cx="3400425" cy="466725"/>
            <wp:effectExtent l="0" t="0" r="9525" b="9525"/>
            <wp:docPr id="1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
                    <pic:cNvPicPr>
                      <a:picLocks noChangeAspect="1"/>
                    </pic:cNvPicPr>
                  </pic:nvPicPr>
                  <pic:blipFill>
                    <a:blip r:embed="rId169"/>
                    <a:stretch>
                      <a:fillRect/>
                    </a:stretch>
                  </pic:blipFill>
                  <pic:spPr>
                    <a:xfrm>
                      <a:off x="0" y="0"/>
                      <a:ext cx="3400425" cy="466725"/>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可将上式化简为：</w:t>
      </w:r>
    </w:p>
    <w:p>
      <w:pPr>
        <w:bidi w:val="0"/>
        <w:rPr>
          <w:rFonts w:hint="eastAsia"/>
          <w:color w:val="auto"/>
          <w:highlight w:val="none"/>
          <w:lang w:val="en-US" w:eastAsia="zh-CN"/>
        </w:rPr>
      </w:pPr>
      <w:r>
        <w:rPr>
          <w:color w:val="auto"/>
          <w:highlight w:val="none"/>
        </w:rPr>
        <w:drawing>
          <wp:inline distT="0" distB="0" distL="114300" distR="114300">
            <wp:extent cx="3762375" cy="419100"/>
            <wp:effectExtent l="0" t="0" r="9525" b="0"/>
            <wp:docPr id="1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
                    <pic:cNvPicPr>
                      <a:picLocks noChangeAspect="1"/>
                    </pic:cNvPicPr>
                  </pic:nvPicPr>
                  <pic:blipFill>
                    <a:blip r:embed="rId170"/>
                    <a:stretch>
                      <a:fillRect/>
                    </a:stretch>
                  </pic:blipFill>
                  <pic:spPr>
                    <a:xfrm>
                      <a:off x="0" y="0"/>
                      <a:ext cx="3762375" cy="419100"/>
                    </a:xfrm>
                    <a:prstGeom prst="rect">
                      <a:avLst/>
                    </a:prstGeom>
                    <a:noFill/>
                    <a:ln>
                      <a:noFill/>
                    </a:ln>
                  </pic:spPr>
                </pic:pic>
              </a:graphicData>
            </a:graphic>
          </wp:inline>
        </w:drawing>
      </w:r>
    </w:p>
    <w:p>
      <w:pPr>
        <w:bidi w:val="0"/>
        <w:rPr>
          <w:rFonts w:hint="default"/>
          <w:color w:val="auto"/>
          <w:highlight w:val="none"/>
          <w:lang w:val="en-US" w:eastAsia="zh-CN"/>
        </w:rPr>
      </w:pPr>
      <w:r>
        <w:rPr>
          <w:rFonts w:hint="eastAsia"/>
          <w:color w:val="auto"/>
          <w:highlight w:val="none"/>
          <w:lang w:val="en-US" w:eastAsia="zh-CN"/>
        </w:rPr>
        <w:t>④沿</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方向的水平移动U（x，y，</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w:t>
      </w:r>
    </w:p>
    <w:p>
      <w:pPr>
        <w:bidi w:val="0"/>
        <w:rPr>
          <w:rFonts w:hint="eastAsia"/>
          <w:color w:val="auto"/>
          <w:highlight w:val="none"/>
          <w:lang w:val="en-US" w:eastAsia="zh-CN"/>
        </w:rPr>
      </w:pPr>
      <w:r>
        <w:rPr>
          <w:color w:val="auto"/>
          <w:highlight w:val="none"/>
        </w:rPr>
        <w:drawing>
          <wp:inline distT="0" distB="0" distL="114300" distR="114300">
            <wp:extent cx="3352800" cy="409575"/>
            <wp:effectExtent l="0" t="0" r="0" b="9525"/>
            <wp:docPr id="1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5"/>
                    <pic:cNvPicPr>
                      <a:picLocks noChangeAspect="1"/>
                    </pic:cNvPicPr>
                  </pic:nvPicPr>
                  <pic:blipFill>
                    <a:blip r:embed="rId171"/>
                    <a:stretch>
                      <a:fillRect/>
                    </a:stretch>
                  </pic:blipFill>
                  <pic:spPr>
                    <a:xfrm>
                      <a:off x="0" y="0"/>
                      <a:ext cx="3352800" cy="409575"/>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⑤沿</w:t>
      </w:r>
      <w:r>
        <w:rPr>
          <w:rFonts w:hint="default" w:ascii="Times New Roman" w:hAnsi="Times New Roman" w:cs="Times New Roman"/>
          <w:color w:val="auto"/>
          <w:highlight w:val="none"/>
          <w:lang w:val="en-US" w:eastAsia="zh-CN"/>
        </w:rPr>
        <w:t>φ</w:t>
      </w:r>
      <w:r>
        <w:rPr>
          <w:rFonts w:hint="eastAsia" w:cs="Times New Roman"/>
          <w:color w:val="auto"/>
          <w:highlight w:val="none"/>
          <w:lang w:val="en-US" w:eastAsia="zh-CN"/>
        </w:rPr>
        <w:t>方向的水平变形</w:t>
      </w:r>
      <w:r>
        <w:rPr>
          <w:rFonts w:hint="default" w:ascii="Times New Roman" w:hAnsi="Times New Roman" w:cs="Times New Roman"/>
          <w:color w:val="auto"/>
          <w:highlight w:val="none"/>
          <w:lang w:val="en-US" w:eastAsia="zh-CN"/>
        </w:rPr>
        <w:t>ε（x，y，φ）</w:t>
      </w:r>
    </w:p>
    <w:p>
      <w:pPr>
        <w:bidi w:val="0"/>
        <w:rPr>
          <w:rFonts w:hint="eastAsia"/>
          <w:color w:val="auto"/>
          <w:highlight w:val="none"/>
          <w:lang w:val="en-US" w:eastAsia="zh-CN"/>
        </w:rPr>
      </w:pPr>
      <w:r>
        <w:rPr>
          <w:color w:val="auto"/>
          <w:highlight w:val="none"/>
        </w:rPr>
        <w:drawing>
          <wp:inline distT="0" distB="0" distL="114300" distR="114300">
            <wp:extent cx="5181600" cy="762000"/>
            <wp:effectExtent l="0" t="0" r="0" b="0"/>
            <wp:docPr id="1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7"/>
                    <pic:cNvPicPr>
                      <a:picLocks noChangeAspect="1"/>
                    </pic:cNvPicPr>
                  </pic:nvPicPr>
                  <pic:blipFill>
                    <a:blip r:embed="rId172"/>
                    <a:stretch>
                      <a:fillRect/>
                    </a:stretch>
                  </pic:blipFill>
                  <pic:spPr>
                    <a:xfrm>
                      <a:off x="0" y="0"/>
                      <a:ext cx="5181600" cy="762000"/>
                    </a:xfrm>
                    <a:prstGeom prst="rect">
                      <a:avLst/>
                    </a:prstGeom>
                    <a:noFill/>
                    <a:ln>
                      <a:noFill/>
                    </a:ln>
                  </pic:spPr>
                </pic:pic>
              </a:graphicData>
            </a:graphic>
          </wp:inline>
        </w:drawing>
      </w:r>
    </w:p>
    <w:p>
      <w:pPr>
        <w:bidi w:val="0"/>
        <w:rPr>
          <w:rFonts w:hint="eastAsia"/>
          <w:color w:val="auto"/>
          <w:highlight w:val="none"/>
          <w:lang w:val="en-US" w:eastAsia="zh-CN"/>
        </w:rPr>
      </w:pPr>
      <w:r>
        <w:rPr>
          <w:rFonts w:hint="eastAsia"/>
          <w:color w:val="auto"/>
          <w:highlight w:val="none"/>
          <w:lang w:val="en-US" w:eastAsia="zh-CN"/>
        </w:rPr>
        <w:t>（2）最大值的预计</w:t>
      </w:r>
    </w:p>
    <w:p>
      <w:pPr>
        <w:bidi w:val="0"/>
        <w:rPr>
          <w:rFonts w:hint="eastAsia"/>
          <w:color w:val="auto"/>
          <w:highlight w:val="none"/>
          <w:lang w:val="en-US" w:eastAsia="zh-CN"/>
        </w:rPr>
      </w:pPr>
      <w:r>
        <w:rPr>
          <w:rFonts w:hint="eastAsia"/>
          <w:color w:val="auto"/>
          <w:highlight w:val="none"/>
          <w:lang w:val="en-US" w:eastAsia="zh-CN"/>
        </w:rPr>
        <w:t>在充分采动时：</w:t>
      </w:r>
    </w:p>
    <w:p>
      <w:pPr>
        <w:bidi w:val="0"/>
        <w:rPr>
          <w:rFonts w:hint="default"/>
          <w:color w:val="auto"/>
          <w:highlight w:val="none"/>
          <w:vertAlign w:val="baseline"/>
          <w:lang w:val="en-US" w:eastAsia="zh-CN"/>
        </w:rPr>
      </w:pPr>
      <w:r>
        <w:rPr>
          <w:rFonts w:hint="eastAsia"/>
          <w:color w:val="auto"/>
          <w:highlight w:val="none"/>
          <w:lang w:val="en-US" w:eastAsia="zh-CN"/>
        </w:rPr>
        <w:t>①地表最大下沉值W</w:t>
      </w:r>
      <w:r>
        <w:rPr>
          <w:rFonts w:hint="eastAsia"/>
          <w:color w:val="auto"/>
          <w:highlight w:val="none"/>
          <w:vertAlign w:val="subscript"/>
          <w:lang w:val="en-US" w:eastAsia="zh-CN"/>
        </w:rPr>
        <w:t>0</w:t>
      </w:r>
      <w:r>
        <w:rPr>
          <w:rFonts w:hint="eastAsia"/>
          <w:color w:val="auto"/>
          <w:highlight w:val="none"/>
          <w:vertAlign w:val="baseline"/>
          <w:lang w:val="en-US" w:eastAsia="zh-CN"/>
        </w:rPr>
        <w:t>=mqcos</w:t>
      </w:r>
      <w:r>
        <w:rPr>
          <w:rFonts w:hint="default" w:ascii="Times New Roman" w:hAnsi="Times New Roman" w:cs="Times New Roman"/>
          <w:color w:val="auto"/>
          <w:highlight w:val="none"/>
          <w:vertAlign w:val="baseline"/>
          <w:lang w:val="en-US" w:eastAsia="zh-CN"/>
        </w:rPr>
        <w:t>α</w:t>
      </w:r>
    </w:p>
    <w:p>
      <w:pPr>
        <w:bidi w:val="0"/>
        <w:rPr>
          <w:rFonts w:hint="default"/>
          <w:color w:val="auto"/>
          <w:highlight w:val="none"/>
          <w:lang w:val="en-US" w:eastAsia="zh-CN"/>
        </w:rPr>
      </w:pPr>
      <w:r>
        <w:rPr>
          <w:rFonts w:hint="eastAsia"/>
          <w:color w:val="auto"/>
          <w:highlight w:val="none"/>
          <w:lang w:val="en-US" w:eastAsia="zh-CN"/>
        </w:rPr>
        <w:t>②最大倾斜值i</w:t>
      </w:r>
      <w:r>
        <w:rPr>
          <w:rFonts w:hint="eastAsia"/>
          <w:color w:val="auto"/>
          <w:highlight w:val="none"/>
          <w:vertAlign w:val="subscript"/>
          <w:lang w:val="en-US" w:eastAsia="zh-CN"/>
        </w:rPr>
        <w:t>0</w:t>
      </w:r>
      <w:r>
        <w:rPr>
          <w:rFonts w:hint="eastAsia"/>
          <w:color w:val="auto"/>
          <w:highlight w:val="none"/>
          <w:lang w:val="en-US" w:eastAsia="zh-CN"/>
        </w:rPr>
        <w:t>=W</w:t>
      </w:r>
      <w:r>
        <w:rPr>
          <w:rFonts w:hint="eastAsia"/>
          <w:color w:val="auto"/>
          <w:highlight w:val="none"/>
          <w:vertAlign w:val="subscript"/>
          <w:lang w:val="en-US" w:eastAsia="zh-CN"/>
        </w:rPr>
        <w:t>0</w:t>
      </w:r>
      <w:r>
        <w:rPr>
          <w:rFonts w:hint="eastAsia"/>
          <w:color w:val="auto"/>
          <w:highlight w:val="none"/>
          <w:lang w:val="en-US" w:eastAsia="zh-CN"/>
        </w:rPr>
        <w:t>/r</w:t>
      </w:r>
    </w:p>
    <w:p>
      <w:pPr>
        <w:bidi w:val="0"/>
        <w:rPr>
          <w:rFonts w:hint="default" w:eastAsia="宋体"/>
          <w:color w:val="auto"/>
          <w:highlight w:val="none"/>
          <w:lang w:val="en-US" w:eastAsia="zh-CN"/>
        </w:rPr>
      </w:pPr>
      <w:r>
        <w:rPr>
          <w:rFonts w:hint="eastAsia"/>
          <w:color w:val="auto"/>
          <w:highlight w:val="none"/>
          <w:lang w:val="en-US" w:eastAsia="zh-CN"/>
        </w:rPr>
        <w:t>③最大曲率值</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vertAlign w:val="subscript"/>
          <w:lang w:val="en-US" w:eastAsia="zh-CN"/>
        </w:rPr>
        <w:t>0</w:t>
      </w:r>
      <w:r>
        <w:rPr>
          <w:rFonts w:hint="default" w:ascii="Times New Roman" w:hAnsi="Times New Roman" w:cs="Times New Roman"/>
          <w:color w:val="auto"/>
          <w:highlight w:val="none"/>
          <w:lang w:val="en-US" w:eastAsia="zh-CN"/>
        </w:rPr>
        <w:t>=</w:t>
      </w:r>
      <w:r>
        <w:rPr>
          <w:rFonts w:hint="default" w:ascii="Times New Roman" w:hAnsi="Times New Roman" w:eastAsia="Helvetica" w:cs="Times New Roman"/>
          <w:i w:val="0"/>
          <w:iCs w:val="0"/>
          <w:caps w:val="0"/>
          <w:color w:val="auto"/>
          <w:spacing w:val="0"/>
          <w:sz w:val="21"/>
          <w:szCs w:val="21"/>
          <w:highlight w:val="none"/>
          <w:shd w:val="clear" w:fill="FFFFFF"/>
        </w:rPr>
        <w:t>∓</w:t>
      </w:r>
      <w:r>
        <w:rPr>
          <w:rFonts w:hint="default" w:ascii="Times New Roman" w:hAnsi="Times New Roman" w:cs="Times New Roman"/>
          <w:i w:val="0"/>
          <w:iCs w:val="0"/>
          <w:caps w:val="0"/>
          <w:color w:val="auto"/>
          <w:spacing w:val="0"/>
          <w:sz w:val="21"/>
          <w:szCs w:val="21"/>
          <w:highlight w:val="none"/>
          <w:shd w:val="clear" w:fill="FFFFFF"/>
          <w:lang w:val="en-US" w:eastAsia="zh-CN"/>
        </w:rPr>
        <w:t>1.52W</w:t>
      </w:r>
      <w:r>
        <w:rPr>
          <w:rFonts w:hint="default" w:ascii="Times New Roman" w:hAnsi="Times New Roman" w:cs="Times New Roman"/>
          <w:i w:val="0"/>
          <w:iCs w:val="0"/>
          <w:caps w:val="0"/>
          <w:color w:val="auto"/>
          <w:spacing w:val="0"/>
          <w:sz w:val="21"/>
          <w:szCs w:val="21"/>
          <w:highlight w:val="none"/>
          <w:shd w:val="clear" w:fill="FFFFFF"/>
          <w:vertAlign w:val="subscript"/>
          <w:lang w:val="en-US" w:eastAsia="zh-CN"/>
        </w:rPr>
        <w:t>o</w:t>
      </w:r>
      <w:r>
        <w:rPr>
          <w:rFonts w:hint="default" w:ascii="Times New Roman" w:hAnsi="Times New Roman" w:cs="Times New Roman"/>
          <w:i w:val="0"/>
          <w:iCs w:val="0"/>
          <w:caps w:val="0"/>
          <w:color w:val="auto"/>
          <w:spacing w:val="0"/>
          <w:sz w:val="21"/>
          <w:szCs w:val="21"/>
          <w:highlight w:val="none"/>
          <w:shd w:val="clear" w:fill="FFFFFF"/>
          <w:lang w:val="en-US" w:eastAsia="zh-CN"/>
        </w:rPr>
        <w:t>/r</w:t>
      </w:r>
      <w:r>
        <w:rPr>
          <w:rFonts w:hint="default" w:ascii="Times New Roman" w:hAnsi="Times New Roman" w:cs="Times New Roman"/>
          <w:i w:val="0"/>
          <w:iCs w:val="0"/>
          <w:caps w:val="0"/>
          <w:color w:val="auto"/>
          <w:spacing w:val="0"/>
          <w:sz w:val="21"/>
          <w:szCs w:val="21"/>
          <w:highlight w:val="none"/>
          <w:shd w:val="clear" w:fill="FFFFFF"/>
          <w:vertAlign w:val="superscript"/>
          <w:lang w:val="en-US" w:eastAsia="zh-CN"/>
        </w:rPr>
        <w:t>2</w:t>
      </w:r>
    </w:p>
    <w:p>
      <w:pPr>
        <w:bidi w:val="0"/>
        <w:rPr>
          <w:rFonts w:hint="default"/>
          <w:color w:val="auto"/>
          <w:highlight w:val="none"/>
          <w:lang w:val="en-US" w:eastAsia="zh-CN"/>
        </w:rPr>
      </w:pPr>
      <w:r>
        <w:rPr>
          <w:rFonts w:hint="eastAsia"/>
          <w:color w:val="auto"/>
          <w:highlight w:val="none"/>
          <w:lang w:val="en-US" w:eastAsia="zh-CN"/>
        </w:rPr>
        <w:t>④最大水平移动U</w:t>
      </w:r>
      <w:r>
        <w:rPr>
          <w:rFonts w:hint="eastAsia"/>
          <w:color w:val="auto"/>
          <w:highlight w:val="none"/>
          <w:vertAlign w:val="subscript"/>
          <w:lang w:val="en-US" w:eastAsia="zh-CN"/>
        </w:rPr>
        <w:t>0</w:t>
      </w:r>
      <w:r>
        <w:rPr>
          <w:rFonts w:hint="eastAsia"/>
          <w:color w:val="auto"/>
          <w:highlight w:val="none"/>
          <w:lang w:val="en-US" w:eastAsia="zh-CN"/>
        </w:rPr>
        <w:t>=bW</w:t>
      </w:r>
    </w:p>
    <w:p>
      <w:pPr>
        <w:bidi w:val="0"/>
        <w:rPr>
          <w:rFonts w:hint="default" w:eastAsia="宋体"/>
          <w:color w:val="auto"/>
          <w:highlight w:val="none"/>
          <w:lang w:val="en-US" w:eastAsia="zh-CN"/>
        </w:rPr>
      </w:pPr>
      <w:r>
        <w:rPr>
          <w:rFonts w:hint="eastAsia"/>
          <w:color w:val="auto"/>
          <w:highlight w:val="none"/>
          <w:lang w:val="en-US" w:eastAsia="zh-CN"/>
        </w:rPr>
        <w:t>⑤最大水平变形值</w:t>
      </w:r>
      <w:r>
        <w:rPr>
          <w:rFonts w:hint="default" w:ascii="Times New Roman" w:hAnsi="Times New Roman" w:cs="Times New Roman"/>
          <w:color w:val="auto"/>
          <w:highlight w:val="none"/>
          <w:lang w:val="en-US" w:eastAsia="zh-CN"/>
        </w:rPr>
        <w:t>ε</w:t>
      </w:r>
      <w:r>
        <w:rPr>
          <w:rFonts w:hint="eastAsia" w:cs="Times New Roman"/>
          <w:color w:val="auto"/>
          <w:highlight w:val="none"/>
          <w:vertAlign w:val="subscript"/>
          <w:lang w:val="en-US" w:eastAsia="zh-CN"/>
        </w:rPr>
        <w:t>0</w:t>
      </w:r>
      <w:r>
        <w:rPr>
          <w:rFonts w:hint="eastAsia" w:cs="Times New Roman"/>
          <w:color w:val="auto"/>
          <w:highlight w:val="none"/>
          <w:lang w:val="en-US" w:eastAsia="zh-CN"/>
        </w:rPr>
        <w:t>=</w:t>
      </w:r>
      <w:r>
        <w:rPr>
          <w:rFonts w:hint="default" w:ascii="Times New Roman" w:hAnsi="Times New Roman" w:eastAsia="Helvetica" w:cs="Times New Roman"/>
          <w:i w:val="0"/>
          <w:iCs w:val="0"/>
          <w:caps w:val="0"/>
          <w:color w:val="auto"/>
          <w:spacing w:val="0"/>
          <w:sz w:val="21"/>
          <w:szCs w:val="21"/>
          <w:highlight w:val="none"/>
          <w:shd w:val="clear" w:fill="FFFFFF"/>
        </w:rPr>
        <w:t>∓</w:t>
      </w:r>
      <w:r>
        <w:rPr>
          <w:rFonts w:hint="eastAsia" w:cs="Times New Roman"/>
          <w:i w:val="0"/>
          <w:iCs w:val="0"/>
          <w:caps w:val="0"/>
          <w:color w:val="auto"/>
          <w:spacing w:val="0"/>
          <w:sz w:val="21"/>
          <w:szCs w:val="21"/>
          <w:highlight w:val="none"/>
          <w:shd w:val="clear" w:fill="FFFFFF"/>
          <w:lang w:val="en-US" w:eastAsia="zh-CN"/>
        </w:rPr>
        <w:t>1.52bW</w:t>
      </w:r>
      <w:r>
        <w:rPr>
          <w:rFonts w:hint="eastAsia" w:cs="Times New Roman"/>
          <w:i w:val="0"/>
          <w:iCs w:val="0"/>
          <w:caps w:val="0"/>
          <w:color w:val="auto"/>
          <w:spacing w:val="0"/>
          <w:sz w:val="21"/>
          <w:szCs w:val="21"/>
          <w:highlight w:val="none"/>
          <w:shd w:val="clear" w:fill="FFFFFF"/>
          <w:vertAlign w:val="subscript"/>
          <w:lang w:val="en-US" w:eastAsia="zh-CN"/>
        </w:rPr>
        <w:t>0</w:t>
      </w:r>
      <w:r>
        <w:rPr>
          <w:rFonts w:hint="eastAsia" w:cs="Times New Roman"/>
          <w:i w:val="0"/>
          <w:iCs w:val="0"/>
          <w:caps w:val="0"/>
          <w:color w:val="auto"/>
          <w:spacing w:val="0"/>
          <w:sz w:val="21"/>
          <w:szCs w:val="21"/>
          <w:highlight w:val="none"/>
          <w:shd w:val="clear" w:fill="FFFFFF"/>
          <w:lang w:val="en-US" w:eastAsia="zh-CN"/>
        </w:rPr>
        <w:t>/r</w:t>
      </w:r>
    </w:p>
    <w:p>
      <w:pPr>
        <w:bidi w:val="0"/>
        <w:rPr>
          <w:rFonts w:hint="eastAsia"/>
          <w:color w:val="auto"/>
          <w:highlight w:val="none"/>
          <w:lang w:val="en-US" w:eastAsia="zh-CN"/>
        </w:rPr>
      </w:pPr>
      <w:r>
        <w:rPr>
          <w:rFonts w:hint="eastAsia"/>
          <w:color w:val="auto"/>
          <w:highlight w:val="none"/>
          <w:lang w:val="en-US" w:eastAsia="zh-CN"/>
        </w:rPr>
        <w:t>（3）动态预估</w:t>
      </w:r>
    </w:p>
    <w:p>
      <w:pPr>
        <w:bidi w:val="0"/>
        <w:rPr>
          <w:rFonts w:hint="eastAsia"/>
          <w:color w:val="auto"/>
          <w:highlight w:val="none"/>
          <w:lang w:val="en-US" w:eastAsia="zh-CN"/>
        </w:rPr>
      </w:pPr>
      <w:r>
        <w:rPr>
          <w:rFonts w:hint="eastAsia"/>
          <w:color w:val="auto"/>
          <w:highlight w:val="none"/>
          <w:lang w:val="en-US" w:eastAsia="zh-CN"/>
        </w:rPr>
        <w:t>动态模型必须考虑开采沉陷空间-时间的统--性。考虑开采在任意时刻引起地表的移动和变形情况，给出煤层开采引起地表沉陷的一些动态指标，评价时动态预计直接用开采沉陷软件进行计算。</w:t>
      </w:r>
    </w:p>
    <w:p>
      <w:pPr>
        <w:pStyle w:val="7"/>
        <w:numPr>
          <w:ilvl w:val="3"/>
          <w:numId w:val="9"/>
        </w:numPr>
        <w:bidi w:val="0"/>
        <w:rPr>
          <w:color w:val="auto"/>
          <w:highlight w:val="none"/>
        </w:rPr>
      </w:pPr>
      <w:r>
        <w:rPr>
          <w:rFonts w:hint="eastAsia"/>
          <w:color w:val="auto"/>
          <w:highlight w:val="none"/>
          <w:lang w:eastAsia="zh-CN"/>
        </w:rPr>
        <w:t>参数选取</w:t>
      </w:r>
    </w:p>
    <w:p>
      <w:pPr>
        <w:bidi w:val="0"/>
        <w:rPr>
          <w:rFonts w:hint="eastAsia"/>
          <w:color w:val="auto"/>
          <w:highlight w:val="none"/>
        </w:rPr>
      </w:pPr>
      <w:r>
        <w:rPr>
          <w:rFonts w:hint="eastAsia"/>
          <w:color w:val="auto"/>
          <w:highlight w:val="none"/>
        </w:rPr>
        <w:t>地表移动变形计算的主要输入参数有下沉系数q、主要影响角正切tan</w:t>
      </w:r>
      <w:r>
        <w:rPr>
          <w:rFonts w:hint="default" w:ascii="Times New Roman" w:hAnsi="Times New Roman" w:cs="Times New Roman"/>
          <w:color w:val="auto"/>
          <w:highlight w:val="none"/>
          <w:lang w:eastAsia="zh-CN"/>
        </w:rPr>
        <w:t>β</w:t>
      </w:r>
      <w:r>
        <w:rPr>
          <w:rFonts w:hint="eastAsia"/>
          <w:color w:val="auto"/>
          <w:highlight w:val="none"/>
        </w:rPr>
        <w:t>、水平移动系数b、拐点移动距S及影响传播角</w:t>
      </w:r>
      <w:r>
        <w:rPr>
          <w:rFonts w:hint="default" w:ascii="Times New Roman" w:hAnsi="Times New Roman" w:cs="Times New Roman"/>
          <w:color w:val="auto"/>
          <w:highlight w:val="none"/>
        </w:rPr>
        <w:t>θ</w:t>
      </w:r>
      <w:r>
        <w:rPr>
          <w:rFonts w:hint="eastAsia"/>
          <w:color w:val="auto"/>
          <w:highlight w:val="none"/>
        </w:rPr>
        <w:t>。这些参数的取值主要与煤层开采方法、顶板管理方法、上覆岩层性质、重复采动次数以及采深采厚比等因素有关。根据勘探报告可知，矿区内煤层顶板均以泥岩、粉砂岩为主，结合《建筑物、水体、铁路及主要井巷煤柱留设与压煤开采规程》，最终确定的沉陷预测参数见表</w:t>
      </w:r>
      <w:r>
        <w:rPr>
          <w:rFonts w:hint="eastAsia"/>
          <w:color w:val="auto"/>
          <w:highlight w:val="none"/>
          <w:lang w:val="en-US" w:eastAsia="zh-CN"/>
        </w:rPr>
        <w:t>5.1-1</w:t>
      </w:r>
      <w:r>
        <w:rPr>
          <w:rFonts w:hint="eastAsia"/>
          <w:color w:val="auto"/>
          <w:highlight w:val="none"/>
        </w:rPr>
        <w:t>。</w:t>
      </w:r>
    </w:p>
    <w:p>
      <w:pPr>
        <w:pStyle w:val="22"/>
        <w:bidi w:val="0"/>
        <w:rPr>
          <w:rFonts w:hint="eastAsia"/>
          <w:color w:val="auto"/>
          <w:highlight w:val="none"/>
          <w:lang w:val="en-US" w:eastAsia="zh-CN"/>
        </w:rPr>
      </w:pPr>
      <w:r>
        <w:rPr>
          <w:rFonts w:hint="eastAsia"/>
          <w:color w:val="auto"/>
          <w:highlight w:val="none"/>
          <w:lang w:val="en-US" w:eastAsia="zh-CN"/>
        </w:rPr>
        <w:t>表5.1-1   地表移动变形预估参数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027"/>
        <w:gridCol w:w="1252"/>
        <w:gridCol w:w="1392"/>
        <w:gridCol w:w="1822"/>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序号</w:t>
            </w:r>
          </w:p>
        </w:tc>
        <w:tc>
          <w:tcPr>
            <w:tcW w:w="2027"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参数</w:t>
            </w:r>
          </w:p>
        </w:tc>
        <w:tc>
          <w:tcPr>
            <w:tcW w:w="12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符合</w:t>
            </w:r>
          </w:p>
        </w:tc>
        <w:tc>
          <w:tcPr>
            <w:tcW w:w="139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单位</w:t>
            </w:r>
          </w:p>
        </w:tc>
        <w:tc>
          <w:tcPr>
            <w:tcW w:w="182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参数值</w:t>
            </w:r>
          </w:p>
        </w:tc>
        <w:tc>
          <w:tcPr>
            <w:tcW w:w="19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2027"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下沉系数</w:t>
            </w:r>
          </w:p>
        </w:tc>
        <w:tc>
          <w:tcPr>
            <w:tcW w:w="12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q</w:t>
            </w:r>
          </w:p>
        </w:tc>
        <w:tc>
          <w:tcPr>
            <w:tcW w:w="139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c>
          <w:tcPr>
            <w:tcW w:w="182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0.85</w:t>
            </w:r>
          </w:p>
        </w:tc>
        <w:tc>
          <w:tcPr>
            <w:tcW w:w="19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重复采动为0.92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2027"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主要影响正切</w:t>
            </w:r>
          </w:p>
        </w:tc>
        <w:tc>
          <w:tcPr>
            <w:tcW w:w="1252" w:type="dxa"/>
          </w:tcPr>
          <w:p>
            <w:pPr>
              <w:pStyle w:val="22"/>
              <w:bidi w:val="0"/>
              <w:rPr>
                <w:rFonts w:hint="default"/>
                <w:color w:val="auto"/>
                <w:highlight w:val="none"/>
                <w:vertAlign w:val="baseline"/>
                <w:lang w:val="en-US" w:eastAsia="zh-CN"/>
              </w:rPr>
            </w:pPr>
            <w:r>
              <w:rPr>
                <w:rFonts w:hint="eastAsia"/>
                <w:color w:val="auto"/>
                <w:highlight w:val="none"/>
              </w:rPr>
              <w:t>tan</w:t>
            </w:r>
            <w:r>
              <w:rPr>
                <w:rFonts w:hint="default" w:ascii="Times New Roman" w:hAnsi="Times New Roman" w:cs="Times New Roman"/>
                <w:color w:val="auto"/>
                <w:highlight w:val="none"/>
                <w:lang w:eastAsia="zh-CN"/>
              </w:rPr>
              <w:t>β</w:t>
            </w:r>
          </w:p>
        </w:tc>
        <w:tc>
          <w:tcPr>
            <w:tcW w:w="139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c>
          <w:tcPr>
            <w:tcW w:w="182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2.41</w:t>
            </w:r>
          </w:p>
        </w:tc>
        <w:tc>
          <w:tcPr>
            <w:tcW w:w="19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重复采动为2.94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2027"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水平移动系数</w:t>
            </w:r>
          </w:p>
        </w:tc>
        <w:tc>
          <w:tcPr>
            <w:tcW w:w="12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b</w:t>
            </w:r>
          </w:p>
        </w:tc>
        <w:tc>
          <w:tcPr>
            <w:tcW w:w="139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w:t>
            </w:r>
          </w:p>
        </w:tc>
        <w:tc>
          <w:tcPr>
            <w:tcW w:w="182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0.3</w:t>
            </w:r>
          </w:p>
        </w:tc>
        <w:tc>
          <w:tcPr>
            <w:tcW w:w="1952" w:type="dxa"/>
          </w:tcPr>
          <w:p>
            <w:pPr>
              <w:pStyle w:val="22"/>
              <w:bidi w:val="0"/>
              <w:rPr>
                <w:rFonts w:hint="default"/>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2027"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拐点偏移距</w:t>
            </w:r>
          </w:p>
        </w:tc>
        <w:tc>
          <w:tcPr>
            <w:tcW w:w="12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s</w:t>
            </w:r>
          </w:p>
        </w:tc>
        <w:tc>
          <w:tcPr>
            <w:tcW w:w="139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m</w:t>
            </w:r>
          </w:p>
        </w:tc>
        <w:tc>
          <w:tcPr>
            <w:tcW w:w="182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0.15H</w:t>
            </w:r>
          </w:p>
        </w:tc>
        <w:tc>
          <w:tcPr>
            <w:tcW w:w="1952" w:type="dxa"/>
          </w:tcPr>
          <w:p>
            <w:pPr>
              <w:pStyle w:val="22"/>
              <w:bidi w:val="0"/>
              <w:rPr>
                <w:rFonts w:hint="default"/>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2027"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影响传播角</w:t>
            </w:r>
          </w:p>
        </w:tc>
        <w:tc>
          <w:tcPr>
            <w:tcW w:w="1252" w:type="dxa"/>
          </w:tcPr>
          <w:p>
            <w:pPr>
              <w:pStyle w:val="22"/>
              <w:bidi w:val="0"/>
              <w:rPr>
                <w:rFonts w:hint="default"/>
                <w:color w:val="auto"/>
                <w:highlight w:val="none"/>
                <w:vertAlign w:val="baseline"/>
                <w:lang w:val="en-US" w:eastAsia="zh-CN"/>
              </w:rPr>
            </w:pPr>
            <w:r>
              <w:rPr>
                <w:rFonts w:hint="default" w:ascii="Times New Roman" w:hAnsi="Times New Roman" w:cs="Times New Roman"/>
                <w:color w:val="auto"/>
                <w:highlight w:val="none"/>
              </w:rPr>
              <w:t>θ</w:t>
            </w:r>
          </w:p>
        </w:tc>
        <w:tc>
          <w:tcPr>
            <w:tcW w:w="139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deg</w:t>
            </w:r>
          </w:p>
        </w:tc>
        <w:tc>
          <w:tcPr>
            <w:tcW w:w="182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90-0.68a</w:t>
            </w:r>
          </w:p>
        </w:tc>
        <w:tc>
          <w:tcPr>
            <w:tcW w:w="1952"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a为煤层倾角</w:t>
            </w:r>
          </w:p>
        </w:tc>
      </w:tr>
    </w:tbl>
    <w:p>
      <w:pPr>
        <w:pStyle w:val="22"/>
        <w:bidi w:val="0"/>
        <w:rPr>
          <w:rFonts w:hint="default"/>
          <w:color w:val="auto"/>
          <w:highlight w:val="none"/>
          <w:lang w:val="en-US" w:eastAsia="zh-CN"/>
        </w:rPr>
      </w:pPr>
    </w:p>
    <w:p>
      <w:pPr>
        <w:bidi w:val="0"/>
        <w:rPr>
          <w:rFonts w:hint="eastAsia"/>
          <w:color w:val="auto"/>
          <w:highlight w:val="none"/>
          <w:lang w:val="en-US" w:eastAsia="zh-CN"/>
        </w:rPr>
      </w:pPr>
    </w:p>
    <w:p>
      <w:pPr>
        <w:pStyle w:val="7"/>
        <w:numPr>
          <w:ilvl w:val="3"/>
          <w:numId w:val="9"/>
        </w:numPr>
        <w:bidi w:val="0"/>
        <w:rPr>
          <w:color w:val="auto"/>
          <w:highlight w:val="none"/>
        </w:rPr>
      </w:pPr>
      <w:r>
        <w:rPr>
          <w:rFonts w:hint="eastAsia"/>
          <w:color w:val="auto"/>
          <w:highlight w:val="none"/>
          <w:lang w:eastAsia="zh-CN"/>
        </w:rPr>
        <w:t>地表变形预测结果</w:t>
      </w:r>
    </w:p>
    <w:p>
      <w:pPr>
        <w:bidi w:val="0"/>
        <w:rPr>
          <w:rFonts w:hint="eastAsia"/>
          <w:color w:val="auto"/>
          <w:highlight w:val="none"/>
          <w:lang w:val="en-US" w:eastAsia="zh-CN"/>
        </w:rPr>
      </w:pPr>
      <w:r>
        <w:rPr>
          <w:rFonts w:hint="eastAsia"/>
          <w:color w:val="auto"/>
          <w:highlight w:val="none"/>
          <w:lang w:val="en-US" w:eastAsia="zh-CN"/>
        </w:rPr>
        <w:t>（1）典型矿井沉陷预测</w:t>
      </w:r>
    </w:p>
    <w:p>
      <w:pPr>
        <w:bidi w:val="0"/>
        <w:rPr>
          <w:rFonts w:hint="eastAsia"/>
          <w:color w:val="auto"/>
          <w:highlight w:val="none"/>
          <w:lang w:val="en-US" w:eastAsia="zh-CN"/>
        </w:rPr>
      </w:pPr>
      <w:r>
        <w:rPr>
          <w:rFonts w:hint="eastAsia"/>
          <w:color w:val="auto"/>
          <w:highlight w:val="none"/>
          <w:lang w:val="en-US" w:eastAsia="zh-CN"/>
        </w:rPr>
        <w:t>①根据以上参数，结合黑滩煤矿矿井的开拓布置情况，地表移动变化预测情况见下表。</w:t>
      </w:r>
    </w:p>
    <w:p>
      <w:pPr>
        <w:pStyle w:val="22"/>
        <w:bidi w:val="0"/>
        <w:rPr>
          <w:rFonts w:hint="eastAsia"/>
          <w:color w:val="auto"/>
          <w:highlight w:val="none"/>
          <w:lang w:val="en-US" w:eastAsia="zh-CN"/>
        </w:rPr>
      </w:pPr>
      <w:r>
        <w:rPr>
          <w:rFonts w:hint="eastAsia"/>
          <w:color w:val="auto"/>
          <w:highlight w:val="none"/>
          <w:lang w:val="en-US" w:eastAsia="zh-CN"/>
        </w:rPr>
        <w:t>表5.1-2   各煤层开采后地表变形最大值表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75"/>
        <w:gridCol w:w="1375"/>
        <w:gridCol w:w="1375"/>
        <w:gridCol w:w="1375"/>
        <w:gridCol w:w="137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煤层</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下沉（mm）</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倾斜（mm/m）</w:t>
            </w:r>
          </w:p>
        </w:tc>
        <w:tc>
          <w:tcPr>
            <w:tcW w:w="1375" w:type="dxa"/>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曲率</w:t>
            </w:r>
          </w:p>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w:t>
            </w:r>
            <w:r>
              <w:rPr>
                <w:rFonts w:hint="eastAsia"/>
                <w:color w:val="auto"/>
                <w:highlight w:val="none"/>
                <w:vertAlign w:val="superscript"/>
                <w:lang w:val="en-US" w:eastAsia="zh-CN"/>
              </w:rPr>
              <w:t>-3</w:t>
            </w:r>
            <w:r>
              <w:rPr>
                <w:rFonts w:hint="eastAsia"/>
                <w:color w:val="auto"/>
                <w:highlight w:val="none"/>
                <w:vertAlign w:val="baseline"/>
                <w:lang w:val="en-US" w:eastAsia="zh-CN"/>
              </w:rPr>
              <w:t>/m）</w:t>
            </w:r>
          </w:p>
        </w:tc>
        <w:tc>
          <w:tcPr>
            <w:tcW w:w="1375" w:type="dxa"/>
          </w:tcPr>
          <w:p>
            <w:pPr>
              <w:pStyle w:val="22"/>
              <w:bidi w:val="0"/>
              <w:rPr>
                <w:rFonts w:hint="default"/>
                <w:color w:val="auto"/>
                <w:highlight w:val="none"/>
                <w:lang w:val="en-US" w:eastAsia="zh-CN"/>
              </w:rPr>
            </w:pPr>
            <w:r>
              <w:rPr>
                <w:rFonts w:hint="eastAsia"/>
                <w:color w:val="auto"/>
                <w:highlight w:val="none"/>
                <w:lang w:val="en-US" w:eastAsia="zh-CN"/>
              </w:rPr>
              <w:t>水平移动</w:t>
            </w:r>
            <w:r>
              <w:rPr>
                <w:rFonts w:hint="eastAsia"/>
                <w:color w:val="auto"/>
                <w:highlight w:val="none"/>
                <w:vertAlign w:val="baseline"/>
                <w:lang w:val="en-US" w:eastAsia="zh-CN"/>
              </w:rPr>
              <w:t>（mm）</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水平变形（mm/m）</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影响半径（m）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正连</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397.36</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7.55</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0.07</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54.80</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3.21</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内正连</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314.77</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8.41</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0.05</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61.16</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3.80</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三夹连</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282.55</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8.59</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0.06</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63.95</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5.24</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24.04</w:t>
            </w:r>
          </w:p>
        </w:tc>
      </w:tr>
    </w:tbl>
    <w:p>
      <w:pPr>
        <w:pStyle w:val="22"/>
        <w:bidi w:val="0"/>
        <w:rPr>
          <w:rFonts w:hint="default"/>
          <w:color w:val="auto"/>
          <w:highlight w:val="none"/>
          <w:lang w:val="en-US" w:eastAsia="zh-CN"/>
        </w:rPr>
      </w:pPr>
    </w:p>
    <w:p>
      <w:pPr>
        <w:bidi w:val="0"/>
        <w:rPr>
          <w:rFonts w:hint="default"/>
          <w:color w:val="auto"/>
          <w:highlight w:val="none"/>
          <w:lang w:val="en-US" w:eastAsia="zh-CN"/>
        </w:rPr>
      </w:pPr>
      <w:r>
        <w:rPr>
          <w:rFonts w:hint="eastAsia"/>
          <w:color w:val="auto"/>
          <w:highlight w:val="none"/>
          <w:lang w:val="en-US" w:eastAsia="zh-CN"/>
        </w:rPr>
        <w:t>黑滩煤矿共有3个可采煤层，所有煤层开采后地表最大下沉值为994.68mm，最大倾斜值为24.55mm/m，最大曲率值为0.18×10</w:t>
      </w:r>
      <w:r>
        <w:rPr>
          <w:rFonts w:hint="eastAsia"/>
          <w:color w:val="auto"/>
          <w:highlight w:val="none"/>
          <w:vertAlign w:val="superscript"/>
          <w:lang w:val="en-US" w:eastAsia="zh-CN"/>
        </w:rPr>
        <w:t>-3</w:t>
      </w:r>
      <w:r>
        <w:rPr>
          <w:rFonts w:hint="eastAsia"/>
          <w:color w:val="auto"/>
          <w:highlight w:val="none"/>
          <w:lang w:val="en-US" w:eastAsia="zh-CN"/>
        </w:rPr>
        <w:t>/m，最大水平移动为179.91mm，最大水平变形值为12.25mm/m，最大影响半径为25.76m，开采结束后地表沉陷面积为2.84km</w:t>
      </w:r>
      <w:r>
        <w:rPr>
          <w:rFonts w:hint="eastAsia"/>
          <w:color w:val="auto"/>
          <w:highlight w:val="none"/>
          <w:vertAlign w:val="superscript"/>
          <w:lang w:val="en-US" w:eastAsia="zh-CN"/>
        </w:rPr>
        <w:t>2</w:t>
      </w:r>
      <w:r>
        <w:rPr>
          <w:rFonts w:hint="eastAsia"/>
          <w:color w:val="auto"/>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②根据以上参数，结合华家沟煤矿矿井的开拓布置情况，地表移动变化预测情况见下表。</w:t>
      </w:r>
    </w:p>
    <w:p>
      <w:pPr>
        <w:pStyle w:val="22"/>
        <w:bidi w:val="0"/>
        <w:rPr>
          <w:rFonts w:hint="eastAsia"/>
          <w:color w:val="auto"/>
          <w:highlight w:val="none"/>
          <w:lang w:val="en-US" w:eastAsia="zh-CN"/>
        </w:rPr>
      </w:pPr>
      <w:r>
        <w:rPr>
          <w:rFonts w:hint="eastAsia"/>
          <w:color w:val="auto"/>
          <w:highlight w:val="none"/>
          <w:lang w:val="en-US" w:eastAsia="zh-CN"/>
        </w:rPr>
        <w:t>表5.1-3   各煤层开采后地表变形最大值表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75"/>
        <w:gridCol w:w="1375"/>
        <w:gridCol w:w="1375"/>
        <w:gridCol w:w="1375"/>
        <w:gridCol w:w="137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煤层</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下沉（mm）</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倾斜（mm/m）</w:t>
            </w:r>
          </w:p>
        </w:tc>
        <w:tc>
          <w:tcPr>
            <w:tcW w:w="1375" w:type="dxa"/>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曲率</w:t>
            </w:r>
          </w:p>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w:t>
            </w:r>
            <w:r>
              <w:rPr>
                <w:rFonts w:hint="eastAsia"/>
                <w:color w:val="auto"/>
                <w:highlight w:val="none"/>
                <w:vertAlign w:val="superscript"/>
                <w:lang w:val="en-US" w:eastAsia="zh-CN"/>
              </w:rPr>
              <w:t>-3</w:t>
            </w:r>
            <w:r>
              <w:rPr>
                <w:rFonts w:hint="eastAsia"/>
                <w:color w:val="auto"/>
                <w:highlight w:val="none"/>
                <w:vertAlign w:val="baseline"/>
                <w:lang w:val="en-US" w:eastAsia="zh-CN"/>
              </w:rPr>
              <w:t>/m）</w:t>
            </w:r>
          </w:p>
        </w:tc>
        <w:tc>
          <w:tcPr>
            <w:tcW w:w="1375" w:type="dxa"/>
          </w:tcPr>
          <w:p>
            <w:pPr>
              <w:pStyle w:val="22"/>
              <w:bidi w:val="0"/>
              <w:rPr>
                <w:rFonts w:hint="default"/>
                <w:color w:val="auto"/>
                <w:highlight w:val="none"/>
                <w:lang w:val="en-US" w:eastAsia="zh-CN"/>
              </w:rPr>
            </w:pPr>
            <w:r>
              <w:rPr>
                <w:rFonts w:hint="eastAsia"/>
                <w:color w:val="auto"/>
                <w:highlight w:val="none"/>
                <w:lang w:val="en-US" w:eastAsia="zh-CN"/>
              </w:rPr>
              <w:t>水平移动</w:t>
            </w:r>
            <w:r>
              <w:rPr>
                <w:rFonts w:hint="eastAsia"/>
                <w:color w:val="auto"/>
                <w:highlight w:val="none"/>
                <w:vertAlign w:val="baseline"/>
                <w:lang w:val="en-US" w:eastAsia="zh-CN"/>
              </w:rPr>
              <w:t>（mm）</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水平变形（mm/m）</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影响半径（m）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K</w:t>
            </w:r>
            <w:r>
              <w:rPr>
                <w:rFonts w:hint="eastAsia"/>
                <w:color w:val="auto"/>
                <w:highlight w:val="none"/>
                <w:vertAlign w:val="subscript"/>
                <w:lang w:val="en-US" w:eastAsia="zh-CN"/>
              </w:rPr>
              <w:t>7</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554.84</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6.52</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0.02</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106.20</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2.77</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K</w:t>
            </w:r>
            <w:r>
              <w:rPr>
                <w:rFonts w:hint="eastAsia"/>
                <w:color w:val="auto"/>
                <w:highlight w:val="none"/>
                <w:vertAlign w:val="subscript"/>
                <w:lang w:val="en-US" w:eastAsia="zh-CN"/>
              </w:rPr>
              <w:t>9</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414.44</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5.14</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0.03</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91.46</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2.68</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K</w:t>
            </w:r>
            <w:r>
              <w:rPr>
                <w:rFonts w:hint="eastAsia"/>
                <w:color w:val="auto"/>
                <w:highlight w:val="none"/>
                <w:vertAlign w:val="subscript"/>
                <w:lang w:val="en-US" w:eastAsia="zh-CN"/>
              </w:rPr>
              <w:t>10</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475.57</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3.48</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0.03</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117.79</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3.10</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61.71</w:t>
            </w:r>
          </w:p>
        </w:tc>
      </w:tr>
    </w:tbl>
    <w:p>
      <w:pPr>
        <w:pStyle w:val="22"/>
        <w:bidi w:val="0"/>
        <w:rPr>
          <w:rFonts w:hint="default"/>
          <w:color w:val="auto"/>
          <w:highlight w:val="none"/>
          <w:lang w:val="en-US" w:eastAsia="zh-CN"/>
        </w:rPr>
      </w:pPr>
    </w:p>
    <w:p>
      <w:pPr>
        <w:bidi w:val="0"/>
        <w:rPr>
          <w:rFonts w:hint="eastAsia"/>
          <w:color w:val="auto"/>
          <w:highlight w:val="none"/>
          <w:lang w:val="en-US" w:eastAsia="zh-CN"/>
        </w:rPr>
      </w:pPr>
      <w:r>
        <w:rPr>
          <w:rFonts w:hint="eastAsia"/>
          <w:color w:val="auto"/>
          <w:highlight w:val="none"/>
          <w:lang w:val="en-US" w:eastAsia="zh-CN"/>
        </w:rPr>
        <w:t>华家沟煤矿共有3个可采煤层，所有煤层开采后地表最大下沉值为1444.85mm，最大倾斜值为15.14mm/m，最大曲率值为0.08×10</w:t>
      </w:r>
      <w:r>
        <w:rPr>
          <w:rFonts w:hint="eastAsia"/>
          <w:color w:val="auto"/>
          <w:highlight w:val="none"/>
          <w:vertAlign w:val="superscript"/>
          <w:lang w:val="en-US" w:eastAsia="zh-CN"/>
        </w:rPr>
        <w:t>-3</w:t>
      </w:r>
      <w:r>
        <w:rPr>
          <w:rFonts w:hint="eastAsia"/>
          <w:color w:val="auto"/>
          <w:highlight w:val="none"/>
          <w:lang w:val="en-US" w:eastAsia="zh-CN"/>
        </w:rPr>
        <w:t>/m，最大水平移动为315.45mm，最大水平变形值为8.55mm/m，最大影响半径为61.71m，开采结束后地表沉陷面积为1.48km</w:t>
      </w:r>
      <w:r>
        <w:rPr>
          <w:rFonts w:hint="eastAsia"/>
          <w:color w:val="auto"/>
          <w:highlight w:val="none"/>
          <w:vertAlign w:val="superscript"/>
          <w:lang w:val="en-US" w:eastAsia="zh-CN"/>
        </w:rPr>
        <w:t>2</w:t>
      </w:r>
      <w:r>
        <w:rPr>
          <w:rFonts w:hint="eastAsia"/>
          <w:color w:val="auto"/>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③根据以上参数，结合观音煤矿矿井的开拓布置情况，地表移动变化预测情况见下表。</w:t>
      </w:r>
    </w:p>
    <w:p>
      <w:pPr>
        <w:pStyle w:val="22"/>
        <w:bidi w:val="0"/>
        <w:rPr>
          <w:rFonts w:hint="eastAsia"/>
          <w:color w:val="auto"/>
          <w:highlight w:val="none"/>
          <w:lang w:val="en-US" w:eastAsia="zh-CN"/>
        </w:rPr>
      </w:pPr>
      <w:r>
        <w:rPr>
          <w:rFonts w:hint="eastAsia"/>
          <w:color w:val="auto"/>
          <w:highlight w:val="none"/>
          <w:lang w:val="en-US" w:eastAsia="zh-CN"/>
        </w:rPr>
        <w:t>表5.1-4   各煤层开采后地表变形最大值表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75"/>
        <w:gridCol w:w="1375"/>
        <w:gridCol w:w="1375"/>
        <w:gridCol w:w="1375"/>
        <w:gridCol w:w="137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煤层</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下沉（mm）</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倾斜（mm/m）</w:t>
            </w:r>
          </w:p>
        </w:tc>
        <w:tc>
          <w:tcPr>
            <w:tcW w:w="1375" w:type="dxa"/>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曲率</w:t>
            </w:r>
          </w:p>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w:t>
            </w:r>
            <w:r>
              <w:rPr>
                <w:rFonts w:hint="eastAsia"/>
                <w:color w:val="auto"/>
                <w:highlight w:val="none"/>
                <w:vertAlign w:val="superscript"/>
                <w:lang w:val="en-US" w:eastAsia="zh-CN"/>
              </w:rPr>
              <w:t>-3</w:t>
            </w:r>
            <w:r>
              <w:rPr>
                <w:rFonts w:hint="eastAsia"/>
                <w:color w:val="auto"/>
                <w:highlight w:val="none"/>
                <w:vertAlign w:val="baseline"/>
                <w:lang w:val="en-US" w:eastAsia="zh-CN"/>
              </w:rPr>
              <w:t>/m）</w:t>
            </w:r>
          </w:p>
        </w:tc>
        <w:tc>
          <w:tcPr>
            <w:tcW w:w="1375" w:type="dxa"/>
          </w:tcPr>
          <w:p>
            <w:pPr>
              <w:pStyle w:val="22"/>
              <w:bidi w:val="0"/>
              <w:rPr>
                <w:rFonts w:hint="default"/>
                <w:color w:val="auto"/>
                <w:highlight w:val="none"/>
                <w:lang w:val="en-US" w:eastAsia="zh-CN"/>
              </w:rPr>
            </w:pPr>
            <w:r>
              <w:rPr>
                <w:rFonts w:hint="eastAsia"/>
                <w:color w:val="auto"/>
                <w:highlight w:val="none"/>
                <w:lang w:val="en-US" w:eastAsia="zh-CN"/>
              </w:rPr>
              <w:t>水平移动</w:t>
            </w:r>
            <w:r>
              <w:rPr>
                <w:rFonts w:hint="eastAsia"/>
                <w:color w:val="auto"/>
                <w:highlight w:val="none"/>
                <w:vertAlign w:val="baseline"/>
                <w:lang w:val="en-US" w:eastAsia="zh-CN"/>
              </w:rPr>
              <w:t>（mm）</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水平变形（mm/m）</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影响半径（m）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K</w:t>
            </w:r>
            <w:r>
              <w:rPr>
                <w:rFonts w:hint="eastAsia"/>
                <w:color w:val="auto"/>
                <w:highlight w:val="none"/>
                <w:vertAlign w:val="subscript"/>
                <w:lang w:val="en-US" w:eastAsia="zh-CN"/>
              </w:rPr>
              <w:t>3</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336.57</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4.87</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0.05</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85.69</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2.16</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K</w:t>
            </w:r>
            <w:r>
              <w:rPr>
                <w:rFonts w:hint="eastAsia"/>
                <w:color w:val="auto"/>
                <w:highlight w:val="none"/>
                <w:vertAlign w:val="subscript"/>
                <w:lang w:val="en-US" w:eastAsia="zh-CN"/>
              </w:rPr>
              <w:t>4</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364.33</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6.22</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0.04</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79.59</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3.58</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K</w:t>
            </w:r>
            <w:r>
              <w:rPr>
                <w:rFonts w:hint="eastAsia"/>
                <w:color w:val="auto"/>
                <w:highlight w:val="none"/>
                <w:vertAlign w:val="subscript"/>
                <w:lang w:val="en-US" w:eastAsia="zh-CN"/>
              </w:rPr>
              <w:t>5</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272.16</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5.19</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0.04</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102.38</w:t>
            </w:r>
          </w:p>
        </w:tc>
        <w:tc>
          <w:tcPr>
            <w:tcW w:w="137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1.74</w:t>
            </w:r>
          </w:p>
        </w:tc>
        <w:tc>
          <w:tcPr>
            <w:tcW w:w="137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K</w:t>
            </w:r>
            <w:r>
              <w:rPr>
                <w:rFonts w:hint="eastAsia"/>
                <w:color w:val="auto"/>
                <w:highlight w:val="none"/>
                <w:vertAlign w:val="subscript"/>
                <w:lang w:val="en-US" w:eastAsia="zh-CN"/>
              </w:rPr>
              <w:t>7</w:t>
            </w:r>
          </w:p>
        </w:tc>
        <w:tc>
          <w:tcPr>
            <w:tcW w:w="137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275.55</w:t>
            </w:r>
          </w:p>
        </w:tc>
        <w:tc>
          <w:tcPr>
            <w:tcW w:w="137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4.90</w:t>
            </w:r>
          </w:p>
        </w:tc>
        <w:tc>
          <w:tcPr>
            <w:tcW w:w="137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olor w:val="auto"/>
                <w:highlight w:val="none"/>
                <w:vertAlign w:val="baseline"/>
                <w:lang w:val="en-US" w:eastAsia="zh-CN"/>
              </w:rPr>
              <w:t>0.03</w:t>
            </w:r>
          </w:p>
        </w:tc>
        <w:tc>
          <w:tcPr>
            <w:tcW w:w="137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80.78</w:t>
            </w:r>
          </w:p>
        </w:tc>
        <w:tc>
          <w:tcPr>
            <w:tcW w:w="1375"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2.79</w:t>
            </w:r>
          </w:p>
        </w:tc>
        <w:tc>
          <w:tcPr>
            <w:tcW w:w="1376" w:type="dxa"/>
            <w:vAlign w:val="top"/>
          </w:tcPr>
          <w:p>
            <w:pPr>
              <w:pStyle w:val="22"/>
              <w:bidi w:val="0"/>
              <w:ind w:left="0" w:leftChars="0" w:right="0" w:rightChars="0" w:firstLine="0" w:firstLineChars="0"/>
              <w:rPr>
                <w:rFonts w:hint="default" w:ascii="Times New Roman" w:hAnsi="Times New Roman" w:eastAsia="宋体" w:cs="宋体"/>
                <w:color w:val="auto"/>
                <w:sz w:val="21"/>
                <w:szCs w:val="21"/>
                <w:highlight w:val="none"/>
                <w:vertAlign w:val="baseline"/>
                <w:lang w:val="en-US" w:eastAsia="zh-CN" w:bidi="ar-SA"/>
              </w:rPr>
            </w:pPr>
            <w:r>
              <w:rPr>
                <w:rFonts w:hint="eastAsia" w:cs="宋体"/>
                <w:color w:val="auto"/>
                <w:sz w:val="21"/>
                <w:szCs w:val="21"/>
                <w:highlight w:val="none"/>
                <w:vertAlign w:val="baseline"/>
                <w:lang w:val="en-US" w:eastAsia="zh-CN" w:bidi="ar-SA"/>
              </w:rPr>
              <w:t>29.97</w:t>
            </w:r>
          </w:p>
        </w:tc>
      </w:tr>
    </w:tbl>
    <w:p>
      <w:pPr>
        <w:pStyle w:val="22"/>
        <w:bidi w:val="0"/>
        <w:rPr>
          <w:rFonts w:hint="default"/>
          <w:color w:val="auto"/>
          <w:highlight w:val="none"/>
          <w:lang w:val="en-US" w:eastAsia="zh-CN"/>
        </w:rPr>
      </w:pPr>
    </w:p>
    <w:p>
      <w:pPr>
        <w:bidi w:val="0"/>
        <w:rPr>
          <w:rFonts w:hint="eastAsia"/>
          <w:color w:val="auto"/>
          <w:highlight w:val="none"/>
          <w:lang w:val="en-US" w:eastAsia="zh-CN"/>
        </w:rPr>
      </w:pPr>
      <w:r>
        <w:rPr>
          <w:rFonts w:hint="eastAsia"/>
          <w:color w:val="auto"/>
          <w:highlight w:val="none"/>
          <w:lang w:val="en-US" w:eastAsia="zh-CN"/>
        </w:rPr>
        <w:t>观音煤矿共有4个可采煤层，所有煤层开采后地表最大下沉值为1248.61mm，最大倾斜值为21.18mm/m，最大曲率值为0.16×10</w:t>
      </w:r>
      <w:r>
        <w:rPr>
          <w:rFonts w:hint="eastAsia"/>
          <w:color w:val="auto"/>
          <w:highlight w:val="none"/>
          <w:vertAlign w:val="superscript"/>
          <w:lang w:val="en-US" w:eastAsia="zh-CN"/>
        </w:rPr>
        <w:t>-3</w:t>
      </w:r>
      <w:r>
        <w:rPr>
          <w:rFonts w:hint="eastAsia"/>
          <w:color w:val="auto"/>
          <w:highlight w:val="none"/>
          <w:lang w:val="en-US" w:eastAsia="zh-CN"/>
        </w:rPr>
        <w:t>/m，最大水平移动为348.44mm，最大水平变形值为10.27mm/m，最大影响半径为44.48m，开采结束后地表沉陷面积为4.76km</w:t>
      </w:r>
      <w:r>
        <w:rPr>
          <w:rFonts w:hint="eastAsia"/>
          <w:color w:val="auto"/>
          <w:highlight w:val="none"/>
          <w:vertAlign w:val="superscript"/>
          <w:lang w:val="en-US" w:eastAsia="zh-CN"/>
        </w:rPr>
        <w:t>2</w:t>
      </w:r>
      <w:r>
        <w:rPr>
          <w:rFonts w:hint="eastAsia"/>
          <w:color w:val="auto"/>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（2）规划矿井沉陷预测</w:t>
      </w:r>
    </w:p>
    <w:p>
      <w:pPr>
        <w:bidi w:val="0"/>
        <w:rPr>
          <w:rFonts w:hint="default"/>
          <w:color w:val="auto"/>
          <w:highlight w:val="none"/>
          <w:lang w:val="en-US" w:eastAsia="zh-CN"/>
        </w:rPr>
      </w:pPr>
      <w:r>
        <w:rPr>
          <w:rFonts w:hint="eastAsia"/>
          <w:color w:val="auto"/>
          <w:highlight w:val="none"/>
          <w:lang w:val="en-US" w:eastAsia="zh-CN"/>
        </w:rPr>
        <w:t>规划区共14个矿井，经过与典型矿井类比分析后，14个矿井的地表下沉最大值情况见下表。</w:t>
      </w:r>
    </w:p>
    <w:p>
      <w:pPr>
        <w:pStyle w:val="22"/>
        <w:bidi w:val="0"/>
        <w:rPr>
          <w:rFonts w:hint="eastAsia"/>
          <w:color w:val="auto"/>
          <w:highlight w:val="none"/>
          <w:lang w:val="en-US" w:eastAsia="zh-CN"/>
        </w:rPr>
      </w:pPr>
      <w:r>
        <w:rPr>
          <w:rFonts w:hint="eastAsia"/>
          <w:color w:val="auto"/>
          <w:highlight w:val="none"/>
          <w:lang w:val="en-US" w:eastAsia="zh-CN"/>
        </w:rPr>
        <w:t>表5.1-5   规划区各矿井的地表下沉最大值表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140"/>
        <w:gridCol w:w="1925"/>
        <w:gridCol w:w="1925"/>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序号</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矿井名称</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可采煤层数</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可采煤层总厚度（m）</w:t>
            </w:r>
          </w:p>
        </w:tc>
        <w:tc>
          <w:tcPr>
            <w:tcW w:w="1926" w:type="dxa"/>
          </w:tcPr>
          <w:p>
            <w:pPr>
              <w:pStyle w:val="22"/>
              <w:bidi w:val="0"/>
              <w:rPr>
                <w:rFonts w:hint="eastAsia"/>
                <w:color w:val="auto"/>
                <w:highlight w:val="none"/>
                <w:vertAlign w:val="baseline"/>
                <w:lang w:val="en-US" w:eastAsia="zh-CN"/>
              </w:rPr>
            </w:pPr>
            <w:r>
              <w:rPr>
                <w:rFonts w:hint="eastAsia"/>
                <w:color w:val="auto"/>
                <w:highlight w:val="none"/>
                <w:vertAlign w:val="baseline"/>
                <w:lang w:val="en-US" w:eastAsia="zh-CN"/>
              </w:rPr>
              <w:t>下沉最大值</w:t>
            </w:r>
          </w:p>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柏林煤矿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4.76</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田坝煤矿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1.01</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黑滩煤矿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1.08</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大硐坪煤矿/大河沟煤矿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2.17</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新桥红星煤矿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1.29</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6</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堡子煤矿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3.35</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7</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荣华煤矿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1.21</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8</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华家沟煤矿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1.57</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9</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孔家沟煤矿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1.44</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刘家沟联合煤矿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3.49</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11</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牛郎沟煤矿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2.46</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12</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平桥煤矿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2.93</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13</w:t>
            </w:r>
          </w:p>
        </w:tc>
        <w:tc>
          <w:tcPr>
            <w:tcW w:w="3140"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观音煤矿</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925"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1.36</w:t>
            </w:r>
          </w:p>
        </w:tc>
        <w:tc>
          <w:tcPr>
            <w:tcW w:w="1926" w:type="dxa"/>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1.25</w:t>
            </w:r>
          </w:p>
        </w:tc>
      </w:tr>
    </w:tbl>
    <w:p>
      <w:pPr>
        <w:pStyle w:val="22"/>
        <w:bidi w:val="0"/>
        <w:rPr>
          <w:rFonts w:hint="default"/>
          <w:color w:val="auto"/>
          <w:highlight w:val="none"/>
          <w:lang w:val="en-US" w:eastAsia="zh-CN"/>
        </w:rPr>
      </w:pPr>
    </w:p>
    <w:p>
      <w:pPr>
        <w:bidi w:val="0"/>
        <w:rPr>
          <w:rFonts w:hint="default"/>
          <w:color w:val="auto"/>
          <w:highlight w:val="none"/>
          <w:lang w:val="en-US" w:eastAsia="zh-CN"/>
        </w:rPr>
      </w:pPr>
      <w:r>
        <w:rPr>
          <w:rFonts w:hint="eastAsia"/>
          <w:color w:val="auto"/>
          <w:highlight w:val="none"/>
          <w:lang w:val="en-US" w:eastAsia="zh-CN"/>
        </w:rPr>
        <w:t>根据地表沉陷预测结果，矿区开采后沉陷面积约152.61km</w:t>
      </w:r>
      <w:r>
        <w:rPr>
          <w:rFonts w:hint="eastAsia"/>
          <w:color w:val="auto"/>
          <w:highlight w:val="none"/>
          <w:vertAlign w:val="superscript"/>
          <w:lang w:val="en-US" w:eastAsia="zh-CN"/>
        </w:rPr>
        <w:t>2</w:t>
      </w:r>
      <w:r>
        <w:rPr>
          <w:rFonts w:hint="eastAsia"/>
          <w:color w:val="auto"/>
          <w:highlight w:val="none"/>
          <w:lang w:val="en-US" w:eastAsia="zh-CN"/>
        </w:rPr>
        <w:t>，最大下沉值为4.38m，位于柏林煤矿范围内。</w:t>
      </w:r>
    </w:p>
    <w:p>
      <w:pPr>
        <w:pStyle w:val="7"/>
        <w:numPr>
          <w:ilvl w:val="3"/>
          <w:numId w:val="9"/>
        </w:numPr>
        <w:bidi w:val="0"/>
        <w:rPr>
          <w:color w:val="auto"/>
          <w:highlight w:val="none"/>
        </w:rPr>
      </w:pPr>
      <w:r>
        <w:rPr>
          <w:rFonts w:hint="eastAsia"/>
          <w:color w:val="auto"/>
          <w:highlight w:val="none"/>
          <w:lang w:eastAsia="zh-CN"/>
        </w:rPr>
        <w:t>地表裂缝预测</w:t>
      </w:r>
    </w:p>
    <w:p>
      <w:pPr>
        <w:bidi w:val="0"/>
        <w:rPr>
          <w:rFonts w:hint="eastAsia"/>
          <w:color w:val="auto"/>
          <w:highlight w:val="none"/>
          <w:lang w:val="en-US" w:eastAsia="zh-CN"/>
        </w:rPr>
      </w:pPr>
      <w:r>
        <w:rPr>
          <w:rFonts w:hint="eastAsia"/>
          <w:color w:val="auto"/>
          <w:highlight w:val="none"/>
          <w:lang w:val="en-US" w:eastAsia="zh-CN"/>
        </w:rPr>
        <w:t>沉陷区的地表裂缝大致可以分为两组。一组为永久性裂缝带，位于采区边界周围的拉伸区，裂缝的宽度和落差较大，平行于采区边界方向延伸。另一组为动态裂缝，它随工作面的向前推进，出现在工作面前方的动态拉伸区，裂缝的宽度和落差较小，呈弧形分布，大致与工作面平行而垂直工作面的推进方向。随着工作面的继续推进，动态拉伸区随后又变为动态压缩区，动态裂缝可重新闭合。</w:t>
      </w:r>
    </w:p>
    <w:p>
      <w:pPr>
        <w:bidi w:val="0"/>
        <w:rPr>
          <w:rFonts w:hint="eastAsia"/>
          <w:color w:val="auto"/>
          <w:highlight w:val="none"/>
          <w:lang w:val="en-US" w:eastAsia="zh-CN"/>
        </w:rPr>
      </w:pPr>
      <w:r>
        <w:rPr>
          <w:rFonts w:hint="eastAsia"/>
          <w:color w:val="auto"/>
          <w:highlight w:val="none"/>
          <w:lang w:val="en-US" w:eastAsia="zh-CN"/>
        </w:rPr>
        <w:t>开采工作面切眼、上山、下山边界和停采线边界上方的地表一旦产生裂缝是永久性的。这些裂缝只有当相邻工作面的开采，或者人工充填，或者经历较长时间的自然作用才能闭合。</w:t>
      </w:r>
    </w:p>
    <w:p>
      <w:pPr>
        <w:bidi w:val="0"/>
        <w:rPr>
          <w:rFonts w:hint="eastAsia"/>
          <w:color w:val="auto"/>
          <w:highlight w:val="none"/>
          <w:lang w:val="en-US" w:eastAsia="zh-CN"/>
        </w:rPr>
      </w:pPr>
      <w:r>
        <w:rPr>
          <w:rFonts w:hint="eastAsia"/>
          <w:color w:val="auto"/>
          <w:highlight w:val="none"/>
          <w:lang w:val="en-US" w:eastAsia="zh-CN"/>
        </w:rPr>
        <w:t>由于采动滑移的方向指向采空区中心，且滑移量的大小与地表倾角有某种正比函数关系，采动裂缝大多分布在采空区边界部分，下沉盆底部位很少出现裂缝。</w:t>
      </w:r>
    </w:p>
    <w:p>
      <w:pPr>
        <w:bidi w:val="0"/>
        <w:rPr>
          <w:rFonts w:hint="eastAsia"/>
          <w:color w:val="auto"/>
          <w:highlight w:val="none"/>
          <w:lang w:val="en-US" w:eastAsia="zh-CN"/>
        </w:rPr>
      </w:pPr>
      <w:r>
        <w:rPr>
          <w:rFonts w:hint="eastAsia"/>
          <w:color w:val="auto"/>
          <w:highlight w:val="none"/>
          <w:lang w:val="en-US" w:eastAsia="zh-CN"/>
        </w:rPr>
        <w:t>对于本矿区，各规划矿井煤层开采时，地表将会产生动态裂缝。随着工作面的推进，当裂缝区受到压缩变形时，裂缝区会有闭合现象。较小、较浅的裂缝会在拉伸变形的影响下完全闭合；对于较大、较深的地表裂缝，虽有不同程度的减小，但最终不能恢复到原始地表形态，形成永久裂缝，这些永久裂缝将会对地表土层产生一定的影响。另外，在各煤层开采边界上方，由于只受到水平拉伸变形的影响，当水平拉伸变形叠加时，可能出现一些地表永久裂缝，且边界上方的裂缝一般不会自行闭合。</w:t>
      </w:r>
    </w:p>
    <w:p>
      <w:pPr>
        <w:pStyle w:val="7"/>
        <w:numPr>
          <w:ilvl w:val="3"/>
          <w:numId w:val="9"/>
        </w:numPr>
        <w:bidi w:val="0"/>
        <w:rPr>
          <w:color w:val="auto"/>
          <w:highlight w:val="none"/>
        </w:rPr>
      </w:pPr>
      <w:r>
        <w:rPr>
          <w:rFonts w:hint="eastAsia"/>
          <w:color w:val="auto"/>
          <w:highlight w:val="none"/>
          <w:lang w:eastAsia="zh-CN"/>
        </w:rPr>
        <w:t>矿区开采地表沉陷影响小结</w:t>
      </w:r>
    </w:p>
    <w:p>
      <w:pPr>
        <w:bidi w:val="0"/>
        <w:rPr>
          <w:rFonts w:hint="eastAsia"/>
          <w:color w:val="auto"/>
          <w:highlight w:val="none"/>
          <w:lang w:val="en-US" w:eastAsia="zh-CN"/>
        </w:rPr>
      </w:pPr>
      <w:r>
        <w:rPr>
          <w:rFonts w:hint="eastAsia"/>
          <w:color w:val="auto"/>
          <w:highlight w:val="none"/>
          <w:lang w:val="en-US" w:eastAsia="zh-CN"/>
        </w:rPr>
        <w:t>（1）根据地表沉陷预测结果，矿区开采后沉陷面积约152.61km</w:t>
      </w:r>
      <w:r>
        <w:rPr>
          <w:rFonts w:hint="eastAsia"/>
          <w:color w:val="auto"/>
          <w:highlight w:val="none"/>
          <w:vertAlign w:val="superscript"/>
          <w:lang w:val="en-US" w:eastAsia="zh-CN"/>
        </w:rPr>
        <w:t>2</w:t>
      </w:r>
      <w:r>
        <w:rPr>
          <w:rFonts w:hint="eastAsia"/>
          <w:color w:val="auto"/>
          <w:highlight w:val="none"/>
          <w:lang w:val="en-US" w:eastAsia="zh-CN"/>
        </w:rPr>
        <w:t>，最大下沉值为4.38m，位于柏林煤矿范围内。</w:t>
      </w:r>
    </w:p>
    <w:p>
      <w:pPr>
        <w:bidi w:val="0"/>
        <w:rPr>
          <w:rFonts w:hint="eastAsia"/>
          <w:color w:val="auto"/>
          <w:highlight w:val="none"/>
          <w:lang w:val="en-US" w:eastAsia="zh-CN"/>
        </w:rPr>
      </w:pPr>
      <w:r>
        <w:rPr>
          <w:rFonts w:hint="eastAsia"/>
          <w:color w:val="auto"/>
          <w:highlight w:val="none"/>
          <w:lang w:val="en-US" w:eastAsia="zh-CN"/>
        </w:rPr>
        <w:t>（2）沉陷预测提出对地面重要设施，即同心水库、刘家坝水库、输变电线路、铁路及高速公路、文物等，根据《建筑、水体、铁路及煤柱留设与压煤开采规程》留设保护煤柱，安排定期巡查，确保其不受开采影响。</w:t>
      </w:r>
    </w:p>
    <w:p>
      <w:pPr>
        <w:pStyle w:val="6"/>
        <w:numPr>
          <w:ilvl w:val="2"/>
          <w:numId w:val="5"/>
        </w:numPr>
        <w:bidi w:val="0"/>
        <w:rPr>
          <w:color w:val="auto"/>
          <w:highlight w:val="none"/>
        </w:rPr>
      </w:pPr>
      <w:bookmarkStart w:id="323" w:name="5.1.2 生态环境影响评价"/>
      <w:bookmarkEnd w:id="323"/>
      <w:bookmarkStart w:id="324" w:name="5.1.2 生态环境影响评价"/>
      <w:bookmarkEnd w:id="324"/>
      <w:bookmarkStart w:id="325" w:name="_Toc24924"/>
      <w:bookmarkStart w:id="326" w:name="_Toc26393"/>
      <w:r>
        <w:rPr>
          <w:color w:val="auto"/>
          <w:highlight w:val="none"/>
        </w:rPr>
        <w:t>生态环境影响</w:t>
      </w:r>
      <w:r>
        <w:rPr>
          <w:rFonts w:hint="eastAsia"/>
          <w:color w:val="auto"/>
          <w:highlight w:val="none"/>
          <w:lang w:eastAsia="zh-CN"/>
        </w:rPr>
        <w:t>预测与评价</w:t>
      </w:r>
      <w:bookmarkEnd w:id="325"/>
      <w:bookmarkEnd w:id="326"/>
    </w:p>
    <w:p>
      <w:pPr>
        <w:pStyle w:val="7"/>
        <w:bidi w:val="0"/>
        <w:rPr>
          <w:color w:val="auto"/>
          <w:highlight w:val="none"/>
        </w:rPr>
      </w:pPr>
      <w:bookmarkStart w:id="327" w:name="_Toc88697632"/>
      <w:r>
        <w:rPr>
          <w:rFonts w:hint="eastAsia"/>
          <w:color w:val="auto"/>
          <w:highlight w:val="none"/>
          <w:lang w:val="en-US" w:eastAsia="zh-CN"/>
        </w:rPr>
        <w:t>5.1.2.1</w:t>
      </w:r>
      <w:r>
        <w:rPr>
          <w:rFonts w:hint="eastAsia"/>
          <w:color w:val="auto"/>
          <w:highlight w:val="none"/>
        </w:rPr>
        <w:t xml:space="preserve"> 生态影响识别</w:t>
      </w:r>
      <w:bookmarkEnd w:id="327"/>
    </w:p>
    <w:p>
      <w:pPr>
        <w:bidi w:val="0"/>
        <w:rPr>
          <w:color w:val="auto"/>
          <w:highlight w:val="none"/>
        </w:rPr>
      </w:pPr>
      <w:r>
        <w:rPr>
          <w:rFonts w:hint="eastAsia"/>
          <w:color w:val="auto"/>
          <w:highlight w:val="none"/>
        </w:rPr>
        <w:t>大竹县规划1</w:t>
      </w:r>
      <w:r>
        <w:rPr>
          <w:color w:val="auto"/>
          <w:highlight w:val="none"/>
        </w:rPr>
        <w:t>4</w:t>
      </w:r>
      <w:r>
        <w:rPr>
          <w:rFonts w:hint="eastAsia"/>
          <w:color w:val="auto"/>
          <w:highlight w:val="none"/>
        </w:rPr>
        <w:t>个煤矿矿权，其中：</w:t>
      </w:r>
      <w:r>
        <w:rPr>
          <w:rFonts w:hint="eastAsia"/>
          <w:b/>
          <w:bCs/>
          <w:color w:val="auto"/>
          <w:highlight w:val="none"/>
        </w:rPr>
        <w:t>有5个保留生产煤矿，保留生产煤矿规划维持现状不变；9个升级改造煤矿，均在原有的工业场地基础上改造利用，不新增占地</w:t>
      </w:r>
      <w:r>
        <w:rPr>
          <w:rFonts w:hint="eastAsia"/>
          <w:color w:val="auto"/>
          <w:highlight w:val="none"/>
        </w:rPr>
        <w:t>。大竹县</w:t>
      </w:r>
      <w:r>
        <w:rPr>
          <w:color w:val="auto"/>
          <w:highlight w:val="none"/>
        </w:rPr>
        <w:t>煤炭矿区总体规划项目在</w:t>
      </w:r>
      <w:r>
        <w:rPr>
          <w:rFonts w:hint="eastAsia"/>
          <w:color w:val="auto"/>
          <w:highlight w:val="none"/>
        </w:rPr>
        <w:t>地质勘查及</w:t>
      </w:r>
      <w:r>
        <w:rPr>
          <w:color w:val="auto"/>
          <w:highlight w:val="none"/>
        </w:rPr>
        <w:t>规划建设期间，因</w:t>
      </w:r>
      <w:r>
        <w:rPr>
          <w:rFonts w:hint="eastAsia"/>
          <w:color w:val="auto"/>
          <w:highlight w:val="none"/>
        </w:rPr>
        <w:t>煤矿改造升级</w:t>
      </w:r>
      <w:r>
        <w:rPr>
          <w:color w:val="auto"/>
          <w:highlight w:val="none"/>
        </w:rPr>
        <w:t>、车辆运输和人为活动等原因，将对施工区及附近区域空气、水、动植物多样性、生态系统、景观资源等多方面产生影响。运营期间，采矿活动的开展及往来人员的增加，将对周围环境持续产生影响。在矿区规划建设的基础上，分析规划矿山开采的环境要素影响情况，确定矿山开采对生态环境的影响因素及程度，详见表5</w:t>
      </w:r>
      <w:r>
        <w:rPr>
          <w:rFonts w:hint="eastAsia"/>
          <w:color w:val="auto"/>
          <w:highlight w:val="none"/>
          <w:lang w:val="en-US" w:eastAsia="zh-CN"/>
        </w:rPr>
        <w:t>.1-6</w:t>
      </w:r>
      <w:r>
        <w:rPr>
          <w:color w:val="auto"/>
          <w:highlight w:val="none"/>
        </w:rPr>
        <w:t>。</w:t>
      </w:r>
    </w:p>
    <w:p>
      <w:pPr>
        <w:pStyle w:val="22"/>
        <w:bidi w:val="0"/>
        <w:rPr>
          <w:color w:val="auto"/>
          <w:highlight w:val="none"/>
        </w:rPr>
      </w:pPr>
      <w:r>
        <w:rPr>
          <w:color w:val="auto"/>
          <w:highlight w:val="none"/>
        </w:rPr>
        <w:t>表</w:t>
      </w:r>
      <w:r>
        <w:rPr>
          <w:rFonts w:hint="eastAsia"/>
          <w:color w:val="auto"/>
          <w:highlight w:val="none"/>
        </w:rPr>
        <w:t>5</w:t>
      </w:r>
      <w:r>
        <w:rPr>
          <w:rFonts w:hint="eastAsia"/>
          <w:color w:val="auto"/>
          <w:highlight w:val="none"/>
          <w:lang w:val="en-US" w:eastAsia="zh-CN"/>
        </w:rPr>
        <w:t xml:space="preserve">.1-6 </w:t>
      </w:r>
      <w:r>
        <w:rPr>
          <w:color w:val="auto"/>
          <w:highlight w:val="none"/>
        </w:rPr>
        <w:t xml:space="preserve"> </w:t>
      </w:r>
      <w:r>
        <w:rPr>
          <w:rFonts w:hint="eastAsia"/>
          <w:color w:val="auto"/>
          <w:highlight w:val="none"/>
        </w:rPr>
        <w:t>项目规划</w:t>
      </w:r>
      <w:r>
        <w:rPr>
          <w:color w:val="auto"/>
          <w:highlight w:val="none"/>
        </w:rPr>
        <w:t>主要环境影响效应</w:t>
      </w:r>
      <w:r>
        <w:rPr>
          <w:rFonts w:hint="eastAsia"/>
          <w:color w:val="auto"/>
          <w:highlight w:val="none"/>
        </w:rPr>
        <w:t>识别</w:t>
      </w:r>
      <w:r>
        <w:rPr>
          <w:color w:val="auto"/>
          <w:highlight w:val="none"/>
        </w:rPr>
        <w:t>矩阵</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28" w:type="dxa"/>
          <w:bottom w:w="0" w:type="dxa"/>
          <w:right w:w="28" w:type="dxa"/>
        </w:tblCellMar>
      </w:tblPr>
      <w:tblGrid>
        <w:gridCol w:w="1330"/>
        <w:gridCol w:w="579"/>
        <w:gridCol w:w="580"/>
        <w:gridCol w:w="1081"/>
        <w:gridCol w:w="830"/>
        <w:gridCol w:w="1081"/>
        <w:gridCol w:w="580"/>
        <w:gridCol w:w="580"/>
        <w:gridCol w:w="585"/>
        <w:gridCol w:w="830"/>
        <w:gridCol w:w="580"/>
        <w:gridCol w:w="830"/>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tblHeader/>
          <w:jc w:val="center"/>
        </w:trPr>
        <w:tc>
          <w:tcPr>
            <w:tcW w:w="703" w:type="pct"/>
            <w:vMerge w:val="restart"/>
            <w:tcBorders>
              <w:tl2br w:val="nil"/>
              <w:tr2bl w:val="nil"/>
            </w:tcBorders>
            <w:vAlign w:val="center"/>
          </w:tcPr>
          <w:p>
            <w:pPr>
              <w:pStyle w:val="22"/>
              <w:bidi w:val="0"/>
              <w:rPr>
                <w:color w:val="auto"/>
                <w:highlight w:val="none"/>
              </w:rPr>
            </w:pPr>
            <w:r>
              <w:rPr>
                <w:color w:val="auto"/>
                <w:highlight w:val="none"/>
              </w:rPr>
              <w:t>影响对象</w:t>
            </w:r>
          </w:p>
        </w:tc>
        <w:tc>
          <w:tcPr>
            <w:tcW w:w="306" w:type="pct"/>
            <w:vMerge w:val="restart"/>
            <w:tcBorders>
              <w:tl2br w:val="nil"/>
              <w:tr2bl w:val="nil"/>
            </w:tcBorders>
            <w:vAlign w:val="center"/>
          </w:tcPr>
          <w:p>
            <w:pPr>
              <w:pStyle w:val="22"/>
              <w:bidi w:val="0"/>
              <w:rPr>
                <w:color w:val="auto"/>
                <w:highlight w:val="none"/>
              </w:rPr>
            </w:pPr>
            <w:r>
              <w:rPr>
                <w:rFonts w:hint="eastAsia"/>
                <w:color w:val="auto"/>
                <w:highlight w:val="none"/>
              </w:rPr>
              <w:t>地质</w:t>
            </w:r>
          </w:p>
          <w:p>
            <w:pPr>
              <w:pStyle w:val="22"/>
              <w:bidi w:val="0"/>
              <w:rPr>
                <w:color w:val="auto"/>
                <w:highlight w:val="none"/>
              </w:rPr>
            </w:pPr>
            <w:r>
              <w:rPr>
                <w:rFonts w:hint="eastAsia"/>
                <w:color w:val="auto"/>
                <w:highlight w:val="none"/>
              </w:rPr>
              <w:t>勘查</w:t>
            </w:r>
          </w:p>
        </w:tc>
        <w:tc>
          <w:tcPr>
            <w:tcW w:w="306" w:type="pct"/>
            <w:vMerge w:val="restart"/>
            <w:tcBorders>
              <w:tl2br w:val="nil"/>
              <w:tr2bl w:val="nil"/>
            </w:tcBorders>
            <w:vAlign w:val="center"/>
          </w:tcPr>
          <w:p>
            <w:pPr>
              <w:pStyle w:val="22"/>
              <w:bidi w:val="0"/>
              <w:rPr>
                <w:color w:val="auto"/>
                <w:highlight w:val="none"/>
              </w:rPr>
            </w:pPr>
            <w:r>
              <w:rPr>
                <w:rFonts w:hint="eastAsia"/>
                <w:color w:val="auto"/>
                <w:highlight w:val="none"/>
              </w:rPr>
              <w:t>规划</w:t>
            </w:r>
          </w:p>
          <w:p>
            <w:pPr>
              <w:pStyle w:val="22"/>
              <w:bidi w:val="0"/>
              <w:rPr>
                <w:color w:val="auto"/>
                <w:highlight w:val="none"/>
              </w:rPr>
            </w:pPr>
            <w:r>
              <w:rPr>
                <w:color w:val="auto"/>
                <w:highlight w:val="none"/>
              </w:rPr>
              <w:t>建设</w:t>
            </w:r>
          </w:p>
        </w:tc>
        <w:tc>
          <w:tcPr>
            <w:tcW w:w="1580" w:type="pct"/>
            <w:gridSpan w:val="3"/>
            <w:tcBorders>
              <w:tl2br w:val="nil"/>
              <w:tr2bl w:val="nil"/>
            </w:tcBorders>
            <w:vAlign w:val="center"/>
          </w:tcPr>
          <w:p>
            <w:pPr>
              <w:pStyle w:val="22"/>
              <w:bidi w:val="0"/>
              <w:rPr>
                <w:color w:val="auto"/>
                <w:highlight w:val="none"/>
              </w:rPr>
            </w:pPr>
            <w:r>
              <w:rPr>
                <w:color w:val="auto"/>
                <w:highlight w:val="none"/>
              </w:rPr>
              <w:t>施工期</w:t>
            </w:r>
          </w:p>
        </w:tc>
        <w:tc>
          <w:tcPr>
            <w:tcW w:w="921" w:type="pct"/>
            <w:gridSpan w:val="3"/>
            <w:tcBorders>
              <w:tl2br w:val="nil"/>
              <w:tr2bl w:val="nil"/>
            </w:tcBorders>
            <w:vAlign w:val="center"/>
          </w:tcPr>
          <w:p>
            <w:pPr>
              <w:pStyle w:val="22"/>
              <w:bidi w:val="0"/>
              <w:rPr>
                <w:color w:val="auto"/>
                <w:highlight w:val="none"/>
              </w:rPr>
            </w:pPr>
            <w:r>
              <w:rPr>
                <w:color w:val="auto"/>
                <w:highlight w:val="none"/>
              </w:rPr>
              <w:t>运营期</w:t>
            </w:r>
          </w:p>
        </w:tc>
        <w:tc>
          <w:tcPr>
            <w:tcW w:w="438" w:type="pct"/>
            <w:tcBorders>
              <w:tl2br w:val="nil"/>
              <w:tr2bl w:val="nil"/>
            </w:tcBorders>
            <w:vAlign w:val="center"/>
          </w:tcPr>
          <w:p>
            <w:pPr>
              <w:pStyle w:val="22"/>
              <w:bidi w:val="0"/>
              <w:rPr>
                <w:color w:val="auto"/>
                <w:highlight w:val="none"/>
              </w:rPr>
            </w:pPr>
            <w:r>
              <w:rPr>
                <w:color w:val="auto"/>
                <w:highlight w:val="none"/>
              </w:rPr>
              <w:t>闭矿期</w:t>
            </w:r>
          </w:p>
        </w:tc>
        <w:tc>
          <w:tcPr>
            <w:tcW w:w="306" w:type="pct"/>
            <w:vMerge w:val="restart"/>
            <w:tcBorders>
              <w:tl2br w:val="nil"/>
              <w:tr2bl w:val="nil"/>
            </w:tcBorders>
            <w:vAlign w:val="center"/>
          </w:tcPr>
          <w:p>
            <w:pPr>
              <w:pStyle w:val="22"/>
              <w:bidi w:val="0"/>
              <w:rPr>
                <w:color w:val="auto"/>
                <w:highlight w:val="none"/>
              </w:rPr>
            </w:pPr>
            <w:r>
              <w:rPr>
                <w:color w:val="auto"/>
                <w:highlight w:val="none"/>
              </w:rPr>
              <w:t>影响</w:t>
            </w:r>
          </w:p>
          <w:p>
            <w:pPr>
              <w:pStyle w:val="22"/>
              <w:bidi w:val="0"/>
              <w:rPr>
                <w:color w:val="auto"/>
                <w:highlight w:val="none"/>
              </w:rPr>
            </w:pPr>
            <w:r>
              <w:rPr>
                <w:color w:val="auto"/>
                <w:highlight w:val="none"/>
              </w:rPr>
              <w:t>范围</w:t>
            </w:r>
          </w:p>
        </w:tc>
        <w:tc>
          <w:tcPr>
            <w:tcW w:w="438" w:type="pct"/>
            <w:vMerge w:val="restart"/>
            <w:tcBorders>
              <w:tl2br w:val="nil"/>
              <w:tr2bl w:val="nil"/>
            </w:tcBorders>
            <w:vAlign w:val="center"/>
          </w:tcPr>
          <w:p>
            <w:pPr>
              <w:pStyle w:val="22"/>
              <w:bidi w:val="0"/>
              <w:rPr>
                <w:color w:val="auto"/>
                <w:highlight w:val="none"/>
              </w:rPr>
            </w:pPr>
            <w:r>
              <w:rPr>
                <w:color w:val="auto"/>
                <w:highlight w:val="none"/>
              </w:rPr>
              <w:t>重要性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tblHeader/>
          <w:jc w:val="center"/>
        </w:trPr>
        <w:tc>
          <w:tcPr>
            <w:tcW w:w="703" w:type="pct"/>
            <w:vMerge w:val="continue"/>
            <w:tcBorders>
              <w:tl2br w:val="nil"/>
              <w:tr2bl w:val="nil"/>
            </w:tcBorders>
            <w:vAlign w:val="center"/>
          </w:tcPr>
          <w:p>
            <w:pPr>
              <w:pStyle w:val="22"/>
              <w:bidi w:val="0"/>
              <w:rPr>
                <w:color w:val="auto"/>
                <w:highlight w:val="none"/>
              </w:rPr>
            </w:pPr>
          </w:p>
        </w:tc>
        <w:tc>
          <w:tcPr>
            <w:tcW w:w="306" w:type="pct"/>
            <w:vMerge w:val="continue"/>
            <w:tcBorders>
              <w:tl2br w:val="nil"/>
              <w:tr2bl w:val="nil"/>
            </w:tcBorders>
            <w:vAlign w:val="center"/>
          </w:tcPr>
          <w:p>
            <w:pPr>
              <w:pStyle w:val="22"/>
              <w:bidi w:val="0"/>
              <w:rPr>
                <w:color w:val="auto"/>
                <w:highlight w:val="none"/>
              </w:rPr>
            </w:pPr>
          </w:p>
        </w:tc>
        <w:tc>
          <w:tcPr>
            <w:tcW w:w="306" w:type="pct"/>
            <w:vMerge w:val="continue"/>
            <w:tcBorders>
              <w:tl2br w:val="nil"/>
              <w:tr2bl w:val="nil"/>
            </w:tcBorders>
            <w:vAlign w:val="center"/>
          </w:tcPr>
          <w:p>
            <w:pPr>
              <w:pStyle w:val="22"/>
              <w:bidi w:val="0"/>
              <w:rPr>
                <w:color w:val="auto"/>
                <w:highlight w:val="none"/>
              </w:rPr>
            </w:pPr>
          </w:p>
        </w:tc>
        <w:tc>
          <w:tcPr>
            <w:tcW w:w="571" w:type="pct"/>
            <w:tcBorders>
              <w:tl2br w:val="nil"/>
              <w:tr2bl w:val="nil"/>
            </w:tcBorders>
            <w:vAlign w:val="center"/>
          </w:tcPr>
          <w:p>
            <w:pPr>
              <w:pStyle w:val="22"/>
              <w:bidi w:val="0"/>
              <w:rPr>
                <w:color w:val="auto"/>
                <w:highlight w:val="none"/>
              </w:rPr>
            </w:pPr>
            <w:r>
              <w:rPr>
                <w:rFonts w:hint="eastAsia"/>
                <w:color w:val="auto"/>
                <w:highlight w:val="none"/>
              </w:rPr>
              <w:t>矿洞基建</w:t>
            </w:r>
          </w:p>
        </w:tc>
        <w:tc>
          <w:tcPr>
            <w:tcW w:w="438" w:type="pct"/>
            <w:tcBorders>
              <w:tl2br w:val="nil"/>
              <w:tr2bl w:val="nil"/>
            </w:tcBorders>
            <w:vAlign w:val="center"/>
          </w:tcPr>
          <w:p>
            <w:pPr>
              <w:pStyle w:val="22"/>
              <w:bidi w:val="0"/>
              <w:rPr>
                <w:color w:val="auto"/>
                <w:highlight w:val="none"/>
              </w:rPr>
            </w:pPr>
            <w:r>
              <w:rPr>
                <w:color w:val="auto"/>
                <w:highlight w:val="none"/>
              </w:rPr>
              <w:t>其它施</w:t>
            </w:r>
          </w:p>
          <w:p>
            <w:pPr>
              <w:pStyle w:val="22"/>
              <w:bidi w:val="0"/>
              <w:rPr>
                <w:color w:val="auto"/>
                <w:highlight w:val="none"/>
              </w:rPr>
            </w:pPr>
            <w:r>
              <w:rPr>
                <w:color w:val="auto"/>
                <w:highlight w:val="none"/>
              </w:rPr>
              <w:t>工作业</w:t>
            </w:r>
          </w:p>
        </w:tc>
        <w:tc>
          <w:tcPr>
            <w:tcW w:w="571" w:type="pct"/>
            <w:tcBorders>
              <w:tl2br w:val="nil"/>
              <w:tr2bl w:val="nil"/>
            </w:tcBorders>
            <w:vAlign w:val="center"/>
          </w:tcPr>
          <w:p>
            <w:pPr>
              <w:pStyle w:val="22"/>
              <w:bidi w:val="0"/>
              <w:rPr>
                <w:color w:val="auto"/>
                <w:highlight w:val="none"/>
              </w:rPr>
            </w:pPr>
            <w:r>
              <w:rPr>
                <w:color w:val="auto"/>
                <w:highlight w:val="none"/>
              </w:rPr>
              <w:t>生活</w:t>
            </w:r>
            <w:r>
              <w:rPr>
                <w:rFonts w:hint="eastAsia"/>
                <w:color w:val="auto"/>
                <w:highlight w:val="none"/>
              </w:rPr>
              <w:t>区</w:t>
            </w:r>
            <w:r>
              <w:rPr>
                <w:color w:val="auto"/>
                <w:highlight w:val="none"/>
              </w:rPr>
              <w:t>人</w:t>
            </w:r>
          </w:p>
          <w:p>
            <w:pPr>
              <w:pStyle w:val="22"/>
              <w:bidi w:val="0"/>
              <w:rPr>
                <w:color w:val="auto"/>
                <w:highlight w:val="none"/>
              </w:rPr>
            </w:pPr>
            <w:r>
              <w:rPr>
                <w:color w:val="auto"/>
                <w:highlight w:val="none"/>
              </w:rPr>
              <w:t>为活动</w:t>
            </w:r>
          </w:p>
        </w:tc>
        <w:tc>
          <w:tcPr>
            <w:tcW w:w="306" w:type="pct"/>
            <w:tcBorders>
              <w:tl2br w:val="nil"/>
              <w:tr2bl w:val="nil"/>
            </w:tcBorders>
            <w:vAlign w:val="center"/>
          </w:tcPr>
          <w:p>
            <w:pPr>
              <w:pStyle w:val="22"/>
              <w:bidi w:val="0"/>
              <w:rPr>
                <w:color w:val="auto"/>
                <w:highlight w:val="none"/>
              </w:rPr>
            </w:pPr>
            <w:r>
              <w:rPr>
                <w:rFonts w:hint="eastAsia"/>
                <w:color w:val="auto"/>
                <w:highlight w:val="none"/>
              </w:rPr>
              <w:t>地下</w:t>
            </w:r>
          </w:p>
          <w:p>
            <w:pPr>
              <w:pStyle w:val="22"/>
              <w:bidi w:val="0"/>
              <w:rPr>
                <w:color w:val="auto"/>
                <w:highlight w:val="none"/>
              </w:rPr>
            </w:pPr>
            <w:r>
              <w:rPr>
                <w:color w:val="auto"/>
                <w:highlight w:val="none"/>
              </w:rPr>
              <w:t>开采</w:t>
            </w:r>
          </w:p>
        </w:tc>
        <w:tc>
          <w:tcPr>
            <w:tcW w:w="306" w:type="pct"/>
            <w:tcBorders>
              <w:tl2br w:val="nil"/>
              <w:tr2bl w:val="nil"/>
            </w:tcBorders>
            <w:vAlign w:val="center"/>
          </w:tcPr>
          <w:p>
            <w:pPr>
              <w:pStyle w:val="22"/>
              <w:bidi w:val="0"/>
              <w:rPr>
                <w:color w:val="auto"/>
                <w:highlight w:val="none"/>
              </w:rPr>
            </w:pPr>
            <w:r>
              <w:rPr>
                <w:color w:val="auto"/>
                <w:highlight w:val="none"/>
              </w:rPr>
              <w:t>交通</w:t>
            </w:r>
          </w:p>
          <w:p>
            <w:pPr>
              <w:pStyle w:val="22"/>
              <w:bidi w:val="0"/>
              <w:rPr>
                <w:color w:val="auto"/>
                <w:highlight w:val="none"/>
              </w:rPr>
            </w:pPr>
            <w:r>
              <w:rPr>
                <w:color w:val="auto"/>
                <w:highlight w:val="none"/>
              </w:rPr>
              <w:t>运输</w:t>
            </w:r>
          </w:p>
        </w:tc>
        <w:tc>
          <w:tcPr>
            <w:tcW w:w="309" w:type="pct"/>
            <w:tcBorders>
              <w:tl2br w:val="nil"/>
              <w:tr2bl w:val="nil"/>
            </w:tcBorders>
            <w:vAlign w:val="center"/>
          </w:tcPr>
          <w:p>
            <w:pPr>
              <w:pStyle w:val="22"/>
              <w:bidi w:val="0"/>
              <w:rPr>
                <w:color w:val="auto"/>
                <w:highlight w:val="none"/>
              </w:rPr>
            </w:pPr>
            <w:r>
              <w:rPr>
                <w:color w:val="auto"/>
                <w:highlight w:val="none"/>
              </w:rPr>
              <w:t>生产</w:t>
            </w:r>
          </w:p>
          <w:p>
            <w:pPr>
              <w:pStyle w:val="22"/>
              <w:bidi w:val="0"/>
              <w:rPr>
                <w:color w:val="auto"/>
                <w:highlight w:val="none"/>
              </w:rPr>
            </w:pPr>
            <w:r>
              <w:rPr>
                <w:color w:val="auto"/>
                <w:highlight w:val="none"/>
              </w:rPr>
              <w:t>活动</w:t>
            </w:r>
          </w:p>
        </w:tc>
        <w:tc>
          <w:tcPr>
            <w:tcW w:w="438" w:type="pct"/>
            <w:tcBorders>
              <w:tl2br w:val="nil"/>
              <w:tr2bl w:val="nil"/>
            </w:tcBorders>
            <w:vAlign w:val="center"/>
          </w:tcPr>
          <w:p>
            <w:pPr>
              <w:pStyle w:val="22"/>
              <w:bidi w:val="0"/>
              <w:rPr>
                <w:color w:val="auto"/>
                <w:highlight w:val="none"/>
              </w:rPr>
            </w:pPr>
            <w:r>
              <w:rPr>
                <w:color w:val="auto"/>
                <w:highlight w:val="none"/>
              </w:rPr>
              <w:t>生态</w:t>
            </w:r>
          </w:p>
          <w:p>
            <w:pPr>
              <w:pStyle w:val="22"/>
              <w:bidi w:val="0"/>
              <w:rPr>
                <w:color w:val="auto"/>
                <w:highlight w:val="none"/>
              </w:rPr>
            </w:pPr>
            <w:r>
              <w:rPr>
                <w:color w:val="auto"/>
                <w:highlight w:val="none"/>
              </w:rPr>
              <w:t>恢复</w:t>
            </w:r>
          </w:p>
        </w:tc>
        <w:tc>
          <w:tcPr>
            <w:tcW w:w="306" w:type="pct"/>
            <w:vMerge w:val="continue"/>
            <w:tcBorders>
              <w:tl2br w:val="nil"/>
              <w:tr2bl w:val="nil"/>
            </w:tcBorders>
            <w:vAlign w:val="center"/>
          </w:tcPr>
          <w:p>
            <w:pPr>
              <w:pStyle w:val="22"/>
              <w:bidi w:val="0"/>
              <w:rPr>
                <w:color w:val="auto"/>
                <w:highlight w:val="none"/>
              </w:rPr>
            </w:pPr>
          </w:p>
        </w:tc>
        <w:tc>
          <w:tcPr>
            <w:tcW w:w="438" w:type="pct"/>
            <w:vMerge w:val="continue"/>
            <w:tcBorders>
              <w:tl2br w:val="nil"/>
              <w:tr2bl w:val="nil"/>
            </w:tcBorders>
            <w:vAlign w:val="center"/>
          </w:tcPr>
          <w:p>
            <w:pPr>
              <w:pStyle w:val="22"/>
              <w:bidi w:val="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color w:val="auto"/>
                <w:highlight w:val="none"/>
              </w:rPr>
              <w:t>景观</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-1L</w:t>
            </w:r>
          </w:p>
        </w:tc>
        <w:tc>
          <w:tcPr>
            <w:tcW w:w="438"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-3R</w:t>
            </w:r>
          </w:p>
        </w:tc>
        <w:tc>
          <w:tcPr>
            <w:tcW w:w="306"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r>
              <w:rPr>
                <w:color w:val="auto"/>
                <w:highlight w:val="none"/>
              </w:rPr>
              <w:t>-3L</w:t>
            </w: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A</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Ⅱ</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color w:val="auto"/>
                <w:highlight w:val="none"/>
              </w:rPr>
              <w:t>水土流失</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-1L</w:t>
            </w:r>
          </w:p>
        </w:tc>
        <w:tc>
          <w:tcPr>
            <w:tcW w:w="438" w:type="pct"/>
            <w:tcBorders>
              <w:tl2br w:val="nil"/>
              <w:tr2bl w:val="nil"/>
            </w:tcBorders>
            <w:vAlign w:val="center"/>
          </w:tcPr>
          <w:p>
            <w:pPr>
              <w:pStyle w:val="22"/>
              <w:bidi w:val="0"/>
              <w:rPr>
                <w:color w:val="auto"/>
                <w:highlight w:val="none"/>
              </w:rPr>
            </w:pPr>
            <w:r>
              <w:rPr>
                <w:color w:val="auto"/>
                <w:highlight w:val="none"/>
              </w:rPr>
              <w:t>-2L</w:t>
            </w:r>
          </w:p>
        </w:tc>
        <w:tc>
          <w:tcPr>
            <w:tcW w:w="571" w:type="pct"/>
            <w:tcBorders>
              <w:tl2br w:val="nil"/>
              <w:tr2bl w:val="nil"/>
            </w:tcBorders>
            <w:vAlign w:val="center"/>
          </w:tcPr>
          <w:p>
            <w:pPr>
              <w:pStyle w:val="22"/>
              <w:bidi w:val="0"/>
              <w:rPr>
                <w:color w:val="auto"/>
                <w:highlight w:val="none"/>
              </w:rPr>
            </w:pPr>
            <w:r>
              <w:rPr>
                <w:color w:val="auto"/>
                <w:highlight w:val="none"/>
              </w:rPr>
              <w:t>-3R</w:t>
            </w:r>
          </w:p>
        </w:tc>
        <w:tc>
          <w:tcPr>
            <w:tcW w:w="306"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r>
              <w:rPr>
                <w:color w:val="auto"/>
                <w:highlight w:val="none"/>
              </w:rPr>
              <w:t>±3R</w:t>
            </w: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A</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Ⅰ</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rFonts w:hint="eastAsia"/>
                <w:color w:val="auto"/>
                <w:highlight w:val="none"/>
              </w:rPr>
              <w:t>生物多样性</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-1L</w:t>
            </w:r>
          </w:p>
        </w:tc>
        <w:tc>
          <w:tcPr>
            <w:tcW w:w="438"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rFonts w:hint="eastAsia"/>
                <w:color w:val="auto"/>
                <w:highlight w:val="none"/>
              </w:rPr>
              <w:t>+</w:t>
            </w:r>
          </w:p>
        </w:tc>
        <w:tc>
          <w:tcPr>
            <w:tcW w:w="306" w:type="pct"/>
            <w:tcBorders>
              <w:tl2br w:val="nil"/>
              <w:tr2bl w:val="nil"/>
            </w:tcBorders>
            <w:vAlign w:val="center"/>
          </w:tcPr>
          <w:p>
            <w:pPr>
              <w:pStyle w:val="22"/>
              <w:bidi w:val="0"/>
              <w:rPr>
                <w:color w:val="auto"/>
                <w:highlight w:val="none"/>
              </w:rPr>
            </w:pPr>
            <w:r>
              <w:rPr>
                <w:rFonts w:hint="eastAsia"/>
                <w:color w:val="auto"/>
                <w:highlight w:val="none"/>
              </w:rPr>
              <w:t>A</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Ⅰ</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color w:val="auto"/>
                <w:highlight w:val="none"/>
              </w:rPr>
              <w:t>植被</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-1L</w:t>
            </w:r>
          </w:p>
        </w:tc>
        <w:tc>
          <w:tcPr>
            <w:tcW w:w="438" w:type="pct"/>
            <w:tcBorders>
              <w:tl2br w:val="nil"/>
              <w:tr2bl w:val="nil"/>
            </w:tcBorders>
            <w:vAlign w:val="center"/>
          </w:tcPr>
          <w:p>
            <w:pPr>
              <w:pStyle w:val="22"/>
              <w:bidi w:val="0"/>
              <w:rPr>
                <w:color w:val="auto"/>
                <w:highlight w:val="none"/>
              </w:rPr>
            </w:pPr>
            <w:r>
              <w:rPr>
                <w:color w:val="auto"/>
                <w:highlight w:val="none"/>
              </w:rPr>
              <w:t>-2L</w:t>
            </w:r>
          </w:p>
        </w:tc>
        <w:tc>
          <w:tcPr>
            <w:tcW w:w="571" w:type="pct"/>
            <w:tcBorders>
              <w:tl2br w:val="nil"/>
              <w:tr2bl w:val="nil"/>
            </w:tcBorders>
            <w:vAlign w:val="center"/>
          </w:tcPr>
          <w:p>
            <w:pPr>
              <w:pStyle w:val="22"/>
              <w:bidi w:val="0"/>
              <w:rPr>
                <w:color w:val="auto"/>
                <w:highlight w:val="none"/>
              </w:rPr>
            </w:pPr>
            <w:r>
              <w:rPr>
                <w:color w:val="auto"/>
                <w:highlight w:val="none"/>
              </w:rPr>
              <w:t>-2R</w:t>
            </w:r>
          </w:p>
        </w:tc>
        <w:tc>
          <w:tcPr>
            <w:tcW w:w="306"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B</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Ⅱ</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color w:val="auto"/>
                <w:highlight w:val="none"/>
              </w:rPr>
              <w:t>地质灾害</w:t>
            </w:r>
          </w:p>
        </w:tc>
        <w:tc>
          <w:tcPr>
            <w:tcW w:w="306"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r>
              <w:rPr>
                <w:color w:val="auto"/>
                <w:highlight w:val="none"/>
              </w:rPr>
              <w:t>-2L</w:t>
            </w:r>
          </w:p>
        </w:tc>
        <w:tc>
          <w:tcPr>
            <w:tcW w:w="571" w:type="pct"/>
            <w:tcBorders>
              <w:tl2br w:val="nil"/>
              <w:tr2bl w:val="nil"/>
            </w:tcBorders>
            <w:vAlign w:val="center"/>
          </w:tcPr>
          <w:p>
            <w:pPr>
              <w:pStyle w:val="22"/>
              <w:bidi w:val="0"/>
              <w:rPr>
                <w:color w:val="auto"/>
                <w:highlight w:val="none"/>
              </w:rPr>
            </w:pPr>
            <w:r>
              <w:rPr>
                <w:color w:val="auto"/>
                <w:highlight w:val="none"/>
              </w:rPr>
              <w:t>-2L</w:t>
            </w:r>
          </w:p>
        </w:tc>
        <w:tc>
          <w:tcPr>
            <w:tcW w:w="438" w:type="pct"/>
            <w:tcBorders>
              <w:tl2br w:val="nil"/>
              <w:tr2bl w:val="nil"/>
            </w:tcBorders>
            <w:vAlign w:val="center"/>
          </w:tcPr>
          <w:p>
            <w:pPr>
              <w:pStyle w:val="22"/>
              <w:bidi w:val="0"/>
              <w:rPr>
                <w:color w:val="auto"/>
                <w:highlight w:val="none"/>
              </w:rPr>
            </w:pPr>
          </w:p>
        </w:tc>
        <w:tc>
          <w:tcPr>
            <w:tcW w:w="571"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r>
              <w:rPr>
                <w:color w:val="auto"/>
                <w:highlight w:val="none"/>
              </w:rPr>
              <w:t>-2L</w:t>
            </w:r>
          </w:p>
        </w:tc>
        <w:tc>
          <w:tcPr>
            <w:tcW w:w="306" w:type="pct"/>
            <w:tcBorders>
              <w:tl2br w:val="nil"/>
              <w:tr2bl w:val="nil"/>
            </w:tcBorders>
            <w:vAlign w:val="center"/>
          </w:tcPr>
          <w:p>
            <w:pPr>
              <w:pStyle w:val="22"/>
              <w:bidi w:val="0"/>
              <w:rPr>
                <w:color w:val="auto"/>
                <w:highlight w:val="none"/>
              </w:rPr>
            </w:pP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A</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Ⅱ</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color w:val="auto"/>
                <w:highlight w:val="none"/>
              </w:rPr>
              <w:t>土地利用</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-1R</w:t>
            </w:r>
          </w:p>
        </w:tc>
        <w:tc>
          <w:tcPr>
            <w:tcW w:w="438" w:type="pct"/>
            <w:tcBorders>
              <w:tl2br w:val="nil"/>
              <w:tr2bl w:val="nil"/>
            </w:tcBorders>
            <w:vAlign w:val="center"/>
          </w:tcPr>
          <w:p>
            <w:pPr>
              <w:pStyle w:val="22"/>
              <w:bidi w:val="0"/>
              <w:rPr>
                <w:color w:val="auto"/>
                <w:highlight w:val="none"/>
              </w:rPr>
            </w:pPr>
          </w:p>
        </w:tc>
        <w:tc>
          <w:tcPr>
            <w:tcW w:w="571" w:type="pct"/>
            <w:tcBorders>
              <w:tl2br w:val="nil"/>
              <w:tr2bl w:val="nil"/>
            </w:tcBorders>
            <w:vAlign w:val="center"/>
          </w:tcPr>
          <w:p>
            <w:pPr>
              <w:pStyle w:val="22"/>
              <w:bidi w:val="0"/>
              <w:rPr>
                <w:color w:val="auto"/>
                <w:highlight w:val="none"/>
              </w:rPr>
            </w:pPr>
            <w:r>
              <w:rPr>
                <w:color w:val="auto"/>
                <w:highlight w:val="none"/>
              </w:rPr>
              <w:t>-2R</w:t>
            </w:r>
          </w:p>
        </w:tc>
        <w:tc>
          <w:tcPr>
            <w:tcW w:w="306" w:type="pct"/>
            <w:tcBorders>
              <w:tl2br w:val="nil"/>
              <w:tr2bl w:val="nil"/>
            </w:tcBorders>
            <w:vAlign w:val="center"/>
          </w:tcPr>
          <w:p>
            <w:pPr>
              <w:pStyle w:val="22"/>
              <w:bidi w:val="0"/>
              <w:rPr>
                <w:color w:val="auto"/>
                <w:highlight w:val="none"/>
              </w:rPr>
            </w:pPr>
          </w:p>
        </w:tc>
        <w:tc>
          <w:tcPr>
            <w:tcW w:w="306" w:type="pct"/>
            <w:tcBorders>
              <w:tl2br w:val="nil"/>
              <w:tr2bl w:val="nil"/>
            </w:tcBorders>
            <w:vAlign w:val="center"/>
          </w:tcPr>
          <w:p>
            <w:pPr>
              <w:pStyle w:val="22"/>
              <w:bidi w:val="0"/>
              <w:rPr>
                <w:color w:val="auto"/>
                <w:highlight w:val="none"/>
              </w:rPr>
            </w:pP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B</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Ⅱ</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color w:val="auto"/>
                <w:highlight w:val="none"/>
              </w:rPr>
              <w:t>土壤</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±3R</w:t>
            </w:r>
          </w:p>
        </w:tc>
        <w:tc>
          <w:tcPr>
            <w:tcW w:w="438" w:type="pct"/>
            <w:tcBorders>
              <w:tl2br w:val="nil"/>
              <w:tr2bl w:val="nil"/>
            </w:tcBorders>
            <w:vAlign w:val="center"/>
          </w:tcPr>
          <w:p>
            <w:pPr>
              <w:pStyle w:val="22"/>
              <w:bidi w:val="0"/>
              <w:rPr>
                <w:color w:val="auto"/>
                <w:highlight w:val="none"/>
              </w:rPr>
            </w:pPr>
            <w:r>
              <w:rPr>
                <w:color w:val="auto"/>
                <w:highlight w:val="none"/>
              </w:rPr>
              <w:t>±3R</w:t>
            </w:r>
          </w:p>
        </w:tc>
        <w:tc>
          <w:tcPr>
            <w:tcW w:w="571" w:type="pct"/>
            <w:tcBorders>
              <w:tl2br w:val="nil"/>
              <w:tr2bl w:val="nil"/>
            </w:tcBorders>
            <w:vAlign w:val="center"/>
          </w:tcPr>
          <w:p>
            <w:pPr>
              <w:pStyle w:val="22"/>
              <w:bidi w:val="0"/>
              <w:rPr>
                <w:color w:val="auto"/>
                <w:highlight w:val="none"/>
              </w:rPr>
            </w:pPr>
            <w:r>
              <w:rPr>
                <w:color w:val="auto"/>
                <w:highlight w:val="none"/>
              </w:rPr>
              <w:t>±3R</w:t>
            </w:r>
          </w:p>
        </w:tc>
        <w:tc>
          <w:tcPr>
            <w:tcW w:w="306" w:type="pct"/>
            <w:tcBorders>
              <w:tl2br w:val="nil"/>
              <w:tr2bl w:val="nil"/>
            </w:tcBorders>
            <w:vAlign w:val="center"/>
          </w:tcPr>
          <w:p>
            <w:pPr>
              <w:pStyle w:val="22"/>
              <w:bidi w:val="0"/>
              <w:rPr>
                <w:color w:val="auto"/>
                <w:highlight w:val="none"/>
              </w:rPr>
            </w:pPr>
            <w:r>
              <w:rPr>
                <w:color w:val="auto"/>
                <w:highlight w:val="none"/>
              </w:rPr>
              <w:t>-3L</w:t>
            </w:r>
          </w:p>
        </w:tc>
        <w:tc>
          <w:tcPr>
            <w:tcW w:w="306" w:type="pct"/>
            <w:tcBorders>
              <w:tl2br w:val="nil"/>
              <w:tr2bl w:val="nil"/>
            </w:tcBorders>
            <w:vAlign w:val="center"/>
          </w:tcPr>
          <w:p>
            <w:pPr>
              <w:pStyle w:val="22"/>
              <w:bidi w:val="0"/>
              <w:rPr>
                <w:color w:val="auto"/>
                <w:highlight w:val="none"/>
              </w:rPr>
            </w:pPr>
          </w:p>
        </w:tc>
        <w:tc>
          <w:tcPr>
            <w:tcW w:w="309" w:type="pct"/>
            <w:tcBorders>
              <w:tl2br w:val="nil"/>
              <w:tr2bl w:val="nil"/>
            </w:tcBorders>
            <w:vAlign w:val="center"/>
          </w:tcPr>
          <w:p>
            <w:pPr>
              <w:pStyle w:val="22"/>
              <w:bidi w:val="0"/>
              <w:rPr>
                <w:color w:val="auto"/>
                <w:highlight w:val="none"/>
              </w:rPr>
            </w:pP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A</w:t>
            </w:r>
          </w:p>
        </w:tc>
        <w:tc>
          <w:tcPr>
            <w:tcW w:w="438" w:type="pct"/>
            <w:tcBorders>
              <w:tl2br w:val="nil"/>
              <w:tr2bl w:val="nil"/>
            </w:tcBorders>
            <w:vAlign w:val="center"/>
          </w:tcPr>
          <w:p>
            <w:pPr>
              <w:pStyle w:val="22"/>
              <w:bidi w:val="0"/>
              <w:rPr>
                <w:color w:val="auto"/>
                <w:highlight w:val="none"/>
              </w:rPr>
            </w:pPr>
            <w:r>
              <w:rPr>
                <w:rFonts w:hint="eastAsia"/>
                <w:color w:val="auto"/>
                <w:highlight w:val="none"/>
              </w:rPr>
              <w:t>Ⅱ</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rFonts w:hint="eastAsia"/>
                <w:color w:val="auto"/>
                <w:highlight w:val="none"/>
              </w:rPr>
              <w:t>保护对象</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-1L</w:t>
            </w:r>
          </w:p>
        </w:tc>
        <w:tc>
          <w:tcPr>
            <w:tcW w:w="438"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-3R</w:t>
            </w:r>
          </w:p>
        </w:tc>
        <w:tc>
          <w:tcPr>
            <w:tcW w:w="306" w:type="pct"/>
            <w:tcBorders>
              <w:tl2br w:val="nil"/>
              <w:tr2bl w:val="nil"/>
            </w:tcBorders>
            <w:vAlign w:val="center"/>
          </w:tcPr>
          <w:p>
            <w:pPr>
              <w:pStyle w:val="22"/>
              <w:bidi w:val="0"/>
              <w:rPr>
                <w:color w:val="auto"/>
                <w:highlight w:val="none"/>
              </w:rPr>
            </w:pPr>
            <w:r>
              <w:rPr>
                <w:color w:val="auto"/>
                <w:highlight w:val="none"/>
              </w:rPr>
              <w:t>-3L</w:t>
            </w:r>
          </w:p>
        </w:tc>
        <w:tc>
          <w:tcPr>
            <w:tcW w:w="306" w:type="pct"/>
            <w:tcBorders>
              <w:tl2br w:val="nil"/>
              <w:tr2bl w:val="nil"/>
            </w:tcBorders>
            <w:vAlign w:val="center"/>
          </w:tcPr>
          <w:p>
            <w:pPr>
              <w:pStyle w:val="22"/>
              <w:bidi w:val="0"/>
              <w:rPr>
                <w:color w:val="auto"/>
                <w:highlight w:val="none"/>
              </w:rPr>
            </w:pPr>
            <w:r>
              <w:rPr>
                <w:color w:val="auto"/>
                <w:highlight w:val="none"/>
              </w:rPr>
              <w:t>-3L</w:t>
            </w:r>
          </w:p>
        </w:tc>
        <w:tc>
          <w:tcPr>
            <w:tcW w:w="309" w:type="pct"/>
            <w:tcBorders>
              <w:tl2br w:val="nil"/>
              <w:tr2bl w:val="nil"/>
            </w:tcBorders>
            <w:vAlign w:val="center"/>
          </w:tcPr>
          <w:p>
            <w:pPr>
              <w:pStyle w:val="22"/>
              <w:bidi w:val="0"/>
              <w:rPr>
                <w:color w:val="auto"/>
                <w:highlight w:val="none"/>
              </w:rPr>
            </w:pPr>
            <w:r>
              <w:rPr>
                <w:color w:val="auto"/>
                <w:highlight w:val="none"/>
              </w:rPr>
              <w:t>+1R</w:t>
            </w: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B</w:t>
            </w:r>
          </w:p>
        </w:tc>
        <w:tc>
          <w:tcPr>
            <w:tcW w:w="438" w:type="pct"/>
            <w:tcBorders>
              <w:tl2br w:val="nil"/>
              <w:tr2bl w:val="nil"/>
            </w:tcBorders>
            <w:vAlign w:val="center"/>
          </w:tcPr>
          <w:p>
            <w:pPr>
              <w:pStyle w:val="22"/>
              <w:bidi w:val="0"/>
              <w:rPr>
                <w:color w:val="auto"/>
                <w:highlight w:val="none"/>
              </w:rPr>
            </w:pPr>
            <w:r>
              <w:rPr>
                <w:color w:val="auto"/>
                <w:highlight w:val="none"/>
              </w:rPr>
              <w:t>Ⅰ</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cantSplit/>
          <w:trHeight w:val="425" w:hRule="atLeast"/>
          <w:jc w:val="center"/>
        </w:trPr>
        <w:tc>
          <w:tcPr>
            <w:tcW w:w="703" w:type="pct"/>
            <w:tcBorders>
              <w:tl2br w:val="nil"/>
              <w:tr2bl w:val="nil"/>
            </w:tcBorders>
            <w:vAlign w:val="center"/>
          </w:tcPr>
          <w:p>
            <w:pPr>
              <w:pStyle w:val="22"/>
              <w:bidi w:val="0"/>
              <w:rPr>
                <w:color w:val="auto"/>
                <w:highlight w:val="none"/>
              </w:rPr>
            </w:pPr>
            <w:r>
              <w:rPr>
                <w:rFonts w:hint="eastAsia"/>
                <w:color w:val="auto"/>
                <w:highlight w:val="none"/>
              </w:rPr>
              <w:t>生态系统</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306" w:type="pct"/>
            <w:tcBorders>
              <w:tl2br w:val="nil"/>
              <w:tr2bl w:val="nil"/>
            </w:tcBorders>
            <w:vAlign w:val="center"/>
          </w:tcPr>
          <w:p>
            <w:pPr>
              <w:pStyle w:val="22"/>
              <w:bidi w:val="0"/>
              <w:rPr>
                <w:color w:val="auto"/>
                <w:highlight w:val="none"/>
              </w:rPr>
            </w:pPr>
            <w:r>
              <w:rPr>
                <w:color w:val="auto"/>
                <w:highlight w:val="none"/>
              </w:rPr>
              <w:t>-1L</w:t>
            </w:r>
          </w:p>
        </w:tc>
        <w:tc>
          <w:tcPr>
            <w:tcW w:w="571" w:type="pct"/>
            <w:tcBorders>
              <w:tl2br w:val="nil"/>
              <w:tr2bl w:val="nil"/>
            </w:tcBorders>
            <w:vAlign w:val="center"/>
          </w:tcPr>
          <w:p>
            <w:pPr>
              <w:pStyle w:val="22"/>
              <w:bidi w:val="0"/>
              <w:rPr>
                <w:color w:val="auto"/>
                <w:highlight w:val="none"/>
              </w:rPr>
            </w:pPr>
            <w:r>
              <w:rPr>
                <w:color w:val="auto"/>
                <w:highlight w:val="none"/>
              </w:rPr>
              <w:t>-2L</w:t>
            </w:r>
          </w:p>
        </w:tc>
        <w:tc>
          <w:tcPr>
            <w:tcW w:w="438" w:type="pct"/>
            <w:tcBorders>
              <w:tl2br w:val="nil"/>
              <w:tr2bl w:val="nil"/>
            </w:tcBorders>
            <w:vAlign w:val="center"/>
          </w:tcPr>
          <w:p>
            <w:pPr>
              <w:pStyle w:val="22"/>
              <w:bidi w:val="0"/>
              <w:rPr>
                <w:color w:val="auto"/>
                <w:highlight w:val="none"/>
              </w:rPr>
            </w:pPr>
            <w:r>
              <w:rPr>
                <w:color w:val="auto"/>
                <w:highlight w:val="none"/>
              </w:rPr>
              <w:t>-3L</w:t>
            </w:r>
          </w:p>
        </w:tc>
        <w:tc>
          <w:tcPr>
            <w:tcW w:w="571" w:type="pct"/>
            <w:tcBorders>
              <w:tl2br w:val="nil"/>
              <w:tr2bl w:val="nil"/>
            </w:tcBorders>
            <w:vAlign w:val="center"/>
          </w:tcPr>
          <w:p>
            <w:pPr>
              <w:pStyle w:val="22"/>
              <w:bidi w:val="0"/>
              <w:rPr>
                <w:color w:val="auto"/>
                <w:highlight w:val="none"/>
              </w:rPr>
            </w:pPr>
            <w:r>
              <w:rPr>
                <w:color w:val="auto"/>
                <w:highlight w:val="none"/>
              </w:rPr>
              <w:t>-3L</w:t>
            </w:r>
          </w:p>
        </w:tc>
        <w:tc>
          <w:tcPr>
            <w:tcW w:w="306" w:type="pct"/>
            <w:tcBorders>
              <w:tl2br w:val="nil"/>
              <w:tr2bl w:val="nil"/>
            </w:tcBorders>
            <w:vAlign w:val="center"/>
          </w:tcPr>
          <w:p>
            <w:pPr>
              <w:pStyle w:val="22"/>
              <w:bidi w:val="0"/>
              <w:rPr>
                <w:color w:val="auto"/>
                <w:highlight w:val="none"/>
              </w:rPr>
            </w:pPr>
            <w:r>
              <w:rPr>
                <w:color w:val="auto"/>
                <w:highlight w:val="none"/>
              </w:rPr>
              <w:t>-3L</w:t>
            </w:r>
          </w:p>
        </w:tc>
        <w:tc>
          <w:tcPr>
            <w:tcW w:w="306" w:type="pct"/>
            <w:tcBorders>
              <w:tl2br w:val="nil"/>
              <w:tr2bl w:val="nil"/>
            </w:tcBorders>
            <w:vAlign w:val="center"/>
          </w:tcPr>
          <w:p>
            <w:pPr>
              <w:pStyle w:val="22"/>
              <w:bidi w:val="0"/>
              <w:rPr>
                <w:color w:val="auto"/>
                <w:highlight w:val="none"/>
              </w:rPr>
            </w:pPr>
            <w:r>
              <w:rPr>
                <w:color w:val="auto"/>
                <w:highlight w:val="none"/>
              </w:rPr>
              <w:t>-2L</w:t>
            </w:r>
          </w:p>
        </w:tc>
        <w:tc>
          <w:tcPr>
            <w:tcW w:w="309" w:type="pct"/>
            <w:tcBorders>
              <w:tl2br w:val="nil"/>
              <w:tr2bl w:val="nil"/>
            </w:tcBorders>
            <w:vAlign w:val="center"/>
          </w:tcPr>
          <w:p>
            <w:pPr>
              <w:pStyle w:val="22"/>
              <w:bidi w:val="0"/>
              <w:rPr>
                <w:color w:val="auto"/>
                <w:highlight w:val="none"/>
              </w:rPr>
            </w:pPr>
            <w:r>
              <w:rPr>
                <w:color w:val="auto"/>
                <w:highlight w:val="none"/>
              </w:rPr>
              <w:t>+3R</w:t>
            </w:r>
          </w:p>
        </w:tc>
        <w:tc>
          <w:tcPr>
            <w:tcW w:w="438" w:type="pct"/>
            <w:tcBorders>
              <w:tl2br w:val="nil"/>
              <w:tr2bl w:val="nil"/>
            </w:tcBorders>
            <w:vAlign w:val="center"/>
          </w:tcPr>
          <w:p>
            <w:pPr>
              <w:pStyle w:val="22"/>
              <w:bidi w:val="0"/>
              <w:rPr>
                <w:color w:val="auto"/>
                <w:highlight w:val="none"/>
              </w:rPr>
            </w:pPr>
            <w:r>
              <w:rPr>
                <w:color w:val="auto"/>
                <w:highlight w:val="none"/>
              </w:rPr>
              <w:t>+</w:t>
            </w:r>
          </w:p>
        </w:tc>
        <w:tc>
          <w:tcPr>
            <w:tcW w:w="306" w:type="pct"/>
            <w:tcBorders>
              <w:tl2br w:val="nil"/>
              <w:tr2bl w:val="nil"/>
            </w:tcBorders>
            <w:vAlign w:val="center"/>
          </w:tcPr>
          <w:p>
            <w:pPr>
              <w:pStyle w:val="22"/>
              <w:bidi w:val="0"/>
              <w:rPr>
                <w:color w:val="auto"/>
                <w:highlight w:val="none"/>
              </w:rPr>
            </w:pPr>
            <w:r>
              <w:rPr>
                <w:color w:val="auto"/>
                <w:highlight w:val="none"/>
              </w:rPr>
              <w:t>B</w:t>
            </w:r>
          </w:p>
        </w:tc>
        <w:tc>
          <w:tcPr>
            <w:tcW w:w="438" w:type="pct"/>
            <w:tcBorders>
              <w:tl2br w:val="nil"/>
              <w:tr2bl w:val="nil"/>
            </w:tcBorders>
            <w:vAlign w:val="center"/>
          </w:tcPr>
          <w:p>
            <w:pPr>
              <w:pStyle w:val="22"/>
              <w:bidi w:val="0"/>
              <w:rPr>
                <w:color w:val="auto"/>
                <w:highlight w:val="none"/>
              </w:rPr>
            </w:pPr>
            <w:r>
              <w:rPr>
                <w:color w:val="auto"/>
                <w:highlight w:val="none"/>
              </w:rPr>
              <w:t>Ⅰ</w:t>
            </w:r>
          </w:p>
        </w:tc>
      </w:tr>
    </w:tbl>
    <w:p>
      <w:pPr>
        <w:spacing w:line="276" w:lineRule="auto"/>
        <w:ind w:firstLine="420"/>
        <w:jc w:val="both"/>
        <w:rPr>
          <w:rFonts w:eastAsia="华文仿宋"/>
          <w:color w:val="auto"/>
          <w:sz w:val="21"/>
          <w:szCs w:val="21"/>
          <w:highlight w:val="none"/>
        </w:rPr>
      </w:pPr>
      <w:r>
        <w:rPr>
          <w:rFonts w:eastAsia="华文仿宋"/>
          <w:color w:val="auto"/>
          <w:sz w:val="21"/>
          <w:szCs w:val="21"/>
          <w:highlight w:val="none"/>
        </w:rPr>
        <w:t>注：</w:t>
      </w:r>
      <w:r>
        <w:rPr>
          <w:rFonts w:hint="eastAsia" w:ascii="宋体" w:hAnsi="宋体" w:cs="宋体"/>
          <w:color w:val="auto"/>
          <w:sz w:val="21"/>
          <w:szCs w:val="21"/>
          <w:highlight w:val="none"/>
        </w:rPr>
        <w:t>①</w:t>
      </w:r>
      <w:r>
        <w:rPr>
          <w:rFonts w:eastAsia="华文仿宋"/>
          <w:color w:val="auto"/>
          <w:sz w:val="21"/>
          <w:szCs w:val="21"/>
          <w:highlight w:val="none"/>
        </w:rPr>
        <w:t>＋、－、±分别表示有利影响、不利影响、影响不明确；</w:t>
      </w:r>
      <w:r>
        <w:rPr>
          <w:rFonts w:hint="eastAsia" w:ascii="宋体" w:hAnsi="宋体" w:cs="宋体"/>
          <w:color w:val="auto"/>
          <w:sz w:val="21"/>
          <w:szCs w:val="21"/>
          <w:highlight w:val="none"/>
        </w:rPr>
        <w:t>②</w:t>
      </w:r>
      <w:r>
        <w:rPr>
          <w:rFonts w:eastAsia="华文仿宋"/>
          <w:color w:val="auto"/>
          <w:sz w:val="21"/>
          <w:szCs w:val="21"/>
          <w:highlight w:val="none"/>
        </w:rPr>
        <w:t>1、2、3分别表示影响程度的</w:t>
      </w:r>
      <w:r>
        <w:rPr>
          <w:rFonts w:hint="eastAsia" w:eastAsia="华文仿宋"/>
          <w:color w:val="auto"/>
          <w:sz w:val="21"/>
          <w:szCs w:val="21"/>
          <w:highlight w:val="none"/>
        </w:rPr>
        <w:t>小</w:t>
      </w:r>
      <w:r>
        <w:rPr>
          <w:rFonts w:eastAsia="华文仿宋"/>
          <w:color w:val="auto"/>
          <w:sz w:val="21"/>
          <w:szCs w:val="21"/>
          <w:highlight w:val="none"/>
        </w:rPr>
        <w:t>、中、</w:t>
      </w:r>
      <w:r>
        <w:rPr>
          <w:rFonts w:hint="eastAsia" w:eastAsia="华文仿宋"/>
          <w:color w:val="auto"/>
          <w:sz w:val="21"/>
          <w:szCs w:val="21"/>
          <w:highlight w:val="none"/>
        </w:rPr>
        <w:t>大</w:t>
      </w:r>
      <w:r>
        <w:rPr>
          <w:rFonts w:eastAsia="华文仿宋"/>
          <w:color w:val="auto"/>
          <w:sz w:val="21"/>
          <w:szCs w:val="21"/>
          <w:highlight w:val="none"/>
        </w:rPr>
        <w:t>；</w:t>
      </w:r>
      <w:r>
        <w:rPr>
          <w:rFonts w:hint="eastAsia" w:ascii="宋体" w:hAnsi="宋体" w:cs="宋体"/>
          <w:color w:val="auto"/>
          <w:sz w:val="21"/>
          <w:szCs w:val="21"/>
          <w:highlight w:val="none"/>
        </w:rPr>
        <w:t>③</w:t>
      </w:r>
      <w:r>
        <w:rPr>
          <w:rFonts w:eastAsia="华文仿宋"/>
          <w:color w:val="auto"/>
          <w:sz w:val="21"/>
          <w:szCs w:val="21"/>
          <w:highlight w:val="none"/>
        </w:rPr>
        <w:t>R、L分别表示影响为可逆和不可逆；</w:t>
      </w:r>
      <w:r>
        <w:rPr>
          <w:rFonts w:hint="eastAsia" w:ascii="宋体" w:hAnsi="宋体" w:cs="宋体"/>
          <w:color w:val="auto"/>
          <w:sz w:val="21"/>
          <w:szCs w:val="21"/>
          <w:highlight w:val="none"/>
        </w:rPr>
        <w:t>④</w:t>
      </w:r>
      <w:r>
        <w:rPr>
          <w:rFonts w:eastAsia="华文仿宋"/>
          <w:color w:val="auto"/>
          <w:sz w:val="21"/>
          <w:szCs w:val="21"/>
          <w:highlight w:val="none"/>
        </w:rPr>
        <w:t>A表示规划区及周围环境，B表示施工区；</w:t>
      </w:r>
      <w:r>
        <w:rPr>
          <w:rFonts w:hint="eastAsia" w:ascii="宋体" w:hAnsi="宋体" w:cs="宋体"/>
          <w:color w:val="auto"/>
          <w:sz w:val="21"/>
          <w:szCs w:val="21"/>
          <w:highlight w:val="none"/>
        </w:rPr>
        <w:t>⑤</w:t>
      </w:r>
      <w:r>
        <w:rPr>
          <w:rFonts w:eastAsia="华文仿宋"/>
          <w:color w:val="auto"/>
          <w:sz w:val="21"/>
          <w:szCs w:val="21"/>
          <w:highlight w:val="none"/>
        </w:rPr>
        <w:t>Ⅰ、Ⅱ、Ⅲ分别表示该因子的地位相对重要、相对次要、可忽略。</w:t>
      </w:r>
    </w:p>
    <w:p>
      <w:pPr>
        <w:pStyle w:val="7"/>
        <w:bidi w:val="0"/>
        <w:rPr>
          <w:color w:val="auto"/>
          <w:highlight w:val="none"/>
        </w:rPr>
      </w:pPr>
      <w:bookmarkStart w:id="328" w:name="_Toc88697633"/>
      <w:r>
        <w:rPr>
          <w:rFonts w:hint="eastAsia"/>
          <w:color w:val="auto"/>
          <w:highlight w:val="none"/>
        </w:rPr>
        <w:t>5.</w:t>
      </w:r>
      <w:r>
        <w:rPr>
          <w:rFonts w:hint="eastAsia"/>
          <w:color w:val="auto"/>
          <w:highlight w:val="none"/>
          <w:lang w:val="en-US" w:eastAsia="zh-CN"/>
        </w:rPr>
        <w:t>1.2.</w:t>
      </w:r>
      <w:r>
        <w:rPr>
          <w:rFonts w:hint="eastAsia"/>
          <w:color w:val="auto"/>
          <w:highlight w:val="none"/>
        </w:rPr>
        <w:t>2 生态影响预测内容及方法</w:t>
      </w:r>
      <w:bookmarkEnd w:id="328"/>
    </w:p>
    <w:p>
      <w:pPr>
        <w:bidi w:val="0"/>
        <w:rPr>
          <w:color w:val="auto"/>
          <w:highlight w:val="none"/>
        </w:rPr>
      </w:pPr>
      <w:bookmarkStart w:id="329" w:name="_Toc88697634"/>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生态影响预测内容</w:t>
      </w:r>
      <w:bookmarkEnd w:id="329"/>
    </w:p>
    <w:p>
      <w:pPr>
        <w:bidi w:val="0"/>
        <w:rPr>
          <w:color w:val="auto"/>
          <w:highlight w:val="none"/>
        </w:rPr>
      </w:pPr>
      <w:r>
        <w:rPr>
          <w:color w:val="auto"/>
          <w:highlight w:val="none"/>
        </w:rPr>
        <w:t>根据</w:t>
      </w:r>
      <w:r>
        <w:rPr>
          <w:rFonts w:hint="eastAsia"/>
          <w:color w:val="auto"/>
          <w:highlight w:val="none"/>
        </w:rPr>
        <w:t>大竹县</w:t>
      </w:r>
      <w:r>
        <w:rPr>
          <w:color w:val="auto"/>
          <w:highlight w:val="none"/>
        </w:rPr>
        <w:t>煤炭矿区总体规划项目评价区内生态环境现状，再叠加区域现有和规划建设项目的基础上，分析项目规划实施所产生的生态影响；结合项目特点及区域生态调查成果，预测生态影响结果。</w:t>
      </w:r>
    </w:p>
    <w:p>
      <w:pPr>
        <w:bidi w:val="0"/>
        <w:rPr>
          <w:color w:val="auto"/>
          <w:highlight w:val="none"/>
        </w:rPr>
      </w:pPr>
      <w:r>
        <w:rPr>
          <w:rFonts w:hint="eastAsia"/>
          <w:color w:val="auto"/>
          <w:highlight w:val="none"/>
          <w:lang w:eastAsia="zh-CN"/>
        </w:rPr>
        <w:t>①</w:t>
      </w:r>
      <w:r>
        <w:rPr>
          <w:color w:val="auto"/>
          <w:highlight w:val="none"/>
        </w:rPr>
        <w:t>自然资源重点分析土地、野生动植物等可能的变化。</w:t>
      </w:r>
    </w:p>
    <w:p>
      <w:pPr>
        <w:bidi w:val="0"/>
        <w:rPr>
          <w:color w:val="auto"/>
          <w:highlight w:val="none"/>
        </w:rPr>
      </w:pPr>
      <w:r>
        <w:rPr>
          <w:rFonts w:hint="eastAsia"/>
          <w:color w:val="auto"/>
          <w:highlight w:val="none"/>
          <w:lang w:eastAsia="zh-CN"/>
        </w:rPr>
        <w:t>②</w:t>
      </w:r>
      <w:r>
        <w:rPr>
          <w:color w:val="auto"/>
          <w:highlight w:val="none"/>
        </w:rPr>
        <w:t>根据评价区域植被类型及分布、植物种类组成、野生动物种类等，分析项目规划建设对区域陆生动植物多样性的影响。</w:t>
      </w:r>
    </w:p>
    <w:p>
      <w:pPr>
        <w:bidi w:val="0"/>
        <w:rPr>
          <w:color w:val="auto"/>
          <w:highlight w:val="none"/>
        </w:rPr>
      </w:pPr>
      <w:r>
        <w:rPr>
          <w:rFonts w:hint="eastAsia"/>
          <w:color w:val="auto"/>
          <w:highlight w:val="none"/>
          <w:lang w:eastAsia="zh-CN"/>
        </w:rPr>
        <w:t>③</w:t>
      </w:r>
      <w:r>
        <w:rPr>
          <w:color w:val="auto"/>
          <w:highlight w:val="none"/>
        </w:rPr>
        <w:t>生态系统及景观重点分析生态系统类型、面积、分布、结构、功能及基质构成、廊道等可能变化。</w:t>
      </w:r>
    </w:p>
    <w:p>
      <w:pPr>
        <w:bidi w:val="0"/>
        <w:rPr>
          <w:color w:val="auto"/>
          <w:highlight w:val="none"/>
        </w:rPr>
      </w:pPr>
      <w:r>
        <w:rPr>
          <w:rFonts w:hint="eastAsia"/>
          <w:color w:val="auto"/>
          <w:highlight w:val="none"/>
          <w:lang w:eastAsia="zh-CN"/>
        </w:rPr>
        <w:t>④</w:t>
      </w:r>
      <w:r>
        <w:rPr>
          <w:color w:val="auto"/>
          <w:highlight w:val="none"/>
        </w:rPr>
        <w:t>根据评价区内主要保护动植物的种类、分布及现状，分析项目规划建设对其影响的程度和方式。</w:t>
      </w:r>
    </w:p>
    <w:p>
      <w:pPr>
        <w:bidi w:val="0"/>
        <w:rPr>
          <w:color w:val="auto"/>
          <w:highlight w:val="none"/>
        </w:rPr>
      </w:pPr>
      <w:r>
        <w:rPr>
          <w:rFonts w:hint="eastAsia"/>
          <w:color w:val="auto"/>
          <w:highlight w:val="none"/>
          <w:lang w:eastAsia="zh-CN"/>
        </w:rPr>
        <w:t>⑤</w:t>
      </w:r>
      <w:r>
        <w:rPr>
          <w:color w:val="auto"/>
          <w:highlight w:val="none"/>
        </w:rPr>
        <w:t>生态风险重点分析地质灾害、外来物种入侵等发生的几率。</w:t>
      </w:r>
    </w:p>
    <w:p>
      <w:pPr>
        <w:bidi w:val="0"/>
        <w:rPr>
          <w:color w:val="auto"/>
          <w:highlight w:val="none"/>
        </w:rPr>
      </w:pPr>
      <w:bookmarkStart w:id="330" w:name="_Toc88697635"/>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生态影响评价方法</w:t>
      </w:r>
      <w:bookmarkEnd w:id="330"/>
    </w:p>
    <w:p>
      <w:pPr>
        <w:bidi w:val="0"/>
        <w:rPr>
          <w:color w:val="auto"/>
          <w:highlight w:val="none"/>
        </w:rPr>
      </w:pPr>
      <w:r>
        <w:rPr>
          <w:color w:val="auto"/>
          <w:highlight w:val="none"/>
        </w:rPr>
        <w:t>根据《环境影响评价技术导则 生态影响》（HJ19-2011）等相关行业标准，结合有关文献资料及生态影响评价工作实践，采用定性与定量相结合的方法对生态影响进行预测；包括：图形叠置法、生态机理分析法、类比法、景观生态学方法等；分别从项目规划</w:t>
      </w:r>
      <w:r>
        <w:rPr>
          <w:rFonts w:hint="eastAsia"/>
          <w:color w:val="auto"/>
          <w:highlight w:val="none"/>
        </w:rPr>
        <w:t>地质勘探、规划</w:t>
      </w:r>
      <w:r>
        <w:rPr>
          <w:color w:val="auto"/>
          <w:highlight w:val="none"/>
        </w:rPr>
        <w:t>建设和矿区运营</w:t>
      </w:r>
      <w:r>
        <w:rPr>
          <w:rFonts w:hint="eastAsia"/>
          <w:color w:val="auto"/>
          <w:highlight w:val="none"/>
        </w:rPr>
        <w:t>、生态恢复阶段</w:t>
      </w:r>
      <w:r>
        <w:rPr>
          <w:color w:val="auto"/>
          <w:highlight w:val="none"/>
        </w:rPr>
        <w:t>对区域生态影响各评价指标的变化程度进行调查、预测，再综合得出最终评价结论。</w:t>
      </w:r>
    </w:p>
    <w:p>
      <w:pPr>
        <w:pStyle w:val="7"/>
        <w:bidi w:val="0"/>
        <w:rPr>
          <w:color w:val="auto"/>
          <w:highlight w:val="none"/>
        </w:rPr>
      </w:pPr>
      <w:bookmarkStart w:id="331" w:name="_Toc88697636"/>
      <w:r>
        <w:rPr>
          <w:rFonts w:hint="eastAsia"/>
          <w:color w:val="auto"/>
          <w:highlight w:val="none"/>
        </w:rPr>
        <w:t>5</w:t>
      </w:r>
      <w:r>
        <w:rPr>
          <w:color w:val="auto"/>
          <w:highlight w:val="none"/>
        </w:rPr>
        <w:t>.</w:t>
      </w:r>
      <w:r>
        <w:rPr>
          <w:rFonts w:hint="eastAsia"/>
          <w:color w:val="auto"/>
          <w:highlight w:val="none"/>
          <w:lang w:val="en-US" w:eastAsia="zh-CN"/>
        </w:rPr>
        <w:t>1.2.</w:t>
      </w:r>
      <w:r>
        <w:rPr>
          <w:color w:val="auto"/>
          <w:highlight w:val="none"/>
        </w:rPr>
        <w:t xml:space="preserve">3 </w:t>
      </w:r>
      <w:r>
        <w:rPr>
          <w:rFonts w:hint="eastAsia"/>
          <w:color w:val="auto"/>
          <w:highlight w:val="none"/>
        </w:rPr>
        <w:t>项目矿区地质勘探的影响分析</w:t>
      </w:r>
      <w:bookmarkEnd w:id="331"/>
    </w:p>
    <w:p>
      <w:pPr>
        <w:bidi w:val="0"/>
        <w:rPr>
          <w:color w:val="auto"/>
          <w:highlight w:val="none"/>
        </w:rPr>
      </w:pPr>
      <w:r>
        <w:rPr>
          <w:rFonts w:hint="eastAsia"/>
          <w:color w:val="auto"/>
          <w:highlight w:val="none"/>
        </w:rPr>
        <w:t>大竹县煤炭矿区规划区内现设置有探矿权2个，即四川川煤华荣能源有限责任公司柏林煤矿采矿权延伸勘查，勘查面积12.52km</w:t>
      </w:r>
      <w:r>
        <w:rPr>
          <w:rFonts w:hint="eastAsia"/>
          <w:color w:val="auto"/>
          <w:highlight w:val="none"/>
          <w:vertAlign w:val="superscript"/>
        </w:rPr>
        <w:t>2</w:t>
      </w:r>
      <w:r>
        <w:rPr>
          <w:rFonts w:hint="eastAsia"/>
          <w:color w:val="auto"/>
          <w:highlight w:val="none"/>
        </w:rPr>
        <w:t>，勘查标高：-200m～-600m；四川省大竹县城门洞矿段煤炭详查，勘查面积18.79km</w:t>
      </w:r>
      <w:r>
        <w:rPr>
          <w:rFonts w:hint="eastAsia"/>
          <w:color w:val="auto"/>
          <w:highlight w:val="none"/>
          <w:vertAlign w:val="superscript"/>
        </w:rPr>
        <w:t>2</w:t>
      </w:r>
      <w:r>
        <w:rPr>
          <w:rFonts w:hint="eastAsia"/>
          <w:color w:val="auto"/>
          <w:highlight w:val="none"/>
        </w:rPr>
        <w:t>，勘查许可证有效期为2019年8月22日至2021年8月22日。根据《四川省达州市大竹县煤炭矿区总体规划》（2</w:t>
      </w:r>
      <w:r>
        <w:rPr>
          <w:color w:val="auto"/>
          <w:highlight w:val="none"/>
        </w:rPr>
        <w:t>021</w:t>
      </w:r>
      <w:r>
        <w:rPr>
          <w:rFonts w:hint="eastAsia"/>
          <w:color w:val="auto"/>
          <w:highlight w:val="none"/>
        </w:rPr>
        <w:t>年10月），规划在中山矿段拟新设1个探矿权，即四川省大竹县堡子煤矿煤炭延伸勘探勘查，</w:t>
      </w:r>
      <w:r>
        <w:rPr>
          <w:color w:val="auto"/>
          <w:highlight w:val="none"/>
        </w:rPr>
        <w:t>拟设置延伸勘查</w:t>
      </w:r>
      <w:r>
        <w:rPr>
          <w:rFonts w:hint="eastAsia"/>
          <w:color w:val="auto"/>
          <w:highlight w:val="none"/>
        </w:rPr>
        <w:t>规划区块</w:t>
      </w:r>
      <w:r>
        <w:rPr>
          <w:color w:val="auto"/>
          <w:highlight w:val="none"/>
        </w:rPr>
        <w:t>范围由现矿</w:t>
      </w:r>
      <w:r>
        <w:rPr>
          <w:rFonts w:hint="eastAsia"/>
          <w:color w:val="auto"/>
          <w:highlight w:val="none"/>
        </w:rPr>
        <w:t>权</w:t>
      </w:r>
      <w:r>
        <w:rPr>
          <w:color w:val="auto"/>
          <w:highlight w:val="none"/>
        </w:rPr>
        <w:t>和延伸扩大两部份组成，走向长约10.3</w:t>
      </w:r>
      <w:r>
        <w:rPr>
          <w:rFonts w:hint="eastAsia"/>
          <w:color w:val="auto"/>
          <w:highlight w:val="none"/>
        </w:rPr>
        <w:t>62</w:t>
      </w:r>
      <w:r>
        <w:rPr>
          <w:color w:val="auto"/>
          <w:highlight w:val="none"/>
        </w:rPr>
        <w:t>km</w:t>
      </w:r>
      <w:r>
        <w:rPr>
          <w:rFonts w:hint="eastAsia"/>
          <w:color w:val="auto"/>
          <w:highlight w:val="none"/>
        </w:rPr>
        <w:t>，</w:t>
      </w:r>
      <w:r>
        <w:rPr>
          <w:color w:val="auto"/>
          <w:highlight w:val="none"/>
        </w:rPr>
        <w:t>倾向宽约0.9</w:t>
      </w:r>
      <w:r>
        <w:rPr>
          <w:rFonts w:hint="eastAsia"/>
          <w:color w:val="auto"/>
          <w:highlight w:val="none"/>
        </w:rPr>
        <w:t>46</w:t>
      </w:r>
      <w:r>
        <w:rPr>
          <w:color w:val="auto"/>
          <w:highlight w:val="none"/>
        </w:rPr>
        <w:t>km，面积</w:t>
      </w:r>
      <w:r>
        <w:rPr>
          <w:rFonts w:hint="eastAsia"/>
          <w:color w:val="auto"/>
          <w:highlight w:val="none"/>
        </w:rPr>
        <w:t>9.8005</w:t>
      </w:r>
      <w:r>
        <w:rPr>
          <w:color w:val="auto"/>
          <w:highlight w:val="none"/>
        </w:rPr>
        <w:t>km</w:t>
      </w:r>
      <w:r>
        <w:rPr>
          <w:color w:val="auto"/>
          <w:highlight w:val="none"/>
          <w:vertAlign w:val="superscript"/>
        </w:rPr>
        <w:t>2</w:t>
      </w:r>
      <w:r>
        <w:rPr>
          <w:color w:val="auto"/>
          <w:highlight w:val="none"/>
        </w:rPr>
        <w:t>。</w:t>
      </w:r>
    </w:p>
    <w:p>
      <w:pPr>
        <w:bidi w:val="0"/>
        <w:rPr>
          <w:color w:val="auto"/>
          <w:highlight w:val="none"/>
        </w:rPr>
      </w:pPr>
      <w:r>
        <w:rPr>
          <w:rFonts w:hint="eastAsia"/>
          <w:color w:val="auto"/>
          <w:highlight w:val="none"/>
        </w:rPr>
        <w:t>矿区勘探期间的主要生态影响为临时便道施工、钻探作业、探洞掘进作业过程所产生的水土流失、植被破坏等。同时，项目作业期间，地表钻探中钻机机坪清理将形成裸露地表，形成斑块状“裸岩”，进而影响景观。</w:t>
      </w:r>
    </w:p>
    <w:p>
      <w:pPr>
        <w:bidi w:val="0"/>
        <w:rPr>
          <w:color w:val="auto"/>
          <w:highlight w:val="none"/>
        </w:rPr>
      </w:pPr>
      <w:bookmarkStart w:id="332" w:name="_Toc88697637"/>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矿区勘探占地的影响分析</w:t>
      </w:r>
      <w:bookmarkEnd w:id="332"/>
    </w:p>
    <w:p>
      <w:pPr>
        <w:bidi w:val="0"/>
        <w:rPr>
          <w:color w:val="auto"/>
          <w:highlight w:val="none"/>
        </w:rPr>
      </w:pPr>
      <w:r>
        <w:rPr>
          <w:rFonts w:hint="eastAsia"/>
          <w:color w:val="auto"/>
          <w:highlight w:val="none"/>
        </w:rPr>
        <w:t>项目矿区勘探作业期间地表占地主要为临时运输便道及钻探的作业机坪占地、临时营地占地等</w:t>
      </w:r>
      <w:r>
        <w:rPr>
          <w:rFonts w:hint="eastAsia"/>
          <w:b/>
          <w:bCs/>
          <w:color w:val="auto"/>
          <w:highlight w:val="none"/>
        </w:rPr>
        <w:t>（规划未对勘探钻孔、钻深、占地规模等作具体说明）</w:t>
      </w:r>
      <w:r>
        <w:rPr>
          <w:rFonts w:hint="eastAsia"/>
          <w:color w:val="auto"/>
          <w:highlight w:val="none"/>
        </w:rPr>
        <w:t>，均为临时占地，钻探施工结束后即进行植被恢复，播撒草籽或种植柏木幼苗、桤木苗。临时运输便道建设中，尽量借助原有林间小道进行修整（设备能够通过即可），尽量不砍伐乔木。钻探结束后，运输便道可不做特殊处理，可用作巡山道路。此外，在区域气候环境和无人为扰动的条件下，临时运输便道扰动区可很快自然恢复成灌草丛。</w:t>
      </w:r>
    </w:p>
    <w:p>
      <w:pPr>
        <w:bidi w:val="0"/>
        <w:rPr>
          <w:color w:val="auto"/>
          <w:highlight w:val="none"/>
        </w:rPr>
      </w:pPr>
      <w:bookmarkStart w:id="333" w:name="_Toc88697638"/>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矿区勘探对植物的影响分析</w:t>
      </w:r>
      <w:bookmarkEnd w:id="333"/>
    </w:p>
    <w:p>
      <w:pPr>
        <w:bidi w:val="0"/>
        <w:rPr>
          <w:color w:val="auto"/>
          <w:highlight w:val="none"/>
        </w:rPr>
      </w:pPr>
      <w:r>
        <w:rPr>
          <w:rFonts w:hint="eastAsia"/>
          <w:color w:val="auto"/>
          <w:highlight w:val="none"/>
        </w:rPr>
        <w:t>项目勘探区主要植被类型为马尾松林、柏木林、竹林等，包含马尾松、柏木、青冈、栎类等多种乔木及水竹、刚竹等，黄荆、马桑、盐肤木、火棘、铁仔、胡枝子等灌木及禾草类、莎草、蕨类等草本植物。项目勘探机坪清理、临时营地搭建、临时运输便道建设等将对区域造成一定的破坏，但影响面积有限（钻机机坪占地一般约</w:t>
      </w:r>
      <w:r>
        <w:rPr>
          <w:color w:val="auto"/>
          <w:highlight w:val="none"/>
        </w:rPr>
        <w:t>15</w:t>
      </w:r>
      <w:r>
        <w:rPr>
          <w:rFonts w:hint="eastAsia"/>
          <w:color w:val="auto"/>
          <w:highlight w:val="none"/>
        </w:rPr>
        <w:t>m</w:t>
      </w:r>
      <w:r>
        <w:rPr>
          <w:color w:val="auto"/>
          <w:highlight w:val="none"/>
          <w:vertAlign w:val="superscript"/>
        </w:rPr>
        <w:t>2</w:t>
      </w:r>
      <w:r>
        <w:rPr>
          <w:rFonts w:hint="eastAsia"/>
          <w:color w:val="auto"/>
          <w:highlight w:val="none"/>
        </w:rPr>
        <w:t>），且扰动地块零星分布，不会造成区域植被的大面积减少及植物多样性的降低。</w:t>
      </w:r>
    </w:p>
    <w:p>
      <w:pPr>
        <w:bidi w:val="0"/>
        <w:rPr>
          <w:color w:val="auto"/>
          <w:highlight w:val="none"/>
        </w:rPr>
      </w:pPr>
      <w:r>
        <w:rPr>
          <w:rFonts w:hint="eastAsia"/>
          <w:color w:val="auto"/>
          <w:highlight w:val="none"/>
        </w:rPr>
        <w:t>因此，项目矿区勘探占地面积相对较小，植被破坏面积有限，仅在地表钻探作业区等可能砍伐少许柏木、马尾松、竹林及灌草丛清理，不会造成植被及植物多样性的显著变化。随着煤炭资源勘探工作的结束和植被恢复的进行，项目勘探作业对植被的影响可得到消减和一定程度的恢复。</w:t>
      </w:r>
    </w:p>
    <w:p>
      <w:pPr>
        <w:bidi w:val="0"/>
        <w:rPr>
          <w:color w:val="auto"/>
          <w:highlight w:val="none"/>
        </w:rPr>
      </w:pPr>
      <w:bookmarkStart w:id="334" w:name="_Toc88697639"/>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矿区勘探对动物的影响分析</w:t>
      </w:r>
      <w:bookmarkEnd w:id="334"/>
    </w:p>
    <w:p>
      <w:pPr>
        <w:bidi w:val="0"/>
        <w:rPr>
          <w:color w:val="auto"/>
          <w:highlight w:val="none"/>
        </w:rPr>
      </w:pPr>
      <w:r>
        <w:rPr>
          <w:rFonts w:hint="eastAsia"/>
          <w:color w:val="auto"/>
          <w:highlight w:val="none"/>
        </w:rPr>
        <w:t>项目勘探区主要为常见的野生的动物，如山麻雀、灰鹡鸰、白鹡鸰等常见鸟类、爬行动物及褐家鼠、小家鼠等。项目勘探施工作业期间，其占地扰动面积小，不会对区域野生动物的生境造成破坏。项目矿区勘探对区域野生动物的影响主要是噪声的惊扰，主要表现在地表钻探的钻机噪声。</w:t>
      </w:r>
    </w:p>
    <w:p>
      <w:pPr>
        <w:bidi w:val="0"/>
        <w:rPr>
          <w:color w:val="auto"/>
          <w:highlight w:val="none"/>
        </w:rPr>
      </w:pPr>
      <w:r>
        <w:rPr>
          <w:rFonts w:hint="eastAsia"/>
          <w:color w:val="auto"/>
          <w:highlight w:val="none"/>
        </w:rPr>
        <w:t>煤炭资源勘探工作时间短，故地表钻探噪声对区域动物的惊扰时间短。受到惊扰的动物会暂离活动区，到邻近区域觅食、活动，不会直接导致动物多样性的减少。另外，在合理安排时间下，可有效降低钻探钻机噪声对区域野生动物的影响。本次评价要求项目煤炭资源勘探之前，做好勘探工作的具体设计工作，明确勘探时间，严格做到避开区域动物的繁殖时期。钻探工作结束后，噪声影响随之消失。随着钻机的搬离、植被恢复等措施的实施，施工迹地得到恢复，野生动物的影响将进一步消减。</w:t>
      </w:r>
    </w:p>
    <w:p>
      <w:pPr>
        <w:bidi w:val="0"/>
        <w:rPr>
          <w:color w:val="auto"/>
          <w:highlight w:val="none"/>
        </w:rPr>
      </w:pPr>
      <w:bookmarkStart w:id="335" w:name="_Toc88697640"/>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矿区勘探对景观的影响分析</w:t>
      </w:r>
      <w:bookmarkEnd w:id="335"/>
    </w:p>
    <w:p>
      <w:pPr>
        <w:bidi w:val="0"/>
        <w:rPr>
          <w:color w:val="auto"/>
          <w:highlight w:val="none"/>
        </w:rPr>
      </w:pPr>
      <w:r>
        <w:rPr>
          <w:rFonts w:hint="eastAsia"/>
          <w:color w:val="auto"/>
          <w:highlight w:val="none"/>
        </w:rPr>
        <w:t>项目矿区勘探期间，临时运输便道的建设及地表钻探作业等将造成一定的地表扰动，形成“裸地”景观斑块，对自然景观有一定的影响。但项目勘探作业所占面积相对较小，同时在施工完成后及时进行迹地恢复，项目对景观的影响较小。</w:t>
      </w:r>
    </w:p>
    <w:p>
      <w:pPr>
        <w:bidi w:val="0"/>
        <w:rPr>
          <w:color w:val="auto"/>
          <w:highlight w:val="none"/>
        </w:rPr>
      </w:pPr>
      <w:r>
        <w:rPr>
          <w:rFonts w:hint="eastAsia"/>
          <w:color w:val="auto"/>
          <w:highlight w:val="none"/>
        </w:rPr>
        <w:t>临时运输便道：项目勘探作业期间，因地表钻探中设备运输要求建设临时运输便道，为减小植被破坏，尽量减小运输便道的宽度、尽量不砍伐乔木，不改变区域林地类型，减小对林地景观的破坏。</w:t>
      </w:r>
    </w:p>
    <w:p>
      <w:pPr>
        <w:bidi w:val="0"/>
        <w:rPr>
          <w:color w:val="auto"/>
          <w:highlight w:val="none"/>
        </w:rPr>
      </w:pPr>
      <w:r>
        <w:rPr>
          <w:rFonts w:hint="eastAsia"/>
          <w:color w:val="auto"/>
          <w:highlight w:val="none"/>
        </w:rPr>
        <w:t>地表钻探机坪：勘探钻机机坪处需进行地表清理，从而产生裸地斑块，在林地景观中形成“林窗”。地表钻孔占地面积小，且分布零散，施工结束后，钻机搬离及植被恢复中种植柏木苗，将扰动地块恢复成柏木林地。如此，地表钻探对景观的影响是暂时的、影响较小，对景观类型、面积等影响不大。</w:t>
      </w:r>
    </w:p>
    <w:p>
      <w:pPr>
        <w:bidi w:val="0"/>
        <w:rPr>
          <w:color w:val="auto"/>
          <w:highlight w:val="none"/>
        </w:rPr>
      </w:pPr>
      <w:bookmarkStart w:id="336" w:name="_Toc88697641"/>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矿区勘探期间水土流失的影响分析</w:t>
      </w:r>
      <w:bookmarkEnd w:id="336"/>
    </w:p>
    <w:p>
      <w:pPr>
        <w:bidi w:val="0"/>
        <w:rPr>
          <w:color w:val="auto"/>
          <w:highlight w:val="none"/>
        </w:rPr>
      </w:pPr>
      <w:r>
        <w:rPr>
          <w:color w:val="auto"/>
          <w:highlight w:val="none"/>
        </w:rPr>
        <w:t>根据达州市</w:t>
      </w:r>
      <w:r>
        <w:rPr>
          <w:rFonts w:hint="eastAsia"/>
          <w:color w:val="auto"/>
          <w:highlight w:val="none"/>
        </w:rPr>
        <w:t>大竹县</w:t>
      </w:r>
      <w:r>
        <w:rPr>
          <w:color w:val="auto"/>
          <w:highlight w:val="none"/>
        </w:rPr>
        <w:t>土壤侵蚀强度分布，</w:t>
      </w:r>
      <w:r>
        <w:rPr>
          <w:rFonts w:hint="eastAsia"/>
          <w:color w:val="auto"/>
          <w:highlight w:val="none"/>
        </w:rPr>
        <w:t>大竹县</w:t>
      </w:r>
      <w:r>
        <w:rPr>
          <w:color w:val="auto"/>
          <w:highlight w:val="none"/>
        </w:rPr>
        <w:t>煤炭矿区总体规划项目</w:t>
      </w:r>
      <w:r>
        <w:rPr>
          <w:rFonts w:hint="eastAsia"/>
          <w:color w:val="auto"/>
          <w:highlight w:val="none"/>
        </w:rPr>
        <w:t>区域</w:t>
      </w:r>
      <w:r>
        <w:rPr>
          <w:color w:val="auto"/>
          <w:highlight w:val="none"/>
        </w:rPr>
        <w:t>水土流失强度为微度～轻度流失区；按照《土壤侵蚀分类分级标准》中土壤侵蚀类型区的范围及特点，项目规划区所在区域水土流失类型以水力侵蚀为主，重力侵蚀为辅。按照《土壤侵蚀分类分级标准》（SL190-2007），本项目所在地区属西南土石山区，容许土壤流失量为500t/km</w:t>
      </w:r>
      <w:r>
        <w:rPr>
          <w:color w:val="auto"/>
          <w:highlight w:val="none"/>
          <w:vertAlign w:val="superscript"/>
        </w:rPr>
        <w:t>2</w:t>
      </w:r>
      <w:r>
        <w:rPr>
          <w:color w:val="auto"/>
          <w:highlight w:val="none"/>
        </w:rPr>
        <w:t>·a。</w:t>
      </w:r>
    </w:p>
    <w:p>
      <w:pPr>
        <w:bidi w:val="0"/>
        <w:rPr>
          <w:color w:val="auto"/>
          <w:highlight w:val="none"/>
        </w:rPr>
      </w:pPr>
      <w:r>
        <w:rPr>
          <w:rFonts w:hint="eastAsia"/>
          <w:color w:val="auto"/>
          <w:highlight w:val="none"/>
        </w:rPr>
        <w:t>项目矿区勘探期间的水土流失影响，主要来自为钻机坪场地平整剥离的表土；勘探产生的钻井岩屑、废弃泥浆及弃土。为减小项目勘探作业期间的水土流失量，项目规划实施前必须做好运输便道的路线规划和施工作业场地选择，最大限度地减小临时占地面积和地表植被破坏，从而减小水土流失量。从项目煤炭勘探占地看，地表钻探地表扰动面积小，加之勘探区域植被生长良好，其水土流失量不会显著增加，其影响为小。</w:t>
      </w:r>
    </w:p>
    <w:p>
      <w:pPr>
        <w:pStyle w:val="7"/>
        <w:bidi w:val="0"/>
        <w:rPr>
          <w:color w:val="auto"/>
          <w:highlight w:val="none"/>
        </w:rPr>
      </w:pPr>
      <w:bookmarkStart w:id="337" w:name="_Toc88697642"/>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4</w:t>
      </w:r>
      <w:r>
        <w:rPr>
          <w:rFonts w:hint="eastAsia"/>
          <w:color w:val="auto"/>
          <w:highlight w:val="none"/>
        </w:rPr>
        <w:t xml:space="preserve"> 项目规划对土地资源的影响分析</w:t>
      </w:r>
      <w:bookmarkEnd w:id="337"/>
    </w:p>
    <w:p>
      <w:pPr>
        <w:bidi w:val="0"/>
        <w:rPr>
          <w:color w:val="auto"/>
          <w:highlight w:val="none"/>
        </w:rPr>
      </w:pPr>
      <w:bookmarkStart w:id="338" w:name="_Toc88697643"/>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项目规划建设占地的影响分析</w:t>
      </w:r>
      <w:bookmarkEnd w:id="338"/>
    </w:p>
    <w:p>
      <w:pPr>
        <w:bidi w:val="0"/>
        <w:rPr>
          <w:color w:val="auto"/>
          <w:highlight w:val="none"/>
        </w:rPr>
      </w:pPr>
      <w:r>
        <w:rPr>
          <w:rFonts w:hint="eastAsia"/>
          <w:color w:val="auto"/>
          <w:highlight w:val="none"/>
          <w:lang w:eastAsia="zh-CN"/>
        </w:rPr>
        <w:t>①</w:t>
      </w:r>
      <w:r>
        <w:rPr>
          <w:rFonts w:hint="eastAsia"/>
          <w:color w:val="auto"/>
          <w:highlight w:val="none"/>
        </w:rPr>
        <w:t>土地利用结构的影响分析</w:t>
      </w:r>
    </w:p>
    <w:p>
      <w:pPr>
        <w:bidi w:val="0"/>
        <w:rPr>
          <w:color w:val="auto"/>
          <w:highlight w:val="none"/>
        </w:rPr>
      </w:pPr>
      <w:r>
        <w:rPr>
          <w:color w:val="auto"/>
          <w:highlight w:val="none"/>
        </w:rPr>
        <w:t>根据</w:t>
      </w:r>
      <w:r>
        <w:rPr>
          <w:rFonts w:hint="eastAsia"/>
          <w:color w:val="auto"/>
          <w:highlight w:val="none"/>
        </w:rPr>
        <w:t>《四川省达州市大竹县煤炭矿区总体规划》</w:t>
      </w:r>
      <w:r>
        <w:rPr>
          <w:color w:val="auto"/>
          <w:highlight w:val="none"/>
        </w:rPr>
        <w:t>，</w:t>
      </w:r>
      <w:r>
        <w:rPr>
          <w:rFonts w:hint="eastAsia"/>
          <w:color w:val="auto"/>
          <w:highlight w:val="none"/>
        </w:rPr>
        <w:t>大竹县共计规划1</w:t>
      </w:r>
      <w:r>
        <w:rPr>
          <w:color w:val="auto"/>
          <w:highlight w:val="none"/>
        </w:rPr>
        <w:t>4</w:t>
      </w:r>
      <w:r>
        <w:rPr>
          <w:rFonts w:hint="eastAsia"/>
          <w:color w:val="auto"/>
          <w:highlight w:val="none"/>
        </w:rPr>
        <w:t>个矿权，其中：有5个保留生产煤矿，保留生产煤矿规划维持现状不变；9个升级改造煤矿，均在原有的工业场地基础上改造利用，不新增占地。</w:t>
      </w:r>
      <w:r>
        <w:rPr>
          <w:color w:val="auto"/>
          <w:highlight w:val="none"/>
        </w:rPr>
        <w:t>项目</w:t>
      </w:r>
      <w:r>
        <w:rPr>
          <w:rFonts w:hint="eastAsia"/>
          <w:color w:val="auto"/>
          <w:highlight w:val="none"/>
        </w:rPr>
        <w:t>改造升级矿井规划建设项目全部位于矿区既有工业场地内，不新增占地面积</w:t>
      </w:r>
      <w:r>
        <w:rPr>
          <w:color w:val="auto"/>
          <w:highlight w:val="none"/>
        </w:rPr>
        <w:t>，对土地利用结构的影响较小。</w:t>
      </w:r>
    </w:p>
    <w:p>
      <w:pPr>
        <w:bidi w:val="0"/>
        <w:rPr>
          <w:color w:val="auto"/>
          <w:highlight w:val="none"/>
        </w:rPr>
      </w:pPr>
      <w:r>
        <w:rPr>
          <w:rFonts w:hint="eastAsia"/>
          <w:color w:val="auto"/>
          <w:highlight w:val="none"/>
          <w:lang w:eastAsia="zh-CN"/>
        </w:rPr>
        <w:t>②</w:t>
      </w:r>
      <w:r>
        <w:rPr>
          <w:rFonts w:hint="eastAsia"/>
          <w:color w:val="auto"/>
          <w:highlight w:val="none"/>
        </w:rPr>
        <w:t>土壤</w:t>
      </w:r>
      <w:r>
        <w:rPr>
          <w:color w:val="auto"/>
          <w:highlight w:val="none"/>
        </w:rPr>
        <w:t>质量</w:t>
      </w:r>
      <w:r>
        <w:rPr>
          <w:rFonts w:hint="eastAsia"/>
          <w:color w:val="auto"/>
          <w:highlight w:val="none"/>
        </w:rPr>
        <w:t>方面</w:t>
      </w:r>
      <w:r>
        <w:rPr>
          <w:color w:val="auto"/>
          <w:highlight w:val="none"/>
        </w:rPr>
        <w:t>的影响</w:t>
      </w:r>
    </w:p>
    <w:p>
      <w:pPr>
        <w:bidi w:val="0"/>
        <w:rPr>
          <w:color w:val="auto"/>
          <w:highlight w:val="none"/>
        </w:rPr>
      </w:pPr>
      <w:r>
        <w:rPr>
          <w:color w:val="auto"/>
          <w:highlight w:val="none"/>
        </w:rPr>
        <w:t>达州市</w:t>
      </w:r>
      <w:r>
        <w:rPr>
          <w:rFonts w:hint="eastAsia"/>
          <w:color w:val="auto"/>
          <w:highlight w:val="none"/>
        </w:rPr>
        <w:t>大竹县</w:t>
      </w:r>
      <w:r>
        <w:rPr>
          <w:color w:val="auto"/>
          <w:highlight w:val="none"/>
        </w:rPr>
        <w:t>煤炭矿区总体规划建设期间，施工作业（矿井工业场地、矿区辅助工业区、矿区供水、供电等</w:t>
      </w:r>
      <w:r>
        <w:rPr>
          <w:rFonts w:hint="eastAsia"/>
          <w:color w:val="auto"/>
          <w:highlight w:val="none"/>
        </w:rPr>
        <w:t>改造升级</w:t>
      </w:r>
      <w:r>
        <w:rPr>
          <w:color w:val="auto"/>
          <w:highlight w:val="none"/>
        </w:rPr>
        <w:t>）会对评价区域内的土壤质量造成微弱影响。首先，施工车辆运行与维修，造成土壤污染。规划建设期间，车辆等设备将在区内产生一定量的烃类、扬尘等大气污染物。这些物质在雨水作用下，将进入土壤，对附近区域土壤造成一定的污染。整体来说，由于总体规划的建设主要是</w:t>
      </w:r>
      <w:r>
        <w:rPr>
          <w:rFonts w:hint="eastAsia"/>
          <w:color w:val="auto"/>
          <w:highlight w:val="none"/>
        </w:rPr>
        <w:t>矿井改造升级</w:t>
      </w:r>
      <w:r>
        <w:rPr>
          <w:color w:val="auto"/>
          <w:highlight w:val="none"/>
        </w:rPr>
        <w:t>，故上述污染物的量均不会很多，不会对评价区内土地质量造成明显改变，影响预测为小。</w:t>
      </w:r>
    </w:p>
    <w:p>
      <w:pPr>
        <w:bidi w:val="0"/>
        <w:rPr>
          <w:color w:val="auto"/>
          <w:highlight w:val="none"/>
        </w:rPr>
      </w:pPr>
      <w:bookmarkStart w:id="339" w:name="_Toc88697644"/>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项目规划建设对水土流失量的影响分析</w:t>
      </w:r>
      <w:bookmarkEnd w:id="339"/>
    </w:p>
    <w:p>
      <w:pPr>
        <w:bidi w:val="0"/>
        <w:rPr>
          <w:color w:val="auto"/>
          <w:highlight w:val="none"/>
        </w:rPr>
      </w:pPr>
      <w:r>
        <w:rPr>
          <w:rFonts w:hint="eastAsia"/>
          <w:color w:val="auto"/>
          <w:highlight w:val="none"/>
        </w:rPr>
        <w:t>大竹县</w:t>
      </w:r>
      <w:r>
        <w:rPr>
          <w:color w:val="auto"/>
          <w:highlight w:val="none"/>
        </w:rPr>
        <w:t>煤炭矿区总体规划项目</w:t>
      </w:r>
      <w:r>
        <w:rPr>
          <w:rFonts w:hint="eastAsia"/>
          <w:color w:val="auto"/>
          <w:highlight w:val="none"/>
        </w:rPr>
        <w:t>实施</w:t>
      </w:r>
      <w:r>
        <w:rPr>
          <w:color w:val="auto"/>
          <w:highlight w:val="none"/>
        </w:rPr>
        <w:t>过程中，主要是对既有设施进行</w:t>
      </w:r>
      <w:r>
        <w:rPr>
          <w:rFonts w:hint="eastAsia"/>
          <w:color w:val="auto"/>
          <w:highlight w:val="none"/>
        </w:rPr>
        <w:t>改造升级，不新增占地面积</w:t>
      </w:r>
      <w:r>
        <w:rPr>
          <w:color w:val="auto"/>
          <w:highlight w:val="none"/>
        </w:rPr>
        <w:t>，</w:t>
      </w:r>
      <w:r>
        <w:rPr>
          <w:rFonts w:hint="eastAsia"/>
          <w:color w:val="auto"/>
          <w:highlight w:val="none"/>
        </w:rPr>
        <w:t>故地表扰动面积小，且局限在既有的工业场地内。</w:t>
      </w:r>
      <w:r>
        <w:rPr>
          <w:color w:val="auto"/>
          <w:highlight w:val="none"/>
        </w:rPr>
        <w:t>加之评价区内较好的水热条件，使得水土流失新增量十分有限。</w:t>
      </w:r>
      <w:r>
        <w:rPr>
          <w:rFonts w:hint="eastAsia"/>
          <w:color w:val="auto"/>
          <w:highlight w:val="none"/>
        </w:rPr>
        <w:t>此外</w:t>
      </w:r>
      <w:r>
        <w:rPr>
          <w:color w:val="auto"/>
          <w:highlight w:val="none"/>
        </w:rPr>
        <w:t>，评价区内植被丰富，生长茂密，可最大限度降低水土流失量。整体上，项目规划建设对评价区内水土流失的影响较小，在现状水平上不会加剧水土流失。</w:t>
      </w:r>
    </w:p>
    <w:p>
      <w:pPr>
        <w:bidi w:val="0"/>
        <w:rPr>
          <w:color w:val="auto"/>
          <w:highlight w:val="none"/>
        </w:rPr>
      </w:pPr>
      <w:r>
        <w:rPr>
          <w:rFonts w:hint="eastAsia"/>
          <w:color w:val="auto"/>
          <w:highlight w:val="none"/>
          <w:lang w:eastAsia="zh-CN"/>
        </w:rPr>
        <w:t>①</w:t>
      </w:r>
      <w:r>
        <w:rPr>
          <w:color w:val="auto"/>
          <w:highlight w:val="none"/>
        </w:rPr>
        <w:t>评价区土壤侵蚀</w:t>
      </w:r>
      <w:r>
        <w:rPr>
          <w:rFonts w:hint="eastAsia"/>
          <w:color w:val="auto"/>
          <w:highlight w:val="none"/>
        </w:rPr>
        <w:t>量</w:t>
      </w:r>
    </w:p>
    <w:p>
      <w:pPr>
        <w:bidi w:val="0"/>
        <w:rPr>
          <w:color w:val="auto"/>
          <w:highlight w:val="none"/>
        </w:rPr>
      </w:pPr>
      <w:r>
        <w:rPr>
          <w:color w:val="auto"/>
          <w:highlight w:val="none"/>
        </w:rPr>
        <w:t>根据达州市</w:t>
      </w:r>
      <w:r>
        <w:rPr>
          <w:rFonts w:hint="eastAsia"/>
          <w:color w:val="auto"/>
          <w:highlight w:val="none"/>
        </w:rPr>
        <w:t>大竹县</w:t>
      </w:r>
      <w:r>
        <w:rPr>
          <w:color w:val="auto"/>
          <w:highlight w:val="none"/>
        </w:rPr>
        <w:t>土壤侵蚀强度分布，</w:t>
      </w:r>
      <w:r>
        <w:rPr>
          <w:rFonts w:hint="eastAsia"/>
          <w:color w:val="auto"/>
          <w:highlight w:val="none"/>
        </w:rPr>
        <w:t>大竹县</w:t>
      </w:r>
      <w:r>
        <w:rPr>
          <w:color w:val="auto"/>
          <w:highlight w:val="none"/>
        </w:rPr>
        <w:t>煤炭矿区总体规划项目建设区水土流失强度为微度～轻度流失区；按照《土壤侵蚀分类分级标准》中土壤侵蚀类型区的范围及特点，项目规划区所在区域水土流失类型以水力侵蚀为主，重力侵蚀为辅。按照《土壤侵蚀分类分级标准》（SL190-2007），本项目所在地区属西南土石山区，容许土壤流失量为500t/km</w:t>
      </w:r>
      <w:r>
        <w:rPr>
          <w:color w:val="auto"/>
          <w:highlight w:val="none"/>
          <w:vertAlign w:val="superscript"/>
        </w:rPr>
        <w:t>2</w:t>
      </w:r>
      <w:r>
        <w:rPr>
          <w:color w:val="auto"/>
          <w:highlight w:val="none"/>
        </w:rPr>
        <w:t>·a。</w:t>
      </w:r>
      <w:r>
        <w:rPr>
          <w:rFonts w:hint="eastAsia"/>
          <w:color w:val="auto"/>
          <w:highlight w:val="none"/>
        </w:rPr>
        <w:t>《四川省达州市大竹县煤炭矿区总体规划》</w:t>
      </w:r>
      <w:r>
        <w:rPr>
          <w:color w:val="auto"/>
          <w:highlight w:val="none"/>
        </w:rPr>
        <w:t>，项目规划</w:t>
      </w:r>
      <w:r>
        <w:rPr>
          <w:rFonts w:hint="eastAsia"/>
          <w:color w:val="auto"/>
          <w:highlight w:val="none"/>
        </w:rPr>
        <w:t>实施不新增占地，</w:t>
      </w:r>
      <w:r>
        <w:rPr>
          <w:color w:val="auto"/>
          <w:highlight w:val="none"/>
        </w:rPr>
        <w:t>规划建设内容主要为</w:t>
      </w:r>
      <w:r>
        <w:rPr>
          <w:rFonts w:hint="eastAsia"/>
          <w:color w:val="auto"/>
          <w:highlight w:val="none"/>
        </w:rPr>
        <w:t>矿井升级改造</w:t>
      </w:r>
      <w:r>
        <w:rPr>
          <w:color w:val="auto"/>
          <w:highlight w:val="none"/>
        </w:rPr>
        <w:t>，项目</w:t>
      </w:r>
      <w:r>
        <w:rPr>
          <w:rFonts w:hint="eastAsia"/>
          <w:color w:val="auto"/>
          <w:highlight w:val="none"/>
        </w:rPr>
        <w:t>规划</w:t>
      </w:r>
      <w:r>
        <w:rPr>
          <w:color w:val="auto"/>
          <w:highlight w:val="none"/>
        </w:rPr>
        <w:t>施工期可能造成的</w:t>
      </w:r>
      <w:r>
        <w:rPr>
          <w:rFonts w:hint="eastAsia"/>
          <w:color w:val="auto"/>
          <w:highlight w:val="none"/>
        </w:rPr>
        <w:t>水土流失</w:t>
      </w:r>
      <w:r>
        <w:rPr>
          <w:color w:val="auto"/>
          <w:highlight w:val="none"/>
        </w:rPr>
        <w:t>量</w:t>
      </w:r>
      <w:r>
        <w:rPr>
          <w:rFonts w:hint="eastAsia"/>
          <w:color w:val="auto"/>
          <w:highlight w:val="none"/>
        </w:rPr>
        <w:t>小，对区域水土流失的</w:t>
      </w:r>
      <w:r>
        <w:rPr>
          <w:color w:val="auto"/>
          <w:highlight w:val="none"/>
        </w:rPr>
        <w:t>影响预测为</w:t>
      </w:r>
      <w:r>
        <w:rPr>
          <w:rFonts w:hint="eastAsia"/>
          <w:color w:val="auto"/>
          <w:highlight w:val="none"/>
        </w:rPr>
        <w:t>小</w:t>
      </w:r>
      <w:r>
        <w:rPr>
          <w:color w:val="auto"/>
          <w:highlight w:val="none"/>
        </w:rPr>
        <w:t>。</w:t>
      </w:r>
      <w:r>
        <w:rPr>
          <w:rFonts w:hint="eastAsia"/>
          <w:color w:val="auto"/>
          <w:highlight w:val="none"/>
        </w:rPr>
        <w:t>另一方面，评价区</w:t>
      </w:r>
      <w:r>
        <w:rPr>
          <w:color w:val="auto"/>
          <w:highlight w:val="none"/>
        </w:rPr>
        <w:t>内</w:t>
      </w:r>
      <w:r>
        <w:rPr>
          <w:rFonts w:hint="eastAsia"/>
          <w:color w:val="auto"/>
          <w:highlight w:val="none"/>
        </w:rPr>
        <w:t>植被覆盖率较高，生态环境</w:t>
      </w:r>
      <w:r>
        <w:rPr>
          <w:color w:val="auto"/>
          <w:highlight w:val="none"/>
        </w:rPr>
        <w:t>条件较好，植被恢复生长快，可最大限度降低水土流失量。</w:t>
      </w:r>
    </w:p>
    <w:p>
      <w:pPr>
        <w:bidi w:val="0"/>
        <w:rPr>
          <w:color w:val="auto"/>
          <w:highlight w:val="none"/>
        </w:rPr>
      </w:pPr>
      <w:r>
        <w:rPr>
          <w:rFonts w:hint="eastAsia"/>
          <w:color w:val="auto"/>
          <w:highlight w:val="none"/>
          <w:lang w:eastAsia="zh-CN"/>
        </w:rPr>
        <w:t>②</w:t>
      </w:r>
      <w:r>
        <w:rPr>
          <w:rFonts w:hint="eastAsia"/>
          <w:color w:val="auto"/>
          <w:highlight w:val="none"/>
        </w:rPr>
        <w:t>水土流失的影响分析</w:t>
      </w:r>
    </w:p>
    <w:p>
      <w:pPr>
        <w:bidi w:val="0"/>
        <w:rPr>
          <w:color w:val="auto"/>
          <w:highlight w:val="none"/>
        </w:rPr>
      </w:pPr>
      <w:r>
        <w:rPr>
          <w:color w:val="auto"/>
          <w:highlight w:val="none"/>
        </w:rPr>
        <w:t>规划项目对水土保持产生的影响，主要发生在项目规划建设期间，工程施工对区域水土流失的影响主要表现在：</w:t>
      </w:r>
      <w:r>
        <w:rPr>
          <w:rFonts w:hint="eastAsia"/>
          <w:color w:val="auto"/>
          <w:highlight w:val="none"/>
        </w:rPr>
        <w:t>1）现有工业</w:t>
      </w:r>
      <w:r>
        <w:rPr>
          <w:color w:val="auto"/>
          <w:highlight w:val="none"/>
        </w:rPr>
        <w:t>场地土方开挖和填平，改变了施工区域的微地形，加大了地面坡度，使施工区域成为新的水土流失发生源，加剧局部区域水土流失现象。2）施工临时物料堆放场地等遭大风及雨水冲刷及侵蚀时，极易造成水土流失。</w:t>
      </w:r>
    </w:p>
    <w:p>
      <w:pPr>
        <w:bidi w:val="0"/>
        <w:rPr>
          <w:color w:val="auto"/>
          <w:highlight w:val="none"/>
        </w:rPr>
      </w:pPr>
      <w:r>
        <w:rPr>
          <w:color w:val="auto"/>
          <w:highlight w:val="none"/>
        </w:rPr>
        <w:t>因此，项目工程施工时需要应采取相应措施以防治施工期的水土流失现象。水土流失防治措施分为工程措施和植被措施，并以工程措施为先导，植被措施为后行，合理安排施工时间，使水土流失防治措施行之有效，将施工期的水土流失现象控制在最小限度。</w:t>
      </w:r>
    </w:p>
    <w:p>
      <w:pPr>
        <w:bidi w:val="0"/>
        <w:rPr>
          <w:color w:val="auto"/>
          <w:highlight w:val="none"/>
        </w:rPr>
      </w:pPr>
      <w:r>
        <w:rPr>
          <w:color w:val="auto"/>
          <w:highlight w:val="none"/>
        </w:rPr>
        <w:t>综上所述，项目规划建设对区域水土流失的影响主要集中在工程建设期，可采取行之有效的水土流失防治措施，将施工期的水土流失现象控制在最小限度。随着工程施工活动的结束，区域水土保持的工程措施和植被恢复措施同时竣工，项目</w:t>
      </w:r>
      <w:r>
        <w:rPr>
          <w:rFonts w:hint="eastAsia"/>
          <w:color w:val="auto"/>
          <w:highlight w:val="none"/>
        </w:rPr>
        <w:t>矿山开采</w:t>
      </w:r>
      <w:r>
        <w:rPr>
          <w:color w:val="auto"/>
          <w:highlight w:val="none"/>
        </w:rPr>
        <w:t>期区域的水土流失现象不明显。</w:t>
      </w:r>
    </w:p>
    <w:p>
      <w:pPr>
        <w:bidi w:val="0"/>
        <w:rPr>
          <w:color w:val="auto"/>
          <w:highlight w:val="none"/>
        </w:rPr>
      </w:pPr>
      <w:bookmarkStart w:id="340" w:name="_Toc88697645"/>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项目运营对土地资源的影响分析</w:t>
      </w:r>
      <w:bookmarkEnd w:id="340"/>
    </w:p>
    <w:p>
      <w:pPr>
        <w:bidi w:val="0"/>
        <w:rPr>
          <w:color w:val="auto"/>
          <w:highlight w:val="none"/>
        </w:rPr>
      </w:pPr>
      <w:r>
        <w:rPr>
          <w:rFonts w:hint="eastAsia"/>
          <w:color w:val="auto"/>
          <w:highlight w:val="none"/>
        </w:rPr>
        <w:t>大竹县</w:t>
      </w:r>
      <w:r>
        <w:rPr>
          <w:color w:val="auto"/>
          <w:highlight w:val="none"/>
        </w:rPr>
        <w:t>煤炭矿区总体规划项目进入运营后，不再新增占地，不再对地表造成扰动。此外，矿区规划对生态环境的保护、植被恢复等方面开展了大量的工作，可在一定程度上恢复原有土地的利用性质（如植被恢复增加林地面积等），故而项目矿区运营后不会对评价区土地利用产生明显的影响。</w:t>
      </w:r>
    </w:p>
    <w:p>
      <w:pPr>
        <w:pStyle w:val="7"/>
        <w:bidi w:val="0"/>
        <w:rPr>
          <w:color w:val="auto"/>
          <w:highlight w:val="none"/>
        </w:rPr>
      </w:pPr>
      <w:bookmarkStart w:id="341" w:name="_Toc88697646"/>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5</w:t>
      </w:r>
      <w:r>
        <w:rPr>
          <w:rFonts w:hint="eastAsia"/>
          <w:color w:val="auto"/>
          <w:highlight w:val="none"/>
        </w:rPr>
        <w:t xml:space="preserve"> 项目规划对陆生动物的影响分析</w:t>
      </w:r>
      <w:bookmarkEnd w:id="341"/>
    </w:p>
    <w:p>
      <w:pPr>
        <w:bidi w:val="0"/>
        <w:rPr>
          <w:color w:val="auto"/>
          <w:highlight w:val="none"/>
        </w:rPr>
      </w:pPr>
      <w:bookmarkStart w:id="342" w:name="_Toc88697647"/>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项目规划建设对陆生动物的影响</w:t>
      </w:r>
      <w:bookmarkEnd w:id="342"/>
    </w:p>
    <w:p>
      <w:pPr>
        <w:bidi w:val="0"/>
        <w:rPr>
          <w:color w:val="auto"/>
          <w:highlight w:val="none"/>
        </w:rPr>
      </w:pPr>
      <w:r>
        <w:rPr>
          <w:rFonts w:hint="eastAsia"/>
          <w:color w:val="auto"/>
          <w:highlight w:val="none"/>
        </w:rPr>
        <w:t>大竹县</w:t>
      </w:r>
      <w:r>
        <w:rPr>
          <w:color w:val="auto"/>
          <w:highlight w:val="none"/>
        </w:rPr>
        <w:t>煤炭矿区总体规划项目规划建设对评价区野生动物的影响主要集中在施工建设噪声、占地等对动物的影响，还包括施工损伤、人为活动等对野生动物的影响。因大型哺乳动物生性敏感、两栖爬行类动物行动迟缓，其均会受到规划建设施工的影响，如施工挖掘及车辆通行易对两栖爬行类动物造成碾压等损伤。</w:t>
      </w:r>
    </w:p>
    <w:p>
      <w:pPr>
        <w:bidi w:val="0"/>
        <w:rPr>
          <w:color w:val="auto"/>
          <w:highlight w:val="none"/>
        </w:rPr>
      </w:pPr>
      <w:r>
        <w:rPr>
          <w:rFonts w:hint="eastAsia"/>
          <w:color w:val="auto"/>
          <w:highlight w:val="none"/>
          <w:lang w:eastAsia="zh-CN"/>
        </w:rPr>
        <w:t>①</w:t>
      </w:r>
      <w:r>
        <w:rPr>
          <w:color w:val="auto"/>
          <w:highlight w:val="none"/>
        </w:rPr>
        <w:t>规划建设占地的影响</w:t>
      </w:r>
    </w:p>
    <w:p>
      <w:pPr>
        <w:bidi w:val="0"/>
        <w:rPr>
          <w:color w:val="auto"/>
          <w:highlight w:val="none"/>
        </w:rPr>
      </w:pPr>
      <w:r>
        <w:rPr>
          <w:rFonts w:hint="eastAsia"/>
          <w:color w:val="auto"/>
          <w:highlight w:val="none"/>
        </w:rPr>
        <w:t>大竹县</w:t>
      </w:r>
      <w:r>
        <w:rPr>
          <w:color w:val="auto"/>
          <w:highlight w:val="none"/>
        </w:rPr>
        <w:t>煤炭矿区总体规划项目的规划建设内容</w:t>
      </w:r>
      <w:r>
        <w:rPr>
          <w:rFonts w:hint="eastAsia"/>
          <w:color w:val="auto"/>
          <w:highlight w:val="none"/>
        </w:rPr>
        <w:t>在现有工业场地内进行升级改造，不新增占地，局部位置改变地表植被状况，主要扰动的植被为现有工业场地内少许的灌草丛。</w:t>
      </w:r>
      <w:r>
        <w:rPr>
          <w:color w:val="auto"/>
          <w:highlight w:val="none"/>
        </w:rPr>
        <w:t>如此，</w:t>
      </w:r>
      <w:r>
        <w:rPr>
          <w:rFonts w:hint="eastAsia"/>
          <w:color w:val="auto"/>
          <w:highlight w:val="none"/>
        </w:rPr>
        <w:t>项目规划建设占地仅限于现有工业广场内，仅在较小区域影响动物的分布；</w:t>
      </w:r>
      <w:r>
        <w:rPr>
          <w:color w:val="auto"/>
          <w:highlight w:val="none"/>
        </w:rPr>
        <w:t>施工区附近林地内的动物</w:t>
      </w:r>
      <w:r>
        <w:rPr>
          <w:rFonts w:hint="eastAsia"/>
          <w:color w:val="auto"/>
          <w:highlight w:val="none"/>
        </w:rPr>
        <w:t>间接受到</w:t>
      </w:r>
      <w:r>
        <w:rPr>
          <w:color w:val="auto"/>
          <w:highlight w:val="none"/>
        </w:rPr>
        <w:t>施工噪声的影响而远离施工区。</w:t>
      </w:r>
    </w:p>
    <w:p>
      <w:pPr>
        <w:bidi w:val="0"/>
        <w:rPr>
          <w:color w:val="auto"/>
          <w:highlight w:val="none"/>
        </w:rPr>
      </w:pPr>
      <w:r>
        <w:rPr>
          <w:color w:val="auto"/>
          <w:highlight w:val="none"/>
        </w:rPr>
        <w:t>从另一方面出发，</w:t>
      </w:r>
      <w:r>
        <w:rPr>
          <w:rFonts w:hint="eastAsia"/>
          <w:color w:val="auto"/>
          <w:highlight w:val="none"/>
        </w:rPr>
        <w:t>项目规划建设主要是现有工业广场内进行改造升级，附近动物受到采矿活动的影响，主要分布的是鼠类等小型动物，</w:t>
      </w:r>
      <w:r>
        <w:rPr>
          <w:color w:val="auto"/>
          <w:highlight w:val="none"/>
        </w:rPr>
        <w:t>属分布范围较广、适应能力较强的种类，不会因规划建设占地而使某个种群消失。</w:t>
      </w:r>
      <w:r>
        <w:rPr>
          <w:rFonts w:hint="eastAsia"/>
          <w:color w:val="auto"/>
          <w:highlight w:val="none"/>
        </w:rPr>
        <w:t>黄鼬、鼬獾等动物的活动范围主要在远离人类活动的林区</w:t>
      </w:r>
      <w:r>
        <w:rPr>
          <w:color w:val="auto"/>
          <w:highlight w:val="none"/>
        </w:rPr>
        <w:t>。因此，项目规划建设施工作业期间，不会造成评价区域内动物种类的减少，仅对占地范围的动物种群</w:t>
      </w:r>
      <w:r>
        <w:rPr>
          <w:rFonts w:hint="eastAsia"/>
          <w:color w:val="auto"/>
          <w:highlight w:val="none"/>
        </w:rPr>
        <w:t>（如褐家鼠、四川短尾鼩、部分两栖类的蛙科动物）</w:t>
      </w:r>
      <w:r>
        <w:rPr>
          <w:color w:val="auto"/>
          <w:highlight w:val="none"/>
        </w:rPr>
        <w:t>有影响，影响是局部性的，预测为小。</w:t>
      </w:r>
    </w:p>
    <w:p>
      <w:pPr>
        <w:bidi w:val="0"/>
        <w:rPr>
          <w:color w:val="auto"/>
          <w:highlight w:val="none"/>
        </w:rPr>
      </w:pPr>
      <w:r>
        <w:rPr>
          <w:rFonts w:hint="eastAsia"/>
          <w:color w:val="auto"/>
          <w:highlight w:val="none"/>
          <w:lang w:eastAsia="zh-CN"/>
        </w:rPr>
        <w:t>②</w:t>
      </w:r>
      <w:r>
        <w:rPr>
          <w:color w:val="auto"/>
          <w:highlight w:val="none"/>
        </w:rPr>
        <w:t>环境污染的影响</w:t>
      </w:r>
    </w:p>
    <w:p>
      <w:pPr>
        <w:bidi w:val="0"/>
        <w:rPr>
          <w:color w:val="auto"/>
          <w:highlight w:val="none"/>
        </w:rPr>
      </w:pPr>
      <w:r>
        <w:rPr>
          <w:color w:val="auto"/>
          <w:highlight w:val="none"/>
        </w:rPr>
        <w:t>项目规划建设期间，施工过程中产生的粉尘、施工噪声等将对施工区及其附近区域野生动物造成影响，最主要的影响是施工噪声的驱赶效应。施工噪声将对分布于占地区附近的动物产生一定影响，影响范围内的动物（尤其是天性敏感的动物），可能迁移到噪声影响半径范围之外的区域。施工结束后，施工噪声也随之结束，噪声对动物的影响也随之消失，动物又可能返回原来的栖息生境。故施工噪声等对野生动物的影响属短期内的影响，影响持续性不高，且不会造成动物个体的伤害，仅仅是影响部分动物的活动范围，其影响预测为小。</w:t>
      </w:r>
    </w:p>
    <w:p>
      <w:pPr>
        <w:bidi w:val="0"/>
        <w:rPr>
          <w:color w:val="auto"/>
          <w:highlight w:val="none"/>
        </w:rPr>
      </w:pPr>
      <w:r>
        <w:rPr>
          <w:rFonts w:hint="eastAsia"/>
          <w:color w:val="auto"/>
          <w:highlight w:val="none"/>
          <w:lang w:eastAsia="zh-CN"/>
        </w:rPr>
        <w:t>③</w:t>
      </w:r>
      <w:r>
        <w:rPr>
          <w:color w:val="auto"/>
          <w:highlight w:val="none"/>
        </w:rPr>
        <w:t>施工损伤的影响</w:t>
      </w:r>
    </w:p>
    <w:p>
      <w:pPr>
        <w:bidi w:val="0"/>
        <w:rPr>
          <w:color w:val="auto"/>
          <w:highlight w:val="none"/>
        </w:rPr>
      </w:pPr>
      <w:r>
        <w:rPr>
          <w:color w:val="auto"/>
          <w:highlight w:val="none"/>
        </w:rPr>
        <w:t>两栖类、爬行类等动物行动较为缓慢，躲避伤害的能力较弱，容易被施工挖掘、材料堆放、车辆运行等活动所伤及，造成种群个体数量的减少。但数量减少十分有限，不会造成整体评价区乃至区域两栖及爬行类动物多样性的降低及数量的锐减。</w:t>
      </w:r>
    </w:p>
    <w:p>
      <w:pPr>
        <w:bidi w:val="0"/>
        <w:rPr>
          <w:color w:val="auto"/>
          <w:highlight w:val="none"/>
        </w:rPr>
      </w:pPr>
      <w:r>
        <w:rPr>
          <w:rFonts w:hint="eastAsia"/>
          <w:color w:val="auto"/>
          <w:highlight w:val="none"/>
          <w:lang w:eastAsia="zh-CN"/>
        </w:rPr>
        <w:t>④</w:t>
      </w:r>
      <w:r>
        <w:rPr>
          <w:color w:val="auto"/>
          <w:highlight w:val="none"/>
        </w:rPr>
        <w:t>人为捕捉的影响</w:t>
      </w:r>
    </w:p>
    <w:p>
      <w:pPr>
        <w:bidi w:val="0"/>
        <w:rPr>
          <w:color w:val="auto"/>
          <w:highlight w:val="none"/>
        </w:rPr>
      </w:pPr>
      <w:r>
        <w:rPr>
          <w:rFonts w:hint="eastAsia"/>
          <w:color w:val="auto"/>
          <w:highlight w:val="none"/>
        </w:rPr>
        <w:t>大竹县</w:t>
      </w:r>
      <w:r>
        <w:rPr>
          <w:color w:val="auto"/>
          <w:highlight w:val="none"/>
        </w:rPr>
        <w:t>煤炭矿区总体规划项目评价区域内分布有草兔、乌梢蛇、野猪、雉鸡等野生动物，它们具有一定的经济、食用及观赏价值，如果管理不严，施工人员可能对其构成威胁。因此，严格加强施工人员的管理，严禁上山打猎，将极大减小施工人员活动对野生动物的影响。</w:t>
      </w:r>
    </w:p>
    <w:p>
      <w:pPr>
        <w:bidi w:val="0"/>
        <w:rPr>
          <w:color w:val="auto"/>
          <w:highlight w:val="none"/>
        </w:rPr>
      </w:pPr>
      <w:r>
        <w:rPr>
          <w:color w:val="auto"/>
          <w:highlight w:val="none"/>
        </w:rPr>
        <w:t>综上，项目规划建设施工期间对动物资源的影响主要表现在对动物栖息地占用、施工损伤和噪声的影响，但项目占地</w:t>
      </w:r>
      <w:r>
        <w:rPr>
          <w:rFonts w:hint="eastAsia"/>
          <w:color w:val="auto"/>
          <w:highlight w:val="none"/>
        </w:rPr>
        <w:t>仅在现有工业广场内</w:t>
      </w:r>
      <w:r>
        <w:rPr>
          <w:color w:val="auto"/>
          <w:highlight w:val="none"/>
        </w:rPr>
        <w:t>，</w:t>
      </w:r>
      <w:r>
        <w:rPr>
          <w:rFonts w:hint="eastAsia"/>
          <w:color w:val="auto"/>
          <w:highlight w:val="none"/>
        </w:rPr>
        <w:t>对周边动物栖息地的影响小；</w:t>
      </w:r>
      <w:r>
        <w:rPr>
          <w:color w:val="auto"/>
          <w:highlight w:val="none"/>
        </w:rPr>
        <w:t>施工噪声对动物的影响随施工结束而消失。总体而言，项目规划建设在施工期间对动物资源及多样性的影响较小。</w:t>
      </w:r>
    </w:p>
    <w:p>
      <w:pPr>
        <w:bidi w:val="0"/>
        <w:rPr>
          <w:color w:val="auto"/>
          <w:highlight w:val="none"/>
        </w:rPr>
      </w:pPr>
      <w:bookmarkStart w:id="343" w:name="_Toc88697648"/>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项目运营对动物多样性的影响分析</w:t>
      </w:r>
      <w:bookmarkEnd w:id="343"/>
    </w:p>
    <w:p>
      <w:pPr>
        <w:bidi w:val="0"/>
        <w:rPr>
          <w:color w:val="auto"/>
          <w:highlight w:val="none"/>
        </w:rPr>
      </w:pPr>
      <w:r>
        <w:rPr>
          <w:rFonts w:hint="eastAsia"/>
          <w:color w:val="auto"/>
          <w:highlight w:val="none"/>
        </w:rPr>
        <w:t>大竹县</w:t>
      </w:r>
      <w:r>
        <w:rPr>
          <w:color w:val="auto"/>
          <w:highlight w:val="none"/>
        </w:rPr>
        <w:t>煤炭矿区总体规划项目运营期间，主要活动是矿石</w:t>
      </w:r>
      <w:r>
        <w:rPr>
          <w:rFonts w:hint="eastAsia"/>
          <w:color w:val="auto"/>
          <w:highlight w:val="none"/>
        </w:rPr>
        <w:t>（煤矿）地下</w:t>
      </w:r>
      <w:r>
        <w:rPr>
          <w:color w:val="auto"/>
          <w:highlight w:val="none"/>
        </w:rPr>
        <w:t>开采、矿区管理及矿工生活，运营期间无新增占地，不会产生大面积的地表植被破坏。矿区运营对附近的野生动物的影响主要来于噪声、矿区生产生活活动等。</w:t>
      </w:r>
    </w:p>
    <w:p>
      <w:pPr>
        <w:bidi w:val="0"/>
        <w:rPr>
          <w:color w:val="auto"/>
          <w:highlight w:val="none"/>
        </w:rPr>
      </w:pPr>
      <w:r>
        <w:rPr>
          <w:rFonts w:hint="eastAsia"/>
          <w:color w:val="auto"/>
          <w:highlight w:val="none"/>
          <w:lang w:eastAsia="zh-CN"/>
        </w:rPr>
        <w:t>①</w:t>
      </w:r>
      <w:r>
        <w:rPr>
          <w:color w:val="auto"/>
          <w:highlight w:val="none"/>
        </w:rPr>
        <w:t>两栖</w:t>
      </w:r>
      <w:r>
        <w:rPr>
          <w:rFonts w:hint="eastAsia"/>
          <w:color w:val="auto"/>
          <w:highlight w:val="none"/>
        </w:rPr>
        <w:t>爬行</w:t>
      </w:r>
      <w:r>
        <w:rPr>
          <w:color w:val="auto"/>
          <w:highlight w:val="none"/>
        </w:rPr>
        <w:t>动物的影响分析</w:t>
      </w:r>
    </w:p>
    <w:p>
      <w:pPr>
        <w:bidi w:val="0"/>
        <w:rPr>
          <w:color w:val="auto"/>
          <w:highlight w:val="none"/>
        </w:rPr>
      </w:pPr>
      <w:r>
        <w:rPr>
          <w:color w:val="auto"/>
          <w:highlight w:val="none"/>
        </w:rPr>
        <w:t>经调查及资料查阅、访问，</w:t>
      </w:r>
      <w:r>
        <w:rPr>
          <w:rFonts w:hint="eastAsia"/>
          <w:color w:val="auto"/>
          <w:highlight w:val="none"/>
        </w:rPr>
        <w:t>大竹县</w:t>
      </w:r>
      <w:r>
        <w:rPr>
          <w:color w:val="auto"/>
          <w:highlight w:val="none"/>
        </w:rPr>
        <w:t>煤炭矿区总体规划项目评价区内分布的两栖类主要有华西蟾蜍（Bufo andrewsi）、峨眉林蛙（Rana omeinensis）、斑腿泛树蛙（Polypedates megacephalus）、饰纹姬蛙（Microhyla ormata）、黑斑侧褶蛙（Pelophylas nigromaculata）、中华蟾蜍（Bufo gargarizans）等，均属区域常见种类。矿区的运营对区域两栖动物数量和物种的区域分布基本没有影响。随着矿区生态保护规划的实施，两栖类栖息地会逐步得到改善。在加强管理，做好保护宣传及教育工作，工作人员也不会对两栖类动物产生较大的干扰。</w:t>
      </w:r>
    </w:p>
    <w:p>
      <w:pPr>
        <w:bidi w:val="0"/>
        <w:rPr>
          <w:color w:val="auto"/>
          <w:highlight w:val="none"/>
        </w:rPr>
      </w:pPr>
      <w:r>
        <w:rPr>
          <w:color w:val="auto"/>
          <w:highlight w:val="none"/>
        </w:rPr>
        <w:t>针对爬行动物而言，相比于两栖动物具备更好的行动迁移能力和躲避伤害的能力。评价区内分布的爬行类主要有趾蹼壁虎（Gekko subpalmatus）、铜蜓蜥（Sphenomorphus indicus）、虎斑颈槽蛇（Rhabdophis tigrinus）、黑眉锦蛇（Elaphe taeniura）等常见种类，多在灌丛、溪沟附近爬行，行动能力较强。矿区生产生活产生的噪声及不文明行为对爬行动物的影响不像两栖类那么明显，影响也是很小的。但必须做好工作人员的保护宣传教育工作，避免可能的对区域内的乌梢蛇等爬行类动物造成伤害。</w:t>
      </w:r>
    </w:p>
    <w:p>
      <w:pPr>
        <w:bidi w:val="0"/>
        <w:rPr>
          <w:color w:val="auto"/>
          <w:highlight w:val="none"/>
        </w:rPr>
      </w:pPr>
      <w:r>
        <w:rPr>
          <w:rFonts w:hint="eastAsia"/>
          <w:color w:val="auto"/>
          <w:highlight w:val="none"/>
          <w:lang w:eastAsia="zh-CN"/>
        </w:rPr>
        <w:t>②</w:t>
      </w:r>
      <w:r>
        <w:rPr>
          <w:color w:val="auto"/>
          <w:highlight w:val="none"/>
        </w:rPr>
        <w:t>鸟类</w:t>
      </w:r>
      <w:r>
        <w:rPr>
          <w:rFonts w:hint="eastAsia"/>
          <w:color w:val="auto"/>
          <w:highlight w:val="none"/>
        </w:rPr>
        <w:t>的</w:t>
      </w:r>
      <w:r>
        <w:rPr>
          <w:color w:val="auto"/>
          <w:highlight w:val="none"/>
        </w:rPr>
        <w:t>影响分析</w:t>
      </w:r>
    </w:p>
    <w:p>
      <w:pPr>
        <w:bidi w:val="0"/>
        <w:rPr>
          <w:color w:val="auto"/>
          <w:highlight w:val="none"/>
        </w:rPr>
      </w:pPr>
      <w:r>
        <w:rPr>
          <w:rFonts w:hint="eastAsia"/>
          <w:color w:val="auto"/>
          <w:highlight w:val="none"/>
        </w:rPr>
        <w:t>大竹县</w:t>
      </w:r>
      <w:r>
        <w:rPr>
          <w:color w:val="auto"/>
          <w:highlight w:val="none"/>
        </w:rPr>
        <w:t>煤炭矿区总体规划项目运营期间，即是矿区生产生活，不会直接导致植被的破坏，不会对鸟类生境产生直接的干扰影响和破坏；但人类与车辆噪声仍旧会对鸟类有一定的影响。但总体来看，运营期间对鸟类影响不大，主要是由于鸟类具有强的迁移能力，无论对食物的寻觅，饮水的获得，矿区运营对它们都没有太大的影响。但应注意做好保护宣传工作，不得随意捕杀和毁坏鸟巢、幼鸟的行为。</w:t>
      </w:r>
    </w:p>
    <w:p>
      <w:pPr>
        <w:bidi w:val="0"/>
        <w:rPr>
          <w:color w:val="auto"/>
          <w:highlight w:val="none"/>
        </w:rPr>
      </w:pPr>
      <w:r>
        <w:rPr>
          <w:rFonts w:hint="eastAsia"/>
          <w:color w:val="auto"/>
          <w:highlight w:val="none"/>
          <w:lang w:eastAsia="zh-CN"/>
        </w:rPr>
        <w:t>③</w:t>
      </w:r>
      <w:r>
        <w:rPr>
          <w:color w:val="auto"/>
          <w:highlight w:val="none"/>
        </w:rPr>
        <w:t>兽类</w:t>
      </w:r>
      <w:r>
        <w:rPr>
          <w:rFonts w:hint="eastAsia"/>
          <w:color w:val="auto"/>
          <w:highlight w:val="none"/>
        </w:rPr>
        <w:t>的</w:t>
      </w:r>
      <w:r>
        <w:rPr>
          <w:color w:val="auto"/>
          <w:highlight w:val="none"/>
        </w:rPr>
        <w:t>影响分析</w:t>
      </w:r>
    </w:p>
    <w:p>
      <w:pPr>
        <w:bidi w:val="0"/>
        <w:rPr>
          <w:color w:val="auto"/>
          <w:highlight w:val="none"/>
        </w:rPr>
      </w:pPr>
      <w:r>
        <w:rPr>
          <w:color w:val="auto"/>
          <w:highlight w:val="none"/>
        </w:rPr>
        <w:t>项目规划建设完成后，人类活动会比较频繁，主要是矿区工人的生产生活、车辆的运行等活动。项目运行期间的污染主要来自于工人产生的污水和垃圾以及噪声污染。该区域内</w:t>
      </w:r>
      <w:r>
        <w:rPr>
          <w:rFonts w:hint="eastAsia"/>
          <w:color w:val="auto"/>
          <w:highlight w:val="none"/>
        </w:rPr>
        <w:t>大中型</w:t>
      </w:r>
      <w:r>
        <w:rPr>
          <w:color w:val="auto"/>
          <w:highlight w:val="none"/>
        </w:rPr>
        <w:t>兽类</w:t>
      </w:r>
      <w:r>
        <w:rPr>
          <w:rFonts w:hint="eastAsia"/>
          <w:color w:val="auto"/>
          <w:highlight w:val="none"/>
        </w:rPr>
        <w:t>（如野猪、黄鼬、草兔等）</w:t>
      </w:r>
      <w:r>
        <w:rPr>
          <w:color w:val="auto"/>
          <w:highlight w:val="none"/>
        </w:rPr>
        <w:t>警惕性很高，迁徙和适应能力都很强，在受到噪音惊扰后会立即往区域纵深迁徙（尤其是山上林地），寻找安全的生境，但鼠类的数量可能会因为人类活动增多而有所增加（主要是由于生活垃圾的不及时处理，而伴随人类生活的鼠类，如褐家鼠、小家鼠等，其种群数量会增加，但仅局限在小范围）。管理不严或宣传保护工作不足将有可能导致工作人员等对该区域附近分布的草兔、黄鼬等兽类的生存造成威胁。而对于主要活动在山间林地区域的野猪等哺乳动物不会受到显著影响，且矿区因人类活动的增强已不再是它们的主要活动区，其影响较小。</w:t>
      </w:r>
    </w:p>
    <w:p>
      <w:pPr>
        <w:pStyle w:val="7"/>
        <w:bidi w:val="0"/>
        <w:rPr>
          <w:color w:val="auto"/>
          <w:highlight w:val="none"/>
        </w:rPr>
      </w:pPr>
      <w:bookmarkStart w:id="344" w:name="_Toc88697649"/>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6</w:t>
      </w:r>
      <w:r>
        <w:rPr>
          <w:rFonts w:hint="eastAsia"/>
          <w:color w:val="auto"/>
          <w:highlight w:val="none"/>
        </w:rPr>
        <w:t xml:space="preserve"> 项目规划对植被及植物多样性的影响分析</w:t>
      </w:r>
      <w:bookmarkEnd w:id="344"/>
    </w:p>
    <w:p>
      <w:pPr>
        <w:bidi w:val="0"/>
        <w:rPr>
          <w:color w:val="auto"/>
          <w:highlight w:val="none"/>
        </w:rPr>
      </w:pPr>
      <w:bookmarkStart w:id="345" w:name="_Toc88697650"/>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项目规划建设对植被及植物多样性的影响分析</w:t>
      </w:r>
      <w:bookmarkEnd w:id="345"/>
    </w:p>
    <w:p>
      <w:pPr>
        <w:bidi w:val="0"/>
        <w:rPr>
          <w:color w:val="auto"/>
          <w:highlight w:val="none"/>
        </w:rPr>
      </w:pPr>
      <w:r>
        <w:rPr>
          <w:color w:val="auto"/>
          <w:highlight w:val="none"/>
        </w:rPr>
        <w:t>经调查及资料查阅补充，</w:t>
      </w:r>
      <w:r>
        <w:rPr>
          <w:rFonts w:hint="eastAsia"/>
          <w:color w:val="auto"/>
          <w:highlight w:val="none"/>
        </w:rPr>
        <w:t>大竹县</w:t>
      </w:r>
      <w:r>
        <w:rPr>
          <w:color w:val="auto"/>
          <w:highlight w:val="none"/>
        </w:rPr>
        <w:t>煤炭矿区总体规划评价区不完全统计有维管植物133科473属792种，其中，蕨类植物17科27属48种、裸子植物5科10属14种、被子植111科436属730种（其中：单子叶植物16科80属130种，双子叶植物95科356属600种）</w:t>
      </w:r>
      <w:r>
        <w:rPr>
          <w:rFonts w:hint="eastAsia"/>
          <w:color w:val="auto"/>
          <w:highlight w:val="none"/>
        </w:rPr>
        <w:t>。大竹县</w:t>
      </w:r>
      <w:r>
        <w:rPr>
          <w:color w:val="auto"/>
          <w:highlight w:val="none"/>
        </w:rPr>
        <w:t>煤炭矿区总体规划项目的规划建设内容主要</w:t>
      </w:r>
      <w:r>
        <w:rPr>
          <w:rFonts w:hint="eastAsia"/>
          <w:color w:val="auto"/>
          <w:highlight w:val="none"/>
        </w:rPr>
        <w:t>是对矿区既有设施进行提升改造</w:t>
      </w:r>
      <w:r>
        <w:rPr>
          <w:color w:val="auto"/>
          <w:highlight w:val="none"/>
        </w:rPr>
        <w:t>，</w:t>
      </w:r>
      <w:r>
        <w:rPr>
          <w:rFonts w:hint="eastAsia"/>
          <w:color w:val="auto"/>
          <w:highlight w:val="none"/>
        </w:rPr>
        <w:t>不新增占地，规划建设局限在矿区既有工业广场内</w:t>
      </w:r>
      <w:r>
        <w:rPr>
          <w:color w:val="auto"/>
          <w:highlight w:val="none"/>
        </w:rPr>
        <w:t>。</w:t>
      </w:r>
      <w:r>
        <w:rPr>
          <w:rFonts w:hint="eastAsia"/>
          <w:color w:val="auto"/>
          <w:highlight w:val="none"/>
        </w:rPr>
        <w:t>经核实工业广场内</w:t>
      </w:r>
      <w:r>
        <w:rPr>
          <w:color w:val="auto"/>
          <w:highlight w:val="none"/>
        </w:rPr>
        <w:t>无野生保护植物</w:t>
      </w:r>
      <w:r>
        <w:rPr>
          <w:rFonts w:hint="eastAsia"/>
          <w:color w:val="auto"/>
          <w:highlight w:val="none"/>
        </w:rPr>
        <w:t>及古树名木</w:t>
      </w:r>
      <w:r>
        <w:rPr>
          <w:color w:val="auto"/>
          <w:highlight w:val="none"/>
        </w:rPr>
        <w:t>分布。因此，项目规划建设期间，施工占地、环境污染等会对评价区的植物及植被</w:t>
      </w:r>
      <w:r>
        <w:rPr>
          <w:rFonts w:hint="eastAsia"/>
          <w:color w:val="auto"/>
          <w:highlight w:val="none"/>
        </w:rPr>
        <w:t>的影响主要是间接影响。</w:t>
      </w:r>
    </w:p>
    <w:p>
      <w:pPr>
        <w:bidi w:val="0"/>
        <w:rPr>
          <w:color w:val="auto"/>
          <w:highlight w:val="none"/>
        </w:rPr>
      </w:pPr>
      <w:r>
        <w:rPr>
          <w:rFonts w:hint="eastAsia"/>
          <w:color w:val="auto"/>
          <w:highlight w:val="none"/>
          <w:lang w:eastAsia="zh-CN"/>
        </w:rPr>
        <w:t>①</w:t>
      </w:r>
      <w:r>
        <w:rPr>
          <w:color w:val="auto"/>
          <w:highlight w:val="none"/>
        </w:rPr>
        <w:t>施工占地的影响　</w:t>
      </w:r>
    </w:p>
    <w:p>
      <w:pPr>
        <w:bidi w:val="0"/>
        <w:rPr>
          <w:color w:val="auto"/>
          <w:highlight w:val="none"/>
        </w:rPr>
      </w:pPr>
      <w:r>
        <w:rPr>
          <w:color w:val="auto"/>
          <w:highlight w:val="none"/>
        </w:rPr>
        <w:t>物种多样性的影响：</w:t>
      </w:r>
      <w:r>
        <w:rPr>
          <w:rFonts w:hint="eastAsia"/>
          <w:color w:val="auto"/>
          <w:highlight w:val="none"/>
        </w:rPr>
        <w:t>大竹县</w:t>
      </w:r>
      <w:r>
        <w:rPr>
          <w:color w:val="auto"/>
          <w:highlight w:val="none"/>
        </w:rPr>
        <w:t>煤炭矿区总体规划项目规划建设期间工程占地必不可少的对占地区的植物进行清理；但项目规划区（占地区）分布的植物</w:t>
      </w:r>
      <w:r>
        <w:rPr>
          <w:rFonts w:hint="eastAsia"/>
          <w:color w:val="auto"/>
          <w:highlight w:val="none"/>
        </w:rPr>
        <w:t>主要是</w:t>
      </w:r>
      <w:bookmarkStart w:id="346" w:name="_Hlk88695644"/>
      <w:r>
        <w:rPr>
          <w:rFonts w:hint="eastAsia"/>
          <w:color w:val="auto"/>
          <w:highlight w:val="none"/>
        </w:rPr>
        <w:t>广业场地内的杂草及零星分布的灌木，如狗尾草、钻形紫菀、野蒿、艾蒿、水麻、醉鱼草等</w:t>
      </w:r>
      <w:r>
        <w:rPr>
          <w:color w:val="auto"/>
          <w:highlight w:val="none"/>
        </w:rPr>
        <w:t>常见植物</w:t>
      </w:r>
      <w:bookmarkEnd w:id="346"/>
      <w:r>
        <w:rPr>
          <w:rFonts w:hint="eastAsia"/>
          <w:color w:val="auto"/>
          <w:highlight w:val="none"/>
        </w:rPr>
        <w:t>（详见表5</w:t>
      </w:r>
      <w:r>
        <w:rPr>
          <w:color w:val="auto"/>
          <w:highlight w:val="none"/>
        </w:rPr>
        <w:t>-2</w:t>
      </w:r>
      <w:r>
        <w:rPr>
          <w:rFonts w:hint="eastAsia"/>
          <w:color w:val="auto"/>
          <w:highlight w:val="none"/>
        </w:rPr>
        <w:t>）</w:t>
      </w:r>
      <w:r>
        <w:rPr>
          <w:color w:val="auto"/>
          <w:highlight w:val="none"/>
        </w:rPr>
        <w:t>，其它区域的植物物种分布将不会受到规划建设的明显影响。规划建设施工不会减少植物物种数量，不会使物种丰富度降低，影响预测为小。</w:t>
      </w:r>
    </w:p>
    <w:p>
      <w:pPr>
        <w:pStyle w:val="22"/>
        <w:bidi w:val="0"/>
        <w:rPr>
          <w:color w:val="auto"/>
          <w:highlight w:val="none"/>
        </w:rPr>
      </w:pPr>
      <w:r>
        <w:rPr>
          <w:rFonts w:hint="eastAsia"/>
          <w:color w:val="auto"/>
          <w:highlight w:val="none"/>
        </w:rPr>
        <w:t>表</w:t>
      </w:r>
      <w:r>
        <w:rPr>
          <w:rFonts w:hint="eastAsia"/>
          <w:color w:val="auto"/>
          <w:highlight w:val="none"/>
          <w:lang w:val="en-US" w:eastAsia="zh-CN"/>
        </w:rPr>
        <w:t>5.1-7</w:t>
      </w:r>
      <w:r>
        <w:rPr>
          <w:color w:val="auto"/>
          <w:highlight w:val="none"/>
        </w:rPr>
        <w:t xml:space="preserve"> </w:t>
      </w:r>
      <w:r>
        <w:rPr>
          <w:rFonts w:hint="eastAsia"/>
          <w:color w:val="auto"/>
          <w:highlight w:val="none"/>
        </w:rPr>
        <w:t>项目规划施工影响的主要</w:t>
      </w:r>
      <w:r>
        <w:rPr>
          <w:color w:val="auto"/>
          <w:highlight w:val="none"/>
        </w:rPr>
        <w:t>的</w:t>
      </w:r>
      <w:r>
        <w:rPr>
          <w:rFonts w:hint="eastAsia"/>
          <w:color w:val="auto"/>
          <w:highlight w:val="none"/>
        </w:rPr>
        <w:t>草本植物及灌木名录</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2070"/>
        <w:gridCol w:w="1097"/>
        <w:gridCol w:w="2070"/>
        <w:gridCol w:w="1147"/>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9" w:type="pct"/>
            <w:shd w:val="clear" w:color="auto" w:fill="auto"/>
            <w:vAlign w:val="center"/>
          </w:tcPr>
          <w:p>
            <w:pPr>
              <w:pStyle w:val="22"/>
              <w:bidi w:val="0"/>
              <w:rPr>
                <w:color w:val="auto"/>
                <w:highlight w:val="none"/>
              </w:rPr>
            </w:pPr>
            <w:r>
              <w:rPr>
                <w:color w:val="auto"/>
                <w:highlight w:val="none"/>
              </w:rPr>
              <w:t>编号</w:t>
            </w:r>
          </w:p>
        </w:tc>
        <w:tc>
          <w:tcPr>
            <w:tcW w:w="1075" w:type="pct"/>
            <w:shd w:val="clear" w:color="auto" w:fill="auto"/>
            <w:noWrap/>
            <w:vAlign w:val="center"/>
          </w:tcPr>
          <w:p>
            <w:pPr>
              <w:pStyle w:val="22"/>
              <w:bidi w:val="0"/>
              <w:rPr>
                <w:color w:val="auto"/>
                <w:highlight w:val="none"/>
              </w:rPr>
            </w:pPr>
            <w:r>
              <w:rPr>
                <w:color w:val="auto"/>
                <w:highlight w:val="none"/>
              </w:rPr>
              <w:t>种名</w:t>
            </w:r>
          </w:p>
        </w:tc>
        <w:tc>
          <w:tcPr>
            <w:tcW w:w="570" w:type="pct"/>
            <w:shd w:val="clear" w:color="auto" w:fill="auto"/>
            <w:vAlign w:val="center"/>
          </w:tcPr>
          <w:p>
            <w:pPr>
              <w:pStyle w:val="22"/>
              <w:bidi w:val="0"/>
              <w:rPr>
                <w:color w:val="auto"/>
                <w:highlight w:val="none"/>
              </w:rPr>
            </w:pPr>
            <w:r>
              <w:rPr>
                <w:color w:val="auto"/>
                <w:highlight w:val="none"/>
              </w:rPr>
              <w:t>编号</w:t>
            </w:r>
          </w:p>
        </w:tc>
        <w:tc>
          <w:tcPr>
            <w:tcW w:w="1075" w:type="pct"/>
            <w:shd w:val="clear" w:color="auto" w:fill="auto"/>
            <w:noWrap/>
            <w:vAlign w:val="center"/>
          </w:tcPr>
          <w:p>
            <w:pPr>
              <w:pStyle w:val="22"/>
              <w:bidi w:val="0"/>
              <w:rPr>
                <w:color w:val="auto"/>
                <w:highlight w:val="none"/>
              </w:rPr>
            </w:pPr>
            <w:r>
              <w:rPr>
                <w:color w:val="auto"/>
                <w:highlight w:val="none"/>
              </w:rPr>
              <w:t>种名</w:t>
            </w:r>
          </w:p>
        </w:tc>
        <w:tc>
          <w:tcPr>
            <w:tcW w:w="596" w:type="pct"/>
            <w:shd w:val="clear" w:color="auto" w:fill="auto"/>
            <w:vAlign w:val="center"/>
          </w:tcPr>
          <w:p>
            <w:pPr>
              <w:pStyle w:val="22"/>
              <w:bidi w:val="0"/>
              <w:rPr>
                <w:color w:val="auto"/>
                <w:highlight w:val="none"/>
              </w:rPr>
            </w:pPr>
            <w:r>
              <w:rPr>
                <w:color w:val="auto"/>
                <w:highlight w:val="none"/>
              </w:rPr>
              <w:t>编号</w:t>
            </w:r>
          </w:p>
        </w:tc>
        <w:tc>
          <w:tcPr>
            <w:tcW w:w="1075" w:type="pct"/>
            <w:shd w:val="clear" w:color="auto" w:fill="auto"/>
            <w:noWrap/>
            <w:vAlign w:val="center"/>
          </w:tcPr>
          <w:p>
            <w:pPr>
              <w:pStyle w:val="22"/>
              <w:bidi w:val="0"/>
              <w:rPr>
                <w:color w:val="auto"/>
                <w:highlight w:val="none"/>
              </w:rPr>
            </w:pPr>
            <w:r>
              <w:rPr>
                <w:color w:val="auto"/>
                <w:highlight w:val="none"/>
              </w:rPr>
              <w:t>种名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w:t>
            </w:r>
          </w:p>
        </w:tc>
        <w:tc>
          <w:tcPr>
            <w:tcW w:w="1075" w:type="pct"/>
            <w:shd w:val="clear" w:color="auto" w:fill="auto"/>
            <w:noWrap/>
            <w:vAlign w:val="center"/>
          </w:tcPr>
          <w:p>
            <w:pPr>
              <w:pStyle w:val="22"/>
              <w:bidi w:val="0"/>
              <w:rPr>
                <w:color w:val="auto"/>
                <w:highlight w:val="none"/>
              </w:rPr>
            </w:pPr>
            <w:r>
              <w:rPr>
                <w:rFonts w:hint="eastAsia"/>
                <w:color w:val="auto"/>
                <w:highlight w:val="none"/>
              </w:rPr>
              <w:t>野蒿</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0</w:t>
            </w:r>
          </w:p>
        </w:tc>
        <w:tc>
          <w:tcPr>
            <w:tcW w:w="1075" w:type="pct"/>
            <w:shd w:val="clear" w:color="auto" w:fill="auto"/>
            <w:noWrap/>
            <w:vAlign w:val="center"/>
          </w:tcPr>
          <w:p>
            <w:pPr>
              <w:pStyle w:val="22"/>
              <w:bidi w:val="0"/>
              <w:rPr>
                <w:color w:val="auto"/>
                <w:highlight w:val="none"/>
              </w:rPr>
            </w:pPr>
            <w:r>
              <w:rPr>
                <w:color w:val="auto"/>
                <w:highlight w:val="none"/>
              </w:rPr>
              <w:t>铁苋菜</w:t>
            </w:r>
          </w:p>
        </w:tc>
        <w:tc>
          <w:tcPr>
            <w:tcW w:w="596"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9</w:t>
            </w:r>
          </w:p>
        </w:tc>
        <w:tc>
          <w:tcPr>
            <w:tcW w:w="1075" w:type="pct"/>
            <w:shd w:val="clear" w:color="auto" w:fill="auto"/>
            <w:noWrap/>
            <w:vAlign w:val="center"/>
          </w:tcPr>
          <w:p>
            <w:pPr>
              <w:pStyle w:val="22"/>
              <w:bidi w:val="0"/>
              <w:rPr>
                <w:color w:val="auto"/>
                <w:highlight w:val="none"/>
              </w:rPr>
            </w:pPr>
            <w:r>
              <w:rPr>
                <w:color w:val="auto"/>
                <w:highlight w:val="none"/>
              </w:rPr>
              <w:t>节节草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2</w:t>
            </w:r>
          </w:p>
        </w:tc>
        <w:tc>
          <w:tcPr>
            <w:tcW w:w="1075" w:type="pct"/>
            <w:shd w:val="clear" w:color="auto" w:fill="auto"/>
            <w:noWrap/>
            <w:vAlign w:val="center"/>
          </w:tcPr>
          <w:p>
            <w:pPr>
              <w:pStyle w:val="22"/>
              <w:bidi w:val="0"/>
              <w:rPr>
                <w:color w:val="auto"/>
                <w:highlight w:val="none"/>
              </w:rPr>
            </w:pPr>
            <w:r>
              <w:rPr>
                <w:color w:val="auto"/>
                <w:highlight w:val="none"/>
              </w:rPr>
              <w:t>爵床</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1</w:t>
            </w:r>
          </w:p>
        </w:tc>
        <w:tc>
          <w:tcPr>
            <w:tcW w:w="1075" w:type="pct"/>
            <w:shd w:val="clear" w:color="auto" w:fill="auto"/>
            <w:noWrap/>
            <w:vAlign w:val="center"/>
          </w:tcPr>
          <w:p>
            <w:pPr>
              <w:pStyle w:val="22"/>
              <w:bidi w:val="0"/>
              <w:rPr>
                <w:color w:val="auto"/>
                <w:highlight w:val="none"/>
              </w:rPr>
            </w:pPr>
            <w:r>
              <w:rPr>
                <w:color w:val="auto"/>
                <w:highlight w:val="none"/>
              </w:rPr>
              <w:t>荔枝草</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0</w:t>
            </w:r>
          </w:p>
        </w:tc>
        <w:tc>
          <w:tcPr>
            <w:tcW w:w="1075" w:type="pct"/>
            <w:shd w:val="clear" w:color="auto" w:fill="auto"/>
            <w:noWrap/>
            <w:vAlign w:val="center"/>
          </w:tcPr>
          <w:p>
            <w:pPr>
              <w:pStyle w:val="22"/>
              <w:bidi w:val="0"/>
              <w:rPr>
                <w:color w:val="auto"/>
                <w:highlight w:val="none"/>
              </w:rPr>
            </w:pPr>
            <w:r>
              <w:rPr>
                <w:color w:val="auto"/>
                <w:highlight w:val="none"/>
              </w:rPr>
              <w:t>蜈蚣草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3</w:t>
            </w:r>
          </w:p>
        </w:tc>
        <w:tc>
          <w:tcPr>
            <w:tcW w:w="1075" w:type="pct"/>
            <w:shd w:val="clear" w:color="auto" w:fill="auto"/>
            <w:noWrap/>
            <w:vAlign w:val="center"/>
          </w:tcPr>
          <w:p>
            <w:pPr>
              <w:pStyle w:val="22"/>
              <w:bidi w:val="0"/>
              <w:rPr>
                <w:color w:val="auto"/>
                <w:highlight w:val="none"/>
              </w:rPr>
            </w:pPr>
            <w:r>
              <w:rPr>
                <w:rFonts w:hint="eastAsia"/>
                <w:color w:val="auto"/>
                <w:highlight w:val="none"/>
              </w:rPr>
              <w:t>艾蒿</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2</w:t>
            </w:r>
          </w:p>
        </w:tc>
        <w:tc>
          <w:tcPr>
            <w:tcW w:w="1075" w:type="pct"/>
            <w:shd w:val="clear" w:color="auto" w:fill="auto"/>
            <w:noWrap/>
            <w:vAlign w:val="center"/>
          </w:tcPr>
          <w:p>
            <w:pPr>
              <w:pStyle w:val="22"/>
              <w:bidi w:val="0"/>
              <w:rPr>
                <w:color w:val="auto"/>
                <w:highlight w:val="none"/>
              </w:rPr>
            </w:pPr>
            <w:r>
              <w:rPr>
                <w:color w:val="auto"/>
                <w:highlight w:val="none"/>
              </w:rPr>
              <w:t>野葛</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1</w:t>
            </w:r>
          </w:p>
        </w:tc>
        <w:tc>
          <w:tcPr>
            <w:tcW w:w="1075" w:type="pct"/>
            <w:shd w:val="clear" w:color="auto" w:fill="auto"/>
            <w:noWrap/>
            <w:vAlign w:val="center"/>
          </w:tcPr>
          <w:p>
            <w:pPr>
              <w:pStyle w:val="22"/>
              <w:bidi w:val="0"/>
              <w:rPr>
                <w:color w:val="auto"/>
                <w:highlight w:val="none"/>
              </w:rPr>
            </w:pPr>
            <w:r>
              <w:rPr>
                <w:color w:val="auto"/>
                <w:highlight w:val="none"/>
              </w:rPr>
              <w:t>辣子草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4</w:t>
            </w:r>
          </w:p>
        </w:tc>
        <w:tc>
          <w:tcPr>
            <w:tcW w:w="1075" w:type="pct"/>
            <w:shd w:val="clear" w:color="auto" w:fill="auto"/>
            <w:noWrap/>
            <w:vAlign w:val="center"/>
          </w:tcPr>
          <w:p>
            <w:pPr>
              <w:pStyle w:val="22"/>
              <w:bidi w:val="0"/>
              <w:rPr>
                <w:color w:val="auto"/>
                <w:highlight w:val="none"/>
              </w:rPr>
            </w:pPr>
            <w:r>
              <w:rPr>
                <w:color w:val="auto"/>
                <w:highlight w:val="none"/>
              </w:rPr>
              <w:t>牛膝</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3</w:t>
            </w:r>
          </w:p>
        </w:tc>
        <w:tc>
          <w:tcPr>
            <w:tcW w:w="1075" w:type="pct"/>
            <w:shd w:val="clear" w:color="auto" w:fill="auto"/>
            <w:noWrap/>
            <w:vAlign w:val="center"/>
          </w:tcPr>
          <w:p>
            <w:pPr>
              <w:pStyle w:val="22"/>
              <w:bidi w:val="0"/>
              <w:rPr>
                <w:color w:val="auto"/>
                <w:highlight w:val="none"/>
              </w:rPr>
            </w:pPr>
            <w:r>
              <w:rPr>
                <w:color w:val="auto"/>
                <w:highlight w:val="none"/>
              </w:rPr>
              <w:t>救荒野豌豆</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2</w:t>
            </w:r>
          </w:p>
        </w:tc>
        <w:tc>
          <w:tcPr>
            <w:tcW w:w="1075" w:type="pct"/>
            <w:shd w:val="clear" w:color="auto" w:fill="auto"/>
            <w:noWrap/>
            <w:vAlign w:val="center"/>
          </w:tcPr>
          <w:p>
            <w:pPr>
              <w:pStyle w:val="22"/>
              <w:bidi w:val="0"/>
              <w:rPr>
                <w:color w:val="auto"/>
                <w:highlight w:val="none"/>
              </w:rPr>
            </w:pPr>
            <w:r>
              <w:rPr>
                <w:color w:val="auto"/>
                <w:highlight w:val="none"/>
              </w:rPr>
              <w:t>木贼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5</w:t>
            </w:r>
          </w:p>
        </w:tc>
        <w:tc>
          <w:tcPr>
            <w:tcW w:w="1075" w:type="pct"/>
            <w:shd w:val="clear" w:color="auto" w:fill="auto"/>
            <w:noWrap/>
            <w:vAlign w:val="center"/>
          </w:tcPr>
          <w:p>
            <w:pPr>
              <w:pStyle w:val="22"/>
              <w:bidi w:val="0"/>
              <w:rPr>
                <w:color w:val="auto"/>
                <w:highlight w:val="none"/>
              </w:rPr>
            </w:pPr>
            <w:r>
              <w:rPr>
                <w:color w:val="auto"/>
                <w:highlight w:val="none"/>
              </w:rPr>
              <w:t>喜旱莲子草</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4</w:t>
            </w:r>
          </w:p>
        </w:tc>
        <w:tc>
          <w:tcPr>
            <w:tcW w:w="1075" w:type="pct"/>
            <w:shd w:val="clear" w:color="auto" w:fill="auto"/>
            <w:noWrap/>
            <w:vAlign w:val="center"/>
          </w:tcPr>
          <w:p>
            <w:pPr>
              <w:pStyle w:val="22"/>
              <w:bidi w:val="0"/>
              <w:rPr>
                <w:color w:val="auto"/>
                <w:highlight w:val="none"/>
              </w:rPr>
            </w:pPr>
            <w:r>
              <w:rPr>
                <w:color w:val="auto"/>
                <w:highlight w:val="none"/>
              </w:rPr>
              <w:t>酢浆草</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3</w:t>
            </w:r>
          </w:p>
        </w:tc>
        <w:tc>
          <w:tcPr>
            <w:tcW w:w="1075" w:type="pct"/>
            <w:shd w:val="clear" w:color="auto" w:fill="auto"/>
            <w:noWrap/>
            <w:vAlign w:val="center"/>
          </w:tcPr>
          <w:p>
            <w:pPr>
              <w:pStyle w:val="22"/>
              <w:bidi w:val="0"/>
              <w:rPr>
                <w:color w:val="auto"/>
                <w:highlight w:val="none"/>
              </w:rPr>
            </w:pPr>
            <w:r>
              <w:rPr>
                <w:color w:val="auto"/>
                <w:highlight w:val="none"/>
              </w:rPr>
              <w:t>散生木贼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6</w:t>
            </w:r>
          </w:p>
        </w:tc>
        <w:tc>
          <w:tcPr>
            <w:tcW w:w="1075" w:type="pct"/>
            <w:shd w:val="clear" w:color="auto" w:fill="auto"/>
            <w:noWrap/>
            <w:vAlign w:val="center"/>
          </w:tcPr>
          <w:p>
            <w:pPr>
              <w:pStyle w:val="22"/>
              <w:bidi w:val="0"/>
              <w:rPr>
                <w:color w:val="auto"/>
                <w:highlight w:val="none"/>
              </w:rPr>
            </w:pPr>
            <w:r>
              <w:rPr>
                <w:color w:val="auto"/>
                <w:highlight w:val="none"/>
              </w:rPr>
              <w:t>反枝苋</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5</w:t>
            </w:r>
          </w:p>
        </w:tc>
        <w:tc>
          <w:tcPr>
            <w:tcW w:w="1075" w:type="pct"/>
            <w:shd w:val="clear" w:color="auto" w:fill="auto"/>
            <w:noWrap/>
            <w:vAlign w:val="center"/>
          </w:tcPr>
          <w:p>
            <w:pPr>
              <w:pStyle w:val="22"/>
              <w:bidi w:val="0"/>
              <w:rPr>
                <w:color w:val="auto"/>
                <w:highlight w:val="none"/>
              </w:rPr>
            </w:pPr>
            <w:r>
              <w:rPr>
                <w:color w:val="auto"/>
                <w:highlight w:val="none"/>
              </w:rPr>
              <w:t>龙牙草</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4</w:t>
            </w:r>
          </w:p>
        </w:tc>
        <w:tc>
          <w:tcPr>
            <w:tcW w:w="1075" w:type="pct"/>
            <w:shd w:val="clear" w:color="auto" w:fill="auto"/>
            <w:noWrap/>
            <w:vAlign w:val="center"/>
          </w:tcPr>
          <w:p>
            <w:pPr>
              <w:pStyle w:val="22"/>
              <w:bidi w:val="0"/>
              <w:rPr>
                <w:color w:val="auto"/>
                <w:highlight w:val="none"/>
              </w:rPr>
            </w:pPr>
            <w:r>
              <w:rPr>
                <w:color w:val="auto"/>
                <w:highlight w:val="none"/>
              </w:rPr>
              <w:t>窃衣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7</w:t>
            </w:r>
          </w:p>
        </w:tc>
        <w:tc>
          <w:tcPr>
            <w:tcW w:w="1075" w:type="pct"/>
            <w:shd w:val="clear" w:color="auto" w:fill="auto"/>
            <w:noWrap/>
            <w:vAlign w:val="center"/>
          </w:tcPr>
          <w:p>
            <w:pPr>
              <w:pStyle w:val="22"/>
              <w:bidi w:val="0"/>
              <w:rPr>
                <w:color w:val="auto"/>
                <w:highlight w:val="none"/>
              </w:rPr>
            </w:pPr>
            <w:r>
              <w:rPr>
                <w:color w:val="auto"/>
                <w:highlight w:val="none"/>
              </w:rPr>
              <w:t>附地菜</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6</w:t>
            </w:r>
          </w:p>
        </w:tc>
        <w:tc>
          <w:tcPr>
            <w:tcW w:w="1075" w:type="pct"/>
            <w:shd w:val="clear" w:color="auto" w:fill="auto"/>
            <w:noWrap/>
            <w:vAlign w:val="center"/>
          </w:tcPr>
          <w:p>
            <w:pPr>
              <w:pStyle w:val="22"/>
              <w:bidi w:val="0"/>
              <w:rPr>
                <w:color w:val="auto"/>
                <w:highlight w:val="none"/>
              </w:rPr>
            </w:pPr>
            <w:r>
              <w:rPr>
                <w:color w:val="auto"/>
                <w:highlight w:val="none"/>
              </w:rPr>
              <w:t>车前</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5</w:t>
            </w:r>
          </w:p>
        </w:tc>
        <w:tc>
          <w:tcPr>
            <w:tcW w:w="1075" w:type="pct"/>
            <w:shd w:val="clear" w:color="auto" w:fill="auto"/>
            <w:noWrap/>
            <w:vAlign w:val="center"/>
          </w:tcPr>
          <w:p>
            <w:pPr>
              <w:pStyle w:val="22"/>
              <w:bidi w:val="0"/>
              <w:rPr>
                <w:color w:val="auto"/>
                <w:highlight w:val="none"/>
              </w:rPr>
            </w:pPr>
            <w:r>
              <w:rPr>
                <w:color w:val="auto"/>
                <w:highlight w:val="none"/>
              </w:rPr>
              <w:t>圆叶牵牛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8</w:t>
            </w:r>
          </w:p>
        </w:tc>
        <w:tc>
          <w:tcPr>
            <w:tcW w:w="1075" w:type="pct"/>
            <w:shd w:val="clear" w:color="auto" w:fill="auto"/>
            <w:noWrap/>
            <w:vAlign w:val="center"/>
          </w:tcPr>
          <w:p>
            <w:pPr>
              <w:pStyle w:val="22"/>
              <w:bidi w:val="0"/>
              <w:rPr>
                <w:color w:val="auto"/>
                <w:highlight w:val="none"/>
              </w:rPr>
            </w:pPr>
            <w:r>
              <w:rPr>
                <w:color w:val="auto"/>
                <w:highlight w:val="none"/>
              </w:rPr>
              <w:t>球序卷耳</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7</w:t>
            </w:r>
          </w:p>
        </w:tc>
        <w:tc>
          <w:tcPr>
            <w:tcW w:w="1075" w:type="pct"/>
            <w:shd w:val="clear" w:color="auto" w:fill="auto"/>
            <w:noWrap/>
            <w:vAlign w:val="center"/>
          </w:tcPr>
          <w:p>
            <w:pPr>
              <w:pStyle w:val="22"/>
              <w:bidi w:val="0"/>
              <w:rPr>
                <w:color w:val="auto"/>
                <w:highlight w:val="none"/>
              </w:rPr>
            </w:pPr>
            <w:r>
              <w:rPr>
                <w:color w:val="auto"/>
                <w:highlight w:val="none"/>
              </w:rPr>
              <w:t>大车前</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6</w:t>
            </w:r>
          </w:p>
        </w:tc>
        <w:tc>
          <w:tcPr>
            <w:tcW w:w="1075" w:type="pct"/>
            <w:shd w:val="clear" w:color="auto" w:fill="auto"/>
            <w:noWrap/>
            <w:vAlign w:val="center"/>
          </w:tcPr>
          <w:p>
            <w:pPr>
              <w:pStyle w:val="22"/>
              <w:bidi w:val="0"/>
              <w:rPr>
                <w:color w:val="auto"/>
                <w:highlight w:val="none"/>
              </w:rPr>
            </w:pPr>
            <w:r>
              <w:rPr>
                <w:color w:val="auto"/>
                <w:highlight w:val="none"/>
              </w:rPr>
              <w:t>荠菜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9</w:t>
            </w:r>
          </w:p>
        </w:tc>
        <w:tc>
          <w:tcPr>
            <w:tcW w:w="1075" w:type="pct"/>
            <w:shd w:val="clear" w:color="auto" w:fill="auto"/>
            <w:noWrap/>
            <w:vAlign w:val="center"/>
          </w:tcPr>
          <w:p>
            <w:pPr>
              <w:pStyle w:val="22"/>
              <w:bidi w:val="0"/>
              <w:rPr>
                <w:color w:val="auto"/>
                <w:highlight w:val="none"/>
              </w:rPr>
            </w:pPr>
            <w:r>
              <w:rPr>
                <w:color w:val="auto"/>
                <w:highlight w:val="none"/>
              </w:rPr>
              <w:t>繁缕</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8</w:t>
            </w:r>
          </w:p>
        </w:tc>
        <w:tc>
          <w:tcPr>
            <w:tcW w:w="1075" w:type="pct"/>
            <w:shd w:val="clear" w:color="auto" w:fill="auto"/>
            <w:noWrap/>
            <w:vAlign w:val="center"/>
          </w:tcPr>
          <w:p>
            <w:pPr>
              <w:pStyle w:val="22"/>
              <w:bidi w:val="0"/>
              <w:rPr>
                <w:color w:val="auto"/>
                <w:highlight w:val="none"/>
              </w:rPr>
            </w:pPr>
            <w:r>
              <w:rPr>
                <w:color w:val="auto"/>
                <w:highlight w:val="none"/>
              </w:rPr>
              <w:t>茜草</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7</w:t>
            </w:r>
          </w:p>
        </w:tc>
        <w:tc>
          <w:tcPr>
            <w:tcW w:w="1075" w:type="pct"/>
            <w:shd w:val="clear" w:color="auto" w:fill="auto"/>
            <w:noWrap/>
            <w:vAlign w:val="center"/>
          </w:tcPr>
          <w:p>
            <w:pPr>
              <w:pStyle w:val="22"/>
              <w:bidi w:val="0"/>
              <w:rPr>
                <w:color w:val="auto"/>
                <w:highlight w:val="none"/>
              </w:rPr>
            </w:pPr>
            <w:r>
              <w:rPr>
                <w:color w:val="auto"/>
                <w:highlight w:val="none"/>
              </w:rPr>
              <w:t>播娘蒿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10</w:t>
            </w:r>
          </w:p>
        </w:tc>
        <w:tc>
          <w:tcPr>
            <w:tcW w:w="1075" w:type="pct"/>
            <w:shd w:val="clear" w:color="auto" w:fill="auto"/>
            <w:noWrap/>
            <w:vAlign w:val="center"/>
          </w:tcPr>
          <w:p>
            <w:pPr>
              <w:pStyle w:val="22"/>
              <w:bidi w:val="0"/>
              <w:rPr>
                <w:color w:val="auto"/>
                <w:highlight w:val="none"/>
              </w:rPr>
            </w:pPr>
            <w:r>
              <w:rPr>
                <w:color w:val="auto"/>
                <w:highlight w:val="none"/>
              </w:rPr>
              <w:t>藜</w:t>
            </w:r>
          </w:p>
        </w:tc>
        <w:tc>
          <w:tcPr>
            <w:tcW w:w="570" w:type="pct"/>
            <w:shd w:val="clear" w:color="auto" w:fill="auto"/>
            <w:vAlign w:val="center"/>
          </w:tcPr>
          <w:p>
            <w:pPr>
              <w:pStyle w:val="22"/>
              <w:bidi w:val="0"/>
              <w:rPr>
                <w:color w:val="auto"/>
                <w:highlight w:val="none"/>
              </w:rPr>
            </w:pPr>
            <w:r>
              <w:rPr>
                <w:rFonts w:hint="eastAsia"/>
                <w:color w:val="auto"/>
                <w:highlight w:val="none"/>
              </w:rPr>
              <w:t>2</w:t>
            </w:r>
            <w:r>
              <w:rPr>
                <w:color w:val="auto"/>
                <w:highlight w:val="none"/>
              </w:rPr>
              <w:t>9</w:t>
            </w:r>
          </w:p>
        </w:tc>
        <w:tc>
          <w:tcPr>
            <w:tcW w:w="1075" w:type="pct"/>
            <w:shd w:val="clear" w:color="auto" w:fill="auto"/>
            <w:noWrap/>
            <w:vAlign w:val="center"/>
          </w:tcPr>
          <w:p>
            <w:pPr>
              <w:pStyle w:val="22"/>
              <w:bidi w:val="0"/>
              <w:rPr>
                <w:color w:val="auto"/>
                <w:highlight w:val="none"/>
              </w:rPr>
            </w:pPr>
            <w:r>
              <w:rPr>
                <w:color w:val="auto"/>
                <w:highlight w:val="none"/>
              </w:rPr>
              <w:t>婆婆纳</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8</w:t>
            </w:r>
          </w:p>
        </w:tc>
        <w:tc>
          <w:tcPr>
            <w:tcW w:w="1075" w:type="pct"/>
            <w:shd w:val="clear" w:color="auto" w:fill="auto"/>
            <w:noWrap/>
            <w:vAlign w:val="center"/>
          </w:tcPr>
          <w:p>
            <w:pPr>
              <w:pStyle w:val="22"/>
              <w:bidi w:val="0"/>
              <w:rPr>
                <w:color w:val="auto"/>
                <w:highlight w:val="none"/>
              </w:rPr>
            </w:pPr>
            <w:r>
              <w:rPr>
                <w:color w:val="auto"/>
                <w:highlight w:val="none"/>
              </w:rPr>
              <w:t>棒头草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11</w:t>
            </w:r>
          </w:p>
        </w:tc>
        <w:tc>
          <w:tcPr>
            <w:tcW w:w="1075" w:type="pct"/>
            <w:shd w:val="clear" w:color="auto" w:fill="auto"/>
            <w:noWrap/>
            <w:vAlign w:val="center"/>
          </w:tcPr>
          <w:p>
            <w:pPr>
              <w:pStyle w:val="22"/>
              <w:bidi w:val="0"/>
              <w:rPr>
                <w:color w:val="auto"/>
                <w:highlight w:val="none"/>
              </w:rPr>
            </w:pPr>
            <w:r>
              <w:rPr>
                <w:color w:val="auto"/>
                <w:highlight w:val="none"/>
              </w:rPr>
              <w:t>土荆芥</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0</w:t>
            </w:r>
          </w:p>
        </w:tc>
        <w:tc>
          <w:tcPr>
            <w:tcW w:w="1075" w:type="pct"/>
            <w:shd w:val="clear" w:color="auto" w:fill="auto"/>
            <w:noWrap/>
            <w:vAlign w:val="center"/>
          </w:tcPr>
          <w:p>
            <w:pPr>
              <w:pStyle w:val="22"/>
              <w:bidi w:val="0"/>
              <w:rPr>
                <w:color w:val="auto"/>
                <w:highlight w:val="none"/>
              </w:rPr>
            </w:pPr>
            <w:r>
              <w:rPr>
                <w:color w:val="auto"/>
                <w:highlight w:val="none"/>
              </w:rPr>
              <w:t>马鞭草</w:t>
            </w:r>
          </w:p>
        </w:tc>
        <w:tc>
          <w:tcPr>
            <w:tcW w:w="596" w:type="pct"/>
            <w:shd w:val="clear" w:color="auto" w:fill="auto"/>
            <w:vAlign w:val="center"/>
          </w:tcPr>
          <w:p>
            <w:pPr>
              <w:pStyle w:val="22"/>
              <w:bidi w:val="0"/>
              <w:rPr>
                <w:color w:val="auto"/>
                <w:highlight w:val="none"/>
              </w:rPr>
            </w:pPr>
            <w:r>
              <w:rPr>
                <w:rFonts w:hint="eastAsia"/>
                <w:color w:val="auto"/>
                <w:highlight w:val="none"/>
              </w:rPr>
              <w:t>4</w:t>
            </w:r>
            <w:r>
              <w:rPr>
                <w:color w:val="auto"/>
                <w:highlight w:val="none"/>
              </w:rPr>
              <w:t>9</w:t>
            </w:r>
          </w:p>
        </w:tc>
        <w:tc>
          <w:tcPr>
            <w:tcW w:w="1075" w:type="pct"/>
            <w:shd w:val="clear" w:color="auto" w:fill="auto"/>
            <w:noWrap/>
            <w:vAlign w:val="center"/>
          </w:tcPr>
          <w:p>
            <w:pPr>
              <w:pStyle w:val="22"/>
              <w:bidi w:val="0"/>
              <w:rPr>
                <w:color w:val="auto"/>
                <w:highlight w:val="none"/>
              </w:rPr>
            </w:pPr>
            <w:r>
              <w:rPr>
                <w:color w:val="auto"/>
                <w:highlight w:val="none"/>
              </w:rPr>
              <w:t>狗尾草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12</w:t>
            </w:r>
          </w:p>
        </w:tc>
        <w:tc>
          <w:tcPr>
            <w:tcW w:w="1075" w:type="pct"/>
            <w:shd w:val="clear" w:color="auto" w:fill="auto"/>
            <w:noWrap/>
            <w:vAlign w:val="center"/>
          </w:tcPr>
          <w:p>
            <w:pPr>
              <w:pStyle w:val="22"/>
              <w:bidi w:val="0"/>
              <w:rPr>
                <w:color w:val="auto"/>
                <w:highlight w:val="none"/>
              </w:rPr>
            </w:pPr>
            <w:r>
              <w:rPr>
                <w:color w:val="auto"/>
                <w:highlight w:val="none"/>
              </w:rPr>
              <w:t>小藜</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1</w:t>
            </w:r>
          </w:p>
        </w:tc>
        <w:tc>
          <w:tcPr>
            <w:tcW w:w="1075" w:type="pct"/>
            <w:shd w:val="clear" w:color="auto" w:fill="auto"/>
            <w:noWrap/>
            <w:vAlign w:val="center"/>
          </w:tcPr>
          <w:p>
            <w:pPr>
              <w:pStyle w:val="22"/>
              <w:bidi w:val="0"/>
              <w:rPr>
                <w:color w:val="auto"/>
                <w:highlight w:val="none"/>
              </w:rPr>
            </w:pPr>
            <w:r>
              <w:rPr>
                <w:color w:val="auto"/>
                <w:highlight w:val="none"/>
              </w:rPr>
              <w:t>垂穗苔草</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0</w:t>
            </w:r>
          </w:p>
        </w:tc>
        <w:tc>
          <w:tcPr>
            <w:tcW w:w="1075" w:type="pct"/>
            <w:shd w:val="clear" w:color="auto" w:fill="auto"/>
            <w:noWrap/>
            <w:vAlign w:val="center"/>
          </w:tcPr>
          <w:p>
            <w:pPr>
              <w:pStyle w:val="22"/>
              <w:bidi w:val="0"/>
              <w:rPr>
                <w:color w:val="auto"/>
                <w:highlight w:val="none"/>
              </w:rPr>
            </w:pPr>
            <w:r>
              <w:rPr>
                <w:color w:val="auto"/>
                <w:highlight w:val="none"/>
              </w:rPr>
              <w:t>野茼蒿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13</w:t>
            </w:r>
          </w:p>
        </w:tc>
        <w:tc>
          <w:tcPr>
            <w:tcW w:w="1075" w:type="pct"/>
            <w:shd w:val="clear" w:color="auto" w:fill="auto"/>
            <w:noWrap/>
            <w:vAlign w:val="center"/>
          </w:tcPr>
          <w:p>
            <w:pPr>
              <w:pStyle w:val="22"/>
              <w:bidi w:val="0"/>
              <w:rPr>
                <w:color w:val="auto"/>
                <w:highlight w:val="none"/>
              </w:rPr>
            </w:pPr>
            <w:r>
              <w:rPr>
                <w:color w:val="auto"/>
                <w:highlight w:val="none"/>
              </w:rPr>
              <w:t>野菊</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2</w:t>
            </w:r>
          </w:p>
        </w:tc>
        <w:tc>
          <w:tcPr>
            <w:tcW w:w="1075" w:type="pct"/>
            <w:shd w:val="clear" w:color="auto" w:fill="auto"/>
            <w:noWrap/>
            <w:vAlign w:val="center"/>
          </w:tcPr>
          <w:p>
            <w:pPr>
              <w:pStyle w:val="22"/>
              <w:bidi w:val="0"/>
              <w:rPr>
                <w:color w:val="auto"/>
                <w:highlight w:val="none"/>
              </w:rPr>
            </w:pPr>
            <w:r>
              <w:rPr>
                <w:color w:val="auto"/>
                <w:highlight w:val="none"/>
              </w:rPr>
              <w:t>荩草</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1</w:t>
            </w:r>
          </w:p>
        </w:tc>
        <w:tc>
          <w:tcPr>
            <w:tcW w:w="1075" w:type="pct"/>
            <w:shd w:val="clear" w:color="auto" w:fill="auto"/>
            <w:noWrap/>
            <w:vAlign w:val="center"/>
          </w:tcPr>
          <w:p>
            <w:pPr>
              <w:pStyle w:val="22"/>
              <w:bidi w:val="0"/>
              <w:rPr>
                <w:color w:val="auto"/>
                <w:highlight w:val="none"/>
              </w:rPr>
            </w:pPr>
            <w:r>
              <w:rPr>
                <w:color w:val="auto"/>
                <w:highlight w:val="none"/>
              </w:rPr>
              <w:t>泥胡菜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14</w:t>
            </w:r>
          </w:p>
        </w:tc>
        <w:tc>
          <w:tcPr>
            <w:tcW w:w="1075" w:type="pct"/>
            <w:shd w:val="clear" w:color="auto" w:fill="auto"/>
            <w:noWrap/>
            <w:vAlign w:val="center"/>
          </w:tcPr>
          <w:p>
            <w:pPr>
              <w:pStyle w:val="22"/>
              <w:bidi w:val="0"/>
              <w:rPr>
                <w:color w:val="auto"/>
                <w:highlight w:val="none"/>
              </w:rPr>
            </w:pPr>
            <w:r>
              <w:rPr>
                <w:color w:val="auto"/>
                <w:highlight w:val="none"/>
              </w:rPr>
              <w:t>野艾蒿</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3</w:t>
            </w:r>
          </w:p>
        </w:tc>
        <w:tc>
          <w:tcPr>
            <w:tcW w:w="1075" w:type="pct"/>
            <w:shd w:val="clear" w:color="auto" w:fill="auto"/>
            <w:noWrap/>
            <w:vAlign w:val="center"/>
          </w:tcPr>
          <w:p>
            <w:pPr>
              <w:pStyle w:val="22"/>
              <w:bidi w:val="0"/>
              <w:rPr>
                <w:color w:val="auto"/>
                <w:highlight w:val="none"/>
              </w:rPr>
            </w:pPr>
            <w:r>
              <w:rPr>
                <w:color w:val="auto"/>
                <w:highlight w:val="none"/>
              </w:rPr>
              <w:t>狗牙根</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2</w:t>
            </w:r>
          </w:p>
        </w:tc>
        <w:tc>
          <w:tcPr>
            <w:tcW w:w="1075" w:type="pct"/>
            <w:shd w:val="clear" w:color="auto" w:fill="auto"/>
            <w:noWrap/>
            <w:vAlign w:val="center"/>
          </w:tcPr>
          <w:p>
            <w:pPr>
              <w:pStyle w:val="22"/>
              <w:bidi w:val="0"/>
              <w:rPr>
                <w:color w:val="auto"/>
                <w:highlight w:val="none"/>
              </w:rPr>
            </w:pPr>
            <w:r>
              <w:rPr>
                <w:color w:val="auto"/>
                <w:highlight w:val="none"/>
              </w:rPr>
              <w:t>马兰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15</w:t>
            </w:r>
          </w:p>
        </w:tc>
        <w:tc>
          <w:tcPr>
            <w:tcW w:w="1075" w:type="pct"/>
            <w:shd w:val="clear" w:color="auto" w:fill="auto"/>
            <w:noWrap/>
            <w:vAlign w:val="center"/>
          </w:tcPr>
          <w:p>
            <w:pPr>
              <w:pStyle w:val="22"/>
              <w:bidi w:val="0"/>
              <w:rPr>
                <w:color w:val="auto"/>
                <w:highlight w:val="none"/>
              </w:rPr>
            </w:pPr>
            <w:r>
              <w:rPr>
                <w:color w:val="auto"/>
                <w:highlight w:val="none"/>
              </w:rPr>
              <w:t>钻形紫菀</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4</w:t>
            </w:r>
          </w:p>
        </w:tc>
        <w:tc>
          <w:tcPr>
            <w:tcW w:w="1075" w:type="pct"/>
            <w:shd w:val="clear" w:color="auto" w:fill="auto"/>
            <w:noWrap/>
            <w:vAlign w:val="center"/>
          </w:tcPr>
          <w:p>
            <w:pPr>
              <w:pStyle w:val="22"/>
              <w:bidi w:val="0"/>
              <w:rPr>
                <w:color w:val="auto"/>
                <w:highlight w:val="none"/>
              </w:rPr>
            </w:pPr>
            <w:r>
              <w:rPr>
                <w:color w:val="auto"/>
                <w:highlight w:val="none"/>
              </w:rPr>
              <w:t>马唐</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3</w:t>
            </w:r>
          </w:p>
        </w:tc>
        <w:tc>
          <w:tcPr>
            <w:tcW w:w="1075" w:type="pct"/>
            <w:shd w:val="clear" w:color="auto" w:fill="auto"/>
            <w:noWrap/>
            <w:vAlign w:val="center"/>
          </w:tcPr>
          <w:p>
            <w:pPr>
              <w:pStyle w:val="22"/>
              <w:bidi w:val="0"/>
              <w:rPr>
                <w:color w:val="auto"/>
                <w:highlight w:val="none"/>
              </w:rPr>
            </w:pPr>
            <w:r>
              <w:rPr>
                <w:color w:val="auto"/>
                <w:highlight w:val="none"/>
              </w:rPr>
              <w:t>苍耳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16</w:t>
            </w:r>
          </w:p>
        </w:tc>
        <w:tc>
          <w:tcPr>
            <w:tcW w:w="1075" w:type="pct"/>
            <w:shd w:val="clear" w:color="auto" w:fill="auto"/>
            <w:noWrap/>
            <w:vAlign w:val="center"/>
          </w:tcPr>
          <w:p>
            <w:pPr>
              <w:pStyle w:val="22"/>
              <w:bidi w:val="0"/>
              <w:rPr>
                <w:color w:val="auto"/>
                <w:highlight w:val="none"/>
              </w:rPr>
            </w:pPr>
            <w:r>
              <w:rPr>
                <w:color w:val="auto"/>
                <w:highlight w:val="none"/>
              </w:rPr>
              <w:t>紫苏</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5</w:t>
            </w:r>
          </w:p>
        </w:tc>
        <w:tc>
          <w:tcPr>
            <w:tcW w:w="1075" w:type="pct"/>
            <w:shd w:val="clear" w:color="auto" w:fill="auto"/>
            <w:noWrap/>
            <w:vAlign w:val="center"/>
          </w:tcPr>
          <w:p>
            <w:pPr>
              <w:pStyle w:val="22"/>
              <w:bidi w:val="0"/>
              <w:rPr>
                <w:color w:val="auto"/>
                <w:highlight w:val="none"/>
              </w:rPr>
            </w:pPr>
            <w:r>
              <w:rPr>
                <w:color w:val="auto"/>
                <w:highlight w:val="none"/>
              </w:rPr>
              <w:t>白茅</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4</w:t>
            </w:r>
          </w:p>
        </w:tc>
        <w:tc>
          <w:tcPr>
            <w:tcW w:w="1075" w:type="pct"/>
            <w:shd w:val="clear" w:color="auto" w:fill="auto"/>
            <w:noWrap/>
            <w:vAlign w:val="center"/>
          </w:tcPr>
          <w:p>
            <w:pPr>
              <w:pStyle w:val="22"/>
              <w:bidi w:val="0"/>
              <w:rPr>
                <w:color w:val="auto"/>
                <w:highlight w:val="none"/>
              </w:rPr>
            </w:pPr>
            <w:r>
              <w:rPr>
                <w:color w:val="auto"/>
                <w:highlight w:val="none"/>
              </w:rPr>
              <w:t>黄鹌菜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17</w:t>
            </w:r>
          </w:p>
        </w:tc>
        <w:tc>
          <w:tcPr>
            <w:tcW w:w="1075" w:type="pct"/>
            <w:shd w:val="clear" w:color="auto" w:fill="auto"/>
            <w:noWrap/>
            <w:vAlign w:val="center"/>
          </w:tcPr>
          <w:p>
            <w:pPr>
              <w:pStyle w:val="22"/>
              <w:bidi w:val="0"/>
              <w:rPr>
                <w:color w:val="auto"/>
                <w:highlight w:val="none"/>
              </w:rPr>
            </w:pPr>
            <w:r>
              <w:rPr>
                <w:color w:val="auto"/>
                <w:highlight w:val="none"/>
              </w:rPr>
              <w:t>三叶鬼针草</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6</w:t>
            </w:r>
          </w:p>
        </w:tc>
        <w:tc>
          <w:tcPr>
            <w:tcW w:w="1075" w:type="pct"/>
            <w:shd w:val="clear" w:color="auto" w:fill="auto"/>
            <w:noWrap/>
            <w:vAlign w:val="center"/>
          </w:tcPr>
          <w:p>
            <w:pPr>
              <w:pStyle w:val="22"/>
              <w:bidi w:val="0"/>
              <w:rPr>
                <w:color w:val="auto"/>
                <w:highlight w:val="none"/>
              </w:rPr>
            </w:pPr>
            <w:r>
              <w:rPr>
                <w:color w:val="auto"/>
                <w:highlight w:val="none"/>
              </w:rPr>
              <w:t>烟管头草</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5</w:t>
            </w:r>
          </w:p>
        </w:tc>
        <w:tc>
          <w:tcPr>
            <w:tcW w:w="1075" w:type="pct"/>
            <w:shd w:val="clear" w:color="auto" w:fill="auto"/>
            <w:noWrap/>
            <w:vAlign w:val="center"/>
          </w:tcPr>
          <w:p>
            <w:pPr>
              <w:pStyle w:val="22"/>
              <w:bidi w:val="0"/>
              <w:rPr>
                <w:color w:val="auto"/>
                <w:highlight w:val="none"/>
              </w:rPr>
            </w:pPr>
            <w:r>
              <w:rPr>
                <w:rFonts w:hint="eastAsia"/>
                <w:color w:val="auto"/>
                <w:highlight w:val="none"/>
              </w:rPr>
              <w:t>黄荆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18</w:t>
            </w:r>
          </w:p>
        </w:tc>
        <w:tc>
          <w:tcPr>
            <w:tcW w:w="1075" w:type="pct"/>
            <w:shd w:val="clear" w:color="auto" w:fill="auto"/>
            <w:noWrap/>
            <w:vAlign w:val="center"/>
          </w:tcPr>
          <w:p>
            <w:pPr>
              <w:pStyle w:val="22"/>
              <w:bidi w:val="0"/>
              <w:rPr>
                <w:color w:val="auto"/>
                <w:highlight w:val="none"/>
              </w:rPr>
            </w:pPr>
            <w:r>
              <w:rPr>
                <w:color w:val="auto"/>
                <w:highlight w:val="none"/>
              </w:rPr>
              <w:t>天名精</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7</w:t>
            </w:r>
          </w:p>
        </w:tc>
        <w:tc>
          <w:tcPr>
            <w:tcW w:w="1075" w:type="pct"/>
            <w:shd w:val="clear" w:color="auto" w:fill="auto"/>
            <w:noWrap/>
            <w:vAlign w:val="center"/>
          </w:tcPr>
          <w:p>
            <w:pPr>
              <w:pStyle w:val="22"/>
              <w:bidi w:val="0"/>
              <w:rPr>
                <w:color w:val="auto"/>
                <w:highlight w:val="none"/>
              </w:rPr>
            </w:pPr>
            <w:r>
              <w:rPr>
                <w:color w:val="auto"/>
                <w:highlight w:val="none"/>
              </w:rPr>
              <w:t>刺儿菜</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6</w:t>
            </w:r>
          </w:p>
        </w:tc>
        <w:tc>
          <w:tcPr>
            <w:tcW w:w="1075" w:type="pct"/>
            <w:shd w:val="clear" w:color="auto" w:fill="auto"/>
            <w:noWrap/>
            <w:vAlign w:val="center"/>
          </w:tcPr>
          <w:p>
            <w:pPr>
              <w:pStyle w:val="22"/>
              <w:bidi w:val="0"/>
              <w:rPr>
                <w:color w:val="auto"/>
                <w:highlight w:val="none"/>
              </w:rPr>
            </w:pPr>
            <w:r>
              <w:rPr>
                <w:rFonts w:hint="eastAsia"/>
                <w:color w:val="auto"/>
                <w:highlight w:val="none"/>
              </w:rPr>
              <w:t>马桑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9" w:type="pct"/>
            <w:shd w:val="clear" w:color="auto" w:fill="auto"/>
            <w:vAlign w:val="center"/>
          </w:tcPr>
          <w:p>
            <w:pPr>
              <w:pStyle w:val="22"/>
              <w:bidi w:val="0"/>
              <w:rPr>
                <w:color w:val="auto"/>
                <w:highlight w:val="none"/>
              </w:rPr>
            </w:pPr>
            <w:r>
              <w:rPr>
                <w:color w:val="auto"/>
                <w:highlight w:val="none"/>
              </w:rPr>
              <w:t>19</w:t>
            </w:r>
          </w:p>
        </w:tc>
        <w:tc>
          <w:tcPr>
            <w:tcW w:w="1075" w:type="pct"/>
            <w:shd w:val="clear" w:color="auto" w:fill="auto"/>
            <w:noWrap/>
            <w:vAlign w:val="center"/>
          </w:tcPr>
          <w:p>
            <w:pPr>
              <w:pStyle w:val="22"/>
              <w:bidi w:val="0"/>
              <w:rPr>
                <w:color w:val="auto"/>
                <w:highlight w:val="none"/>
              </w:rPr>
            </w:pPr>
            <w:r>
              <w:rPr>
                <w:rFonts w:hint="eastAsia"/>
                <w:color w:val="auto"/>
                <w:highlight w:val="none"/>
              </w:rPr>
              <w:t>火棘</w:t>
            </w:r>
          </w:p>
        </w:tc>
        <w:tc>
          <w:tcPr>
            <w:tcW w:w="570" w:type="pct"/>
            <w:shd w:val="clear" w:color="auto" w:fill="auto"/>
            <w:vAlign w:val="center"/>
          </w:tcPr>
          <w:p>
            <w:pPr>
              <w:pStyle w:val="22"/>
              <w:bidi w:val="0"/>
              <w:rPr>
                <w:color w:val="auto"/>
                <w:highlight w:val="none"/>
              </w:rPr>
            </w:pPr>
            <w:r>
              <w:rPr>
                <w:rFonts w:hint="eastAsia"/>
                <w:color w:val="auto"/>
                <w:highlight w:val="none"/>
              </w:rPr>
              <w:t>3</w:t>
            </w:r>
            <w:r>
              <w:rPr>
                <w:color w:val="auto"/>
                <w:highlight w:val="none"/>
              </w:rPr>
              <w:t>8</w:t>
            </w:r>
          </w:p>
        </w:tc>
        <w:tc>
          <w:tcPr>
            <w:tcW w:w="1075" w:type="pct"/>
            <w:shd w:val="clear" w:color="auto" w:fill="auto"/>
            <w:noWrap/>
            <w:vAlign w:val="center"/>
          </w:tcPr>
          <w:p>
            <w:pPr>
              <w:pStyle w:val="22"/>
              <w:bidi w:val="0"/>
              <w:rPr>
                <w:color w:val="auto"/>
                <w:highlight w:val="none"/>
              </w:rPr>
            </w:pPr>
            <w:r>
              <w:rPr>
                <w:rFonts w:hint="eastAsia"/>
                <w:color w:val="auto"/>
                <w:highlight w:val="none"/>
              </w:rPr>
              <w:t>醉鱼草</w:t>
            </w:r>
          </w:p>
        </w:tc>
        <w:tc>
          <w:tcPr>
            <w:tcW w:w="596" w:type="pct"/>
            <w:shd w:val="clear" w:color="auto" w:fill="auto"/>
            <w:vAlign w:val="center"/>
          </w:tcPr>
          <w:p>
            <w:pPr>
              <w:pStyle w:val="22"/>
              <w:bidi w:val="0"/>
              <w:rPr>
                <w:color w:val="auto"/>
                <w:highlight w:val="none"/>
              </w:rPr>
            </w:pPr>
            <w:r>
              <w:rPr>
                <w:rFonts w:hint="eastAsia"/>
                <w:color w:val="auto"/>
                <w:highlight w:val="none"/>
              </w:rPr>
              <w:t>5</w:t>
            </w:r>
            <w:r>
              <w:rPr>
                <w:color w:val="auto"/>
                <w:highlight w:val="none"/>
              </w:rPr>
              <w:t>7</w:t>
            </w:r>
          </w:p>
        </w:tc>
        <w:tc>
          <w:tcPr>
            <w:tcW w:w="1075" w:type="pct"/>
            <w:shd w:val="clear" w:color="auto" w:fill="auto"/>
            <w:noWrap/>
            <w:vAlign w:val="center"/>
          </w:tcPr>
          <w:p>
            <w:pPr>
              <w:pStyle w:val="22"/>
              <w:bidi w:val="0"/>
              <w:rPr>
                <w:color w:val="auto"/>
                <w:highlight w:val="none"/>
              </w:rPr>
            </w:pPr>
            <w:r>
              <w:rPr>
                <w:rFonts w:hint="eastAsia"/>
                <w:color w:val="auto"/>
                <w:highlight w:val="none"/>
              </w:rPr>
              <w:t>水麻</w:t>
            </w:r>
          </w:p>
        </w:tc>
      </w:tr>
    </w:tbl>
    <w:p>
      <w:pPr>
        <w:bidi w:val="0"/>
        <w:rPr>
          <w:color w:val="auto"/>
          <w:highlight w:val="none"/>
        </w:rPr>
      </w:pPr>
      <w:r>
        <w:rPr>
          <w:b/>
          <w:bCs/>
          <w:color w:val="auto"/>
          <w:highlight w:val="none"/>
        </w:rPr>
        <w:t>植物类型的影响：</w:t>
      </w:r>
      <w:r>
        <w:rPr>
          <w:color w:val="auto"/>
          <w:highlight w:val="none"/>
        </w:rPr>
        <w:t>按照《中国植被》的分类原则，结合当地的植被构成情况，评价区内的植被主要是马尾松林、柏木林</w:t>
      </w:r>
      <w:r>
        <w:rPr>
          <w:rFonts w:hint="eastAsia"/>
          <w:color w:val="auto"/>
          <w:highlight w:val="none"/>
        </w:rPr>
        <w:t>、竹林</w:t>
      </w:r>
      <w:r>
        <w:rPr>
          <w:color w:val="auto"/>
          <w:highlight w:val="none"/>
        </w:rPr>
        <w:t>及灌丛等，</w:t>
      </w:r>
      <w:r>
        <w:rPr>
          <w:rFonts w:hint="eastAsia"/>
          <w:color w:val="auto"/>
          <w:highlight w:val="none"/>
        </w:rPr>
        <w:t>工业广场内的施工区主要是零星分布的</w:t>
      </w:r>
      <w:r>
        <w:rPr>
          <w:color w:val="auto"/>
          <w:highlight w:val="none"/>
        </w:rPr>
        <w:t>黄荆马桑灌丛、白茅灌草丛等。项目规划建设施工直接占地将使</w:t>
      </w:r>
      <w:r>
        <w:rPr>
          <w:rFonts w:hint="eastAsia"/>
          <w:color w:val="auto"/>
          <w:highlight w:val="none"/>
        </w:rPr>
        <w:t>施工</w:t>
      </w:r>
      <w:r>
        <w:rPr>
          <w:color w:val="auto"/>
          <w:highlight w:val="none"/>
        </w:rPr>
        <w:t>占地区的植物全部消失，</w:t>
      </w:r>
      <w:r>
        <w:rPr>
          <w:rFonts w:hint="eastAsia"/>
          <w:color w:val="auto"/>
          <w:highlight w:val="none"/>
        </w:rPr>
        <w:t>但</w:t>
      </w:r>
      <w:r>
        <w:rPr>
          <w:color w:val="auto"/>
          <w:highlight w:val="none"/>
        </w:rPr>
        <w:t>由于项目规划建设占地面积较小</w:t>
      </w:r>
      <w:r>
        <w:rPr>
          <w:rFonts w:hint="eastAsia"/>
          <w:color w:val="auto"/>
          <w:highlight w:val="none"/>
        </w:rPr>
        <w:t>且局限于既有工业场地内</w:t>
      </w:r>
      <w:r>
        <w:rPr>
          <w:color w:val="auto"/>
          <w:highlight w:val="none"/>
        </w:rPr>
        <w:t>，施工占地清理不会导致植被面积的大量减小，也不会造成植被类型的变化，对评价区相应植被的影响较小。</w:t>
      </w:r>
    </w:p>
    <w:p>
      <w:pPr>
        <w:bidi w:val="0"/>
        <w:rPr>
          <w:color w:val="auto"/>
          <w:highlight w:val="none"/>
        </w:rPr>
      </w:pPr>
      <w:r>
        <w:rPr>
          <w:b/>
          <w:bCs/>
          <w:color w:val="auto"/>
          <w:highlight w:val="none"/>
        </w:rPr>
        <w:t>保护植物的影响：</w:t>
      </w:r>
      <w:r>
        <w:rPr>
          <w:color w:val="auto"/>
          <w:highlight w:val="none"/>
        </w:rPr>
        <w:t>经实地调查统计及资料查阅，</w:t>
      </w:r>
      <w:r>
        <w:rPr>
          <w:rFonts w:hint="eastAsia"/>
          <w:color w:val="auto"/>
          <w:highlight w:val="none"/>
        </w:rPr>
        <w:t>大竹县</w:t>
      </w:r>
      <w:r>
        <w:rPr>
          <w:color w:val="auto"/>
          <w:highlight w:val="none"/>
        </w:rPr>
        <w:t>煤炭矿区总体规划评价区内分布有保护植物11种，其中，国家Ⅰ级保护植物2种，为</w:t>
      </w:r>
      <w:r>
        <w:rPr>
          <w:rFonts w:hint="eastAsia"/>
          <w:color w:val="auto"/>
          <w:highlight w:val="none"/>
        </w:rPr>
        <w:t>水杉（Metasequoia glyptostroboides）及银杏（Ginkgo biloba）</w:t>
      </w:r>
      <w:r>
        <w:rPr>
          <w:color w:val="auto"/>
          <w:highlight w:val="none"/>
        </w:rPr>
        <w:t>，国家Ⅱ级保护植物9种。</w:t>
      </w:r>
      <w:r>
        <w:rPr>
          <w:rFonts w:hint="eastAsia"/>
          <w:color w:val="auto"/>
          <w:highlight w:val="none"/>
        </w:rPr>
        <w:t>其中，银杏、水杉及厚朴为栽培种。</w:t>
      </w:r>
      <w:r>
        <w:rPr>
          <w:color w:val="auto"/>
          <w:highlight w:val="none"/>
        </w:rPr>
        <w:t>同时，在项目规划建设占地区内</w:t>
      </w:r>
      <w:r>
        <w:rPr>
          <w:rFonts w:hint="eastAsia"/>
          <w:color w:val="auto"/>
          <w:highlight w:val="none"/>
        </w:rPr>
        <w:t>（项目矿区工业场地内）</w:t>
      </w:r>
      <w:r>
        <w:rPr>
          <w:color w:val="auto"/>
          <w:highlight w:val="none"/>
        </w:rPr>
        <w:t>无野生保护植物</w:t>
      </w:r>
      <w:r>
        <w:rPr>
          <w:rFonts w:hint="eastAsia"/>
          <w:color w:val="auto"/>
          <w:highlight w:val="none"/>
        </w:rPr>
        <w:t>及古树名木</w:t>
      </w:r>
      <w:r>
        <w:rPr>
          <w:color w:val="auto"/>
          <w:highlight w:val="none"/>
        </w:rPr>
        <w:t>分布。从这一点看，项目规划建设不会对国家重点保护野生植物产生影响。</w:t>
      </w:r>
    </w:p>
    <w:p>
      <w:pPr>
        <w:bidi w:val="0"/>
        <w:rPr>
          <w:color w:val="auto"/>
          <w:highlight w:val="none"/>
        </w:rPr>
      </w:pPr>
      <w:r>
        <w:rPr>
          <w:rFonts w:hint="eastAsia"/>
          <w:color w:val="auto"/>
          <w:highlight w:val="none"/>
          <w:lang w:eastAsia="zh-CN"/>
        </w:rPr>
        <w:t>②</w:t>
      </w:r>
      <w:r>
        <w:rPr>
          <w:color w:val="auto"/>
          <w:highlight w:val="none"/>
        </w:rPr>
        <w:t>环境污染的影响</w:t>
      </w:r>
    </w:p>
    <w:p>
      <w:pPr>
        <w:bidi w:val="0"/>
        <w:rPr>
          <w:color w:val="auto"/>
          <w:highlight w:val="none"/>
        </w:rPr>
      </w:pPr>
      <w:r>
        <w:rPr>
          <w:color w:val="auto"/>
          <w:highlight w:val="none"/>
        </w:rPr>
        <w:t>项目规划建设过程中，项目施工区内的施工人员活动、粉尘等，均会对施工区域及周边的植物植被造成不同程度的影响，可能导致植物植株生长不良、对个体造成损伤，严重的导致个体死亡，但这些影响较轻微，随施工活动的结束而消失。</w:t>
      </w:r>
    </w:p>
    <w:p>
      <w:pPr>
        <w:bidi w:val="0"/>
        <w:rPr>
          <w:color w:val="auto"/>
          <w:highlight w:val="none"/>
        </w:rPr>
      </w:pPr>
      <w:r>
        <w:rPr>
          <w:color w:val="auto"/>
          <w:highlight w:val="none"/>
        </w:rPr>
        <w:t>施工期间，运输车辆和机械等产生的废气、粉尘等，可能对所在区域及周边植物和植被产生一些间接影响：1）固体废弃物会</w:t>
      </w:r>
      <w:r>
        <w:rPr>
          <w:rFonts w:hint="eastAsia"/>
          <w:color w:val="auto"/>
          <w:highlight w:val="none"/>
        </w:rPr>
        <w:t>轻微</w:t>
      </w:r>
      <w:r>
        <w:rPr>
          <w:color w:val="auto"/>
          <w:highlight w:val="none"/>
        </w:rPr>
        <w:t>污染所在区域的土壤环境、水环境和空气环境，进而影响植物养分和水分的吸收以及植物光合作用的效率，但除重度污染影响外都不会对植株生长带来明显制约；2）废水排放会污染土壤和水源，从而改变污染区的植物组成和分布密度。项目规划建设在施工期对植物的影响主要集中于道路</w:t>
      </w:r>
      <w:r>
        <w:rPr>
          <w:rFonts w:hint="eastAsia"/>
          <w:color w:val="auto"/>
          <w:highlight w:val="none"/>
        </w:rPr>
        <w:t>维护</w:t>
      </w:r>
      <w:r>
        <w:rPr>
          <w:color w:val="auto"/>
          <w:highlight w:val="none"/>
        </w:rPr>
        <w:t>及广场建设，产生的污染物十分有限，不会对植物生长发育产生显著的影响。</w:t>
      </w:r>
    </w:p>
    <w:p>
      <w:pPr>
        <w:bidi w:val="0"/>
        <w:rPr>
          <w:rFonts w:eastAsia="华文仿宋"/>
          <w:color w:val="auto"/>
          <w:highlight w:val="none"/>
        </w:rPr>
      </w:pPr>
      <w:r>
        <w:rPr>
          <w:color w:val="auto"/>
          <w:highlight w:val="none"/>
        </w:rPr>
        <w:t>整体来说，项目规划建设中占地区的植物清理、地表开挖、施工人员践踏等均对项目施工涉及区的植物造成直接影响或间接影响。施工结束并采取合理恢复措施后，影响区植被可以恢复原状，不会造成评价区植被类型的减少及植物多样性的降低。</w:t>
      </w:r>
    </w:p>
    <w:p>
      <w:pPr>
        <w:bidi w:val="0"/>
        <w:rPr>
          <w:color w:val="auto"/>
          <w:highlight w:val="none"/>
        </w:rPr>
      </w:pPr>
      <w:bookmarkStart w:id="347" w:name="_Toc88697651"/>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项目运营对植被及植物多样性的影响分析</w:t>
      </w:r>
      <w:bookmarkEnd w:id="347"/>
    </w:p>
    <w:p>
      <w:pPr>
        <w:bidi w:val="0"/>
        <w:rPr>
          <w:color w:val="auto"/>
          <w:highlight w:val="none"/>
        </w:rPr>
      </w:pPr>
      <w:r>
        <w:rPr>
          <w:rFonts w:hint="eastAsia"/>
          <w:color w:val="auto"/>
          <w:highlight w:val="none"/>
          <w:lang w:eastAsia="zh-CN"/>
        </w:rPr>
        <w:t>①</w:t>
      </w:r>
      <w:r>
        <w:rPr>
          <w:color w:val="auto"/>
          <w:highlight w:val="none"/>
        </w:rPr>
        <w:t>植物多样性的影响分析</w:t>
      </w:r>
    </w:p>
    <w:p>
      <w:pPr>
        <w:bidi w:val="0"/>
        <w:rPr>
          <w:color w:val="auto"/>
          <w:highlight w:val="none"/>
        </w:rPr>
      </w:pPr>
      <w:r>
        <w:rPr>
          <w:rFonts w:hint="eastAsia"/>
          <w:color w:val="auto"/>
          <w:highlight w:val="none"/>
        </w:rPr>
        <w:t>大竹县</w:t>
      </w:r>
      <w:r>
        <w:rPr>
          <w:color w:val="auto"/>
          <w:highlight w:val="none"/>
        </w:rPr>
        <w:t>煤炭矿区总体规划项目运营期间，主要的活动是矿区生产生活，无新增占地，不会产生大面积的地表植被破坏。矿区运营对区域野生植物的影响主要是工作人员的活动对周边植物产生的影响。</w:t>
      </w:r>
    </w:p>
    <w:p>
      <w:pPr>
        <w:bidi w:val="0"/>
        <w:rPr>
          <w:color w:val="auto"/>
          <w:highlight w:val="none"/>
        </w:rPr>
      </w:pPr>
      <w:r>
        <w:rPr>
          <w:color w:val="auto"/>
          <w:highlight w:val="none"/>
        </w:rPr>
        <w:t>随着项目规划建设的完成，施工人员、机械设备均撤除施工场地，规划建设的干扰消失，规划建设除永久占地外，其它区域均将进行植被恢复，对陆生植物的影响将会减弱，部分地区也将恢复到建设前的水平。但矿区管理人员和工作人员将长期存在，对环境的压力仍然存在。随着矿区的升级，车辆的增加，工作人员的增加，环境的压力会更大，但这些都是可以控制的，影响较小。</w:t>
      </w:r>
    </w:p>
    <w:p>
      <w:pPr>
        <w:bidi w:val="0"/>
        <w:rPr>
          <w:color w:val="auto"/>
          <w:highlight w:val="none"/>
        </w:rPr>
      </w:pPr>
      <w:r>
        <w:rPr>
          <w:color w:val="auto"/>
          <w:highlight w:val="none"/>
        </w:rPr>
        <w:t>综上所述，矿区运营对野生植物的影响具有范围小、影响小且集中在植物数量、可控的特点，通过加强环境管理及保护宣传不会对评价区植物多样性造成显著影响。因此，其影响预测为小。</w:t>
      </w:r>
    </w:p>
    <w:p>
      <w:pPr>
        <w:bidi w:val="0"/>
        <w:rPr>
          <w:color w:val="auto"/>
          <w:highlight w:val="none"/>
        </w:rPr>
      </w:pPr>
      <w:r>
        <w:rPr>
          <w:rFonts w:hint="eastAsia"/>
          <w:color w:val="auto"/>
          <w:highlight w:val="none"/>
          <w:lang w:eastAsia="zh-CN"/>
        </w:rPr>
        <w:t>②</w:t>
      </w:r>
      <w:r>
        <w:rPr>
          <w:color w:val="auto"/>
          <w:highlight w:val="none"/>
        </w:rPr>
        <w:t>植被的影响分析</w:t>
      </w:r>
    </w:p>
    <w:p>
      <w:pPr>
        <w:bidi w:val="0"/>
        <w:rPr>
          <w:color w:val="auto"/>
          <w:highlight w:val="none"/>
        </w:rPr>
      </w:pPr>
      <w:r>
        <w:rPr>
          <w:color w:val="auto"/>
          <w:highlight w:val="none"/>
        </w:rPr>
        <w:t>矿山开采、运输过程中产生的粉尘会对附近的植物产生一定影响。矿区覆盖的植被主要是灌木草丛及林地；但因矿山采取地下开采的方式，基本不会对地表植被造成破坏。总体上，项目矿山在运营过程中，</w:t>
      </w:r>
      <w:r>
        <w:rPr>
          <w:rFonts w:hint="eastAsia"/>
          <w:color w:val="auto"/>
          <w:highlight w:val="none"/>
        </w:rPr>
        <w:t>主要是矿井地下水疏干</w:t>
      </w:r>
      <w:r>
        <w:rPr>
          <w:color w:val="auto"/>
          <w:highlight w:val="none"/>
        </w:rPr>
        <w:t>对植被的影响</w:t>
      </w:r>
      <w:r>
        <w:rPr>
          <w:rFonts w:hint="eastAsia"/>
          <w:color w:val="auto"/>
          <w:highlight w:val="none"/>
        </w:rPr>
        <w:t>，结合项目矿山已开采的情况来看，这一影响</w:t>
      </w:r>
      <w:r>
        <w:rPr>
          <w:color w:val="auto"/>
          <w:highlight w:val="none"/>
        </w:rPr>
        <w:t>为小。</w:t>
      </w:r>
    </w:p>
    <w:p>
      <w:pPr>
        <w:bidi w:val="0"/>
        <w:rPr>
          <w:color w:val="auto"/>
          <w:highlight w:val="none"/>
        </w:rPr>
      </w:pPr>
      <w:r>
        <w:rPr>
          <w:rFonts w:hint="eastAsia"/>
          <w:color w:val="auto"/>
          <w:highlight w:val="none"/>
        </w:rPr>
        <w:t>经项目规划矿区开发利用方案及矿山储量报告等资料，大竹县规划的1</w:t>
      </w:r>
      <w:r>
        <w:rPr>
          <w:color w:val="auto"/>
          <w:highlight w:val="none"/>
        </w:rPr>
        <w:t>4</w:t>
      </w:r>
      <w:r>
        <w:rPr>
          <w:rFonts w:hint="eastAsia"/>
          <w:color w:val="auto"/>
          <w:highlight w:val="none"/>
        </w:rPr>
        <w:t>个煤矿矿井在开采过程中</w:t>
      </w:r>
      <w:r>
        <w:rPr>
          <w:color w:val="auto"/>
          <w:highlight w:val="none"/>
        </w:rPr>
        <w:t>正常涌水量94</w:t>
      </w:r>
      <w:r>
        <w:rPr>
          <w:rFonts w:hint="eastAsia"/>
          <w:color w:val="auto"/>
          <w:highlight w:val="none"/>
          <w:lang w:val="en-US" w:eastAsia="zh-CN"/>
        </w:rPr>
        <w:t>0</w:t>
      </w:r>
      <w:r>
        <w:rPr>
          <w:color w:val="auto"/>
          <w:highlight w:val="none"/>
        </w:rPr>
        <w:t>m</w:t>
      </w:r>
      <w:r>
        <w:rPr>
          <w:color w:val="auto"/>
          <w:highlight w:val="none"/>
          <w:vertAlign w:val="superscript"/>
        </w:rPr>
        <w:t>3</w:t>
      </w:r>
      <w:r>
        <w:rPr>
          <w:color w:val="auto"/>
          <w:highlight w:val="none"/>
        </w:rPr>
        <w:t>/h，最大涌水量</w:t>
      </w:r>
      <w:r>
        <w:rPr>
          <w:rFonts w:hint="eastAsia"/>
          <w:color w:val="auto"/>
          <w:highlight w:val="none"/>
          <w:lang w:val="en-US" w:eastAsia="zh-CN"/>
        </w:rPr>
        <w:t>1835</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。项目煤矿开采期间，因矿洞地下水疏干可能引发地下水水位下降，导致地表植被生长可能因缺水而受到影响。一方面，项目规划区域属亚热带湿润季风气候区，</w:t>
      </w:r>
      <w:r>
        <w:rPr>
          <w:color w:val="auto"/>
          <w:highlight w:val="none"/>
        </w:rPr>
        <w:t>多年平均降水量1184mm，年平均降雨日数为140.1天</w:t>
      </w:r>
      <w:r>
        <w:rPr>
          <w:rFonts w:hint="eastAsia"/>
          <w:color w:val="auto"/>
          <w:highlight w:val="none"/>
        </w:rPr>
        <w:t>，降雨量较为丰富，植物生长的水热条件能够保障。另一方面，结合实地调查结果，项目规划矿区已开采多年，矿井地下水长期外排，但未发生过矿井上方及区域地表植被因缺水而大面积死亡的现象。故结合实地调查及区域气候条件分析，项目矿区开采期间地下水疏干对地表植被及植物生长的影响较小。</w:t>
      </w:r>
    </w:p>
    <w:p>
      <w:pPr>
        <w:pStyle w:val="7"/>
        <w:bidi w:val="0"/>
        <w:rPr>
          <w:color w:val="auto"/>
          <w:highlight w:val="none"/>
        </w:rPr>
      </w:pPr>
      <w:bookmarkStart w:id="348" w:name="_Toc88697652"/>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7</w:t>
      </w:r>
      <w:r>
        <w:rPr>
          <w:rFonts w:hint="eastAsia"/>
          <w:color w:val="auto"/>
          <w:highlight w:val="none"/>
        </w:rPr>
        <w:t xml:space="preserve"> 项目规划对生态系统及景观生态体系的影响分析</w:t>
      </w:r>
      <w:bookmarkEnd w:id="348"/>
    </w:p>
    <w:p>
      <w:pPr>
        <w:bidi w:val="0"/>
        <w:rPr>
          <w:color w:val="auto"/>
          <w:highlight w:val="none"/>
        </w:rPr>
      </w:pPr>
      <w:bookmarkStart w:id="349" w:name="_Toc88697653"/>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项目规划对生态系统类型、面积的影响分析</w:t>
      </w:r>
      <w:bookmarkEnd w:id="349"/>
    </w:p>
    <w:p>
      <w:pPr>
        <w:bidi w:val="0"/>
        <w:rPr>
          <w:color w:val="auto"/>
          <w:highlight w:val="none"/>
        </w:rPr>
      </w:pPr>
      <w:r>
        <w:rPr>
          <w:rFonts w:hint="eastAsia"/>
          <w:color w:val="auto"/>
          <w:highlight w:val="none"/>
          <w:lang w:eastAsia="zh-CN"/>
        </w:rPr>
        <w:t>①</w:t>
      </w:r>
      <w:r>
        <w:rPr>
          <w:color w:val="auto"/>
          <w:highlight w:val="none"/>
        </w:rPr>
        <w:t>项目规划建设的影响分析</w:t>
      </w:r>
    </w:p>
    <w:p>
      <w:pPr>
        <w:bidi w:val="0"/>
        <w:rPr>
          <w:color w:val="auto"/>
          <w:highlight w:val="none"/>
        </w:rPr>
      </w:pPr>
      <w:r>
        <w:rPr>
          <w:color w:val="auto"/>
          <w:highlight w:val="none"/>
        </w:rPr>
        <w:t>结合实地调查及资料分析，</w:t>
      </w:r>
      <w:r>
        <w:rPr>
          <w:rFonts w:hint="eastAsia"/>
          <w:color w:val="auto"/>
          <w:highlight w:val="none"/>
        </w:rPr>
        <w:t>大竹县</w:t>
      </w:r>
      <w:r>
        <w:rPr>
          <w:color w:val="auto"/>
          <w:highlight w:val="none"/>
        </w:rPr>
        <w:t>煤炭矿区总体规划项目评价区域内生态系统主要有森林生态系统、灌</w:t>
      </w:r>
      <w:r>
        <w:rPr>
          <w:rFonts w:hint="eastAsia"/>
          <w:color w:val="auto"/>
          <w:highlight w:val="none"/>
        </w:rPr>
        <w:t>草</w:t>
      </w:r>
      <w:r>
        <w:rPr>
          <w:color w:val="auto"/>
          <w:highlight w:val="none"/>
        </w:rPr>
        <w:t>丛生态系统、水域生态系统、农田</w:t>
      </w:r>
      <w:r>
        <w:rPr>
          <w:rFonts w:hint="eastAsia"/>
          <w:color w:val="auto"/>
          <w:highlight w:val="none"/>
        </w:rPr>
        <w:t>聚落</w:t>
      </w:r>
      <w:r>
        <w:rPr>
          <w:color w:val="auto"/>
          <w:highlight w:val="none"/>
        </w:rPr>
        <w:t>生态系统、城镇道路生态系统等。项目规划建设期间，</w:t>
      </w:r>
      <w:r>
        <w:rPr>
          <w:rFonts w:hint="eastAsia"/>
          <w:color w:val="auto"/>
          <w:highlight w:val="none"/>
        </w:rPr>
        <w:t>规划建设内容仅仅是对矿山进行改造升级，所有施工建设占地均在现有工业场地内，不新增占地</w:t>
      </w:r>
      <w:r>
        <w:rPr>
          <w:color w:val="auto"/>
          <w:highlight w:val="none"/>
        </w:rPr>
        <w:t>，故评价区内生态系统类型在项目规划建设前后不会发生变化，即项目规划建设对生态系统类型</w:t>
      </w:r>
      <w:r>
        <w:rPr>
          <w:rFonts w:hint="eastAsia"/>
          <w:color w:val="auto"/>
          <w:highlight w:val="none"/>
        </w:rPr>
        <w:t>及面积</w:t>
      </w:r>
      <w:r>
        <w:rPr>
          <w:color w:val="auto"/>
          <w:highlight w:val="none"/>
        </w:rPr>
        <w:t>影响预测为小。</w:t>
      </w:r>
    </w:p>
    <w:p>
      <w:pPr>
        <w:bidi w:val="0"/>
        <w:rPr>
          <w:color w:val="auto"/>
          <w:highlight w:val="none"/>
        </w:rPr>
      </w:pPr>
      <w:r>
        <w:rPr>
          <w:rFonts w:hint="eastAsia"/>
          <w:color w:val="auto"/>
          <w:highlight w:val="none"/>
          <w:lang w:eastAsia="zh-CN"/>
        </w:rPr>
        <w:t>②</w:t>
      </w:r>
      <w:r>
        <w:rPr>
          <w:color w:val="auto"/>
          <w:highlight w:val="none"/>
        </w:rPr>
        <w:t>项目运营的影响分析</w:t>
      </w:r>
    </w:p>
    <w:p>
      <w:pPr>
        <w:bidi w:val="0"/>
        <w:rPr>
          <w:color w:val="auto"/>
          <w:highlight w:val="none"/>
        </w:rPr>
      </w:pPr>
      <w:r>
        <w:rPr>
          <w:color w:val="auto"/>
          <w:highlight w:val="none"/>
        </w:rPr>
        <w:t>项目进入运营期后，施工建设活动停止，对占地区植物</w:t>
      </w:r>
      <w:r>
        <w:rPr>
          <w:rFonts w:hint="eastAsia"/>
          <w:color w:val="auto"/>
          <w:highlight w:val="none"/>
        </w:rPr>
        <w:t>的</w:t>
      </w:r>
      <w:r>
        <w:rPr>
          <w:color w:val="auto"/>
          <w:highlight w:val="none"/>
        </w:rPr>
        <w:t>扰动也随之停止，同时不再新增占地，评价区内的生态系统类型与</w:t>
      </w:r>
      <w:r>
        <w:rPr>
          <w:rFonts w:hint="eastAsia"/>
          <w:color w:val="auto"/>
          <w:highlight w:val="none"/>
        </w:rPr>
        <w:t>现状</w:t>
      </w:r>
      <w:r>
        <w:rPr>
          <w:color w:val="auto"/>
          <w:highlight w:val="none"/>
        </w:rPr>
        <w:t>保持一致。另外，规划建设中对植被保护尤其是植被恢复工作的完成，也有助于加快生态系统的面积恢复。因此，矿区投入运营后，评价区内的生态系统类型和面积不会较之前减少。因而，项目进入运营期后，评价区内生态系统类型及面积变化影响小。</w:t>
      </w:r>
    </w:p>
    <w:p>
      <w:pPr>
        <w:bidi w:val="0"/>
        <w:rPr>
          <w:color w:val="auto"/>
          <w:highlight w:val="none"/>
        </w:rPr>
      </w:pPr>
      <w:bookmarkStart w:id="350" w:name="_Toc88697654"/>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项目规划对生态系统结构及功能的影响分析</w:t>
      </w:r>
      <w:bookmarkEnd w:id="350"/>
    </w:p>
    <w:p>
      <w:pPr>
        <w:bidi w:val="0"/>
        <w:rPr>
          <w:color w:val="auto"/>
          <w:highlight w:val="none"/>
        </w:rPr>
      </w:pPr>
      <w:r>
        <w:rPr>
          <w:rFonts w:hint="eastAsia"/>
          <w:color w:val="auto"/>
          <w:highlight w:val="none"/>
          <w:lang w:eastAsia="zh-CN"/>
        </w:rPr>
        <w:t>①</w:t>
      </w:r>
      <w:r>
        <w:rPr>
          <w:color w:val="auto"/>
          <w:highlight w:val="none"/>
        </w:rPr>
        <w:t>项目规划建设的影响分析</w:t>
      </w:r>
    </w:p>
    <w:p>
      <w:pPr>
        <w:bidi w:val="0"/>
        <w:rPr>
          <w:color w:val="auto"/>
          <w:highlight w:val="none"/>
        </w:rPr>
      </w:pPr>
      <w:r>
        <w:rPr>
          <w:color w:val="auto"/>
          <w:highlight w:val="none"/>
        </w:rPr>
        <w:t>从生态系统基本成分来看，项目规划建设期间由于施工建设占地，评价区域内作为生产者的绿色植物将有所减少；人为活动、施工占地和环境污染等将使施工区及邻近区域作为消费者的部分动物暂时逃离原生境，而适生于施工区附近裸露环境的小型动物又有可能增多；作为还原者的细菌、真菌和腐食性动物等因工程占地也将微弱减少；作为非生物环境的大气、光、声、水环境质量将不同程度地有所降低。</w:t>
      </w:r>
    </w:p>
    <w:p>
      <w:pPr>
        <w:bidi w:val="0"/>
        <w:rPr>
          <w:color w:val="auto"/>
          <w:highlight w:val="none"/>
        </w:rPr>
      </w:pPr>
      <w:r>
        <w:rPr>
          <w:color w:val="auto"/>
          <w:highlight w:val="none"/>
        </w:rPr>
        <w:t>从生态系统营养结构来看，项目规划建设工程占地将使食物链起点（绿色植物）减少，但因规划建设占地较少，不会引发以绿色植物为直接或间接食物来源的各个营养级生物明显减少。但人为活动和环境污染等因素可能使部分第二、第三营养级的动物逃离原生境，迁至远离施工区的其他区域。从而一定程度造成评价区内物种数量有所减少，进而使生态系统食物链和食物网微弱简化。</w:t>
      </w:r>
    </w:p>
    <w:p>
      <w:pPr>
        <w:bidi w:val="0"/>
        <w:rPr>
          <w:color w:val="auto"/>
          <w:highlight w:val="none"/>
        </w:rPr>
      </w:pPr>
      <w:r>
        <w:rPr>
          <w:color w:val="auto"/>
          <w:highlight w:val="none"/>
        </w:rPr>
        <w:t>从能量流动来看，规划建设占地使植被减少，可能微弱影响绿色植物光合作用，造成输入生态系统的能量轻微减少。同时，生态系统内消费者和分解者的种类数量变化也会不同程度影响生态系统内能量的传递、转化、分流和散失。</w:t>
      </w:r>
    </w:p>
    <w:p>
      <w:pPr>
        <w:bidi w:val="0"/>
        <w:rPr>
          <w:color w:val="auto"/>
          <w:highlight w:val="none"/>
        </w:rPr>
      </w:pPr>
      <w:r>
        <w:rPr>
          <w:color w:val="auto"/>
          <w:highlight w:val="none"/>
        </w:rPr>
        <w:t>从物质循环来看，第一，植物干物质质量减少。项目建设占地必然对占地区的植物进行清理、造成评价区乔木的蓄积量及灌草的生物量的减少。项目占地主要是占用</w:t>
      </w:r>
      <w:r>
        <w:rPr>
          <w:rFonts w:hint="eastAsia"/>
          <w:color w:val="auto"/>
          <w:highlight w:val="none"/>
        </w:rPr>
        <w:t>工业场地零星分布的杂草及黄荆、水麻等灌木</w:t>
      </w:r>
      <w:r>
        <w:rPr>
          <w:color w:val="auto"/>
          <w:highlight w:val="none"/>
        </w:rPr>
        <w:t>，生物量的减少十分有限，对评价区乔木蓄积量和灌草生物总量的总体影响预测为小。第二，绿色植物光合作用减弱，从空气中吸收二氧化碳减少，合成有机化合物数量降低，释放氧气（O</w:t>
      </w:r>
      <w:r>
        <w:rPr>
          <w:color w:val="auto"/>
          <w:highlight w:val="none"/>
          <w:vertAlign w:val="subscript"/>
        </w:rPr>
        <w:t>2</w:t>
      </w:r>
      <w:r>
        <w:rPr>
          <w:color w:val="auto"/>
          <w:highlight w:val="none"/>
        </w:rPr>
        <w:t>）减少。但因施工占地较少，这些物质的增减量微乎其微；第三，施工过程中，大气中扬尘及NOx等进入施工区附近生态系统，间接影响植物、动物和微生物的生长发育。</w:t>
      </w:r>
    </w:p>
    <w:p>
      <w:pPr>
        <w:bidi w:val="0"/>
        <w:rPr>
          <w:color w:val="auto"/>
          <w:highlight w:val="none"/>
        </w:rPr>
      </w:pPr>
      <w:r>
        <w:rPr>
          <w:color w:val="auto"/>
          <w:highlight w:val="none"/>
        </w:rPr>
        <w:t>整体上，</w:t>
      </w:r>
      <w:r>
        <w:rPr>
          <w:rFonts w:hint="eastAsia"/>
          <w:color w:val="auto"/>
          <w:highlight w:val="none"/>
        </w:rPr>
        <w:t>大竹县</w:t>
      </w:r>
      <w:r>
        <w:rPr>
          <w:color w:val="auto"/>
          <w:highlight w:val="none"/>
        </w:rPr>
        <w:t>煤炭矿区总体规划项目规划建设占地面积小，清除植物数量有限，且清理物种均属常见种，对区域植被、生态系统的破坏面积不大，不会对对生态系统结构和生态功能产生显著的负面影响，其影响预测为小。</w:t>
      </w:r>
    </w:p>
    <w:p>
      <w:pPr>
        <w:bidi w:val="0"/>
        <w:rPr>
          <w:color w:val="auto"/>
          <w:highlight w:val="none"/>
        </w:rPr>
      </w:pPr>
      <w:r>
        <w:rPr>
          <w:rFonts w:hint="eastAsia"/>
          <w:color w:val="auto"/>
          <w:highlight w:val="none"/>
          <w:lang w:eastAsia="zh-CN"/>
        </w:rPr>
        <w:t>②</w:t>
      </w:r>
      <w:r>
        <w:rPr>
          <w:rFonts w:hint="eastAsia"/>
          <w:color w:val="auto"/>
          <w:highlight w:val="none"/>
        </w:rPr>
        <w:t>项目运营的影响分析</w:t>
      </w:r>
    </w:p>
    <w:p>
      <w:pPr>
        <w:bidi w:val="0"/>
        <w:rPr>
          <w:color w:val="auto"/>
          <w:highlight w:val="none"/>
        </w:rPr>
      </w:pPr>
      <w:r>
        <w:rPr>
          <w:rFonts w:hint="eastAsia"/>
          <w:color w:val="auto"/>
          <w:highlight w:val="none"/>
        </w:rPr>
        <w:t>大竹县</w:t>
      </w:r>
      <w:r>
        <w:rPr>
          <w:color w:val="auto"/>
          <w:highlight w:val="none"/>
        </w:rPr>
        <w:t>煤炭矿区总体规划项目运营期间，不会再有施工建设活动对评价区内植物、生态系统进行破坏。同时，依规划进行的植被恢复能进一步促进评价区内植物生物量的提高和动物生境的恢复。另外，项目进入运营期后，在加强矿区管理、生态环境保护宣传教育的措施下，矿区生产生活等活动产生的不利因素对植被、生态系统、动植物多样性的影响也十分有限。因此，项目进入运营后，区域生态系统的结构及功能基本不会发生影响。</w:t>
      </w:r>
    </w:p>
    <w:p>
      <w:pPr>
        <w:bidi w:val="0"/>
        <w:rPr>
          <w:color w:val="auto"/>
          <w:highlight w:val="none"/>
        </w:rPr>
      </w:pPr>
      <w:r>
        <w:rPr>
          <w:rFonts w:hint="eastAsia"/>
          <w:color w:val="auto"/>
          <w:highlight w:val="none"/>
        </w:rPr>
        <w:t>大竹县规划的1</w:t>
      </w:r>
      <w:r>
        <w:rPr>
          <w:color w:val="auto"/>
          <w:highlight w:val="none"/>
        </w:rPr>
        <w:t>4</w:t>
      </w:r>
      <w:r>
        <w:rPr>
          <w:rFonts w:hint="eastAsia"/>
          <w:color w:val="auto"/>
          <w:highlight w:val="none"/>
        </w:rPr>
        <w:t>个矿权中，不少矿权</w:t>
      </w:r>
      <w:r>
        <w:rPr>
          <w:color w:val="auto"/>
          <w:highlight w:val="none"/>
        </w:rPr>
        <w:t>已建成投入运营多年，</w:t>
      </w:r>
      <w:r>
        <w:rPr>
          <w:rFonts w:hint="eastAsia"/>
          <w:color w:val="auto"/>
          <w:highlight w:val="none"/>
        </w:rPr>
        <w:t>可</w:t>
      </w:r>
      <w:r>
        <w:rPr>
          <w:color w:val="auto"/>
          <w:highlight w:val="none"/>
        </w:rPr>
        <w:t>通过类比矿区多年的影响分析项目规划后的影响程度。在实地调查中，</w:t>
      </w:r>
      <w:r>
        <w:rPr>
          <w:rFonts w:hint="eastAsia"/>
          <w:color w:val="auto"/>
          <w:highlight w:val="none"/>
        </w:rPr>
        <w:t>大竹县</w:t>
      </w:r>
      <w:r>
        <w:rPr>
          <w:color w:val="auto"/>
          <w:highlight w:val="none"/>
        </w:rPr>
        <w:t>煤炭矿区已运营多年，其对周边鸟类、爬行类等野生动物的影响已经形成并达到稳定状态，矿区内及周边区域鸟类及爬行类等物种组成较为丰富，工作与管理人员未对评价区的野生动物数量、多样性、分布格局及繁殖活动等造成显著的负面影响。同时，矿区周围植物生长良好，植物生长发育无明显的负面影响。</w:t>
      </w:r>
    </w:p>
    <w:p>
      <w:pPr>
        <w:bidi w:val="0"/>
        <w:rPr>
          <w:color w:val="auto"/>
          <w:highlight w:val="none"/>
        </w:rPr>
      </w:pPr>
      <w:r>
        <w:rPr>
          <w:color w:val="auto"/>
          <w:highlight w:val="none"/>
        </w:rPr>
        <w:t>同时，在矿区及附近林地内调查记录到灰胸竹鸡等的活动；访问周边居民，在林间还有斑头鸺鹠、野猪的活动；表明矿区运营及矿工生活未对区域保护动物的分布及活动范围造成显著的影响，评价区内野生保护动物的活动范围未发生较大改变或在区域消失。因此，类比目前矿区运营对区域野生动物的影响（矿区及周边区域各类动物种类、数量等均较为丰富）表明，</w:t>
      </w:r>
      <w:r>
        <w:rPr>
          <w:rFonts w:hint="eastAsia"/>
          <w:color w:val="auto"/>
          <w:highlight w:val="none"/>
        </w:rPr>
        <w:t>大竹县</w:t>
      </w:r>
      <w:r>
        <w:rPr>
          <w:color w:val="auto"/>
          <w:highlight w:val="none"/>
        </w:rPr>
        <w:t>煤炭矿区总体规划项目规划运营后不会对评价区内动物资源、多样性等造成较大影响，其影响为小。</w:t>
      </w:r>
    </w:p>
    <w:p>
      <w:pPr>
        <w:bidi w:val="0"/>
        <w:rPr>
          <w:color w:val="auto"/>
          <w:highlight w:val="none"/>
        </w:rPr>
      </w:pPr>
      <w:r>
        <w:rPr>
          <w:color w:val="auto"/>
          <w:highlight w:val="none"/>
        </w:rPr>
        <w:t>如此，结合项目规划建设工程内容及规模、矿区已形成的影响进行综合分析，项目运营期间对评价区生态系统的结构及功能影响预测为小。</w:t>
      </w:r>
    </w:p>
    <w:p>
      <w:pPr>
        <w:bidi w:val="0"/>
        <w:rPr>
          <w:color w:val="auto"/>
          <w:highlight w:val="none"/>
        </w:rPr>
      </w:pPr>
      <w:bookmarkStart w:id="351" w:name="_Toc88697655"/>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项目规划对生态系统稳定性、完整性的影响分析</w:t>
      </w:r>
      <w:bookmarkEnd w:id="351"/>
    </w:p>
    <w:p>
      <w:pPr>
        <w:bidi w:val="0"/>
        <w:rPr>
          <w:color w:val="auto"/>
          <w:highlight w:val="none"/>
        </w:rPr>
      </w:pPr>
      <w:r>
        <w:rPr>
          <w:rFonts w:hint="eastAsia"/>
          <w:color w:val="auto"/>
          <w:highlight w:val="none"/>
          <w:lang w:eastAsia="zh-CN"/>
        </w:rPr>
        <w:t>①</w:t>
      </w:r>
      <w:r>
        <w:rPr>
          <w:color w:val="auto"/>
          <w:highlight w:val="none"/>
        </w:rPr>
        <w:t>生态系统稳定性的影响分析</w:t>
      </w:r>
    </w:p>
    <w:p>
      <w:pPr>
        <w:bidi w:val="0"/>
        <w:rPr>
          <w:color w:val="auto"/>
          <w:highlight w:val="none"/>
          <w:lang w:val="zh-CN"/>
        </w:rPr>
      </w:pPr>
      <w:r>
        <w:rPr>
          <w:color w:val="auto"/>
          <w:highlight w:val="none"/>
          <w:lang w:val="zh-CN"/>
        </w:rPr>
        <w:t>生态系统稳定性包括两个方面，一方面是生态系统因受外界侵扰而产生持久性和抵抗性，另一方面是受到内部扰动后回归到原始状态的能力。</w:t>
      </w:r>
    </w:p>
    <w:p>
      <w:pPr>
        <w:bidi w:val="0"/>
        <w:rPr>
          <w:color w:val="auto"/>
          <w:highlight w:val="none"/>
        </w:rPr>
      </w:pPr>
      <w:r>
        <w:rPr>
          <w:b/>
          <w:bCs/>
          <w:color w:val="auto"/>
          <w:highlight w:val="none"/>
        </w:rPr>
        <w:t>项目规划建设阶段：</w:t>
      </w:r>
      <w:r>
        <w:rPr>
          <w:color w:val="auto"/>
          <w:highlight w:val="none"/>
        </w:rPr>
        <w:t>经实地调查，项目评价区内生态系统以森林生态系统及农田</w:t>
      </w:r>
      <w:r>
        <w:rPr>
          <w:rFonts w:hint="eastAsia"/>
          <w:color w:val="auto"/>
          <w:highlight w:val="none"/>
        </w:rPr>
        <w:t>聚落</w:t>
      </w:r>
      <w:r>
        <w:rPr>
          <w:color w:val="auto"/>
          <w:highlight w:val="none"/>
        </w:rPr>
        <w:t>生态系统为主，且森林生态系统物种多样性较高，生物因素和非生物因素各要素之间有较强的协同作用和耦联关系，有较强的缓冲能力和消解能力，阻抗稳定性和恢复稳定性较高。</w:t>
      </w:r>
    </w:p>
    <w:p>
      <w:pPr>
        <w:bidi w:val="0"/>
        <w:rPr>
          <w:color w:val="auto"/>
          <w:highlight w:val="none"/>
        </w:rPr>
      </w:pPr>
      <w:r>
        <w:rPr>
          <w:color w:val="auto"/>
          <w:highlight w:val="none"/>
        </w:rPr>
        <w:t>项目规划建设期间，施工建设</w:t>
      </w:r>
      <w:r>
        <w:rPr>
          <w:rFonts w:hint="eastAsia"/>
          <w:color w:val="auto"/>
          <w:highlight w:val="none"/>
        </w:rPr>
        <w:t>仅在工业场地内，不新增占地，不会造成评价区内</w:t>
      </w:r>
      <w:r>
        <w:rPr>
          <w:color w:val="auto"/>
          <w:highlight w:val="none"/>
        </w:rPr>
        <w:t>林地面积</w:t>
      </w:r>
      <w:r>
        <w:rPr>
          <w:rFonts w:hint="eastAsia"/>
          <w:color w:val="auto"/>
          <w:highlight w:val="none"/>
        </w:rPr>
        <w:t>减小</w:t>
      </w:r>
      <w:r>
        <w:rPr>
          <w:color w:val="auto"/>
          <w:highlight w:val="none"/>
        </w:rPr>
        <w:t>，对森林生态系统的影响</w:t>
      </w:r>
      <w:r>
        <w:rPr>
          <w:rFonts w:hint="eastAsia"/>
          <w:color w:val="auto"/>
          <w:highlight w:val="none"/>
        </w:rPr>
        <w:t>小</w:t>
      </w:r>
      <w:r>
        <w:rPr>
          <w:color w:val="auto"/>
          <w:highlight w:val="none"/>
        </w:rPr>
        <w:t>。另外，</w:t>
      </w:r>
      <w:r>
        <w:rPr>
          <w:rFonts w:hint="eastAsia"/>
          <w:color w:val="auto"/>
          <w:highlight w:val="none"/>
        </w:rPr>
        <w:t>大竹县</w:t>
      </w:r>
      <w:r>
        <w:rPr>
          <w:color w:val="auto"/>
          <w:highlight w:val="none"/>
        </w:rPr>
        <w:t>煤炭矿区总体规划项目及附近区域属低山丘陵地带，人类耕作较为强烈，人为活动以及采矿活动对生态环境的干扰较强且影响存在时间较长，几乎达到稳定的状态；加之，项目规划建设的规模较小且严格控制在规划范围内，对森林、灌丛生态系统的扰动面积小，不会对区域生态系统的稳定性产生较大影响。</w:t>
      </w:r>
    </w:p>
    <w:p>
      <w:pPr>
        <w:bidi w:val="0"/>
        <w:rPr>
          <w:color w:val="auto"/>
          <w:highlight w:val="none"/>
          <w:lang w:val="zh-CN"/>
        </w:rPr>
      </w:pPr>
      <w:r>
        <w:rPr>
          <w:b/>
          <w:bCs/>
          <w:color w:val="auto"/>
          <w:highlight w:val="none"/>
        </w:rPr>
        <w:t>项目运营阶段：</w:t>
      </w:r>
      <w:r>
        <w:rPr>
          <w:color w:val="auto"/>
          <w:highlight w:val="none"/>
        </w:rPr>
        <w:t>矿区的运营，随着人流量、交通车辆的增加，局部区域及道路沿线</w:t>
      </w:r>
      <w:r>
        <w:rPr>
          <w:color w:val="auto"/>
          <w:highlight w:val="none"/>
          <w:lang w:val="zh-CN"/>
        </w:rPr>
        <w:t>产生的空气变化、噪声等可能会造成周边植物群落的物种组成发生变化，进而评价区内的自然生态系统发生微观的改变，如：周围分布的对空气质量变化较敏感的植物，会因空气质量的下降而在交通道路沿线退却，致使评价区内的动植物种群结构、分布格局等发生变化，最终将导致生态系统的结构、生物生产、能量流动、物质循环和信息传递等受到一定影响。</w:t>
      </w:r>
    </w:p>
    <w:p>
      <w:pPr>
        <w:bidi w:val="0"/>
        <w:rPr>
          <w:color w:val="auto"/>
          <w:highlight w:val="none"/>
          <w:lang w:val="zh-CN"/>
        </w:rPr>
      </w:pPr>
      <w:r>
        <w:rPr>
          <w:color w:val="auto"/>
          <w:highlight w:val="none"/>
          <w:lang w:val="zh-CN"/>
        </w:rPr>
        <w:t>运营期间，对生态系统结构及功能最大的威胁来于可能发生的外来物种入侵事件，若入侵种有很强的生存和繁殖能力，可能导致部分竞争力不强的原生物种减少或消失，会危及</w:t>
      </w:r>
      <w:r>
        <w:rPr>
          <w:color w:val="auto"/>
          <w:highlight w:val="none"/>
        </w:rPr>
        <w:t>评价区</w:t>
      </w:r>
      <w:r>
        <w:rPr>
          <w:color w:val="auto"/>
          <w:highlight w:val="none"/>
          <w:lang w:val="zh-CN"/>
        </w:rPr>
        <w:t>范围内原有的物种多样性，从而影响</w:t>
      </w:r>
      <w:r>
        <w:rPr>
          <w:color w:val="auto"/>
          <w:highlight w:val="none"/>
        </w:rPr>
        <w:t>评价区</w:t>
      </w:r>
      <w:r>
        <w:rPr>
          <w:color w:val="auto"/>
          <w:highlight w:val="none"/>
          <w:lang w:val="zh-CN"/>
        </w:rPr>
        <w:t>生态系统的稳定性。</w:t>
      </w:r>
    </w:p>
    <w:p>
      <w:pPr>
        <w:bidi w:val="0"/>
        <w:rPr>
          <w:color w:val="auto"/>
          <w:highlight w:val="none"/>
        </w:rPr>
      </w:pPr>
      <w:r>
        <w:rPr>
          <w:rFonts w:hint="eastAsia"/>
          <w:color w:val="auto"/>
          <w:highlight w:val="none"/>
        </w:rPr>
        <w:t>大竹县</w:t>
      </w:r>
      <w:r>
        <w:rPr>
          <w:color w:val="auto"/>
          <w:highlight w:val="none"/>
        </w:rPr>
        <w:t>煤炭矿区已建成投入运营多年，类比矿区多年的影响及实地调查情况，</w:t>
      </w:r>
      <w:r>
        <w:rPr>
          <w:rFonts w:hint="eastAsia"/>
          <w:color w:val="auto"/>
          <w:highlight w:val="none"/>
        </w:rPr>
        <w:t>大竹县</w:t>
      </w:r>
      <w:r>
        <w:rPr>
          <w:color w:val="auto"/>
          <w:highlight w:val="none"/>
        </w:rPr>
        <w:t>煤炭矿区运营至今，矿区范围内的鸟类及爬行类、植物等物种组成较为丰富，未造成动植物在矿区及周边区域的消失，未发生严重的物种生态入侵。故通过类比，</w:t>
      </w:r>
      <w:r>
        <w:rPr>
          <w:rFonts w:hint="eastAsia"/>
          <w:color w:val="auto"/>
          <w:highlight w:val="none"/>
        </w:rPr>
        <w:t>大竹县</w:t>
      </w:r>
      <w:r>
        <w:rPr>
          <w:color w:val="auto"/>
          <w:highlight w:val="none"/>
        </w:rPr>
        <w:t>煤炭矿区在后期的运管理中，必须做好宣传教育，严禁在矿区及周边区域放养动物，严禁携带外来物种进入矿区并放养，如此可降低对评价区生态系统稳定性的影响。</w:t>
      </w:r>
    </w:p>
    <w:p>
      <w:pPr>
        <w:bidi w:val="0"/>
        <w:rPr>
          <w:color w:val="auto"/>
          <w:highlight w:val="none"/>
        </w:rPr>
      </w:pPr>
      <w:r>
        <w:rPr>
          <w:rFonts w:hint="eastAsia"/>
          <w:color w:val="auto"/>
          <w:highlight w:val="none"/>
          <w:lang w:eastAsia="zh-CN"/>
        </w:rPr>
        <w:t>②</w:t>
      </w:r>
      <w:r>
        <w:rPr>
          <w:rFonts w:hint="eastAsia"/>
          <w:color w:val="auto"/>
          <w:highlight w:val="none"/>
        </w:rPr>
        <w:t>生态系统完整性的影响分析</w:t>
      </w:r>
    </w:p>
    <w:p>
      <w:pPr>
        <w:bidi w:val="0"/>
        <w:rPr>
          <w:color w:val="auto"/>
          <w:highlight w:val="none"/>
        </w:rPr>
      </w:pPr>
      <w:r>
        <w:rPr>
          <w:color w:val="auto"/>
          <w:highlight w:val="none"/>
        </w:rPr>
        <w:t>生态系统的完整性包括系统结构的完整、系统成分间相互作用和过程的完整。</w:t>
      </w:r>
      <w:r>
        <w:rPr>
          <w:rFonts w:hint="eastAsia"/>
          <w:color w:val="auto"/>
          <w:highlight w:val="none"/>
        </w:rPr>
        <w:t>矿区规划</w:t>
      </w:r>
      <w:r>
        <w:rPr>
          <w:color w:val="auto"/>
          <w:highlight w:val="none"/>
        </w:rPr>
        <w:t>建设期间及运营期间会对区域生态系统的完整性产生两个方面的负面影响：1）规划内容在建设过程中的占地、开挖等将会对土壤、植被、生物生境造成一定的破坏；2）建成后占地面积的增加，使得区域生态系统的空间格局发生重构。</w:t>
      </w:r>
    </w:p>
    <w:p>
      <w:pPr>
        <w:bidi w:val="0"/>
        <w:rPr>
          <w:color w:val="auto"/>
          <w:highlight w:val="none"/>
        </w:rPr>
      </w:pPr>
      <w:r>
        <w:rPr>
          <w:rFonts w:hint="eastAsia"/>
          <w:color w:val="auto"/>
          <w:highlight w:val="none"/>
        </w:rPr>
        <w:t>大竹县</w:t>
      </w:r>
      <w:r>
        <w:rPr>
          <w:color w:val="auto"/>
          <w:highlight w:val="none"/>
        </w:rPr>
        <w:t>煤炭矿区总体规划</w:t>
      </w:r>
      <w:r>
        <w:rPr>
          <w:rFonts w:hint="eastAsia"/>
          <w:color w:val="auto"/>
          <w:highlight w:val="none"/>
        </w:rPr>
        <w:t>建设内容全部在矿区现有工业场地内，不会破坏工业场地外的</w:t>
      </w:r>
      <w:r>
        <w:rPr>
          <w:color w:val="auto"/>
          <w:highlight w:val="none"/>
        </w:rPr>
        <w:t>的植被，运输公路依托原有矿区道路</w:t>
      </w:r>
      <w:r>
        <w:rPr>
          <w:rFonts w:hint="eastAsia"/>
          <w:color w:val="auto"/>
          <w:highlight w:val="none"/>
        </w:rPr>
        <w:t>及区域通村、县级道路等</w:t>
      </w:r>
      <w:r>
        <w:rPr>
          <w:color w:val="auto"/>
          <w:highlight w:val="none"/>
        </w:rPr>
        <w:t>，避免大规模的新增占地；规划建设设施也尽量避开植被长势好的地块，进而最大限度的避免了对其周围的生态系统产生阻隔而改变区域生态系统的功能状况。如此，</w:t>
      </w:r>
      <w:r>
        <w:rPr>
          <w:rFonts w:hint="eastAsia"/>
          <w:color w:val="auto"/>
          <w:highlight w:val="none"/>
        </w:rPr>
        <w:t>大竹县</w:t>
      </w:r>
      <w:r>
        <w:rPr>
          <w:color w:val="auto"/>
          <w:highlight w:val="none"/>
        </w:rPr>
        <w:t>煤炭矿区总体规划项目对区域生态系统完整性的影响为小。</w:t>
      </w:r>
    </w:p>
    <w:p>
      <w:pPr>
        <w:bidi w:val="0"/>
        <w:rPr>
          <w:color w:val="auto"/>
          <w:highlight w:val="none"/>
        </w:rPr>
      </w:pPr>
      <w:bookmarkStart w:id="352" w:name="_Toc88697656"/>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项目规划对景观生态体系的影响分析</w:t>
      </w:r>
      <w:bookmarkEnd w:id="352"/>
    </w:p>
    <w:p>
      <w:pPr>
        <w:bidi w:val="0"/>
        <w:rPr>
          <w:color w:val="auto"/>
          <w:highlight w:val="none"/>
        </w:rPr>
      </w:pPr>
      <w:r>
        <w:rPr>
          <w:rFonts w:hint="eastAsia"/>
          <w:color w:val="auto"/>
          <w:highlight w:val="none"/>
        </w:rPr>
        <w:t>大竹县</w:t>
      </w:r>
      <w:r>
        <w:rPr>
          <w:color w:val="auto"/>
          <w:highlight w:val="none"/>
        </w:rPr>
        <w:t>煤炭矿区总体规划项目规划建设中，</w:t>
      </w:r>
      <w:r>
        <w:rPr>
          <w:rFonts w:hint="eastAsia"/>
          <w:color w:val="auto"/>
          <w:highlight w:val="none"/>
        </w:rPr>
        <w:t>仅对现有工业场地内的零星分布杂草及少许灌木进行清理，基本不</w:t>
      </w:r>
      <w:r>
        <w:rPr>
          <w:color w:val="auto"/>
          <w:highlight w:val="none"/>
        </w:rPr>
        <w:t>改变将影响原有景观生态体系的格局和动态</w:t>
      </w:r>
      <w:r>
        <w:rPr>
          <w:rFonts w:hint="eastAsia"/>
          <w:color w:val="auto"/>
          <w:highlight w:val="none"/>
        </w:rPr>
        <w:t>：</w:t>
      </w:r>
      <w:r>
        <w:rPr>
          <w:color w:val="auto"/>
          <w:highlight w:val="none"/>
        </w:rPr>
        <w:t>景观斑块类型，斑块破碎化和异质性程度</w:t>
      </w:r>
      <w:r>
        <w:rPr>
          <w:rFonts w:hint="eastAsia"/>
          <w:color w:val="auto"/>
          <w:highlight w:val="none"/>
        </w:rPr>
        <w:t>、</w:t>
      </w:r>
      <w:r>
        <w:rPr>
          <w:color w:val="auto"/>
          <w:highlight w:val="none"/>
        </w:rPr>
        <w:t>各斑块和廊道的连通性</w:t>
      </w:r>
      <w:r>
        <w:rPr>
          <w:rFonts w:hint="eastAsia"/>
          <w:color w:val="auto"/>
          <w:highlight w:val="none"/>
        </w:rPr>
        <w:t>基本维持现状不变</w:t>
      </w:r>
      <w:r>
        <w:rPr>
          <w:color w:val="auto"/>
          <w:highlight w:val="none"/>
        </w:rPr>
        <w:t>。</w:t>
      </w:r>
    </w:p>
    <w:p>
      <w:pPr>
        <w:bidi w:val="0"/>
        <w:rPr>
          <w:color w:val="auto"/>
          <w:highlight w:val="none"/>
        </w:rPr>
      </w:pPr>
      <w:r>
        <w:rPr>
          <w:color w:val="auto"/>
          <w:highlight w:val="none"/>
        </w:rPr>
        <w:t>因项目规划建设占地面积</w:t>
      </w:r>
      <w:r>
        <w:rPr>
          <w:rFonts w:hint="eastAsia"/>
          <w:color w:val="auto"/>
          <w:highlight w:val="none"/>
        </w:rPr>
        <w:t>小</w:t>
      </w:r>
      <w:r>
        <w:rPr>
          <w:color w:val="auto"/>
          <w:highlight w:val="none"/>
        </w:rPr>
        <w:t>，建设</w:t>
      </w:r>
      <w:r>
        <w:rPr>
          <w:rFonts w:hint="eastAsia"/>
          <w:color w:val="auto"/>
          <w:highlight w:val="none"/>
        </w:rPr>
        <w:t>主要是</w:t>
      </w:r>
      <w:r>
        <w:rPr>
          <w:color w:val="auto"/>
          <w:highlight w:val="none"/>
        </w:rPr>
        <w:t>依托现有设施进行提升改造、且不涉及大量砍伐林地乔木仅清理灌丛等，故规划建设阶段及运营阶段景观层次和景观特征基本保持一致：评价区内的斑块类型包括乔木林地、灌草丛、水域等3类自然斑块和耕地、村落、</w:t>
      </w:r>
      <w:r>
        <w:rPr>
          <w:rFonts w:hint="eastAsia"/>
          <w:color w:val="auto"/>
          <w:highlight w:val="none"/>
        </w:rPr>
        <w:t>竹林</w:t>
      </w:r>
      <w:r>
        <w:rPr>
          <w:color w:val="auto"/>
          <w:highlight w:val="none"/>
        </w:rPr>
        <w:t>、道路等4类人工斑块镶嵌组成。</w:t>
      </w:r>
    </w:p>
    <w:p>
      <w:pPr>
        <w:bidi w:val="0"/>
        <w:rPr>
          <w:color w:val="auto"/>
          <w:highlight w:val="none"/>
        </w:rPr>
      </w:pPr>
      <w:bookmarkStart w:id="353" w:name="_Toc369879676"/>
      <w:bookmarkStart w:id="354" w:name="_Toc333198790"/>
      <w:bookmarkStart w:id="355" w:name="_Toc369879939"/>
      <w:r>
        <w:rPr>
          <w:rFonts w:hint="eastAsia"/>
          <w:color w:val="auto"/>
          <w:highlight w:val="none"/>
          <w:lang w:eastAsia="zh-CN"/>
        </w:rPr>
        <w:t>①</w:t>
      </w:r>
      <w:r>
        <w:rPr>
          <w:color w:val="auto"/>
          <w:highlight w:val="none"/>
        </w:rPr>
        <w:t>景观要素的变化</w:t>
      </w:r>
      <w:bookmarkEnd w:id="353"/>
      <w:bookmarkEnd w:id="354"/>
      <w:bookmarkEnd w:id="355"/>
    </w:p>
    <w:p>
      <w:pPr>
        <w:bidi w:val="0"/>
        <w:rPr>
          <w:color w:val="auto"/>
          <w:highlight w:val="none"/>
        </w:rPr>
      </w:pPr>
      <w:r>
        <w:rPr>
          <w:color w:val="auto"/>
          <w:highlight w:val="none"/>
        </w:rPr>
        <w:t>根据</w:t>
      </w:r>
      <w:r>
        <w:rPr>
          <w:rFonts w:hint="eastAsia"/>
          <w:color w:val="auto"/>
          <w:highlight w:val="none"/>
        </w:rPr>
        <w:t>《四川省达州市大竹县煤炭矿区总体规划》</w:t>
      </w:r>
      <w:r>
        <w:rPr>
          <w:color w:val="auto"/>
          <w:highlight w:val="none"/>
        </w:rPr>
        <w:t>，</w:t>
      </w:r>
      <w:r>
        <w:rPr>
          <w:rFonts w:hint="eastAsia"/>
          <w:color w:val="auto"/>
          <w:highlight w:val="none"/>
        </w:rPr>
        <w:t>大竹县共计规划1</w:t>
      </w:r>
      <w:r>
        <w:rPr>
          <w:color w:val="auto"/>
          <w:highlight w:val="none"/>
        </w:rPr>
        <w:t>4</w:t>
      </w:r>
      <w:r>
        <w:rPr>
          <w:rFonts w:hint="eastAsia"/>
          <w:color w:val="auto"/>
          <w:highlight w:val="none"/>
        </w:rPr>
        <w:t>个矿权，其中：有5个保留生产煤矿，保留生产煤矿规划维持现状不变；9个升级改造煤矿，均在原有的工业场地基础上改造利用，不新增占地。因此，项目规划建设不会导致评价区内景观要素的显著变化：</w:t>
      </w:r>
      <w:r>
        <w:rPr>
          <w:color w:val="auto"/>
          <w:highlight w:val="none"/>
        </w:rPr>
        <w:t>乔木林地、灌草丛、水域</w:t>
      </w:r>
      <w:r>
        <w:rPr>
          <w:rFonts w:hint="eastAsia"/>
          <w:color w:val="auto"/>
          <w:highlight w:val="none"/>
        </w:rPr>
        <w:t>、</w:t>
      </w:r>
      <w:r>
        <w:rPr>
          <w:color w:val="auto"/>
          <w:highlight w:val="none"/>
        </w:rPr>
        <w:t>耕地、村落、</w:t>
      </w:r>
      <w:r>
        <w:rPr>
          <w:rFonts w:hint="eastAsia"/>
          <w:color w:val="auto"/>
          <w:highlight w:val="none"/>
        </w:rPr>
        <w:t>竹林</w:t>
      </w:r>
      <w:r>
        <w:rPr>
          <w:color w:val="auto"/>
          <w:highlight w:val="none"/>
        </w:rPr>
        <w:t>、道路等7类</w:t>
      </w:r>
      <w:r>
        <w:rPr>
          <w:rFonts w:hint="eastAsia"/>
          <w:color w:val="auto"/>
          <w:highlight w:val="none"/>
        </w:rPr>
        <w:t>景观类型不发生改变，各景观斑块数变化小，</w:t>
      </w:r>
      <w:r>
        <w:rPr>
          <w:color w:val="auto"/>
          <w:highlight w:val="none"/>
        </w:rPr>
        <w:t>其他景观类型格局变化并不显著，其破碎化程度变化</w:t>
      </w:r>
      <w:r>
        <w:rPr>
          <w:rFonts w:hint="eastAsia"/>
          <w:color w:val="auto"/>
          <w:highlight w:val="none"/>
        </w:rPr>
        <w:t>较</w:t>
      </w:r>
      <w:r>
        <w:rPr>
          <w:color w:val="auto"/>
          <w:highlight w:val="none"/>
        </w:rPr>
        <w:t>小。</w:t>
      </w:r>
    </w:p>
    <w:p>
      <w:pPr>
        <w:bidi w:val="0"/>
        <w:rPr>
          <w:color w:val="auto"/>
          <w:highlight w:val="none"/>
        </w:rPr>
      </w:pPr>
      <w:bookmarkStart w:id="356" w:name="_Toc333198791"/>
      <w:bookmarkStart w:id="357" w:name="_Toc369879940"/>
      <w:bookmarkStart w:id="358" w:name="_Toc369879677"/>
      <w:r>
        <w:rPr>
          <w:rFonts w:hint="eastAsia"/>
          <w:color w:val="auto"/>
          <w:highlight w:val="none"/>
          <w:lang w:eastAsia="zh-CN"/>
        </w:rPr>
        <w:t>②</w:t>
      </w:r>
      <w:r>
        <w:rPr>
          <w:color w:val="auto"/>
          <w:highlight w:val="none"/>
        </w:rPr>
        <w:t>景观要素优势度值变化</w:t>
      </w:r>
      <w:bookmarkEnd w:id="356"/>
      <w:bookmarkEnd w:id="357"/>
      <w:bookmarkEnd w:id="358"/>
    </w:p>
    <w:p>
      <w:pPr>
        <w:bidi w:val="0"/>
        <w:rPr>
          <w:color w:val="auto"/>
          <w:highlight w:val="none"/>
        </w:rPr>
      </w:pPr>
      <w:r>
        <w:rPr>
          <w:color w:val="auto"/>
          <w:highlight w:val="none"/>
        </w:rPr>
        <w:t>经现状调查及分析，项目评价区内乔木林地景观面积最大，分布集中山体中上部，连通性好，优势度最大。其次是农田耕地景观，面积大连通性较高。项目规划实施后，乔木林地景观仍旧是评价区内优势度最大的景观类型，其基质的地位并未发生变化。另外，项目规划建设</w:t>
      </w:r>
      <w:r>
        <w:rPr>
          <w:rFonts w:hint="eastAsia"/>
          <w:color w:val="auto"/>
          <w:highlight w:val="none"/>
        </w:rPr>
        <w:t>不新增占地</w:t>
      </w:r>
      <w:r>
        <w:rPr>
          <w:color w:val="auto"/>
          <w:highlight w:val="none"/>
        </w:rPr>
        <w:t>，对</w:t>
      </w:r>
      <w:r>
        <w:rPr>
          <w:rFonts w:hint="eastAsia"/>
          <w:color w:val="auto"/>
          <w:highlight w:val="none"/>
        </w:rPr>
        <w:t>各类型</w:t>
      </w:r>
      <w:r>
        <w:rPr>
          <w:color w:val="auto"/>
          <w:highlight w:val="none"/>
        </w:rPr>
        <w:t>景观的面积及斑块数量并不会造成显著的改变。因此，评价区内景观基质仍是乔木林地斑块，且各景观类型优势度值顺序均未发生改变。</w:t>
      </w:r>
    </w:p>
    <w:p>
      <w:pPr>
        <w:bidi w:val="0"/>
        <w:rPr>
          <w:color w:val="auto"/>
          <w:highlight w:val="none"/>
        </w:rPr>
      </w:pPr>
      <w:r>
        <w:rPr>
          <w:color w:val="auto"/>
          <w:highlight w:val="none"/>
        </w:rPr>
        <w:t>项目规划建设后，但景观基质（乔木林地）和各景观类型的排序不会发生改变，评价区景观组成格局基本保持不变。</w:t>
      </w:r>
    </w:p>
    <w:p>
      <w:pPr>
        <w:bidi w:val="0"/>
        <w:rPr>
          <w:color w:val="auto"/>
          <w:highlight w:val="none"/>
        </w:rPr>
      </w:pPr>
      <w:bookmarkStart w:id="359" w:name="_Toc333198792"/>
      <w:bookmarkStart w:id="360" w:name="_Toc369879678"/>
      <w:bookmarkStart w:id="361" w:name="_Toc369879941"/>
      <w:r>
        <w:rPr>
          <w:rFonts w:hint="eastAsia"/>
          <w:color w:val="auto"/>
          <w:highlight w:val="none"/>
          <w:lang w:eastAsia="zh-CN"/>
        </w:rPr>
        <w:t>③</w:t>
      </w:r>
      <w:r>
        <w:rPr>
          <w:color w:val="auto"/>
          <w:highlight w:val="none"/>
        </w:rPr>
        <w:t>景观结构和功能</w:t>
      </w:r>
      <w:bookmarkEnd w:id="359"/>
      <w:r>
        <w:rPr>
          <w:color w:val="auto"/>
          <w:highlight w:val="none"/>
        </w:rPr>
        <w:t>影响</w:t>
      </w:r>
      <w:bookmarkEnd w:id="360"/>
      <w:bookmarkEnd w:id="361"/>
    </w:p>
    <w:p>
      <w:pPr>
        <w:bidi w:val="0"/>
        <w:rPr>
          <w:color w:val="auto"/>
          <w:highlight w:val="none"/>
        </w:rPr>
      </w:pPr>
      <w:r>
        <w:rPr>
          <w:rFonts w:hint="eastAsia"/>
          <w:color w:val="auto"/>
          <w:highlight w:val="none"/>
        </w:rPr>
        <w:t>大竹县</w:t>
      </w:r>
      <w:r>
        <w:rPr>
          <w:color w:val="auto"/>
          <w:highlight w:val="none"/>
        </w:rPr>
        <w:t>煤炭矿区总体规划项目建设结束后，除占地区内的人工景观</w:t>
      </w:r>
      <w:r>
        <w:rPr>
          <w:rFonts w:hint="eastAsia"/>
          <w:color w:val="auto"/>
          <w:highlight w:val="none"/>
        </w:rPr>
        <w:t>略有变化</w:t>
      </w:r>
      <w:r>
        <w:rPr>
          <w:color w:val="auto"/>
          <w:highlight w:val="none"/>
        </w:rPr>
        <w:t>外，评价区的“斑块-廊道-基质”的基本结构没有发生改变：</w:t>
      </w:r>
    </w:p>
    <w:p>
      <w:pPr>
        <w:bidi w:val="0"/>
        <w:rPr>
          <w:color w:val="auto"/>
          <w:highlight w:val="none"/>
        </w:rPr>
      </w:pPr>
      <w:r>
        <w:rPr>
          <w:rFonts w:hint="eastAsia"/>
          <w:color w:val="auto"/>
          <w:highlight w:val="none"/>
          <w:lang w:val="en-US" w:eastAsia="zh-CN"/>
        </w:rPr>
        <w:t>A.</w:t>
      </w:r>
      <w:r>
        <w:rPr>
          <w:color w:val="auto"/>
          <w:highlight w:val="none"/>
        </w:rPr>
        <w:t>乔木林地仍是评价区内各景观要素中面积最大、起控制作用的斑块类型，仍然起着景观基质的作用；</w:t>
      </w:r>
    </w:p>
    <w:p>
      <w:pPr>
        <w:bidi w:val="0"/>
        <w:rPr>
          <w:color w:val="auto"/>
          <w:highlight w:val="none"/>
        </w:rPr>
      </w:pPr>
      <w:r>
        <w:rPr>
          <w:rFonts w:hint="eastAsia"/>
          <w:color w:val="auto"/>
          <w:highlight w:val="none"/>
          <w:lang w:val="en-US" w:eastAsia="zh-CN"/>
        </w:rPr>
        <w:t>B.</w:t>
      </w:r>
      <w:r>
        <w:rPr>
          <w:color w:val="auto"/>
          <w:highlight w:val="none"/>
        </w:rPr>
        <w:t>农田耕地的优势度值略低于乔木林地（林地），在评价区内对景观生态系统的稳定性起到极为重要的作用；</w:t>
      </w:r>
    </w:p>
    <w:p>
      <w:pPr>
        <w:bidi w:val="0"/>
        <w:rPr>
          <w:color w:val="auto"/>
          <w:highlight w:val="none"/>
        </w:rPr>
      </w:pPr>
      <w:r>
        <w:rPr>
          <w:rFonts w:hint="eastAsia"/>
          <w:color w:val="auto"/>
          <w:highlight w:val="none"/>
          <w:lang w:val="en-US" w:eastAsia="zh-CN"/>
        </w:rPr>
        <w:t>C.</w:t>
      </w:r>
      <w:r>
        <w:rPr>
          <w:color w:val="auto"/>
          <w:highlight w:val="none"/>
        </w:rPr>
        <w:t>由于没有自然生态系统类型的消失，故景观异质性无变化；项目规划建设没有造成景观生态体系中各类生态系统与外界的隔离，保持了景观组织的开放性。</w:t>
      </w:r>
    </w:p>
    <w:p>
      <w:pPr>
        <w:bidi w:val="0"/>
        <w:rPr>
          <w:rFonts w:eastAsia="华文仿宋"/>
          <w:color w:val="auto"/>
          <w:highlight w:val="none"/>
        </w:rPr>
      </w:pPr>
      <w:r>
        <w:rPr>
          <w:color w:val="auto"/>
          <w:highlight w:val="none"/>
        </w:rPr>
        <w:t>项目工程</w:t>
      </w:r>
      <w:r>
        <w:rPr>
          <w:rFonts w:hint="eastAsia"/>
          <w:color w:val="auto"/>
          <w:highlight w:val="none"/>
        </w:rPr>
        <w:t>规划</w:t>
      </w:r>
      <w:r>
        <w:rPr>
          <w:color w:val="auto"/>
          <w:highlight w:val="none"/>
        </w:rPr>
        <w:t>建成后，评价区内各景观的结构指数变化见下表5-3。</w:t>
      </w:r>
      <w:r>
        <w:rPr>
          <w:rFonts w:hint="eastAsia"/>
          <w:color w:val="auto"/>
          <w:highlight w:val="none"/>
        </w:rPr>
        <w:t>大竹县</w:t>
      </w:r>
      <w:r>
        <w:rPr>
          <w:color w:val="auto"/>
          <w:highlight w:val="none"/>
        </w:rPr>
        <w:t>煤炭矿区规划建设投入运营后，各景观斑块数量和面积都不变，景观类型无变化，因此景观中各景观类型的面积及优势景观的控制程度不变。新增的景观斑块面积较小且数量较少，景观破碎化程度变化也小。</w:t>
      </w:r>
    </w:p>
    <w:p>
      <w:pPr>
        <w:pStyle w:val="22"/>
        <w:bidi w:val="0"/>
        <w:rPr>
          <w:color w:val="auto"/>
          <w:highlight w:val="none"/>
        </w:rPr>
      </w:pPr>
      <w:r>
        <w:rPr>
          <w:color w:val="auto"/>
          <w:highlight w:val="none"/>
        </w:rPr>
        <w:t>表5</w:t>
      </w:r>
      <w:r>
        <w:rPr>
          <w:rFonts w:hint="eastAsia"/>
          <w:color w:val="auto"/>
          <w:highlight w:val="none"/>
          <w:lang w:val="en-US" w:eastAsia="zh-CN"/>
        </w:rPr>
        <w:t xml:space="preserve">.1-8 </w:t>
      </w:r>
      <w:r>
        <w:rPr>
          <w:color w:val="auto"/>
          <w:highlight w:val="none"/>
        </w:rPr>
        <w:t xml:space="preserve"> 项目建设前后评价区生态景观结构特征指数变化表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413"/>
        <w:gridCol w:w="1413"/>
        <w:gridCol w:w="1413"/>
        <w:gridCol w:w="1032"/>
        <w:gridCol w:w="1413"/>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98" w:type="pct"/>
            <w:vAlign w:val="center"/>
          </w:tcPr>
          <w:p>
            <w:pPr>
              <w:pStyle w:val="22"/>
              <w:bidi w:val="0"/>
              <w:rPr>
                <w:color w:val="auto"/>
                <w:highlight w:val="none"/>
              </w:rPr>
            </w:pPr>
            <w:r>
              <w:rPr>
                <w:color w:val="auto"/>
                <w:highlight w:val="none"/>
              </w:rPr>
              <w:t>时 段</w:t>
            </w:r>
          </w:p>
        </w:tc>
        <w:tc>
          <w:tcPr>
            <w:tcW w:w="734" w:type="pct"/>
            <w:vAlign w:val="center"/>
          </w:tcPr>
          <w:p>
            <w:pPr>
              <w:pStyle w:val="22"/>
              <w:bidi w:val="0"/>
              <w:rPr>
                <w:color w:val="auto"/>
                <w:highlight w:val="none"/>
              </w:rPr>
            </w:pPr>
            <w:r>
              <w:rPr>
                <w:color w:val="auto"/>
                <w:highlight w:val="none"/>
              </w:rPr>
              <w:t>优势度指数</w:t>
            </w:r>
          </w:p>
          <w:p>
            <w:pPr>
              <w:pStyle w:val="22"/>
              <w:bidi w:val="0"/>
              <w:rPr>
                <w:color w:val="auto"/>
                <w:highlight w:val="none"/>
              </w:rPr>
            </w:pPr>
            <w:r>
              <w:rPr>
                <w:color w:val="auto"/>
                <w:highlight w:val="none"/>
              </w:rPr>
              <w:t>D</w:t>
            </w:r>
          </w:p>
        </w:tc>
        <w:tc>
          <w:tcPr>
            <w:tcW w:w="734" w:type="pct"/>
            <w:vAlign w:val="center"/>
          </w:tcPr>
          <w:p>
            <w:pPr>
              <w:pStyle w:val="22"/>
              <w:bidi w:val="0"/>
              <w:rPr>
                <w:color w:val="auto"/>
                <w:highlight w:val="none"/>
              </w:rPr>
            </w:pPr>
            <w:r>
              <w:rPr>
                <w:color w:val="auto"/>
                <w:highlight w:val="none"/>
              </w:rPr>
              <w:t>多样性指数</w:t>
            </w:r>
          </w:p>
          <w:p>
            <w:pPr>
              <w:pStyle w:val="22"/>
              <w:bidi w:val="0"/>
              <w:rPr>
                <w:color w:val="auto"/>
                <w:highlight w:val="none"/>
              </w:rPr>
            </w:pPr>
            <w:r>
              <w:rPr>
                <w:color w:val="auto"/>
                <w:highlight w:val="none"/>
              </w:rPr>
              <w:t>SHDI</w:t>
            </w:r>
          </w:p>
        </w:tc>
        <w:tc>
          <w:tcPr>
            <w:tcW w:w="734" w:type="pct"/>
            <w:vAlign w:val="center"/>
          </w:tcPr>
          <w:p>
            <w:pPr>
              <w:pStyle w:val="22"/>
              <w:bidi w:val="0"/>
              <w:rPr>
                <w:color w:val="auto"/>
                <w:highlight w:val="none"/>
              </w:rPr>
            </w:pPr>
            <w:r>
              <w:rPr>
                <w:color w:val="auto"/>
                <w:highlight w:val="none"/>
              </w:rPr>
              <w:t>均匀度指数</w:t>
            </w:r>
          </w:p>
          <w:p>
            <w:pPr>
              <w:pStyle w:val="22"/>
              <w:bidi w:val="0"/>
              <w:rPr>
                <w:color w:val="auto"/>
                <w:highlight w:val="none"/>
              </w:rPr>
            </w:pPr>
            <w:r>
              <w:rPr>
                <w:color w:val="auto"/>
                <w:highlight w:val="none"/>
              </w:rPr>
              <w:t>SHEI</w:t>
            </w:r>
          </w:p>
        </w:tc>
        <w:tc>
          <w:tcPr>
            <w:tcW w:w="536" w:type="pct"/>
            <w:vAlign w:val="center"/>
          </w:tcPr>
          <w:p>
            <w:pPr>
              <w:pStyle w:val="22"/>
              <w:bidi w:val="0"/>
              <w:rPr>
                <w:color w:val="auto"/>
                <w:highlight w:val="none"/>
              </w:rPr>
            </w:pPr>
            <w:r>
              <w:rPr>
                <w:color w:val="auto"/>
                <w:highlight w:val="none"/>
              </w:rPr>
              <w:t>分维数</w:t>
            </w:r>
          </w:p>
          <w:p>
            <w:pPr>
              <w:pStyle w:val="22"/>
              <w:bidi w:val="0"/>
              <w:rPr>
                <w:color w:val="auto"/>
                <w:highlight w:val="none"/>
              </w:rPr>
            </w:pPr>
            <w:r>
              <w:rPr>
                <w:color w:val="auto"/>
                <w:highlight w:val="none"/>
              </w:rPr>
              <w:t>FD</w:t>
            </w:r>
          </w:p>
        </w:tc>
        <w:tc>
          <w:tcPr>
            <w:tcW w:w="734" w:type="pct"/>
            <w:vAlign w:val="center"/>
          </w:tcPr>
          <w:p>
            <w:pPr>
              <w:pStyle w:val="22"/>
              <w:bidi w:val="0"/>
              <w:rPr>
                <w:color w:val="auto"/>
                <w:highlight w:val="none"/>
              </w:rPr>
            </w:pPr>
            <w:r>
              <w:rPr>
                <w:color w:val="auto"/>
                <w:highlight w:val="none"/>
              </w:rPr>
              <w:t>破碎化指数</w:t>
            </w:r>
          </w:p>
          <w:p>
            <w:pPr>
              <w:pStyle w:val="22"/>
              <w:bidi w:val="0"/>
              <w:rPr>
                <w:color w:val="auto"/>
                <w:highlight w:val="none"/>
              </w:rPr>
            </w:pPr>
            <w:r>
              <w:rPr>
                <w:color w:val="auto"/>
                <w:highlight w:val="none"/>
              </w:rPr>
              <w:t>FN</w:t>
            </w:r>
          </w:p>
        </w:tc>
        <w:tc>
          <w:tcPr>
            <w:tcW w:w="731" w:type="pct"/>
            <w:vAlign w:val="center"/>
          </w:tcPr>
          <w:p>
            <w:pPr>
              <w:pStyle w:val="22"/>
              <w:bidi w:val="0"/>
              <w:rPr>
                <w:color w:val="auto"/>
                <w:highlight w:val="none"/>
              </w:rPr>
            </w:pPr>
            <w:r>
              <w:rPr>
                <w:color w:val="auto"/>
                <w:highlight w:val="none"/>
              </w:rPr>
              <w:t>自然性指数</w:t>
            </w:r>
          </w:p>
          <w:p>
            <w:pPr>
              <w:pStyle w:val="22"/>
              <w:bidi w:val="0"/>
              <w:rPr>
                <w:color w:val="auto"/>
                <w:highlight w:val="none"/>
              </w:rPr>
            </w:pPr>
            <w:r>
              <w:rPr>
                <w:color w:val="auto"/>
                <w:highlight w:val="none"/>
              </w:rPr>
              <w:t>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98" w:type="pct"/>
            <w:vAlign w:val="center"/>
          </w:tcPr>
          <w:p>
            <w:pPr>
              <w:pStyle w:val="22"/>
              <w:bidi w:val="0"/>
              <w:rPr>
                <w:color w:val="auto"/>
                <w:highlight w:val="none"/>
              </w:rPr>
            </w:pPr>
            <w:r>
              <w:rPr>
                <w:color w:val="auto"/>
                <w:highlight w:val="none"/>
              </w:rPr>
              <w:t>现状</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0.6796</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2.1276</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0.7579</w:t>
            </w:r>
          </w:p>
        </w:tc>
        <w:tc>
          <w:tcPr>
            <w:tcW w:w="1032"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1.6862</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0.0746</w:t>
            </w:r>
          </w:p>
        </w:tc>
        <w:tc>
          <w:tcPr>
            <w:tcW w:w="1406"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0.8036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98" w:type="pct"/>
            <w:vAlign w:val="center"/>
          </w:tcPr>
          <w:p>
            <w:pPr>
              <w:pStyle w:val="22"/>
              <w:bidi w:val="0"/>
              <w:rPr>
                <w:color w:val="auto"/>
                <w:highlight w:val="none"/>
              </w:rPr>
            </w:pPr>
            <w:r>
              <w:rPr>
                <w:color w:val="auto"/>
                <w:highlight w:val="none"/>
              </w:rPr>
              <w:t>工程建成后</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0.6792</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2.1278</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eastAsia="仿宋_GB2312"/>
                <w:color w:val="auto"/>
                <w:kern w:val="0"/>
                <w:sz w:val="21"/>
                <w:szCs w:val="21"/>
                <w:highlight w:val="none"/>
              </w:rPr>
              <w:t>0.7580</w:t>
            </w:r>
          </w:p>
        </w:tc>
        <w:tc>
          <w:tcPr>
            <w:tcW w:w="1032"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1</w:t>
            </w:r>
            <w:r>
              <w:rPr>
                <w:rFonts w:eastAsia="仿宋_GB2312"/>
                <w:color w:val="auto"/>
                <w:kern w:val="0"/>
                <w:sz w:val="21"/>
                <w:szCs w:val="21"/>
                <w:highlight w:val="none"/>
              </w:rPr>
              <w:t>.6860</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0</w:t>
            </w:r>
            <w:r>
              <w:rPr>
                <w:rFonts w:eastAsia="仿宋_GB2312"/>
                <w:color w:val="auto"/>
                <w:kern w:val="0"/>
                <w:sz w:val="21"/>
                <w:szCs w:val="21"/>
                <w:highlight w:val="none"/>
              </w:rPr>
              <w:t>.0746</w:t>
            </w:r>
          </w:p>
        </w:tc>
        <w:tc>
          <w:tcPr>
            <w:tcW w:w="1406"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0</w:t>
            </w:r>
            <w:r>
              <w:rPr>
                <w:rFonts w:eastAsia="仿宋_GB2312"/>
                <w:color w:val="auto"/>
                <w:kern w:val="0"/>
                <w:sz w:val="21"/>
                <w:szCs w:val="21"/>
                <w:highlight w:val="none"/>
              </w:rPr>
              <w:t>.8036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98" w:type="pct"/>
            <w:vAlign w:val="center"/>
          </w:tcPr>
          <w:p>
            <w:pPr>
              <w:pStyle w:val="22"/>
              <w:bidi w:val="0"/>
              <w:rPr>
                <w:color w:val="auto"/>
                <w:highlight w:val="none"/>
              </w:rPr>
            </w:pPr>
            <w:r>
              <w:rPr>
                <w:color w:val="auto"/>
                <w:highlight w:val="none"/>
              </w:rPr>
              <w:t>指数变化量</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w:t>
            </w:r>
            <w:r>
              <w:rPr>
                <w:rFonts w:eastAsia="仿宋_GB2312"/>
                <w:color w:val="auto"/>
                <w:kern w:val="0"/>
                <w:sz w:val="21"/>
                <w:szCs w:val="21"/>
                <w:highlight w:val="none"/>
              </w:rPr>
              <w:t>0.0004</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0</w:t>
            </w:r>
            <w:r>
              <w:rPr>
                <w:rFonts w:eastAsia="仿宋_GB2312"/>
                <w:color w:val="auto"/>
                <w:kern w:val="0"/>
                <w:sz w:val="21"/>
                <w:szCs w:val="21"/>
                <w:highlight w:val="none"/>
              </w:rPr>
              <w:t>.0002</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0</w:t>
            </w:r>
            <w:r>
              <w:rPr>
                <w:rFonts w:eastAsia="仿宋_GB2312"/>
                <w:color w:val="auto"/>
                <w:kern w:val="0"/>
                <w:sz w:val="21"/>
                <w:szCs w:val="21"/>
                <w:highlight w:val="none"/>
              </w:rPr>
              <w:t>.0001</w:t>
            </w:r>
          </w:p>
        </w:tc>
        <w:tc>
          <w:tcPr>
            <w:tcW w:w="1032"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w:t>
            </w:r>
            <w:r>
              <w:rPr>
                <w:rFonts w:eastAsia="仿宋_GB2312"/>
                <w:color w:val="auto"/>
                <w:kern w:val="0"/>
                <w:sz w:val="21"/>
                <w:szCs w:val="21"/>
                <w:highlight w:val="none"/>
              </w:rPr>
              <w:t>0.0002</w:t>
            </w:r>
          </w:p>
        </w:tc>
        <w:tc>
          <w:tcPr>
            <w:tcW w:w="1413"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0</w:t>
            </w:r>
          </w:p>
        </w:tc>
        <w:tc>
          <w:tcPr>
            <w:tcW w:w="1406" w:type="dxa"/>
            <w:vAlign w:val="center"/>
          </w:tcPr>
          <w:p>
            <w:pPr>
              <w:widowControl/>
              <w:spacing w:line="276" w:lineRule="auto"/>
              <w:ind w:left="0" w:leftChars="0" w:right="0" w:rightChars="0" w:firstLine="0" w:firstLineChars="0"/>
              <w:jc w:val="center"/>
              <w:rPr>
                <w:color w:val="auto"/>
                <w:highlight w:val="none"/>
              </w:rPr>
            </w:pPr>
            <w:r>
              <w:rPr>
                <w:rFonts w:hint="eastAsia" w:eastAsia="仿宋_GB2312"/>
                <w:color w:val="auto"/>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98" w:type="pct"/>
            <w:vAlign w:val="center"/>
          </w:tcPr>
          <w:p>
            <w:pPr>
              <w:pStyle w:val="22"/>
              <w:bidi w:val="0"/>
              <w:rPr>
                <w:color w:val="auto"/>
                <w:highlight w:val="none"/>
              </w:rPr>
            </w:pPr>
            <w:r>
              <w:rPr>
                <w:color w:val="auto"/>
                <w:highlight w:val="none"/>
              </w:rPr>
              <w:t>变化幅度(%)</w:t>
            </w:r>
          </w:p>
        </w:tc>
        <w:tc>
          <w:tcPr>
            <w:tcW w:w="1413" w:type="dxa"/>
            <w:vAlign w:val="center"/>
          </w:tcPr>
          <w:p>
            <w:pPr>
              <w:widowControl/>
              <w:spacing w:line="276" w:lineRule="auto"/>
              <w:ind w:left="0" w:leftChars="0" w:right="0" w:rightChars="0" w:firstLine="0" w:firstLineChars="0"/>
              <w:jc w:val="center"/>
              <w:rPr>
                <w:color w:val="auto"/>
                <w:highlight w:val="none"/>
              </w:rPr>
            </w:pPr>
            <w:r>
              <w:rPr>
                <w:color w:val="auto"/>
                <w:sz w:val="21"/>
                <w:szCs w:val="21"/>
                <w:highlight w:val="none"/>
              </w:rPr>
              <w:t>-0.059%</w:t>
            </w:r>
          </w:p>
        </w:tc>
        <w:tc>
          <w:tcPr>
            <w:tcW w:w="1413" w:type="dxa"/>
            <w:vAlign w:val="center"/>
          </w:tcPr>
          <w:p>
            <w:pPr>
              <w:widowControl/>
              <w:spacing w:line="276" w:lineRule="auto"/>
              <w:ind w:left="0" w:leftChars="0" w:right="0" w:rightChars="0" w:firstLine="0" w:firstLineChars="0"/>
              <w:jc w:val="center"/>
              <w:rPr>
                <w:color w:val="auto"/>
                <w:highlight w:val="none"/>
              </w:rPr>
            </w:pPr>
            <w:r>
              <w:rPr>
                <w:color w:val="auto"/>
                <w:sz w:val="21"/>
                <w:szCs w:val="21"/>
                <w:highlight w:val="none"/>
              </w:rPr>
              <w:t>0.092%</w:t>
            </w:r>
          </w:p>
        </w:tc>
        <w:tc>
          <w:tcPr>
            <w:tcW w:w="1413" w:type="dxa"/>
            <w:vAlign w:val="center"/>
          </w:tcPr>
          <w:p>
            <w:pPr>
              <w:widowControl/>
              <w:spacing w:line="276" w:lineRule="auto"/>
              <w:ind w:left="0" w:leftChars="0" w:right="0" w:rightChars="0" w:firstLine="0" w:firstLineChars="0"/>
              <w:jc w:val="center"/>
              <w:rPr>
                <w:color w:val="auto"/>
                <w:highlight w:val="none"/>
              </w:rPr>
            </w:pPr>
            <w:r>
              <w:rPr>
                <w:color w:val="auto"/>
                <w:sz w:val="21"/>
                <w:szCs w:val="21"/>
                <w:highlight w:val="none"/>
              </w:rPr>
              <w:t>0.013%</w:t>
            </w:r>
          </w:p>
        </w:tc>
        <w:tc>
          <w:tcPr>
            <w:tcW w:w="1032" w:type="dxa"/>
            <w:vAlign w:val="center"/>
          </w:tcPr>
          <w:p>
            <w:pPr>
              <w:widowControl/>
              <w:spacing w:line="276" w:lineRule="auto"/>
              <w:ind w:left="0" w:leftChars="0" w:right="0" w:rightChars="0" w:firstLine="0" w:firstLineChars="0"/>
              <w:jc w:val="center"/>
              <w:rPr>
                <w:color w:val="auto"/>
                <w:highlight w:val="none"/>
              </w:rPr>
            </w:pPr>
            <w:r>
              <w:rPr>
                <w:color w:val="auto"/>
                <w:sz w:val="21"/>
                <w:szCs w:val="21"/>
                <w:highlight w:val="none"/>
              </w:rPr>
              <w:t>-0.012%</w:t>
            </w:r>
          </w:p>
        </w:tc>
        <w:tc>
          <w:tcPr>
            <w:tcW w:w="1413" w:type="dxa"/>
            <w:vAlign w:val="center"/>
          </w:tcPr>
          <w:p>
            <w:pPr>
              <w:widowControl/>
              <w:spacing w:line="276" w:lineRule="auto"/>
              <w:ind w:left="0" w:leftChars="0" w:right="0" w:rightChars="0" w:firstLine="0" w:firstLineChars="0"/>
              <w:jc w:val="center"/>
              <w:rPr>
                <w:color w:val="auto"/>
                <w:highlight w:val="none"/>
              </w:rPr>
            </w:pPr>
            <w:r>
              <w:rPr>
                <w:color w:val="auto"/>
                <w:sz w:val="21"/>
                <w:szCs w:val="21"/>
                <w:highlight w:val="none"/>
              </w:rPr>
              <w:t>0.000%</w:t>
            </w:r>
          </w:p>
        </w:tc>
        <w:tc>
          <w:tcPr>
            <w:tcW w:w="1406" w:type="dxa"/>
            <w:vAlign w:val="center"/>
          </w:tcPr>
          <w:p>
            <w:pPr>
              <w:widowControl/>
              <w:spacing w:line="276" w:lineRule="auto"/>
              <w:ind w:left="0" w:leftChars="0" w:right="0" w:rightChars="0" w:firstLine="0" w:firstLineChars="0"/>
              <w:jc w:val="center"/>
              <w:rPr>
                <w:color w:val="auto"/>
                <w:highlight w:val="none"/>
              </w:rPr>
            </w:pPr>
            <w:r>
              <w:rPr>
                <w:color w:val="auto"/>
                <w:sz w:val="21"/>
                <w:szCs w:val="21"/>
                <w:highlight w:val="none"/>
              </w:rPr>
              <w:t>0.000%</w:t>
            </w:r>
          </w:p>
        </w:tc>
      </w:tr>
    </w:tbl>
    <w:p>
      <w:pPr>
        <w:pStyle w:val="7"/>
        <w:bidi w:val="0"/>
        <w:rPr>
          <w:color w:val="auto"/>
          <w:highlight w:val="none"/>
        </w:rPr>
      </w:pPr>
      <w:bookmarkStart w:id="362" w:name="_Toc88697657"/>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8</w:t>
      </w:r>
      <w:r>
        <w:rPr>
          <w:rFonts w:hint="eastAsia"/>
          <w:color w:val="auto"/>
          <w:highlight w:val="none"/>
        </w:rPr>
        <w:t xml:space="preserve"> 项目规划对保护动植物的影响分析</w:t>
      </w:r>
      <w:bookmarkEnd w:id="362"/>
    </w:p>
    <w:p>
      <w:pPr>
        <w:bidi w:val="0"/>
        <w:rPr>
          <w:color w:val="auto"/>
          <w:highlight w:val="none"/>
        </w:rPr>
      </w:pPr>
      <w:bookmarkStart w:id="363" w:name="_Toc88697658"/>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项目规划对保护动物的影响分析</w:t>
      </w:r>
      <w:bookmarkEnd w:id="363"/>
    </w:p>
    <w:p>
      <w:pPr>
        <w:bidi w:val="0"/>
        <w:rPr>
          <w:color w:val="auto"/>
          <w:highlight w:val="none"/>
        </w:rPr>
      </w:pPr>
      <w:r>
        <w:rPr>
          <w:rFonts w:hint="eastAsia"/>
          <w:color w:val="auto"/>
          <w:highlight w:val="none"/>
        </w:rPr>
        <w:t>大竹县</w:t>
      </w:r>
      <w:r>
        <w:rPr>
          <w:color w:val="auto"/>
          <w:highlight w:val="none"/>
        </w:rPr>
        <w:t>煤炭矿区总体规划项目</w:t>
      </w:r>
      <w:r>
        <w:rPr>
          <w:color w:val="auto"/>
          <w:highlight w:val="none"/>
          <w:lang w:val="zh-CN"/>
        </w:rPr>
        <w:t>的实施对评价区内的保护动物的影响主要是噪声（建设施工噪声、</w:t>
      </w:r>
      <w:r>
        <w:rPr>
          <w:color w:val="auto"/>
          <w:highlight w:val="none"/>
        </w:rPr>
        <w:t>运营期车辆与人员</w:t>
      </w:r>
      <w:r>
        <w:rPr>
          <w:color w:val="auto"/>
          <w:highlight w:val="none"/>
          <w:lang w:val="zh-CN"/>
        </w:rPr>
        <w:t>的活动噪声）的影响</w:t>
      </w:r>
      <w:r>
        <w:rPr>
          <w:color w:val="auto"/>
          <w:highlight w:val="none"/>
        </w:rPr>
        <w:t>。</w:t>
      </w:r>
    </w:p>
    <w:p>
      <w:pPr>
        <w:bidi w:val="0"/>
        <w:rPr>
          <w:color w:val="auto"/>
          <w:highlight w:val="none"/>
          <w:lang w:val="zh-CN"/>
        </w:rPr>
      </w:pPr>
      <w:r>
        <w:rPr>
          <w:color w:val="auto"/>
          <w:highlight w:val="none"/>
          <w:lang w:val="zh-CN"/>
        </w:rPr>
        <w:t>从保护动物的分布来看</w:t>
      </w:r>
      <w:r>
        <w:rPr>
          <w:color w:val="auto"/>
          <w:highlight w:val="none"/>
        </w:rPr>
        <w:t>中华鳖（Pelodiscus sinensis）、中国林蛙（Rana chensinensis）</w:t>
      </w:r>
      <w:r>
        <w:rPr>
          <w:rFonts w:hint="eastAsia"/>
          <w:color w:val="auto"/>
          <w:highlight w:val="none"/>
        </w:rPr>
        <w:t>、小䴙䴘、灰胸竹鸡、棕胸竹鸡</w:t>
      </w:r>
      <w:r>
        <w:rPr>
          <w:color w:val="auto"/>
          <w:highlight w:val="none"/>
        </w:rPr>
        <w:t>等保护动物在区域分布数量较多，鸿雁（Anser cygnoid）、董鸡（Gallicrex cinerea）、斑头鸺鹠（Glaucidium cuculoides）</w:t>
      </w:r>
      <w:r>
        <w:rPr>
          <w:color w:val="auto"/>
          <w:highlight w:val="none"/>
          <w:lang w:val="zh-CN"/>
        </w:rPr>
        <w:t>主要活动在海拔较高</w:t>
      </w:r>
      <w:r>
        <w:rPr>
          <w:color w:val="auto"/>
          <w:highlight w:val="none"/>
        </w:rPr>
        <w:t>（</w:t>
      </w:r>
      <w:r>
        <w:rPr>
          <w:color w:val="auto"/>
          <w:highlight w:val="none"/>
          <w:lang w:val="zh-CN"/>
        </w:rPr>
        <w:t>大于</w:t>
      </w:r>
      <w:r>
        <w:rPr>
          <w:color w:val="auto"/>
          <w:highlight w:val="none"/>
        </w:rPr>
        <w:t>700m）</w:t>
      </w:r>
      <w:r>
        <w:rPr>
          <w:color w:val="auto"/>
          <w:highlight w:val="none"/>
          <w:lang w:val="zh-CN"/>
        </w:rPr>
        <w:t>的山间林地</w:t>
      </w:r>
      <w:r>
        <w:rPr>
          <w:color w:val="auto"/>
          <w:highlight w:val="none"/>
        </w:rPr>
        <w:t>；雀鹰（Accipiter nisus）、普通鵟（Buteo buteo）、红隼（Falco tinnunculus）</w:t>
      </w:r>
      <w:r>
        <w:rPr>
          <w:color w:val="auto"/>
          <w:highlight w:val="none"/>
          <w:lang w:val="zh-CN"/>
        </w:rPr>
        <w:t>作为猛禽</w:t>
      </w:r>
      <w:r>
        <w:rPr>
          <w:color w:val="auto"/>
          <w:highlight w:val="none"/>
        </w:rPr>
        <w:t>，</w:t>
      </w:r>
      <w:r>
        <w:rPr>
          <w:color w:val="auto"/>
          <w:highlight w:val="none"/>
          <w:lang w:val="zh-CN"/>
        </w:rPr>
        <w:t>活动范围广</w:t>
      </w:r>
      <w:r>
        <w:rPr>
          <w:color w:val="auto"/>
          <w:highlight w:val="none"/>
        </w:rPr>
        <w:t>，</w:t>
      </w:r>
      <w:r>
        <w:rPr>
          <w:color w:val="auto"/>
          <w:highlight w:val="none"/>
          <w:lang w:val="zh-CN"/>
        </w:rPr>
        <w:t>多在林地、山谷活动及盘旋。总体上，</w:t>
      </w:r>
      <w:r>
        <w:rPr>
          <w:rFonts w:hint="eastAsia"/>
          <w:color w:val="auto"/>
          <w:highlight w:val="none"/>
          <w:lang w:val="zh-CN"/>
        </w:rPr>
        <w:t>因人类活动的长期干扰，</w:t>
      </w:r>
      <w:r>
        <w:rPr>
          <w:color w:val="auto"/>
          <w:highlight w:val="none"/>
          <w:lang w:val="zh-CN"/>
        </w:rPr>
        <w:t>项目</w:t>
      </w:r>
      <w:r>
        <w:rPr>
          <w:rFonts w:hint="eastAsia"/>
          <w:color w:val="auto"/>
          <w:highlight w:val="none"/>
          <w:lang w:val="zh-CN"/>
        </w:rPr>
        <w:t>矿区工业场地及邻近区域</w:t>
      </w:r>
      <w:r>
        <w:rPr>
          <w:color w:val="auto"/>
          <w:highlight w:val="none"/>
          <w:lang w:val="zh-CN"/>
        </w:rPr>
        <w:t>不是保护动物的主要活动场所，项目规划实施</w:t>
      </w:r>
      <w:r>
        <w:rPr>
          <w:rFonts w:hint="eastAsia"/>
          <w:color w:val="auto"/>
          <w:highlight w:val="none"/>
          <w:lang w:val="zh-CN"/>
        </w:rPr>
        <w:t>有局限在现有工业场地内，故项目实施</w:t>
      </w:r>
      <w:r>
        <w:rPr>
          <w:color w:val="auto"/>
          <w:highlight w:val="none"/>
          <w:lang w:val="zh-CN"/>
        </w:rPr>
        <w:t>对</w:t>
      </w:r>
      <w:r>
        <w:rPr>
          <w:rFonts w:hint="eastAsia"/>
          <w:color w:val="auto"/>
          <w:highlight w:val="none"/>
          <w:lang w:val="zh-CN"/>
        </w:rPr>
        <w:t>保护野生动物</w:t>
      </w:r>
      <w:r>
        <w:rPr>
          <w:color w:val="auto"/>
          <w:highlight w:val="none"/>
          <w:lang w:val="zh-CN"/>
        </w:rPr>
        <w:t>的栖息生境及活动范围影响不大。</w:t>
      </w:r>
    </w:p>
    <w:p>
      <w:pPr>
        <w:bidi w:val="0"/>
        <w:rPr>
          <w:color w:val="auto"/>
          <w:highlight w:val="none"/>
        </w:rPr>
      </w:pPr>
      <w:r>
        <w:rPr>
          <w:rFonts w:hint="eastAsia"/>
          <w:color w:val="auto"/>
          <w:highlight w:val="none"/>
          <w:lang w:val="zh-CN"/>
        </w:rPr>
        <w:t>一方面</w:t>
      </w:r>
      <w:r>
        <w:rPr>
          <w:color w:val="auto"/>
          <w:highlight w:val="none"/>
          <w:lang w:val="zh-CN"/>
        </w:rPr>
        <w:t>，</w:t>
      </w:r>
      <w:r>
        <w:rPr>
          <w:color w:val="auto"/>
          <w:highlight w:val="none"/>
        </w:rPr>
        <w:t>黄鼬（Mustela sibirica）</w:t>
      </w:r>
      <w:r>
        <w:rPr>
          <w:color w:val="auto"/>
          <w:highlight w:val="none"/>
          <w:lang w:val="zh-CN"/>
        </w:rPr>
        <w:t>属中型哺乳动物，活动范围广，天性机敏，躲避危险的能力强；苍鹰、红隼、斑头鸺鹠等同样躲避危险的能力强，移动速度快。因此，项目规划实施几乎不会对它们造成个体损伤。</w:t>
      </w:r>
      <w:r>
        <w:rPr>
          <w:color w:val="auto"/>
          <w:highlight w:val="none"/>
        </w:rPr>
        <w:t>矿区</w:t>
      </w:r>
      <w:r>
        <w:rPr>
          <w:color w:val="auto"/>
          <w:highlight w:val="none"/>
          <w:lang w:val="zh-CN"/>
        </w:rPr>
        <w:t>运营期间，只要加强人员及</w:t>
      </w:r>
      <w:r>
        <w:rPr>
          <w:color w:val="auto"/>
          <w:highlight w:val="none"/>
        </w:rPr>
        <w:t>车辆</w:t>
      </w:r>
      <w:r>
        <w:rPr>
          <w:color w:val="auto"/>
          <w:highlight w:val="none"/>
          <w:lang w:val="zh-CN"/>
        </w:rPr>
        <w:t>的管理和保护宣传，严禁捕捉、打猎，不会对区域保护动物造成影响。</w:t>
      </w:r>
    </w:p>
    <w:p>
      <w:pPr>
        <w:bidi w:val="0"/>
        <w:rPr>
          <w:color w:val="auto"/>
          <w:highlight w:val="none"/>
        </w:rPr>
      </w:pPr>
      <w:r>
        <w:rPr>
          <w:color w:val="auto"/>
          <w:highlight w:val="none"/>
        </w:rPr>
        <w:t>另一方面，棕胸竹鸡（Bambusicola fytchii）、</w:t>
      </w:r>
      <w:r>
        <w:rPr>
          <w:rFonts w:hint="eastAsia"/>
          <w:color w:val="auto"/>
          <w:highlight w:val="none"/>
        </w:rPr>
        <w:t>灰胸竹鸡</w:t>
      </w:r>
      <w:r>
        <w:rPr>
          <w:color w:val="auto"/>
          <w:highlight w:val="none"/>
        </w:rPr>
        <w:t>等在人类活动区出入频繁</w:t>
      </w:r>
      <w:r>
        <w:rPr>
          <w:rFonts w:hint="eastAsia"/>
          <w:color w:val="auto"/>
          <w:highlight w:val="none"/>
        </w:rPr>
        <w:t>（多在居民区附近的林地或竹林内活动）</w:t>
      </w:r>
      <w:r>
        <w:rPr>
          <w:color w:val="auto"/>
          <w:highlight w:val="none"/>
        </w:rPr>
        <w:t>，但它们对生境环境的要求相对偏低</w:t>
      </w:r>
      <w:r>
        <w:rPr>
          <w:rFonts w:hint="eastAsia"/>
          <w:color w:val="auto"/>
          <w:highlight w:val="none"/>
        </w:rPr>
        <w:t>；小䴙䴘在多在池塘内停留、觅食及活动</w:t>
      </w:r>
      <w:r>
        <w:rPr>
          <w:color w:val="auto"/>
          <w:highlight w:val="none"/>
        </w:rPr>
        <w:t>。项目规划实施</w:t>
      </w:r>
      <w:r>
        <w:rPr>
          <w:rFonts w:hint="eastAsia"/>
          <w:color w:val="auto"/>
          <w:highlight w:val="none"/>
        </w:rPr>
        <w:t>不新增占地，不会破坏工业场地外的林地及竹林等，</w:t>
      </w:r>
      <w:r>
        <w:rPr>
          <w:color w:val="auto"/>
          <w:highlight w:val="none"/>
        </w:rPr>
        <w:t>并不影响</w:t>
      </w:r>
      <w:r>
        <w:rPr>
          <w:rFonts w:hint="eastAsia"/>
          <w:color w:val="auto"/>
          <w:highlight w:val="none"/>
        </w:rPr>
        <w:t>保护野生动物</w:t>
      </w:r>
      <w:r>
        <w:rPr>
          <w:color w:val="auto"/>
          <w:highlight w:val="none"/>
        </w:rPr>
        <w:t>的繁殖及生存。</w:t>
      </w:r>
    </w:p>
    <w:p>
      <w:pPr>
        <w:bidi w:val="0"/>
        <w:rPr>
          <w:color w:val="auto"/>
          <w:highlight w:val="none"/>
        </w:rPr>
      </w:pPr>
      <w:r>
        <w:rPr>
          <w:rFonts w:hint="eastAsia"/>
          <w:color w:val="auto"/>
          <w:highlight w:val="none"/>
        </w:rPr>
        <w:t>上述，大竹县</w:t>
      </w:r>
      <w:r>
        <w:rPr>
          <w:color w:val="auto"/>
          <w:highlight w:val="none"/>
        </w:rPr>
        <w:t>煤炭矿区总体规划实施对</w:t>
      </w:r>
      <w:r>
        <w:rPr>
          <w:rFonts w:hint="eastAsia"/>
          <w:color w:val="auto"/>
          <w:highlight w:val="none"/>
        </w:rPr>
        <w:t>野生保护动物</w:t>
      </w:r>
      <w:r>
        <w:rPr>
          <w:color w:val="auto"/>
          <w:highlight w:val="none"/>
        </w:rPr>
        <w:t>的影响不大，但也必须做好保护宣传工作和施工人员、矿区管理人员、工作人员与车辆的管理及教育工作。</w:t>
      </w:r>
    </w:p>
    <w:p>
      <w:pPr>
        <w:bidi w:val="0"/>
        <w:rPr>
          <w:color w:val="auto"/>
          <w:highlight w:val="none"/>
        </w:rPr>
      </w:pPr>
      <w:bookmarkStart w:id="364" w:name="_Toc88697659"/>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项目规划对保护植物的影响分析</w:t>
      </w:r>
      <w:bookmarkEnd w:id="364"/>
    </w:p>
    <w:p>
      <w:pPr>
        <w:bidi w:val="0"/>
        <w:rPr>
          <w:color w:val="auto"/>
          <w:highlight w:val="none"/>
        </w:rPr>
      </w:pPr>
      <w:r>
        <w:rPr>
          <w:color w:val="auto"/>
          <w:highlight w:val="none"/>
        </w:rPr>
        <w:t>经实地调查记录及资料查阅，初步确认</w:t>
      </w:r>
      <w:r>
        <w:rPr>
          <w:rFonts w:hint="eastAsia"/>
          <w:color w:val="auto"/>
          <w:highlight w:val="none"/>
        </w:rPr>
        <w:t>大竹县</w:t>
      </w:r>
      <w:r>
        <w:rPr>
          <w:color w:val="auto"/>
          <w:highlight w:val="none"/>
        </w:rPr>
        <w:t>煤炭矿区总体规划评价区内分布有保护植物11种，其中，国家Ⅰ级保护植物2种，为</w:t>
      </w:r>
      <w:r>
        <w:rPr>
          <w:rFonts w:hint="eastAsia"/>
          <w:color w:val="auto"/>
          <w:highlight w:val="none"/>
        </w:rPr>
        <w:t>水杉（Metasequoia glyptostroboides）及银杏（Ginkgo biloba L.）</w:t>
      </w:r>
      <w:r>
        <w:rPr>
          <w:color w:val="auto"/>
          <w:highlight w:val="none"/>
        </w:rPr>
        <w:t>，国家Ⅱ级保护植物9种，有连香树（Cercidiphyllum japonicum）、厚朴（Magnolia officinalis）、川黄檗（Phellodendron chinense）、白芨（Bletilla striata）等。</w:t>
      </w:r>
      <w:r>
        <w:rPr>
          <w:rFonts w:hint="eastAsia"/>
          <w:color w:val="auto"/>
          <w:highlight w:val="none"/>
        </w:rPr>
        <w:t>其中，银杏、水杉及厚朴为栽培种。</w:t>
      </w:r>
    </w:p>
    <w:p>
      <w:pPr>
        <w:bidi w:val="0"/>
        <w:rPr>
          <w:rFonts w:eastAsia="华文仿宋"/>
          <w:color w:val="auto"/>
          <w:highlight w:val="none"/>
        </w:rPr>
      </w:pPr>
      <w:r>
        <w:rPr>
          <w:rFonts w:hint="eastAsia"/>
          <w:color w:val="auto"/>
          <w:highlight w:val="none"/>
        </w:rPr>
        <w:t>实地调查中，重点核实项目实施占地区（矿区工业场地）及邻近区域内无野生保护植物分布，也无古树名木分布。</w:t>
      </w:r>
      <w:r>
        <w:rPr>
          <w:color w:val="auto"/>
          <w:highlight w:val="none"/>
        </w:rPr>
        <w:t>春兰、喜树、猕猴桃等主要分布在山间林地等人类活动不易到达的区域。从这一点看，项目规划建设不会对国家重点保护野生植物产生显著的影响。</w:t>
      </w:r>
    </w:p>
    <w:p>
      <w:pPr>
        <w:pStyle w:val="7"/>
        <w:bidi w:val="0"/>
        <w:rPr>
          <w:color w:val="auto"/>
          <w:highlight w:val="none"/>
        </w:rPr>
      </w:pPr>
      <w:bookmarkStart w:id="365" w:name="_Toc88697660"/>
      <w:r>
        <w:rPr>
          <w:rFonts w:hint="eastAsia"/>
          <w:color w:val="auto"/>
          <w:highlight w:val="none"/>
        </w:rPr>
        <w:t>5</w:t>
      </w:r>
      <w:r>
        <w:rPr>
          <w:rFonts w:hint="eastAsia"/>
          <w:color w:val="auto"/>
          <w:highlight w:val="none"/>
          <w:lang w:val="en-US" w:eastAsia="zh-CN"/>
        </w:rPr>
        <w:t>.1.2</w:t>
      </w:r>
      <w:r>
        <w:rPr>
          <w:color w:val="auto"/>
          <w:highlight w:val="none"/>
        </w:rPr>
        <w:t xml:space="preserve">.9 </w:t>
      </w:r>
      <w:r>
        <w:rPr>
          <w:rFonts w:hint="eastAsia"/>
          <w:color w:val="auto"/>
          <w:highlight w:val="none"/>
        </w:rPr>
        <w:t>项目规划对水生生物的影响分析</w:t>
      </w:r>
      <w:bookmarkEnd w:id="365"/>
    </w:p>
    <w:p>
      <w:pPr>
        <w:bidi w:val="0"/>
        <w:rPr>
          <w:color w:val="auto"/>
          <w:highlight w:val="none"/>
        </w:rPr>
      </w:pPr>
      <w:bookmarkStart w:id="366" w:name="_Toc88697661"/>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项目规划建设对水生生物的影响分析</w:t>
      </w:r>
      <w:bookmarkEnd w:id="366"/>
    </w:p>
    <w:p>
      <w:pPr>
        <w:bidi w:val="0"/>
        <w:rPr>
          <w:color w:val="auto"/>
          <w:highlight w:val="none"/>
        </w:rPr>
      </w:pPr>
      <w:r>
        <w:rPr>
          <w:color w:val="auto"/>
          <w:highlight w:val="none"/>
        </w:rPr>
        <w:t>项目</w:t>
      </w:r>
      <w:r>
        <w:rPr>
          <w:rFonts w:hint="eastAsia"/>
          <w:color w:val="auto"/>
          <w:highlight w:val="none"/>
        </w:rPr>
        <w:t>规划区</w:t>
      </w:r>
      <w:r>
        <w:rPr>
          <w:color w:val="auto"/>
          <w:highlight w:val="none"/>
        </w:rPr>
        <w:t>内</w:t>
      </w:r>
      <w:r>
        <w:rPr>
          <w:rFonts w:hint="eastAsia"/>
          <w:color w:val="auto"/>
          <w:highlight w:val="none"/>
        </w:rPr>
        <w:t>有小河流</w:t>
      </w:r>
      <w:r>
        <w:rPr>
          <w:color w:val="auto"/>
          <w:highlight w:val="none"/>
        </w:rPr>
        <w:t>穿过，同时评价区内分布有池塘、小溪流和水田等鱼类生境。根据</w:t>
      </w:r>
      <w:r>
        <w:rPr>
          <w:rFonts w:hint="eastAsia"/>
          <w:color w:val="auto"/>
          <w:highlight w:val="none"/>
        </w:rPr>
        <w:t>《四川省达州市大竹县煤炭矿区总体规划》</w:t>
      </w:r>
      <w:r>
        <w:rPr>
          <w:color w:val="auto"/>
          <w:highlight w:val="none"/>
        </w:rPr>
        <w:t>，</w:t>
      </w:r>
      <w:r>
        <w:rPr>
          <w:rFonts w:hint="eastAsia"/>
          <w:color w:val="auto"/>
          <w:highlight w:val="none"/>
        </w:rPr>
        <w:t>大竹县共计规划1</w:t>
      </w:r>
      <w:r>
        <w:rPr>
          <w:color w:val="auto"/>
          <w:highlight w:val="none"/>
        </w:rPr>
        <w:t>4</w:t>
      </w:r>
      <w:r>
        <w:rPr>
          <w:rFonts w:hint="eastAsia"/>
          <w:color w:val="auto"/>
          <w:highlight w:val="none"/>
        </w:rPr>
        <w:t>个矿权，其中：有5个保留生产煤矿，保留生产煤矿规划维持现状不变；9个升级改造煤矿，均在原有的工业场地基础上改造利用，不新增占地。因此</w:t>
      </w:r>
      <w:r>
        <w:rPr>
          <w:color w:val="auto"/>
          <w:highlight w:val="none"/>
        </w:rPr>
        <w:t>，项目规划施工内容</w:t>
      </w:r>
      <w:r>
        <w:rPr>
          <w:rFonts w:hint="eastAsia"/>
          <w:color w:val="auto"/>
          <w:highlight w:val="none"/>
        </w:rPr>
        <w:t>均在</w:t>
      </w:r>
      <w:r>
        <w:rPr>
          <w:color w:val="auto"/>
          <w:highlight w:val="none"/>
        </w:rPr>
        <w:t>矿区工业</w:t>
      </w:r>
      <w:r>
        <w:rPr>
          <w:rFonts w:hint="eastAsia"/>
          <w:color w:val="auto"/>
          <w:highlight w:val="none"/>
        </w:rPr>
        <w:t>场地内</w:t>
      </w:r>
      <w:r>
        <w:rPr>
          <w:color w:val="auto"/>
          <w:highlight w:val="none"/>
        </w:rPr>
        <w:t>，不直接影响地表水体，不会使鱼类等水生生物种群数量造成影响。</w:t>
      </w:r>
    </w:p>
    <w:p>
      <w:pPr>
        <w:bidi w:val="0"/>
        <w:rPr>
          <w:color w:val="auto"/>
          <w:highlight w:val="none"/>
        </w:rPr>
      </w:pPr>
      <w:bookmarkStart w:id="367" w:name="_Toc88697662"/>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项目运营对水生生物的影响分析</w:t>
      </w:r>
      <w:bookmarkEnd w:id="367"/>
    </w:p>
    <w:p>
      <w:pPr>
        <w:bidi w:val="0"/>
        <w:rPr>
          <w:color w:val="auto"/>
          <w:highlight w:val="none"/>
        </w:rPr>
      </w:pPr>
      <w:r>
        <w:rPr>
          <w:color w:val="auto"/>
          <w:highlight w:val="none"/>
        </w:rPr>
        <w:t>项目矿山开采运营后，</w:t>
      </w:r>
      <w:r>
        <w:rPr>
          <w:rFonts w:hint="eastAsia"/>
          <w:color w:val="auto"/>
          <w:highlight w:val="none"/>
        </w:rPr>
        <w:t>由于矿井地下水疏干的问题，会外排矿井地下水至区域河沟内，对</w:t>
      </w:r>
      <w:r>
        <w:rPr>
          <w:color w:val="auto"/>
          <w:highlight w:val="none"/>
        </w:rPr>
        <w:t>鱼类等水生生物</w:t>
      </w:r>
      <w:r>
        <w:rPr>
          <w:rFonts w:hint="eastAsia"/>
          <w:color w:val="auto"/>
          <w:highlight w:val="none"/>
        </w:rPr>
        <w:t>产生一定的影响</w:t>
      </w:r>
      <w:r>
        <w:rPr>
          <w:color w:val="auto"/>
          <w:highlight w:val="none"/>
        </w:rPr>
        <w:t>。</w:t>
      </w:r>
      <w:r>
        <w:rPr>
          <w:rFonts w:hint="eastAsia"/>
          <w:color w:val="auto"/>
          <w:highlight w:val="none"/>
        </w:rPr>
        <w:t>经实地调查及资料核实，大竹县规划的1</w:t>
      </w:r>
      <w:r>
        <w:rPr>
          <w:color w:val="auto"/>
          <w:highlight w:val="none"/>
        </w:rPr>
        <w:t>4</w:t>
      </w:r>
      <w:r>
        <w:rPr>
          <w:rFonts w:hint="eastAsia"/>
          <w:color w:val="auto"/>
          <w:highlight w:val="none"/>
        </w:rPr>
        <w:t>个煤矿，</w:t>
      </w:r>
      <w:r>
        <w:rPr>
          <w:color w:val="auto"/>
          <w:highlight w:val="none"/>
        </w:rPr>
        <w:t>矿井正常涌水量94</w:t>
      </w:r>
      <w:r>
        <w:rPr>
          <w:rFonts w:hint="eastAsia"/>
          <w:color w:val="auto"/>
          <w:highlight w:val="none"/>
          <w:lang w:val="en-US" w:eastAsia="zh-CN"/>
        </w:rPr>
        <w:t>0</w:t>
      </w:r>
      <w:r>
        <w:rPr>
          <w:color w:val="auto"/>
          <w:highlight w:val="none"/>
        </w:rPr>
        <w:t>m</w:t>
      </w:r>
      <w:r>
        <w:rPr>
          <w:color w:val="auto"/>
          <w:highlight w:val="none"/>
          <w:vertAlign w:val="superscript"/>
        </w:rPr>
        <w:t>3</w:t>
      </w:r>
      <w:r>
        <w:rPr>
          <w:color w:val="auto"/>
          <w:highlight w:val="none"/>
        </w:rPr>
        <w:t>/h，最大涌水量</w:t>
      </w:r>
      <w:r>
        <w:rPr>
          <w:rFonts w:hint="eastAsia"/>
          <w:color w:val="auto"/>
          <w:highlight w:val="none"/>
          <w:lang w:val="en-US" w:eastAsia="zh-CN"/>
        </w:rPr>
        <w:t>1835</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，煤矿开采中因地下水疏干会排水</w:t>
      </w:r>
      <w:r>
        <w:rPr>
          <w:rFonts w:hint="eastAsia"/>
          <w:color w:val="auto"/>
          <w:highlight w:val="none"/>
          <w:lang w:val="en-US" w:eastAsia="zh-CN"/>
        </w:rPr>
        <w:t>1835</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（约</w:t>
      </w:r>
      <w:r>
        <w:rPr>
          <w:rFonts w:hint="eastAsia"/>
          <w:color w:val="auto"/>
          <w:highlight w:val="none"/>
          <w:lang w:val="en-US" w:eastAsia="zh-CN"/>
        </w:rPr>
        <w:t>4.40</w:t>
      </w:r>
      <w:r>
        <w:rPr>
          <w:rFonts w:hint="eastAsia"/>
          <w:color w:val="auto"/>
          <w:highlight w:val="none"/>
        </w:rPr>
        <w:t>万</w:t>
      </w:r>
      <w:r>
        <w:rPr>
          <w:color w:val="auto"/>
          <w:highlight w:val="none"/>
        </w:rPr>
        <w:t>m</w:t>
      </w:r>
      <w:r>
        <w:rPr>
          <w:color w:val="auto"/>
          <w:highlight w:val="none"/>
          <w:vertAlign w:val="superscript"/>
        </w:rPr>
        <w:t>3</w:t>
      </w:r>
      <w:r>
        <w:rPr>
          <w:color w:val="auto"/>
          <w:highlight w:val="none"/>
        </w:rPr>
        <w:t>/</w:t>
      </w:r>
      <w:r>
        <w:rPr>
          <w:rFonts w:hint="eastAsia"/>
          <w:color w:val="auto"/>
          <w:highlight w:val="none"/>
        </w:rPr>
        <w:t>d，调查期间矿区仍在持续外排地下水），除矿区自用及用作周边居民生活用水外，其余部分外排进入邻近的河沟内，一定程度上增加了邻近河沟的水流量。在保障外排水水质的情况下，项目地下水疏干中外排地下水至河沟中，其对河沟内水生生态环境起到一定的正向效应，补充了河道生态流量，可保障水生生物的生存环境，其影响是有利的。</w:t>
      </w:r>
    </w:p>
    <w:p>
      <w:pPr>
        <w:bidi w:val="0"/>
        <w:rPr>
          <w:color w:val="auto"/>
          <w:highlight w:val="none"/>
        </w:rPr>
      </w:pPr>
      <w:r>
        <w:rPr>
          <w:rFonts w:hint="eastAsia"/>
          <w:color w:val="auto"/>
          <w:highlight w:val="none"/>
        </w:rPr>
        <w:t>经调查及访问</w:t>
      </w:r>
      <w:r>
        <w:rPr>
          <w:color w:val="auto"/>
          <w:highlight w:val="none"/>
        </w:rPr>
        <w:t>，</w:t>
      </w:r>
      <w:r>
        <w:rPr>
          <w:rFonts w:hint="eastAsia"/>
          <w:color w:val="auto"/>
          <w:highlight w:val="none"/>
        </w:rPr>
        <w:t>矿区紧邻的河沟内分布的主要是小型的白条鱼、麦穗鱼、泥鳅及黄鳝等，资源量小；</w:t>
      </w:r>
      <w:r>
        <w:rPr>
          <w:color w:val="auto"/>
          <w:highlight w:val="none"/>
        </w:rPr>
        <w:t>鲤鱼、草鱼、鲫鱼</w:t>
      </w:r>
      <w:r>
        <w:rPr>
          <w:rFonts w:hint="eastAsia"/>
          <w:color w:val="auto"/>
          <w:highlight w:val="none"/>
        </w:rPr>
        <w:t>等经济鱼类分布在人工池塘。此外，河沟内还调查记录有田螺、螃蟹、水蚤等水生动物。项目实施运营期间，地下水的外排会增加河沟的径流量，可为鱼类等水生生物的生存提供有利环境。因煤炭开采运营期间，无新增占地对植被造成破坏，故评价区内的溪流边及水田边的醉鱼草、鱼眼草、碎米莎草（Cyperus iria）、香附子（Cyperus rotundus）、异型莎草（Cyperus difformis）、扁穗莎草（Cyperus compressus）、垂穗莎草（Cyperus nutans）、鸭跖草（Commelina communis）等湿地植物受到项目矿山开采运营的影响为小。</w:t>
      </w:r>
      <w:r>
        <w:rPr>
          <w:color w:val="auto"/>
          <w:highlight w:val="none"/>
        </w:rPr>
        <w:t xml:space="preserve"> </w:t>
      </w:r>
    </w:p>
    <w:p>
      <w:pPr>
        <w:pStyle w:val="7"/>
        <w:bidi w:val="0"/>
        <w:rPr>
          <w:color w:val="auto"/>
          <w:highlight w:val="none"/>
        </w:rPr>
      </w:pPr>
      <w:bookmarkStart w:id="368" w:name="_Toc88697663"/>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10</w:t>
      </w:r>
      <w:r>
        <w:rPr>
          <w:rFonts w:hint="eastAsia"/>
          <w:color w:val="auto"/>
          <w:highlight w:val="none"/>
        </w:rPr>
        <w:t xml:space="preserve"> 环境风险预测及分析</w:t>
      </w:r>
      <w:bookmarkEnd w:id="368"/>
    </w:p>
    <w:p>
      <w:pPr>
        <w:bidi w:val="0"/>
        <w:rPr>
          <w:color w:val="auto"/>
          <w:highlight w:val="none"/>
        </w:rPr>
      </w:pPr>
      <w:bookmarkStart w:id="369" w:name="_Toc88697664"/>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火灾生态风险预测</w:t>
      </w:r>
      <w:bookmarkEnd w:id="369"/>
    </w:p>
    <w:p>
      <w:pPr>
        <w:bidi w:val="0"/>
        <w:rPr>
          <w:color w:val="auto"/>
          <w:highlight w:val="none"/>
        </w:rPr>
      </w:pPr>
      <w:r>
        <w:rPr>
          <w:rFonts w:hint="eastAsia"/>
          <w:color w:val="auto"/>
          <w:highlight w:val="none"/>
          <w:lang w:eastAsia="zh-CN"/>
        </w:rPr>
        <w:t>①</w:t>
      </w:r>
      <w:r>
        <w:rPr>
          <w:color w:val="auto"/>
          <w:highlight w:val="none"/>
        </w:rPr>
        <w:t>风险因素</w:t>
      </w:r>
    </w:p>
    <w:p>
      <w:pPr>
        <w:bidi w:val="0"/>
        <w:rPr>
          <w:color w:val="auto"/>
          <w:highlight w:val="none"/>
        </w:rPr>
      </w:pPr>
      <w:r>
        <w:rPr>
          <w:rFonts w:hint="eastAsia"/>
          <w:color w:val="auto"/>
          <w:highlight w:val="none"/>
        </w:rPr>
        <w:t>大竹县</w:t>
      </w:r>
      <w:r>
        <w:rPr>
          <w:color w:val="auto"/>
          <w:highlight w:val="none"/>
        </w:rPr>
        <w:t>煤炭矿区总体规划项目评价区内有大面积的森林（马尾松林及阔叶林</w:t>
      </w:r>
      <w:r>
        <w:rPr>
          <w:rFonts w:hint="eastAsia"/>
          <w:color w:val="auto"/>
          <w:highlight w:val="none"/>
        </w:rPr>
        <w:t>、竹林</w:t>
      </w:r>
      <w:r>
        <w:rPr>
          <w:color w:val="auto"/>
          <w:highlight w:val="none"/>
        </w:rPr>
        <w:t>为主），植被丰富，林下可燃物堆积较多，存在着森林火灾隐患。项目规划建设期间</w:t>
      </w:r>
      <w:r>
        <w:rPr>
          <w:rFonts w:hint="eastAsia"/>
          <w:color w:val="auto"/>
          <w:highlight w:val="none"/>
        </w:rPr>
        <w:t>及后期开采运营期间</w:t>
      </w:r>
      <w:r>
        <w:rPr>
          <w:color w:val="auto"/>
          <w:highlight w:val="none"/>
        </w:rPr>
        <w:t>，如果用火管理不严，可能因吸烟、烧火等引发森林火灾。同时，随着进入矿区工作人员的逐渐增多，火源管理的难度也将不断加大。</w:t>
      </w:r>
    </w:p>
    <w:p>
      <w:pPr>
        <w:bidi w:val="0"/>
        <w:rPr>
          <w:color w:val="auto"/>
          <w:highlight w:val="none"/>
        </w:rPr>
      </w:pPr>
      <w:r>
        <w:rPr>
          <w:rFonts w:hint="eastAsia"/>
          <w:color w:val="auto"/>
          <w:highlight w:val="none"/>
          <w:lang w:eastAsia="zh-CN"/>
        </w:rPr>
        <w:t>②</w:t>
      </w:r>
      <w:r>
        <w:rPr>
          <w:color w:val="auto"/>
          <w:highlight w:val="none"/>
        </w:rPr>
        <w:t>火灾的危害</w:t>
      </w:r>
    </w:p>
    <w:p>
      <w:pPr>
        <w:bidi w:val="0"/>
        <w:rPr>
          <w:color w:val="auto"/>
          <w:highlight w:val="none"/>
        </w:rPr>
      </w:pPr>
      <w:r>
        <w:rPr>
          <w:color w:val="auto"/>
          <w:highlight w:val="none"/>
        </w:rPr>
        <w:t>发生火灾对评价区乃至项目紧邻</w:t>
      </w:r>
      <w:r>
        <w:rPr>
          <w:rFonts w:hint="eastAsia"/>
          <w:color w:val="auto"/>
          <w:highlight w:val="none"/>
        </w:rPr>
        <w:t>五峰山</w:t>
      </w:r>
      <w:r>
        <w:rPr>
          <w:color w:val="auto"/>
          <w:highlight w:val="none"/>
        </w:rPr>
        <w:t>国家森林公园</w:t>
      </w:r>
      <w:r>
        <w:rPr>
          <w:rFonts w:hint="eastAsia"/>
          <w:color w:val="auto"/>
          <w:highlight w:val="none"/>
        </w:rPr>
        <w:t>（蒲包山景区）</w:t>
      </w:r>
      <w:r>
        <w:rPr>
          <w:color w:val="auto"/>
          <w:highlight w:val="none"/>
        </w:rPr>
        <w:t>的危害巨大，对森林资源、动植物资源、环境质量等毁灭性的破坏。1）自然资源的危害：如果发生森林火灾，将使部分森林、灌丛资源被烧毁，火灾区的部分兽类、鸟类、两栖爬行类等野生动物个体或被烧死、烧伤。2）环境的危害：因火灾产生大量的CO、燃烧颗粒物等有毒有害物质，将对火灾区附近大气环境造成较严重的污染，火灾残积物在雨水作用下将进入附近的土壤、水系，对水环境造成污染。3）生态系统的危害：森林火灾直接烧毁一定数量的森林、灌丛自然生态系统，使其退化到下一级生态系统；直接烧死或烧伤火灾区的乔木、灌木和草本植物，烧死、烧伤或逼走分布于火灾区的两栖类、爬行类、鸟类和兽类动物，使火灾发生地的初级和次级生产力大幅度降低甚至消失；森林火灾环境空气质量下降，间接影响该区域内的动物、植物的生长、发育。4）保护动植物的危害：评价区内分布有国家重点保护野生动植物，一旦引发森林火灾，由于部分物种行动迟缓，部分珍稀野生动物种群可能将受到严重威胁，栖息地将被部分烧毁，栖息地环境质量将在一定时期内明显恶化。</w:t>
      </w:r>
    </w:p>
    <w:p>
      <w:pPr>
        <w:bidi w:val="0"/>
        <w:rPr>
          <w:color w:val="auto"/>
          <w:highlight w:val="none"/>
        </w:rPr>
      </w:pPr>
      <w:r>
        <w:rPr>
          <w:rFonts w:hint="eastAsia"/>
          <w:color w:val="auto"/>
          <w:highlight w:val="none"/>
          <w:lang w:eastAsia="zh-CN"/>
        </w:rPr>
        <w:t>③</w:t>
      </w:r>
      <w:r>
        <w:rPr>
          <w:color w:val="auto"/>
          <w:highlight w:val="none"/>
        </w:rPr>
        <w:t>火灾风险发生的几率</w:t>
      </w:r>
    </w:p>
    <w:p>
      <w:pPr>
        <w:bidi w:val="0"/>
        <w:rPr>
          <w:color w:val="auto"/>
          <w:highlight w:val="none"/>
        </w:rPr>
      </w:pPr>
      <w:r>
        <w:rPr>
          <w:color w:val="auto"/>
          <w:highlight w:val="none"/>
        </w:rPr>
        <w:t>项目规划建设期间，施工人员抽烟、</w:t>
      </w:r>
      <w:r>
        <w:rPr>
          <w:rFonts w:hint="eastAsia"/>
          <w:color w:val="auto"/>
          <w:highlight w:val="none"/>
        </w:rPr>
        <w:t>野外用火等</w:t>
      </w:r>
      <w:r>
        <w:rPr>
          <w:color w:val="auto"/>
          <w:highlight w:val="none"/>
        </w:rPr>
        <w:t>，将增加发生火灾的风险；运营期间，管理人员、矿工、当地居民等，同样存在因抽烟而引发火灾的风险。结合项目实际情况，项目规划建设及矿区运营发生森林火灾几率的大小，主要取决于人为活动产生的火灾风险。</w:t>
      </w:r>
    </w:p>
    <w:p>
      <w:pPr>
        <w:bidi w:val="0"/>
        <w:rPr>
          <w:color w:val="auto"/>
          <w:highlight w:val="none"/>
        </w:rPr>
      </w:pPr>
      <w:r>
        <w:rPr>
          <w:rFonts w:hint="eastAsia"/>
          <w:color w:val="auto"/>
          <w:highlight w:val="none"/>
        </w:rPr>
        <w:t>大竹县</w:t>
      </w:r>
      <w:r>
        <w:rPr>
          <w:color w:val="auto"/>
          <w:highlight w:val="none"/>
        </w:rPr>
        <w:t>煤炭矿区已运营多年，有着严格的防火管控措施、宣传教育和各种应急预案，为防止森林火灾做了大量的实际工作，故区域内因人为活动发生火灾的几率是可控的，也是较低的，其影响预测为小。火灾防范工作一直是项目规划建设及矿区运营的头等大事，必须加强防范管理、监督监测工作。</w:t>
      </w:r>
    </w:p>
    <w:p>
      <w:pPr>
        <w:bidi w:val="0"/>
        <w:rPr>
          <w:color w:val="auto"/>
          <w:highlight w:val="none"/>
        </w:rPr>
      </w:pPr>
      <w:bookmarkStart w:id="370" w:name="_Toc88697665"/>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外来物种引入生态风险预测</w:t>
      </w:r>
      <w:bookmarkEnd w:id="370"/>
    </w:p>
    <w:p>
      <w:pPr>
        <w:bidi w:val="0"/>
        <w:rPr>
          <w:color w:val="auto"/>
          <w:highlight w:val="none"/>
        </w:rPr>
      </w:pPr>
      <w:r>
        <w:rPr>
          <w:rFonts w:hint="eastAsia"/>
          <w:color w:val="auto"/>
          <w:highlight w:val="none"/>
          <w:lang w:eastAsia="zh-CN"/>
        </w:rPr>
        <w:t>①</w:t>
      </w:r>
      <w:r>
        <w:rPr>
          <w:color w:val="auto"/>
          <w:highlight w:val="none"/>
        </w:rPr>
        <w:t>风险因素</w:t>
      </w:r>
    </w:p>
    <w:p>
      <w:pPr>
        <w:bidi w:val="0"/>
        <w:rPr>
          <w:color w:val="auto"/>
          <w:highlight w:val="none"/>
        </w:rPr>
      </w:pPr>
      <w:r>
        <w:rPr>
          <w:color w:val="auto"/>
          <w:highlight w:val="none"/>
        </w:rPr>
        <w:t>项目规划建设期间，施工人员、包装材料、植被恢复等有可能带入当地没有分布的动植物；矿区运营期间，管理人员的日常活动、矿工进入也可能带来外来物种入侵的风险。</w:t>
      </w:r>
    </w:p>
    <w:p>
      <w:pPr>
        <w:bidi w:val="0"/>
        <w:rPr>
          <w:color w:val="auto"/>
          <w:highlight w:val="none"/>
        </w:rPr>
      </w:pPr>
      <w:r>
        <w:rPr>
          <w:rFonts w:hint="eastAsia"/>
          <w:color w:val="auto"/>
          <w:highlight w:val="none"/>
          <w:lang w:eastAsia="zh-CN"/>
        </w:rPr>
        <w:t>②</w:t>
      </w:r>
      <w:r>
        <w:rPr>
          <w:color w:val="auto"/>
          <w:highlight w:val="none"/>
        </w:rPr>
        <w:t>外来物种引入的危害</w:t>
      </w:r>
    </w:p>
    <w:p>
      <w:pPr>
        <w:bidi w:val="0"/>
        <w:rPr>
          <w:color w:val="auto"/>
          <w:highlight w:val="none"/>
        </w:rPr>
      </w:pPr>
      <w:r>
        <w:rPr>
          <w:color w:val="auto"/>
          <w:highlight w:val="none"/>
        </w:rPr>
        <w:t>如果发生外来物种入侵，将对当地生态系统造成的危害有：1）外来物种通过与当地现有物种竞争食物、直接扼杀现有物种、抑制其它物种生长、占据物种生态位等途径，排挤现有物种，导致该区域现有物种的种类和数量减少，甚至濒危或灭绝。2）在减少评价区物种种类和数量的基础上，形成单个优势群落，间接地使依赖于这些物种生存的其它物种的种类和数量减少，最后导致生态系统单一和退化，改变或破坏区域的自然景观。3）外来入侵物种对生态系统的遗传多样性进行污染，造成一些植被的近亲繁殖及遗传漂变。</w:t>
      </w:r>
    </w:p>
    <w:p>
      <w:pPr>
        <w:bidi w:val="0"/>
        <w:rPr>
          <w:color w:val="auto"/>
          <w:highlight w:val="none"/>
        </w:rPr>
      </w:pPr>
      <w:r>
        <w:rPr>
          <w:rFonts w:hint="eastAsia"/>
          <w:color w:val="auto"/>
          <w:highlight w:val="none"/>
          <w:lang w:val="en-US" w:eastAsia="zh-CN"/>
        </w:rPr>
        <w:t>③</w:t>
      </w:r>
      <w:r>
        <w:rPr>
          <w:color w:val="auto"/>
          <w:highlight w:val="none"/>
        </w:rPr>
        <w:t>风险发生的机率</w:t>
      </w:r>
    </w:p>
    <w:p>
      <w:pPr>
        <w:bidi w:val="0"/>
        <w:rPr>
          <w:color w:val="auto"/>
          <w:highlight w:val="none"/>
        </w:rPr>
      </w:pPr>
      <w:r>
        <w:rPr>
          <w:color w:val="auto"/>
          <w:highlight w:val="none"/>
        </w:rPr>
        <w:t>外来物种入侵的机率受三个方面的影响：规划建设过程中外来人员带进外来物种的机率：从目前情况来看，真正由于施工人员无意带入外来物种对建设项目所在地造成生态危害的事件尚未见报道，该类事件发生的概率极低。运营期间由工人无意带进外来物种的机率：尽管单个人带入外来物种的概率小，但因工人与车辆数量增大，这一事件（特别是小型动物，如乌龟、仓鼠等）发生的机率会大幅增加。外来物种的生存机率和对当地生态系统造成危害的机率：据刘全儒统计，大约10％的外来物种可在新的生态系统中自行繁衍，其中又有约10％的可能带来危害，亦即大概有1％的外来物种存在危险。</w:t>
      </w:r>
    </w:p>
    <w:p>
      <w:pPr>
        <w:bidi w:val="0"/>
        <w:rPr>
          <w:color w:val="auto"/>
          <w:highlight w:val="none"/>
        </w:rPr>
      </w:pPr>
      <w:r>
        <w:rPr>
          <w:color w:val="auto"/>
          <w:highlight w:val="none"/>
        </w:rPr>
        <w:t>由此可见，在多方面因素的影响下，项目规划建设引起外来物种入侵的机率是非常低的，影响预测为小。但矿区在项目规划建设及运营期间必须加强外来入侵的防范和检查、宣传工作。</w:t>
      </w:r>
    </w:p>
    <w:p>
      <w:pPr>
        <w:bidi w:val="0"/>
        <w:rPr>
          <w:color w:val="auto"/>
          <w:highlight w:val="none"/>
        </w:rPr>
      </w:pPr>
      <w:bookmarkStart w:id="371" w:name="_Toc88697666"/>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地质灾害的风险预测</w:t>
      </w:r>
      <w:bookmarkEnd w:id="371"/>
    </w:p>
    <w:p>
      <w:pPr>
        <w:bidi w:val="0"/>
        <w:rPr>
          <w:color w:val="auto"/>
          <w:highlight w:val="none"/>
        </w:rPr>
      </w:pPr>
      <w:r>
        <w:rPr>
          <w:rFonts w:hint="eastAsia"/>
          <w:color w:val="auto"/>
          <w:highlight w:val="none"/>
          <w:lang w:eastAsia="zh-CN"/>
        </w:rPr>
        <w:t>①</w:t>
      </w:r>
      <w:r>
        <w:rPr>
          <w:color w:val="auto"/>
          <w:highlight w:val="none"/>
        </w:rPr>
        <w:t>矿区地质灾害现状</w:t>
      </w:r>
    </w:p>
    <w:p>
      <w:pPr>
        <w:bidi w:val="0"/>
        <w:rPr>
          <w:color w:val="auto"/>
          <w:highlight w:val="none"/>
        </w:rPr>
      </w:pPr>
      <w:r>
        <w:rPr>
          <w:rFonts w:hint="eastAsia"/>
          <w:color w:val="auto"/>
          <w:highlight w:val="none"/>
        </w:rPr>
        <w:t>大竹县各矿井主要分布在华蓥山背斜、铜锣峡背斜和明月峡背斜，矿</w:t>
      </w:r>
      <w:r>
        <w:rPr>
          <w:color w:val="auto"/>
          <w:highlight w:val="none"/>
        </w:rPr>
        <w:t>区海拔+550～+900m，矿区范围内以低山地貌为主。</w:t>
      </w:r>
      <w:r>
        <w:rPr>
          <w:rFonts w:hint="eastAsia"/>
          <w:color w:val="auto"/>
          <w:highlight w:val="none"/>
        </w:rPr>
        <w:t>项目评价</w:t>
      </w:r>
      <w:r>
        <w:rPr>
          <w:color w:val="auto"/>
          <w:highlight w:val="none"/>
        </w:rPr>
        <w:t>区内无大的地表水体，多“V”形冲沟</w:t>
      </w:r>
      <w:r>
        <w:rPr>
          <w:rFonts w:hint="eastAsia"/>
          <w:color w:val="auto"/>
          <w:highlight w:val="none"/>
        </w:rPr>
        <w:t>及小河沟</w:t>
      </w:r>
      <w:r>
        <w:rPr>
          <w:color w:val="auto"/>
          <w:highlight w:val="none"/>
        </w:rPr>
        <w:t>。根据野外调查，冲沟中多为碎石，极少量松散泥沙，暂未发现大规模的可能成为泥石流的物源，属泥石流弱发育沟谷。</w:t>
      </w:r>
    </w:p>
    <w:p>
      <w:pPr>
        <w:bidi w:val="0"/>
        <w:rPr>
          <w:color w:val="auto"/>
          <w:highlight w:val="none"/>
        </w:rPr>
      </w:pPr>
      <w:r>
        <w:rPr>
          <w:rFonts w:hint="eastAsia"/>
          <w:color w:val="auto"/>
          <w:highlight w:val="none"/>
        </w:rPr>
        <w:t>项目矿区</w:t>
      </w:r>
      <w:r>
        <w:rPr>
          <w:color w:val="auto"/>
          <w:highlight w:val="none"/>
        </w:rPr>
        <w:t>人居稀少，林地占80%以上，植被良好。矿山工业场地配套成熟，</w:t>
      </w:r>
      <w:r>
        <w:rPr>
          <w:rFonts w:hint="eastAsia"/>
          <w:color w:val="auto"/>
          <w:highlight w:val="none"/>
        </w:rPr>
        <w:t>矿井</w:t>
      </w:r>
      <w:r>
        <w:rPr>
          <w:color w:val="auto"/>
          <w:highlight w:val="none"/>
        </w:rPr>
        <w:t>生产</w:t>
      </w:r>
      <w:r>
        <w:rPr>
          <w:rFonts w:hint="eastAsia"/>
          <w:color w:val="auto"/>
          <w:highlight w:val="none"/>
        </w:rPr>
        <w:t>多年</w:t>
      </w:r>
      <w:r>
        <w:rPr>
          <w:color w:val="auto"/>
          <w:highlight w:val="none"/>
        </w:rPr>
        <w:t>，无新增大型扩建工程，场地整体稳定。</w:t>
      </w:r>
      <w:r>
        <w:rPr>
          <w:rFonts w:hint="eastAsia"/>
          <w:color w:val="auto"/>
          <w:highlight w:val="none"/>
        </w:rPr>
        <w:t>结合项目矿区地类分布情况以及矿山建设单位提供资料对煤矿的采空区进行实地调查：</w:t>
      </w:r>
      <w:r>
        <w:rPr>
          <w:rFonts w:hint="eastAsia"/>
          <w:color w:val="auto"/>
          <w:highlight w:val="none"/>
          <w:lang w:val="en-US" w:eastAsia="zh-CN"/>
        </w:rPr>
        <w:t>1）</w:t>
      </w:r>
      <w:r>
        <w:rPr>
          <w:color w:val="auto"/>
          <w:highlight w:val="none"/>
        </w:rPr>
        <w:t>根据现场踏勘，</w:t>
      </w:r>
      <w:r>
        <w:rPr>
          <w:rFonts w:hint="eastAsia"/>
          <w:color w:val="auto"/>
          <w:highlight w:val="none"/>
        </w:rPr>
        <w:t>矿区内的</w:t>
      </w:r>
      <w:r>
        <w:rPr>
          <w:color w:val="auto"/>
          <w:highlight w:val="none"/>
        </w:rPr>
        <w:t>土地利用以水田和旱地为主，采空区耕地种植南瓜、玉米、水稻等，农作物生长良好，可以判断地下煤矿开采对耕作的影响较小。</w:t>
      </w:r>
      <w:r>
        <w:rPr>
          <w:rFonts w:hint="eastAsia"/>
          <w:color w:val="auto"/>
          <w:highlight w:val="none"/>
        </w:rPr>
        <w:t>采空区内</w:t>
      </w:r>
      <w:r>
        <w:rPr>
          <w:color w:val="auto"/>
          <w:highlight w:val="none"/>
        </w:rPr>
        <w:t>房屋以砖混结构为主，未出现拉裂情况。</w:t>
      </w:r>
      <w:r>
        <w:rPr>
          <w:rFonts w:hint="eastAsia"/>
          <w:color w:val="auto"/>
          <w:highlight w:val="none"/>
          <w:lang w:val="en-US" w:eastAsia="zh-CN"/>
        </w:rPr>
        <w:t>2）</w:t>
      </w:r>
      <w:r>
        <w:rPr>
          <w:rFonts w:hint="eastAsia"/>
          <w:color w:val="auto"/>
          <w:highlight w:val="none"/>
        </w:rPr>
        <w:t>矿区</w:t>
      </w:r>
      <w:r>
        <w:rPr>
          <w:color w:val="auto"/>
          <w:highlight w:val="none"/>
        </w:rPr>
        <w:t>雨季灌木及草本植物完全覆盖地表，绿意盎然。旱季，灌草会部分枯萎，来年雨季再生长。说明土壤保水性较差，但对乔木生长影响不大。调查区域未发现明显裂缝及塌陷，即矿山开采对林木的影响较小。</w:t>
      </w:r>
      <w:r>
        <w:rPr>
          <w:rFonts w:hint="eastAsia"/>
          <w:color w:val="auto"/>
          <w:highlight w:val="none"/>
          <w:lang w:val="en-US" w:eastAsia="zh-CN"/>
        </w:rPr>
        <w:t>3）</w:t>
      </w:r>
      <w:r>
        <w:rPr>
          <w:rFonts w:hint="eastAsia"/>
          <w:color w:val="auto"/>
          <w:highlight w:val="none"/>
        </w:rPr>
        <w:t>矿区内</w:t>
      </w:r>
      <w:r>
        <w:rPr>
          <w:color w:val="auto"/>
          <w:highlight w:val="none"/>
        </w:rPr>
        <w:t>溪沟排水正常，说明煤矿开采对溪沟的影响较小。</w:t>
      </w:r>
      <w:r>
        <w:rPr>
          <w:rFonts w:hint="eastAsia"/>
          <w:color w:val="auto"/>
          <w:highlight w:val="none"/>
        </w:rPr>
        <w:t>可见</w:t>
      </w:r>
      <w:r>
        <w:rPr>
          <w:color w:val="auto"/>
          <w:highlight w:val="none"/>
        </w:rPr>
        <w:t>，</w:t>
      </w:r>
      <w:r>
        <w:rPr>
          <w:rFonts w:hint="eastAsia"/>
          <w:color w:val="auto"/>
          <w:highlight w:val="none"/>
        </w:rPr>
        <w:t>项目规划矿区</w:t>
      </w:r>
      <w:r>
        <w:rPr>
          <w:color w:val="auto"/>
          <w:highlight w:val="none"/>
        </w:rPr>
        <w:t>未发现有明显沉降或拉裂缝存在，</w:t>
      </w:r>
      <w:r>
        <w:rPr>
          <w:rFonts w:hint="eastAsia"/>
          <w:color w:val="auto"/>
          <w:highlight w:val="none"/>
        </w:rPr>
        <w:t>项目矿山开采形成的采空区</w:t>
      </w:r>
      <w:r>
        <w:rPr>
          <w:color w:val="auto"/>
          <w:highlight w:val="none"/>
        </w:rPr>
        <w:t>对</w:t>
      </w:r>
      <w:r>
        <w:rPr>
          <w:rFonts w:hint="eastAsia"/>
          <w:color w:val="auto"/>
          <w:highlight w:val="none"/>
        </w:rPr>
        <w:t>矿区内</w:t>
      </w:r>
      <w:r>
        <w:rPr>
          <w:color w:val="auto"/>
          <w:highlight w:val="none"/>
        </w:rPr>
        <w:t>耕地、林地的正常生产或生长未造成明显影响，采空区对地表整体影响较轻。</w:t>
      </w:r>
    </w:p>
    <w:p>
      <w:pPr>
        <w:bidi w:val="0"/>
        <w:rPr>
          <w:color w:val="auto"/>
          <w:highlight w:val="none"/>
        </w:rPr>
      </w:pPr>
      <w:r>
        <w:rPr>
          <w:color w:val="auto"/>
          <w:highlight w:val="none"/>
        </w:rPr>
        <w:t>上述，</w:t>
      </w:r>
      <w:r>
        <w:rPr>
          <w:rFonts w:hint="eastAsia"/>
          <w:color w:val="auto"/>
          <w:highlight w:val="none"/>
        </w:rPr>
        <w:t>项目矿区</w:t>
      </w:r>
      <w:r>
        <w:rPr>
          <w:color w:val="auto"/>
          <w:highlight w:val="none"/>
        </w:rPr>
        <w:t>内原生地质灾害不发育，未发生过大型的泥石流、滑坡和崩塌；采空区对应地表以耕地、林地为主，采空区地表形成的轻微变形未造成房屋拉裂；水田、旱地能正常使用，林地能正常生长；地表沟谷水冲刷程度小，整体稳定。</w:t>
      </w:r>
      <w:r>
        <w:rPr>
          <w:rFonts w:hint="eastAsia"/>
          <w:color w:val="auto"/>
          <w:highlight w:val="none"/>
        </w:rPr>
        <w:t>因此，矿山</w:t>
      </w:r>
      <w:r>
        <w:rPr>
          <w:color w:val="auto"/>
          <w:highlight w:val="none"/>
        </w:rPr>
        <w:t>矿采矿活动引起的地质灾害影响程度较轻。</w:t>
      </w:r>
    </w:p>
    <w:p>
      <w:pPr>
        <w:bidi w:val="0"/>
        <w:rPr>
          <w:color w:val="auto"/>
          <w:highlight w:val="none"/>
        </w:rPr>
      </w:pPr>
      <w:r>
        <w:rPr>
          <w:rFonts w:hint="eastAsia"/>
          <w:color w:val="auto"/>
          <w:highlight w:val="none"/>
          <w:lang w:eastAsia="zh-CN"/>
        </w:rPr>
        <w:t>②</w:t>
      </w:r>
      <w:r>
        <w:rPr>
          <w:rFonts w:hint="eastAsia"/>
          <w:color w:val="auto"/>
          <w:highlight w:val="none"/>
        </w:rPr>
        <w:t>地质灾害发生的诱导因素及主要类型</w:t>
      </w:r>
    </w:p>
    <w:p>
      <w:pPr>
        <w:bidi w:val="0"/>
        <w:rPr>
          <w:color w:val="auto"/>
          <w:highlight w:val="none"/>
        </w:rPr>
      </w:pPr>
      <w:r>
        <w:rPr>
          <w:rFonts w:hint="eastAsia"/>
          <w:color w:val="auto"/>
          <w:highlight w:val="none"/>
        </w:rPr>
        <w:t>大竹县</w:t>
      </w:r>
      <w:r>
        <w:rPr>
          <w:color w:val="auto"/>
          <w:highlight w:val="none"/>
        </w:rPr>
        <w:t>煤炭矿区总体规划项目矿山为地下开采，在开采过程中岩石移动圈内会有地表塌陷，对原有地表的植被产生破坏。地表植被的破坏、雨季汇水都有可能引发地质灾害。矿山建设及开采导致地质灾害的类型主要有：</w:t>
      </w:r>
    </w:p>
    <w:p>
      <w:pPr>
        <w:bidi w:val="0"/>
        <w:rPr>
          <w:color w:val="auto"/>
          <w:highlight w:val="none"/>
        </w:rPr>
      </w:pPr>
      <w:r>
        <w:rPr>
          <w:rFonts w:hint="eastAsia"/>
          <w:color w:val="auto"/>
          <w:highlight w:val="none"/>
          <w:lang w:val="en-US" w:eastAsia="zh-CN"/>
        </w:rPr>
        <w:t>A.</w:t>
      </w:r>
      <w:r>
        <w:rPr>
          <w:color w:val="auto"/>
          <w:highlight w:val="none"/>
        </w:rPr>
        <w:t>地表变形：矿山采用全面采矿法，地表可能会产生裂隙、下沉、</w:t>
      </w:r>
      <w:r>
        <w:rPr>
          <w:rFonts w:hint="eastAsia"/>
          <w:color w:val="auto"/>
          <w:highlight w:val="none"/>
        </w:rPr>
        <w:t>地面沉降</w:t>
      </w:r>
      <w:r>
        <w:rPr>
          <w:color w:val="auto"/>
          <w:highlight w:val="none"/>
        </w:rPr>
        <w:t>塌陷等现象。</w:t>
      </w:r>
    </w:p>
    <w:p>
      <w:pPr>
        <w:bidi w:val="0"/>
        <w:rPr>
          <w:color w:val="auto"/>
          <w:highlight w:val="none"/>
        </w:rPr>
      </w:pPr>
      <w:r>
        <w:rPr>
          <w:rFonts w:hint="eastAsia"/>
          <w:color w:val="auto"/>
          <w:highlight w:val="none"/>
          <w:lang w:val="en-US" w:eastAsia="zh-CN"/>
        </w:rPr>
        <w:t>B.</w:t>
      </w:r>
      <w:r>
        <w:rPr>
          <w:color w:val="auto"/>
          <w:highlight w:val="none"/>
        </w:rPr>
        <w:t>滑坡：矿区植被遭到破坏后，发生大规模滑坡的可能性很少，但有可能在局部地方产生滑坡。严格按设计进行开采，发生大规模滑坡的可能性不大。</w:t>
      </w:r>
    </w:p>
    <w:p>
      <w:pPr>
        <w:bidi w:val="0"/>
        <w:rPr>
          <w:color w:val="auto"/>
          <w:highlight w:val="none"/>
        </w:rPr>
      </w:pPr>
      <w:r>
        <w:rPr>
          <w:rFonts w:hint="eastAsia"/>
          <w:color w:val="auto"/>
          <w:highlight w:val="none"/>
          <w:lang w:val="en-US" w:eastAsia="zh-CN"/>
        </w:rPr>
        <w:t>C.</w:t>
      </w:r>
      <w:r>
        <w:rPr>
          <w:color w:val="auto"/>
          <w:highlight w:val="none"/>
        </w:rPr>
        <w:t>泥石流：矿区废石堆放在指定的地方，若地表水补给丰富时，有可能产生泥石流。</w:t>
      </w:r>
    </w:p>
    <w:p>
      <w:pPr>
        <w:bidi w:val="0"/>
        <w:rPr>
          <w:color w:val="auto"/>
          <w:highlight w:val="none"/>
        </w:rPr>
      </w:pPr>
      <w:bookmarkStart w:id="372" w:name="_Toc498880679"/>
      <w:bookmarkStart w:id="373" w:name="_Toc408404003"/>
      <w:r>
        <w:rPr>
          <w:rFonts w:hint="eastAsia"/>
          <w:color w:val="auto"/>
          <w:highlight w:val="none"/>
          <w:lang w:eastAsia="zh-CN"/>
        </w:rPr>
        <w:t>③</w:t>
      </w:r>
      <w:r>
        <w:rPr>
          <w:color w:val="auto"/>
          <w:highlight w:val="none"/>
        </w:rPr>
        <w:t>采空区塌陷</w:t>
      </w:r>
      <w:r>
        <w:rPr>
          <w:rFonts w:hint="eastAsia"/>
          <w:color w:val="auto"/>
          <w:highlight w:val="none"/>
        </w:rPr>
        <w:t>的风险</w:t>
      </w:r>
      <w:r>
        <w:rPr>
          <w:color w:val="auto"/>
          <w:highlight w:val="none"/>
        </w:rPr>
        <w:t>预测</w:t>
      </w:r>
      <w:bookmarkEnd w:id="372"/>
      <w:bookmarkEnd w:id="373"/>
    </w:p>
    <w:p>
      <w:pPr>
        <w:bidi w:val="0"/>
        <w:rPr>
          <w:color w:val="auto"/>
          <w:highlight w:val="none"/>
        </w:rPr>
      </w:pPr>
      <w:r>
        <w:rPr>
          <w:color w:val="auto"/>
          <w:highlight w:val="none"/>
        </w:rPr>
        <w:t>矿山采用硐采方式进行采矿，矿石采出后，会留下采空区，随着时间增长，岩体应力的改变，采空区围岩可能发生冒落或坍塌，从而引起地表开裂、沉降或塌陷。</w:t>
      </w:r>
      <w:r>
        <w:rPr>
          <w:rFonts w:hint="eastAsia"/>
          <w:color w:val="auto"/>
          <w:highlight w:val="none"/>
        </w:rPr>
        <w:t>通过</w:t>
      </w:r>
      <w:r>
        <w:rPr>
          <w:color w:val="auto"/>
          <w:highlight w:val="none"/>
        </w:rPr>
        <w:t>设计矿体地表采用留护顶矿柱或人工矿柱的措施，根据矿体赋存情况，矿山开采后地表不会产生大面积的塌陷，可能会产生轻微的地表开裂或沉降、小面积塌陷，其塌陷范围不会超过设计圈定的地表移动范围。</w:t>
      </w:r>
    </w:p>
    <w:p>
      <w:pPr>
        <w:bidi w:val="0"/>
        <w:rPr>
          <w:color w:val="auto"/>
          <w:highlight w:val="none"/>
        </w:rPr>
      </w:pPr>
      <w:r>
        <w:rPr>
          <w:rFonts w:hint="eastAsia"/>
          <w:color w:val="auto"/>
          <w:highlight w:val="none"/>
        </w:rPr>
        <w:t>根据大竹县</w:t>
      </w:r>
      <w:r>
        <w:rPr>
          <w:color w:val="auto"/>
          <w:highlight w:val="none"/>
        </w:rPr>
        <w:t>煤炭矿区总体规划</w:t>
      </w:r>
      <w:r>
        <w:rPr>
          <w:rFonts w:hint="eastAsia"/>
          <w:color w:val="auto"/>
          <w:highlight w:val="none"/>
        </w:rPr>
        <w:t>项目煤矿的实际开采情况，矿山开采多年，矿井为走向长壁式开采，巷道掘进用电钻打眼，放炮破岩，人工除矸，机械抽出式通风，矿灯照明，“</w:t>
      </w:r>
      <w:r>
        <w:rPr>
          <w:color w:val="auto"/>
          <w:highlight w:val="none"/>
        </w:rPr>
        <w:t>U</w:t>
      </w:r>
      <w:r>
        <w:rPr>
          <w:rFonts w:hint="eastAsia"/>
          <w:color w:val="auto"/>
          <w:highlight w:val="none"/>
        </w:rPr>
        <w:t>”型矿车人力推车运输，自流排水。采煤工作面以圆木戴帽点柱支护及部分矸石充填，顶板管理采取缓慢自然下沉法。开采过程中对围岩的原始平衡状态破坏较小。随着开采的继续，井巷增多，井下采空区空间会不断增大，加之地层产状较陡，易引发地表裂缝、塌陷、变形。若采空区充填不及时、井巷支护不当或未支护，可能对大范围内岩体稳定性造成影响。</w:t>
      </w:r>
    </w:p>
    <w:p>
      <w:pPr>
        <w:bidi w:val="0"/>
        <w:rPr>
          <w:color w:val="auto"/>
          <w:highlight w:val="none"/>
        </w:rPr>
      </w:pPr>
      <w:r>
        <w:rPr>
          <w:color w:val="auto"/>
          <w:highlight w:val="none"/>
        </w:rPr>
        <w:t>根据四川省采煤经验，安全顶板高度约为采高或综合作用厚度的100-120倍，即超过采高的100-120倍的距离，采矿工程对地表的影响非常微弱。</w:t>
      </w:r>
      <w:r>
        <w:rPr>
          <w:rFonts w:hint="eastAsia"/>
          <w:color w:val="auto"/>
          <w:highlight w:val="none"/>
        </w:rPr>
        <w:t>项目矿山开采期间，采高平均0</w:t>
      </w:r>
      <w:r>
        <w:rPr>
          <w:color w:val="auto"/>
          <w:highlight w:val="none"/>
        </w:rPr>
        <w:t>.80m</w:t>
      </w:r>
      <w:r>
        <w:rPr>
          <w:rFonts w:hint="eastAsia"/>
          <w:color w:val="auto"/>
          <w:highlight w:val="none"/>
        </w:rPr>
        <w:t>，煤层之间平均相距</w:t>
      </w:r>
      <w:r>
        <w:rPr>
          <w:color w:val="auto"/>
          <w:highlight w:val="none"/>
        </w:rPr>
        <w:t>153m、煤层平均倾角取值40°</w:t>
      </w:r>
      <w:r>
        <w:rPr>
          <w:rFonts w:hint="eastAsia"/>
          <w:color w:val="auto"/>
          <w:highlight w:val="none"/>
        </w:rPr>
        <w:t>；以</w:t>
      </w:r>
      <w:r>
        <w:rPr>
          <w:color w:val="auto"/>
          <w:highlight w:val="none"/>
        </w:rPr>
        <w:t>120</w:t>
      </w:r>
      <w:r>
        <w:rPr>
          <w:rFonts w:hint="eastAsia"/>
          <w:color w:val="auto"/>
          <w:highlight w:val="none"/>
        </w:rPr>
        <w:t>倍为系数，矿山煤矿安全开采深度为</w:t>
      </w:r>
      <w:r>
        <w:rPr>
          <w:color w:val="auto"/>
          <w:highlight w:val="none"/>
        </w:rPr>
        <w:t>96m</w:t>
      </w:r>
      <w:r>
        <w:rPr>
          <w:rFonts w:hint="eastAsia"/>
          <w:color w:val="auto"/>
          <w:highlight w:val="none"/>
        </w:rPr>
        <w:t>，而大竹县</w:t>
      </w:r>
      <w:r>
        <w:rPr>
          <w:color w:val="auto"/>
          <w:highlight w:val="none"/>
        </w:rPr>
        <w:t>总体规划</w:t>
      </w:r>
      <w:r>
        <w:rPr>
          <w:rFonts w:hint="eastAsia"/>
          <w:color w:val="auto"/>
          <w:highlight w:val="none"/>
        </w:rPr>
        <w:t>矿山准采范围内煤层的最浅埋深大于1</w:t>
      </w:r>
      <w:r>
        <w:rPr>
          <w:color w:val="auto"/>
          <w:highlight w:val="none"/>
        </w:rPr>
        <w:t>00</w:t>
      </w:r>
      <w:r>
        <w:rPr>
          <w:rFonts w:hint="eastAsia"/>
          <w:color w:val="auto"/>
          <w:highlight w:val="none"/>
        </w:rPr>
        <w:t>m，故可以推断采矿对地表的影响非常小。</w:t>
      </w:r>
    </w:p>
    <w:p>
      <w:pPr>
        <w:bidi w:val="0"/>
        <w:rPr>
          <w:color w:val="auto"/>
          <w:highlight w:val="none"/>
        </w:rPr>
      </w:pPr>
      <w:r>
        <w:rPr>
          <w:rFonts w:hint="eastAsia"/>
          <w:color w:val="auto"/>
          <w:highlight w:val="none"/>
        </w:rPr>
        <w:t>另外，经实地调查核实，大竹县</w:t>
      </w:r>
      <w:r>
        <w:rPr>
          <w:color w:val="auto"/>
          <w:highlight w:val="none"/>
        </w:rPr>
        <w:t>煤炭矿区总体规划</w:t>
      </w:r>
      <w:r>
        <w:rPr>
          <w:rFonts w:hint="eastAsia"/>
          <w:color w:val="auto"/>
          <w:highlight w:val="none"/>
        </w:rPr>
        <w:t>项目煤矿矿区均投入运营多年，矿山建设单位在开采过程中利用煤矸石及废石自主加工生产或购买矿洞支柱，以确保采空区的安全，至今未发生过采空区塌陷事故。项目评价区内，未发现有地面沉陷崩塌的显著痕迹，地表植被未受到矿山地下开采的影响而出现枯死的现象。如此可见，项目规划后期矿山开采期间，只要建设单位严格按照安全生产、积极防护等开采要求，做好矿洞支护、采空区及时回填等措施，项目矿山地表塌陷的风险小。</w:t>
      </w:r>
    </w:p>
    <w:p>
      <w:pPr>
        <w:bidi w:val="0"/>
        <w:rPr>
          <w:color w:val="auto"/>
          <w:highlight w:val="none"/>
        </w:rPr>
      </w:pPr>
      <w:r>
        <w:rPr>
          <w:rFonts w:hint="eastAsia"/>
          <w:color w:val="auto"/>
          <w:highlight w:val="none"/>
          <w:lang w:eastAsia="zh-CN"/>
        </w:rPr>
        <w:t>④</w:t>
      </w:r>
      <w:r>
        <w:rPr>
          <w:rFonts w:hint="eastAsia"/>
          <w:color w:val="auto"/>
          <w:highlight w:val="none"/>
        </w:rPr>
        <w:t>地质灾害预防及治理措施</w:t>
      </w:r>
    </w:p>
    <w:p>
      <w:pPr>
        <w:bidi w:val="0"/>
        <w:rPr>
          <w:color w:val="auto"/>
          <w:highlight w:val="none"/>
        </w:rPr>
      </w:pPr>
      <w:r>
        <w:rPr>
          <w:color w:val="auto"/>
          <w:highlight w:val="none"/>
        </w:rPr>
        <w:t>地表变形：井下开采过程中可能会产生地表裂隙、下沉、塌陷，生产中应配备专门的安全巡视人员，一旦发现地表裂隙、下沉、塌陷等现象，应立即采取相关安全措施，并在相应的地方设置警示标志，以免对人员及牲畜产生危害。</w:t>
      </w:r>
    </w:p>
    <w:p>
      <w:pPr>
        <w:bidi w:val="0"/>
        <w:rPr>
          <w:color w:val="auto"/>
          <w:highlight w:val="none"/>
        </w:rPr>
      </w:pPr>
      <w:r>
        <w:rPr>
          <w:color w:val="auto"/>
          <w:highlight w:val="none"/>
        </w:rPr>
        <w:t>滑坡、泥石流：规划矿山为地下开采，废石量较小，设计将基建期掘进废石作为矿山道路修建，后期用于人工矿柱支护或采矿区封闭，无废石排放，因此严格按设计开采后发生大规模滑坡和泥石流的可能性不大，但若矿山需要排放废石时，严禁无序排放，并需做好监控工作，及时发现和预报滑坡，减少滑坡可能造成的灾害。</w:t>
      </w:r>
      <w:r>
        <w:rPr>
          <w:rFonts w:hint="eastAsia"/>
          <w:color w:val="auto"/>
          <w:highlight w:val="none"/>
        </w:rPr>
        <w:t>同时，现场调查期间，矿山建设单位也明确项目矿山废石及煤矸石量较小，废石及煤矸石经过加工用以道路维护、矿洞支柱等或外销，废石场对存量较小，发生滑坡、泥石流的可能性较小。</w:t>
      </w:r>
    </w:p>
    <w:p>
      <w:pPr>
        <w:bidi w:val="0"/>
        <w:rPr>
          <w:color w:val="auto"/>
          <w:highlight w:val="none"/>
        </w:rPr>
      </w:pPr>
      <w:r>
        <w:rPr>
          <w:rFonts w:hint="eastAsia"/>
          <w:color w:val="auto"/>
          <w:highlight w:val="none"/>
        </w:rPr>
        <w:t>综上，评价区</w:t>
      </w:r>
      <w:r>
        <w:rPr>
          <w:color w:val="auto"/>
          <w:highlight w:val="none"/>
        </w:rPr>
        <w:t>内原生的崩塌、滑坡、泥石流灾害不发育，</w:t>
      </w:r>
      <w:r>
        <w:rPr>
          <w:rFonts w:hint="eastAsia"/>
          <w:color w:val="auto"/>
          <w:highlight w:val="none"/>
        </w:rPr>
        <w:t>据现场调查，评价区内均未发现原生</w:t>
      </w:r>
      <w:r>
        <w:rPr>
          <w:color w:val="auto"/>
          <w:highlight w:val="none"/>
        </w:rPr>
        <w:t>崩塌、滑坡、泥石流</w:t>
      </w:r>
      <w:r>
        <w:rPr>
          <w:rFonts w:hint="eastAsia"/>
          <w:color w:val="auto"/>
          <w:highlight w:val="none"/>
        </w:rPr>
        <w:t>等地质灾害。矿山生产的夹矸直接外销，在主工业场地设置的临时堆放场堆放高度仅为3-</w:t>
      </w:r>
      <w:r>
        <w:rPr>
          <w:color w:val="auto"/>
          <w:highlight w:val="none"/>
        </w:rPr>
        <w:t>4</w:t>
      </w:r>
      <w:r>
        <w:rPr>
          <w:rFonts w:hint="eastAsia"/>
          <w:color w:val="auto"/>
          <w:highlight w:val="none"/>
        </w:rPr>
        <w:t>m，不具有发生地质灾害的可能性；白矸直接外销给场地旁的碎石场用作生产建筑材料。因此，项目矿山后期开采中发生</w:t>
      </w:r>
      <w:r>
        <w:rPr>
          <w:color w:val="auto"/>
          <w:highlight w:val="none"/>
        </w:rPr>
        <w:t>崩塌、滑坡、泥石流</w:t>
      </w:r>
      <w:r>
        <w:rPr>
          <w:rFonts w:hint="eastAsia"/>
          <w:color w:val="auto"/>
          <w:highlight w:val="none"/>
        </w:rPr>
        <w:t>的可能性也较小，其影响较小。</w:t>
      </w:r>
    </w:p>
    <w:p>
      <w:pPr>
        <w:pStyle w:val="7"/>
        <w:bidi w:val="0"/>
        <w:rPr>
          <w:color w:val="auto"/>
          <w:highlight w:val="none"/>
        </w:rPr>
      </w:pPr>
      <w:bookmarkStart w:id="374" w:name="_Toc88697667"/>
      <w:r>
        <w:rPr>
          <w:rFonts w:hint="eastAsia"/>
          <w:color w:val="auto"/>
          <w:highlight w:val="none"/>
        </w:rPr>
        <w:t>5</w:t>
      </w:r>
      <w:r>
        <w:rPr>
          <w:rFonts w:hint="eastAsia"/>
          <w:color w:val="auto"/>
          <w:highlight w:val="none"/>
          <w:lang w:val="en-US" w:eastAsia="zh-CN"/>
        </w:rPr>
        <w:t>.1.2</w:t>
      </w:r>
      <w:r>
        <w:rPr>
          <w:rFonts w:hint="eastAsia"/>
          <w:color w:val="auto"/>
          <w:highlight w:val="none"/>
        </w:rPr>
        <w:t>.</w:t>
      </w:r>
      <w:r>
        <w:rPr>
          <w:color w:val="auto"/>
          <w:highlight w:val="none"/>
        </w:rPr>
        <w:t>11</w:t>
      </w:r>
      <w:r>
        <w:rPr>
          <w:rFonts w:hint="eastAsia"/>
          <w:color w:val="auto"/>
          <w:highlight w:val="none"/>
        </w:rPr>
        <w:t xml:space="preserve"> 项目规划对四川五峰山国家森林公园的影响分析</w:t>
      </w:r>
      <w:bookmarkEnd w:id="374"/>
    </w:p>
    <w:p>
      <w:pPr>
        <w:bidi w:val="0"/>
        <w:rPr>
          <w:color w:val="auto"/>
          <w:highlight w:val="none"/>
        </w:rPr>
      </w:pPr>
      <w:bookmarkStart w:id="375" w:name="_Toc88697668"/>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项目规划对五峰山国家森林公园的影响方式</w:t>
      </w:r>
      <w:bookmarkEnd w:id="375"/>
    </w:p>
    <w:p>
      <w:pPr>
        <w:bidi w:val="0"/>
        <w:rPr>
          <w:color w:val="auto"/>
          <w:highlight w:val="none"/>
        </w:rPr>
      </w:pPr>
      <w:r>
        <w:rPr>
          <w:color w:val="auto"/>
          <w:highlight w:val="none"/>
        </w:rPr>
        <w:t>五峰山国家森林公园</w:t>
      </w:r>
      <w:r>
        <w:rPr>
          <w:rFonts w:hint="eastAsia"/>
          <w:color w:val="auto"/>
          <w:highlight w:val="none"/>
        </w:rPr>
        <w:t>于</w:t>
      </w:r>
      <w:r>
        <w:rPr>
          <w:color w:val="auto"/>
          <w:highlight w:val="none"/>
        </w:rPr>
        <w:t>2002</w:t>
      </w:r>
      <w:r>
        <w:rPr>
          <w:rFonts w:hint="eastAsia"/>
          <w:color w:val="auto"/>
          <w:highlight w:val="none"/>
        </w:rPr>
        <w:t>年成立，</w:t>
      </w:r>
      <w:r>
        <w:rPr>
          <w:color w:val="auto"/>
          <w:highlight w:val="none"/>
        </w:rPr>
        <w:t>位于大竹县东北部，距大竹县城22公里，</w:t>
      </w:r>
      <w:r>
        <w:rPr>
          <w:rFonts w:hint="eastAsia"/>
          <w:color w:val="auto"/>
          <w:highlight w:val="none"/>
        </w:rPr>
        <w:t>地理范围：</w:t>
      </w:r>
      <w:r>
        <w:rPr>
          <w:color w:val="auto"/>
          <w:highlight w:val="none"/>
        </w:rPr>
        <w:t xml:space="preserve">东经107º16′17″～107º25′34″，北纬30º43′34″～30º51′06″。森林公园总面积703.6公顷， </w:t>
      </w:r>
      <w:r>
        <w:rPr>
          <w:rFonts w:hint="eastAsia"/>
          <w:color w:val="auto"/>
          <w:highlight w:val="none"/>
        </w:rPr>
        <w:t>其中林地面积6</w:t>
      </w:r>
      <w:r>
        <w:rPr>
          <w:color w:val="auto"/>
          <w:highlight w:val="none"/>
        </w:rPr>
        <w:t>76.8</w:t>
      </w:r>
      <w:r>
        <w:rPr>
          <w:rFonts w:hint="eastAsia"/>
          <w:color w:val="auto"/>
          <w:highlight w:val="none"/>
        </w:rPr>
        <w:t>ha，在幼林地面积中，共有竹林面积3</w:t>
      </w:r>
      <w:r>
        <w:rPr>
          <w:color w:val="auto"/>
          <w:highlight w:val="none"/>
        </w:rPr>
        <w:t>30.4</w:t>
      </w:r>
      <w:r>
        <w:rPr>
          <w:rFonts w:hint="eastAsia"/>
          <w:color w:val="auto"/>
          <w:highlight w:val="none"/>
        </w:rPr>
        <w:t>ha。公园是以优良的森林生态环境为基础，以“川东竹海”为主题，以竹海、森林、竹文化及湖光山色为特色，集生态观光、休闲疗养、避暑度假、及科普教育于一体的生态旅游场所。</w:t>
      </w:r>
      <w:r>
        <w:rPr>
          <w:color w:val="auto"/>
          <w:highlight w:val="none"/>
        </w:rPr>
        <w:t xml:space="preserve"> </w:t>
      </w:r>
    </w:p>
    <w:p>
      <w:pPr>
        <w:bidi w:val="0"/>
        <w:rPr>
          <w:color w:val="auto"/>
          <w:highlight w:val="none"/>
        </w:rPr>
      </w:pPr>
      <w:r>
        <w:rPr>
          <w:color w:val="auto"/>
          <w:highlight w:val="none"/>
        </w:rPr>
        <w:t>经</w:t>
      </w:r>
      <w:r>
        <w:rPr>
          <w:rFonts w:hint="eastAsia"/>
          <w:color w:val="auto"/>
          <w:highlight w:val="none"/>
        </w:rPr>
        <w:t>《四川省达州市大竹县煤炭矿区总体规划》</w:t>
      </w:r>
      <w:r>
        <w:rPr>
          <w:color w:val="auto"/>
          <w:highlight w:val="none"/>
        </w:rPr>
        <w:t>及实地调查核实，项目规划区</w:t>
      </w:r>
      <w:r>
        <w:rPr>
          <w:rFonts w:hint="eastAsia"/>
          <w:color w:val="auto"/>
          <w:highlight w:val="none"/>
        </w:rPr>
        <w:t>中山矿段</w:t>
      </w:r>
      <w:r>
        <w:rPr>
          <w:color w:val="auto"/>
          <w:highlight w:val="none"/>
        </w:rPr>
        <w:t>位于四川</w:t>
      </w:r>
      <w:r>
        <w:rPr>
          <w:rFonts w:hint="eastAsia"/>
          <w:color w:val="auto"/>
          <w:highlight w:val="none"/>
        </w:rPr>
        <w:t>五峰山</w:t>
      </w:r>
      <w:r>
        <w:rPr>
          <w:color w:val="auto"/>
          <w:highlight w:val="none"/>
        </w:rPr>
        <w:t>森林公园的东侧，</w:t>
      </w:r>
      <w:r>
        <w:rPr>
          <w:rFonts w:hint="eastAsia"/>
          <w:color w:val="auto"/>
          <w:highlight w:val="none"/>
        </w:rPr>
        <w:t>且</w:t>
      </w:r>
      <w:r>
        <w:rPr>
          <w:color w:val="auto"/>
          <w:highlight w:val="none"/>
        </w:rPr>
        <w:t>中山矿段华家沟煤矿矿区与</w:t>
      </w:r>
      <w:r>
        <w:rPr>
          <w:rFonts w:hint="eastAsia"/>
          <w:color w:val="auto"/>
          <w:highlight w:val="none"/>
        </w:rPr>
        <w:t>四川</w:t>
      </w:r>
      <w:r>
        <w:rPr>
          <w:color w:val="auto"/>
          <w:highlight w:val="none"/>
        </w:rPr>
        <w:t>五峰山国家级森林公园（</w:t>
      </w:r>
      <w:r>
        <w:rPr>
          <w:rFonts w:hint="eastAsia"/>
          <w:color w:val="auto"/>
          <w:highlight w:val="none"/>
        </w:rPr>
        <w:t>蒲包山景区</w:t>
      </w:r>
      <w:r>
        <w:rPr>
          <w:color w:val="auto"/>
          <w:highlight w:val="none"/>
        </w:rPr>
        <w:t>）相邻，但是并未直接进入森林公园</w:t>
      </w:r>
      <w:r>
        <w:rPr>
          <w:rFonts w:hint="eastAsia"/>
          <w:color w:val="auto"/>
          <w:highlight w:val="none"/>
        </w:rPr>
        <w:t>（见图2</w:t>
      </w:r>
      <w:r>
        <w:rPr>
          <w:color w:val="auto"/>
          <w:highlight w:val="none"/>
        </w:rPr>
        <w:t>-3</w:t>
      </w:r>
      <w:r>
        <w:rPr>
          <w:rFonts w:hint="eastAsia"/>
          <w:color w:val="auto"/>
          <w:highlight w:val="none"/>
        </w:rPr>
        <w:t>、图2</w:t>
      </w:r>
      <w:r>
        <w:rPr>
          <w:color w:val="auto"/>
          <w:highlight w:val="none"/>
        </w:rPr>
        <w:t>-4</w:t>
      </w:r>
      <w:r>
        <w:rPr>
          <w:rFonts w:hint="eastAsia"/>
          <w:color w:val="auto"/>
          <w:highlight w:val="none"/>
        </w:rPr>
        <w:t>）。此外，华家沟煤矿开采巷道沿矿区走向布局，不进入五峰山国家森林公园的范围内（见图2</w:t>
      </w:r>
      <w:r>
        <w:rPr>
          <w:color w:val="auto"/>
          <w:highlight w:val="none"/>
        </w:rPr>
        <w:t>-5</w:t>
      </w:r>
      <w:r>
        <w:rPr>
          <w:rFonts w:hint="eastAsia"/>
          <w:color w:val="auto"/>
          <w:highlight w:val="none"/>
        </w:rPr>
        <w:t>）。</w:t>
      </w:r>
    </w:p>
    <w:p>
      <w:pPr>
        <w:bidi w:val="0"/>
        <w:rPr>
          <w:color w:val="auto"/>
          <w:highlight w:val="none"/>
        </w:rPr>
      </w:pPr>
      <w:r>
        <w:rPr>
          <w:color w:val="auto"/>
          <w:highlight w:val="none"/>
        </w:rPr>
        <w:t>如此，项目规划对</w:t>
      </w:r>
      <w:r>
        <w:rPr>
          <w:rFonts w:hint="eastAsia"/>
          <w:color w:val="auto"/>
          <w:highlight w:val="none"/>
        </w:rPr>
        <w:t>四川五峰山</w:t>
      </w:r>
      <w:r>
        <w:rPr>
          <w:color w:val="auto"/>
          <w:highlight w:val="none"/>
        </w:rPr>
        <w:t>国家森林公园的影响主要为间接影响，影响主要为规划建设</w:t>
      </w:r>
      <w:r>
        <w:rPr>
          <w:rFonts w:hint="eastAsia"/>
          <w:color w:val="auto"/>
          <w:highlight w:val="none"/>
        </w:rPr>
        <w:t>及开采</w:t>
      </w:r>
      <w:r>
        <w:rPr>
          <w:color w:val="auto"/>
          <w:highlight w:val="none"/>
        </w:rPr>
        <w:t>对规划区外的森林公园的影响。</w:t>
      </w:r>
    </w:p>
    <w:p>
      <w:pPr>
        <w:bidi w:val="0"/>
        <w:rPr>
          <w:color w:val="auto"/>
          <w:highlight w:val="none"/>
        </w:rPr>
      </w:pPr>
      <w:bookmarkStart w:id="376" w:name="_Toc88697669"/>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项目规划对森林公园的整体影响分析</w:t>
      </w:r>
      <w:bookmarkEnd w:id="376"/>
    </w:p>
    <w:p>
      <w:pPr>
        <w:bidi w:val="0"/>
        <w:rPr>
          <w:color w:val="auto"/>
          <w:highlight w:val="none"/>
        </w:rPr>
      </w:pPr>
      <w:r>
        <w:rPr>
          <w:color w:val="auto"/>
          <w:highlight w:val="none"/>
        </w:rPr>
        <w:t>华家沟煤矿于2020年7月31日</w:t>
      </w:r>
      <w:r>
        <w:rPr>
          <w:rFonts w:hint="eastAsia"/>
          <w:color w:val="auto"/>
          <w:highlight w:val="none"/>
        </w:rPr>
        <w:t>取得</w:t>
      </w:r>
      <w:r>
        <w:rPr>
          <w:color w:val="auto"/>
          <w:highlight w:val="none"/>
        </w:rPr>
        <w:t>四川省自然资源厅颁发</w:t>
      </w:r>
      <w:r>
        <w:rPr>
          <w:rFonts w:hint="eastAsia"/>
          <w:color w:val="auto"/>
          <w:highlight w:val="none"/>
        </w:rPr>
        <w:t>的</w:t>
      </w:r>
      <w:r>
        <w:rPr>
          <w:color w:val="auto"/>
          <w:highlight w:val="none"/>
        </w:rPr>
        <w:t>采矿许可证，</w:t>
      </w:r>
      <w:r>
        <w:rPr>
          <w:rFonts w:hint="eastAsia"/>
          <w:color w:val="auto"/>
          <w:highlight w:val="none"/>
        </w:rPr>
        <w:t>矿权</w:t>
      </w:r>
      <w:r>
        <w:rPr>
          <w:color w:val="auto"/>
          <w:highlight w:val="none"/>
        </w:rPr>
        <w:t>面积1.0554km</w:t>
      </w:r>
      <w:r>
        <w:rPr>
          <w:color w:val="auto"/>
          <w:highlight w:val="none"/>
          <w:vertAlign w:val="superscript"/>
        </w:rPr>
        <w:t>2</w:t>
      </w:r>
      <w:r>
        <w:rPr>
          <w:rFonts w:hint="eastAsia"/>
          <w:color w:val="auto"/>
          <w:highlight w:val="none"/>
        </w:rPr>
        <w:t>，</w:t>
      </w:r>
      <w:r>
        <w:rPr>
          <w:color w:val="auto"/>
          <w:highlight w:val="none"/>
        </w:rPr>
        <w:t>开采标高为+470m</w:t>
      </w:r>
      <w:r>
        <w:rPr>
          <w:rFonts w:hint="eastAsia"/>
          <w:color w:val="auto"/>
          <w:highlight w:val="none"/>
        </w:rPr>
        <w:t>～</w:t>
      </w:r>
      <w:r>
        <w:rPr>
          <w:color w:val="auto"/>
          <w:highlight w:val="none"/>
        </w:rPr>
        <w:t>+100m</w:t>
      </w:r>
      <w:r>
        <w:rPr>
          <w:rFonts w:hint="eastAsia"/>
          <w:color w:val="auto"/>
          <w:highlight w:val="none"/>
        </w:rPr>
        <w:t>。本次规划，华家沟煤矿属分类处置的独立升级改造矿井，规划矿权范围不变，规划矿井生产能力为30万吨/年。华家沟煤矿成立之初</w:t>
      </w:r>
      <w:r>
        <w:rPr>
          <w:rFonts w:hint="eastAsia"/>
          <w:color w:val="auto"/>
          <w:highlight w:val="none"/>
          <w:lang w:eastAsia="zh-CN"/>
        </w:rPr>
        <w:t>，采矿权范围的核定时</w:t>
      </w:r>
      <w:r>
        <w:rPr>
          <w:rFonts w:hint="eastAsia"/>
          <w:color w:val="auto"/>
          <w:highlight w:val="none"/>
        </w:rPr>
        <w:t>便已避开五峰山国家森林公园，煤矿开采巷道也沿矿区走向布置，不涉及五峰山国家森林公园的蒲包山景区。项目</w:t>
      </w:r>
      <w:r>
        <w:rPr>
          <w:color w:val="auto"/>
          <w:highlight w:val="none"/>
        </w:rPr>
        <w:t>矿山</w:t>
      </w:r>
      <w:r>
        <w:rPr>
          <w:rFonts w:hint="eastAsia"/>
          <w:color w:val="auto"/>
          <w:highlight w:val="none"/>
        </w:rPr>
        <w:t>目前</w:t>
      </w:r>
      <w:r>
        <w:rPr>
          <w:color w:val="auto"/>
          <w:highlight w:val="none"/>
        </w:rPr>
        <w:t>处于停产状态</w:t>
      </w:r>
      <w:r>
        <w:rPr>
          <w:rFonts w:hint="eastAsia"/>
          <w:color w:val="auto"/>
          <w:highlight w:val="none"/>
        </w:rPr>
        <w:t>，</w:t>
      </w:r>
      <w:r>
        <w:rPr>
          <w:color w:val="auto"/>
          <w:highlight w:val="none"/>
        </w:rPr>
        <w:t>结合本次对规划区及周边区域动植物多样性的调查，其物种组成与森林公园的资料相对而言，并未发生显著的减少。</w:t>
      </w:r>
    </w:p>
    <w:p>
      <w:pPr>
        <w:bidi w:val="0"/>
        <w:rPr>
          <w:color w:val="auto"/>
          <w:highlight w:val="none"/>
        </w:rPr>
      </w:pPr>
      <w:r>
        <w:rPr>
          <w:color w:val="auto"/>
          <w:highlight w:val="none"/>
        </w:rPr>
        <w:t>本次规划</w:t>
      </w:r>
      <w:r>
        <w:rPr>
          <w:rFonts w:hint="eastAsia"/>
          <w:color w:val="auto"/>
          <w:highlight w:val="none"/>
        </w:rPr>
        <w:t>中，华家沟煤矿属分类处置的独立升级改造矿井</w:t>
      </w:r>
      <w:r>
        <w:rPr>
          <w:color w:val="auto"/>
          <w:highlight w:val="none"/>
        </w:rPr>
        <w:t>，建设</w:t>
      </w:r>
      <w:r>
        <w:rPr>
          <w:rFonts w:hint="eastAsia"/>
          <w:color w:val="auto"/>
          <w:highlight w:val="none"/>
        </w:rPr>
        <w:t>内容布置在现有工业场地内，距离五峰山国家森林公园直线距离约2</w:t>
      </w:r>
      <w:r>
        <w:rPr>
          <w:color w:val="auto"/>
          <w:highlight w:val="none"/>
        </w:rPr>
        <w:t>.0</w:t>
      </w:r>
      <w:r>
        <w:rPr>
          <w:rFonts w:hint="eastAsia"/>
          <w:color w:val="auto"/>
          <w:highlight w:val="none"/>
        </w:rPr>
        <w:t>km（中间有山体阻隔）。因此，项目规划建设及开采运营中</w:t>
      </w:r>
      <w:r>
        <w:rPr>
          <w:color w:val="auto"/>
          <w:highlight w:val="none"/>
        </w:rPr>
        <w:t>，在加强环境保护及生态保护、建设工作等条件下，整体上对森林公园的影响相对较小。加之现状调查的结果，类比矿区之前的运营的影响，可以预测项目规划建设及运营对森林公园的影响是较小的。</w:t>
      </w:r>
    </w:p>
    <w:p>
      <w:pPr>
        <w:bidi w:val="0"/>
        <w:rPr>
          <w:color w:val="auto"/>
          <w:highlight w:val="none"/>
        </w:rPr>
      </w:pPr>
      <w:bookmarkStart w:id="377" w:name="_Toc88697670"/>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项目规划对森林公园环境质量的影响分析</w:t>
      </w:r>
      <w:bookmarkEnd w:id="377"/>
    </w:p>
    <w:p>
      <w:pPr>
        <w:bidi w:val="0"/>
        <w:rPr>
          <w:color w:val="auto"/>
          <w:highlight w:val="none"/>
        </w:rPr>
      </w:pPr>
      <w:r>
        <w:rPr>
          <w:rFonts w:hint="eastAsia"/>
          <w:color w:val="auto"/>
          <w:highlight w:val="none"/>
        </w:rPr>
        <w:t>大竹县</w:t>
      </w:r>
      <w:r>
        <w:rPr>
          <w:color w:val="auto"/>
          <w:highlight w:val="none"/>
        </w:rPr>
        <w:t>煤炭矿区总体规划项目规划建设施工期间，</w:t>
      </w:r>
      <w:r>
        <w:rPr>
          <w:rFonts w:hint="eastAsia"/>
          <w:color w:val="auto"/>
          <w:highlight w:val="none"/>
        </w:rPr>
        <w:t>华家沟煤矿属分类处置的独立升级改造矿井</w:t>
      </w:r>
      <w:r>
        <w:rPr>
          <w:color w:val="auto"/>
          <w:highlight w:val="none"/>
        </w:rPr>
        <w:t>，建设</w:t>
      </w:r>
      <w:r>
        <w:rPr>
          <w:rFonts w:hint="eastAsia"/>
          <w:color w:val="auto"/>
          <w:highlight w:val="none"/>
        </w:rPr>
        <w:t>内容布置在现有工业场地内，距离五峰山国家森林公园直线距离约2</w:t>
      </w:r>
      <w:r>
        <w:rPr>
          <w:color w:val="auto"/>
          <w:highlight w:val="none"/>
        </w:rPr>
        <w:t>.0</w:t>
      </w:r>
      <w:r>
        <w:rPr>
          <w:rFonts w:hint="eastAsia"/>
          <w:color w:val="auto"/>
          <w:highlight w:val="none"/>
        </w:rPr>
        <w:t>km（中间有山体阻隔）。升级改造中的</w:t>
      </w:r>
      <w:r>
        <w:rPr>
          <w:color w:val="auto"/>
          <w:highlight w:val="none"/>
        </w:rPr>
        <w:t>主要施工活动是矿区采矿设施的建设及生态保护工程的实施，规模不大，产生的扬尘、噪声等污染物少，对环境影响小，不会造成区域大气环境、声环境的水平降低，对国家森林公园内的环境质量影响在植被消减</w:t>
      </w:r>
      <w:r>
        <w:rPr>
          <w:rFonts w:hint="eastAsia"/>
          <w:color w:val="auto"/>
          <w:highlight w:val="none"/>
        </w:rPr>
        <w:t>、山体阻隔</w:t>
      </w:r>
      <w:r>
        <w:rPr>
          <w:color w:val="auto"/>
          <w:highlight w:val="none"/>
        </w:rPr>
        <w:t>及区域气候条件下显得更加微弱。矿区运营期间，</w:t>
      </w:r>
      <w:r>
        <w:rPr>
          <w:rFonts w:hint="eastAsia"/>
          <w:color w:val="auto"/>
          <w:highlight w:val="none"/>
        </w:rPr>
        <w:t>煤炭开采属地下开采，且开采巷道不进入森林公园内，</w:t>
      </w:r>
      <w:r>
        <w:rPr>
          <w:color w:val="auto"/>
          <w:highlight w:val="none"/>
        </w:rPr>
        <w:t>产生的污染物主要是噪声等，对区域环境影响有限。通过采取严格的防治、处置措施，能够满足对区域环境的保护要求，不会对森林公园的环境质量造成显著的负面影响。</w:t>
      </w:r>
    </w:p>
    <w:p>
      <w:pPr>
        <w:bidi w:val="0"/>
        <w:rPr>
          <w:color w:val="auto"/>
          <w:highlight w:val="none"/>
        </w:rPr>
      </w:pPr>
      <w:bookmarkStart w:id="378" w:name="_Toc88697671"/>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项目规划对森林公园生物多样性的影响分析</w:t>
      </w:r>
      <w:bookmarkEnd w:id="378"/>
    </w:p>
    <w:p>
      <w:pPr>
        <w:bidi w:val="0"/>
        <w:rPr>
          <w:color w:val="auto"/>
          <w:highlight w:val="none"/>
        </w:rPr>
      </w:pPr>
      <w:r>
        <w:rPr>
          <w:color w:val="auto"/>
          <w:highlight w:val="none"/>
        </w:rPr>
        <w:t>项目规划建设及矿区运营对森林公园生物多样性的影响不大，主要体现在：1）项目规划区</w:t>
      </w:r>
      <w:r>
        <w:rPr>
          <w:rFonts w:hint="eastAsia"/>
          <w:color w:val="auto"/>
          <w:highlight w:val="none"/>
        </w:rPr>
        <w:t>施工</w:t>
      </w:r>
      <w:r>
        <w:rPr>
          <w:color w:val="auto"/>
          <w:highlight w:val="none"/>
        </w:rPr>
        <w:t>内不存在野生保护植物</w:t>
      </w:r>
      <w:r>
        <w:rPr>
          <w:rFonts w:hint="eastAsia"/>
          <w:color w:val="auto"/>
          <w:highlight w:val="none"/>
        </w:rPr>
        <w:t>及古树名木</w:t>
      </w:r>
      <w:r>
        <w:rPr>
          <w:color w:val="auto"/>
          <w:highlight w:val="none"/>
        </w:rPr>
        <w:t>，</w:t>
      </w:r>
      <w:r>
        <w:rPr>
          <w:rFonts w:hint="eastAsia"/>
          <w:color w:val="auto"/>
          <w:highlight w:val="none"/>
        </w:rPr>
        <w:t>评价区</w:t>
      </w:r>
      <w:r>
        <w:rPr>
          <w:color w:val="auto"/>
          <w:highlight w:val="none"/>
        </w:rPr>
        <w:t>内的植物多是区域的常见物种，且项目规划建设</w:t>
      </w:r>
      <w:r>
        <w:rPr>
          <w:rFonts w:hint="eastAsia"/>
          <w:color w:val="auto"/>
          <w:highlight w:val="none"/>
        </w:rPr>
        <w:t>均局限在矿山现有工业场地内</w:t>
      </w:r>
      <w:r>
        <w:rPr>
          <w:color w:val="auto"/>
          <w:highlight w:val="none"/>
        </w:rPr>
        <w:t>，</w:t>
      </w:r>
      <w:r>
        <w:rPr>
          <w:rFonts w:hint="eastAsia"/>
          <w:color w:val="auto"/>
          <w:highlight w:val="none"/>
        </w:rPr>
        <w:t>不</w:t>
      </w:r>
      <w:r>
        <w:rPr>
          <w:color w:val="auto"/>
          <w:highlight w:val="none"/>
        </w:rPr>
        <w:t>对</w:t>
      </w:r>
      <w:r>
        <w:rPr>
          <w:rFonts w:hint="eastAsia"/>
          <w:color w:val="auto"/>
          <w:highlight w:val="none"/>
        </w:rPr>
        <w:t>工业场地外的</w:t>
      </w:r>
      <w:r>
        <w:rPr>
          <w:color w:val="auto"/>
          <w:highlight w:val="none"/>
        </w:rPr>
        <w:t>植被</w:t>
      </w:r>
      <w:r>
        <w:rPr>
          <w:rFonts w:hint="eastAsia"/>
          <w:color w:val="auto"/>
          <w:highlight w:val="none"/>
        </w:rPr>
        <w:t>进行清理</w:t>
      </w:r>
      <w:r>
        <w:rPr>
          <w:color w:val="auto"/>
          <w:highlight w:val="none"/>
        </w:rPr>
        <w:t>，对区域的植物多样性的影响不大；2）</w:t>
      </w:r>
      <w:r>
        <w:rPr>
          <w:rFonts w:hint="eastAsia"/>
          <w:color w:val="auto"/>
          <w:highlight w:val="none"/>
        </w:rPr>
        <w:t>华家沟煤矿改造升级过程中以</w:t>
      </w:r>
      <w:r>
        <w:rPr>
          <w:color w:val="auto"/>
          <w:highlight w:val="none"/>
        </w:rPr>
        <w:t>噪声等的间接影响</w:t>
      </w:r>
      <w:r>
        <w:rPr>
          <w:rFonts w:hint="eastAsia"/>
          <w:color w:val="auto"/>
          <w:highlight w:val="none"/>
        </w:rPr>
        <w:t>，但施工建设布局距离森林公园相对较远，直线距离约2</w:t>
      </w:r>
      <w:r>
        <w:rPr>
          <w:color w:val="auto"/>
          <w:highlight w:val="none"/>
        </w:rPr>
        <w:t>.0</w:t>
      </w:r>
      <w:r>
        <w:rPr>
          <w:rFonts w:hint="eastAsia"/>
          <w:color w:val="auto"/>
          <w:highlight w:val="none"/>
        </w:rPr>
        <w:t>km（中间有山体阻隔），因此</w:t>
      </w:r>
      <w:r>
        <w:rPr>
          <w:color w:val="auto"/>
          <w:highlight w:val="none"/>
        </w:rPr>
        <w:t>极大降低了</w:t>
      </w:r>
      <w:r>
        <w:rPr>
          <w:rFonts w:hint="eastAsia"/>
          <w:color w:val="auto"/>
          <w:highlight w:val="none"/>
        </w:rPr>
        <w:t>施工建设</w:t>
      </w:r>
      <w:r>
        <w:rPr>
          <w:color w:val="auto"/>
          <w:highlight w:val="none"/>
        </w:rPr>
        <w:t>对评价区动物的干扰；3）矿区运营后，主要进行矿区管理及矿石开采，无大面积的地面建设，对地表扰动少，不会造成森林公园内动植物的直接损伤；同时，严格矿区管理与工作人员的活动范围，禁止随意进入森林公园，可减小人为影响；4）运营期间通过严格的管理，禁止工人进入森林公园核心区域等重要区域、禁止人为抓捕野生动物、严格落实环境污染防治措施等，可极大消减对评价区及周边物种的影响。</w:t>
      </w:r>
    </w:p>
    <w:p>
      <w:pPr>
        <w:bidi w:val="0"/>
        <w:rPr>
          <w:color w:val="auto"/>
          <w:highlight w:val="none"/>
        </w:rPr>
      </w:pPr>
      <w:r>
        <w:rPr>
          <w:color w:val="auto"/>
          <w:highlight w:val="none"/>
        </w:rPr>
        <w:t>总体上，项目规划对国家森林公园的植被及动植物不会造成显著的负面影响，不涉及公园内动植物的主要分布区域，对森林公园的生物多样性的影响预测为小</w:t>
      </w:r>
      <w:r>
        <w:rPr>
          <w:rFonts w:hint="eastAsia"/>
          <w:color w:val="auto"/>
          <w:highlight w:val="none"/>
          <w:lang w:eastAsia="zh-CN"/>
        </w:rPr>
        <w:t>。</w:t>
      </w:r>
    </w:p>
    <w:p>
      <w:pPr>
        <w:pStyle w:val="5"/>
        <w:numPr>
          <w:ilvl w:val="1"/>
          <w:numId w:val="10"/>
        </w:numPr>
        <w:bidi w:val="0"/>
        <w:ind w:left="0" w:leftChars="0" w:firstLine="0" w:firstLineChars="0"/>
        <w:rPr>
          <w:color w:val="auto"/>
          <w:highlight w:val="none"/>
        </w:rPr>
      </w:pPr>
      <w:bookmarkStart w:id="379" w:name="5.2 地下水环境影响预测与评价"/>
      <w:bookmarkEnd w:id="379"/>
      <w:bookmarkStart w:id="380" w:name="_bookmark27"/>
      <w:bookmarkEnd w:id="380"/>
      <w:bookmarkStart w:id="381" w:name="_Toc21644"/>
      <w:bookmarkStart w:id="382" w:name="_Toc24281"/>
      <w:r>
        <w:rPr>
          <w:color w:val="auto"/>
          <w:highlight w:val="none"/>
        </w:rPr>
        <w:t>地下水环境影响预测与评价</w:t>
      </w:r>
      <w:bookmarkEnd w:id="381"/>
      <w:bookmarkEnd w:id="382"/>
    </w:p>
    <w:p>
      <w:pPr>
        <w:pStyle w:val="6"/>
        <w:numPr>
          <w:ilvl w:val="2"/>
          <w:numId w:val="10"/>
        </w:numPr>
        <w:bidi w:val="0"/>
        <w:ind w:left="0" w:leftChars="0" w:firstLine="0" w:firstLineChars="0"/>
        <w:rPr>
          <w:color w:val="auto"/>
          <w:highlight w:val="none"/>
        </w:rPr>
      </w:pPr>
      <w:bookmarkStart w:id="383" w:name="5.2.1 地质条件"/>
      <w:bookmarkEnd w:id="383"/>
      <w:bookmarkStart w:id="384" w:name="5.2.1 地质条件"/>
      <w:bookmarkEnd w:id="384"/>
      <w:bookmarkStart w:id="385" w:name="_Toc5268"/>
      <w:bookmarkStart w:id="386" w:name="_Toc32141"/>
      <w:r>
        <w:rPr>
          <w:color w:val="auto"/>
          <w:highlight w:val="none"/>
        </w:rPr>
        <w:t>地质条件</w:t>
      </w:r>
      <w:bookmarkEnd w:id="385"/>
      <w:bookmarkEnd w:id="386"/>
    </w:p>
    <w:p>
      <w:pPr>
        <w:pStyle w:val="7"/>
        <w:numPr>
          <w:ilvl w:val="3"/>
          <w:numId w:val="10"/>
        </w:numPr>
        <w:bidi w:val="0"/>
        <w:ind w:left="0" w:leftChars="0" w:firstLine="0" w:firstLineChars="0"/>
        <w:rPr>
          <w:color w:val="auto"/>
          <w:highlight w:val="none"/>
        </w:rPr>
      </w:pPr>
      <w:r>
        <w:rPr>
          <w:color w:val="auto"/>
          <w:highlight w:val="none"/>
        </w:rPr>
        <w:t>区域地质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区域地层</w:t>
      </w:r>
    </w:p>
    <w:p>
      <w:pPr>
        <w:bidi w:val="0"/>
        <w:rPr>
          <w:color w:val="auto"/>
          <w:highlight w:val="none"/>
        </w:rPr>
      </w:pPr>
      <w:r>
        <w:rPr>
          <w:color w:val="auto"/>
          <w:highlight w:val="none"/>
        </w:rPr>
        <w:t>按《四川省区域地层表》划分，处于四川盆地分区中的万县小区西部，全为沉积岩分布，地层出露较全。除泥盆系、白垩系、第三系缺失外，从寒武系至第四系皆有不同程度的发育，尤以中生界侏罗系、三叠系地层出露最广，侏罗系厚度3027.69</w:t>
      </w:r>
      <w:r>
        <w:rPr>
          <w:rFonts w:hint="eastAsia"/>
          <w:color w:val="auto"/>
          <w:highlight w:val="none"/>
        </w:rPr>
        <w:t>m</w:t>
      </w:r>
      <w:r>
        <w:rPr>
          <w:color w:val="auto"/>
          <w:highlight w:val="none"/>
        </w:rPr>
        <w:t>～4518.92m，三叠系厚度1124.61m～2227.90m</w:t>
      </w:r>
      <w:r>
        <w:rPr>
          <w:rFonts w:hint="eastAsia"/>
          <w:color w:val="auto"/>
          <w:highlight w:val="none"/>
        </w:rPr>
        <w:t>。</w:t>
      </w:r>
      <w:r>
        <w:rPr>
          <w:color w:val="auto"/>
          <w:highlight w:val="none"/>
        </w:rPr>
        <w:t xml:space="preserve">，区域地层见表 </w:t>
      </w:r>
      <w:r>
        <w:rPr>
          <w:rFonts w:ascii="Times New Roman" w:eastAsia="Times New Roman"/>
          <w:color w:val="auto"/>
          <w:highlight w:val="none"/>
        </w:rPr>
        <w:t>5.2-1</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5.2-1</w:t>
      </w:r>
      <w:r>
        <w:rPr>
          <w:rFonts w:hint="eastAsia"/>
          <w:b/>
          <w:color w:val="auto"/>
          <w:sz w:val="21"/>
          <w:highlight w:val="none"/>
          <w:lang w:val="en-US" w:eastAsia="zh-CN"/>
        </w:rPr>
        <w:t xml:space="preserve">   </w:t>
      </w:r>
      <w:r>
        <w:rPr>
          <w:b/>
          <w:color w:val="auto"/>
          <w:sz w:val="21"/>
          <w:highlight w:val="none"/>
        </w:rPr>
        <w:t>区域地层简表</w:t>
      </w:r>
    </w:p>
    <w:tbl>
      <w:tblPr>
        <w:tblStyle w:val="17"/>
        <w:tblW w:w="500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36"/>
        <w:gridCol w:w="783"/>
        <w:gridCol w:w="583"/>
        <w:gridCol w:w="1376"/>
        <w:gridCol w:w="832"/>
        <w:gridCol w:w="984"/>
        <w:gridCol w:w="40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7" w:hRule="atLeast"/>
          <w:tblHeader/>
          <w:jc w:val="center"/>
        </w:trPr>
        <w:tc>
          <w:tcPr>
            <w:tcW w:w="3574" w:type="dxa"/>
            <w:gridSpan w:val="4"/>
            <w:noWrap w:val="0"/>
            <w:vAlign w:val="center"/>
          </w:tcPr>
          <w:p>
            <w:pPr>
              <w:pStyle w:val="22"/>
              <w:bidi w:val="0"/>
              <w:rPr>
                <w:color w:val="auto"/>
                <w:highlight w:val="none"/>
              </w:rPr>
            </w:pPr>
            <w:r>
              <w:rPr>
                <w:color w:val="auto"/>
                <w:highlight w:val="none"/>
              </w:rPr>
              <w:t>地层单位</w:t>
            </w:r>
          </w:p>
        </w:tc>
        <w:tc>
          <w:tcPr>
            <w:tcW w:w="831" w:type="dxa"/>
            <w:vMerge w:val="restart"/>
            <w:noWrap w:val="0"/>
            <w:vAlign w:val="center"/>
          </w:tcPr>
          <w:p>
            <w:pPr>
              <w:pStyle w:val="22"/>
              <w:bidi w:val="0"/>
              <w:rPr>
                <w:color w:val="auto"/>
                <w:highlight w:val="none"/>
              </w:rPr>
            </w:pPr>
            <w:r>
              <w:rPr>
                <w:color w:val="auto"/>
                <w:highlight w:val="none"/>
              </w:rPr>
              <w:t>号代</w:t>
            </w:r>
          </w:p>
        </w:tc>
        <w:tc>
          <w:tcPr>
            <w:tcW w:w="983" w:type="dxa"/>
            <w:vMerge w:val="restart"/>
            <w:noWrap w:val="0"/>
            <w:vAlign w:val="center"/>
          </w:tcPr>
          <w:p>
            <w:pPr>
              <w:pStyle w:val="22"/>
              <w:bidi w:val="0"/>
              <w:rPr>
                <w:color w:val="auto"/>
                <w:highlight w:val="none"/>
              </w:rPr>
            </w:pPr>
            <w:r>
              <w:rPr>
                <w:color w:val="auto"/>
                <w:highlight w:val="none"/>
              </w:rPr>
              <w:t>厚度</w:t>
            </w:r>
            <w:r>
              <w:rPr>
                <w:rFonts w:hint="eastAsia"/>
                <w:color w:val="auto"/>
                <w:highlight w:val="none"/>
              </w:rPr>
              <w:t>/m</w:t>
            </w:r>
          </w:p>
        </w:tc>
        <w:tc>
          <w:tcPr>
            <w:tcW w:w="4031" w:type="dxa"/>
            <w:vMerge w:val="restart"/>
            <w:noWrap w:val="0"/>
            <w:vAlign w:val="center"/>
          </w:tcPr>
          <w:p>
            <w:pPr>
              <w:pStyle w:val="22"/>
              <w:bidi w:val="0"/>
              <w:rPr>
                <w:color w:val="auto"/>
                <w:highlight w:val="none"/>
              </w:rPr>
            </w:pPr>
            <w:r>
              <w:rPr>
                <w:color w:val="auto"/>
                <w:highlight w:val="none"/>
              </w:rPr>
              <w:t>主要岩性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tblHeader/>
          <w:jc w:val="center"/>
        </w:trPr>
        <w:tc>
          <w:tcPr>
            <w:tcW w:w="835" w:type="dxa"/>
            <w:noWrap w:val="0"/>
            <w:vAlign w:val="center"/>
          </w:tcPr>
          <w:p>
            <w:pPr>
              <w:pStyle w:val="22"/>
              <w:bidi w:val="0"/>
              <w:rPr>
                <w:color w:val="auto"/>
                <w:highlight w:val="none"/>
              </w:rPr>
            </w:pPr>
            <w:r>
              <w:rPr>
                <w:color w:val="auto"/>
                <w:highlight w:val="none"/>
              </w:rPr>
              <w:t>系</w:t>
            </w:r>
          </w:p>
        </w:tc>
        <w:tc>
          <w:tcPr>
            <w:tcW w:w="782" w:type="dxa"/>
            <w:noWrap w:val="0"/>
            <w:vAlign w:val="center"/>
          </w:tcPr>
          <w:p>
            <w:pPr>
              <w:pStyle w:val="22"/>
              <w:bidi w:val="0"/>
              <w:rPr>
                <w:color w:val="auto"/>
                <w:highlight w:val="none"/>
              </w:rPr>
            </w:pPr>
            <w:r>
              <w:rPr>
                <w:color w:val="auto"/>
                <w:highlight w:val="none"/>
              </w:rPr>
              <w:t>统</w:t>
            </w:r>
          </w:p>
        </w:tc>
        <w:tc>
          <w:tcPr>
            <w:tcW w:w="1957" w:type="dxa"/>
            <w:gridSpan w:val="2"/>
            <w:noWrap w:val="0"/>
            <w:vAlign w:val="center"/>
          </w:tcPr>
          <w:p>
            <w:pPr>
              <w:pStyle w:val="22"/>
              <w:bidi w:val="0"/>
              <w:rPr>
                <w:color w:val="auto"/>
                <w:highlight w:val="none"/>
              </w:rPr>
            </w:pPr>
            <w:r>
              <w:rPr>
                <w:color w:val="auto"/>
                <w:highlight w:val="none"/>
              </w:rPr>
              <w:t>组(段)</w:t>
            </w:r>
          </w:p>
        </w:tc>
        <w:tc>
          <w:tcPr>
            <w:tcW w:w="831" w:type="dxa"/>
            <w:vMerge w:val="continue"/>
            <w:noWrap w:val="0"/>
            <w:vAlign w:val="center"/>
          </w:tcPr>
          <w:p>
            <w:pPr>
              <w:pStyle w:val="22"/>
              <w:bidi w:val="0"/>
              <w:rPr>
                <w:color w:val="auto"/>
                <w:highlight w:val="none"/>
              </w:rPr>
            </w:pPr>
          </w:p>
        </w:tc>
        <w:tc>
          <w:tcPr>
            <w:tcW w:w="983" w:type="dxa"/>
            <w:vMerge w:val="continue"/>
            <w:noWrap w:val="0"/>
            <w:vAlign w:val="center"/>
          </w:tcPr>
          <w:p>
            <w:pPr>
              <w:pStyle w:val="22"/>
              <w:bidi w:val="0"/>
              <w:rPr>
                <w:color w:val="auto"/>
                <w:highlight w:val="none"/>
              </w:rPr>
            </w:pPr>
          </w:p>
        </w:tc>
        <w:tc>
          <w:tcPr>
            <w:tcW w:w="4031" w:type="dxa"/>
            <w:vMerge w:val="continue"/>
            <w:noWrap w:val="0"/>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3" w:hRule="atLeast"/>
          <w:jc w:val="center"/>
        </w:trPr>
        <w:tc>
          <w:tcPr>
            <w:tcW w:w="835" w:type="dxa"/>
            <w:vMerge w:val="restart"/>
            <w:noWrap w:val="0"/>
            <w:vAlign w:val="center"/>
          </w:tcPr>
          <w:p>
            <w:pPr>
              <w:pStyle w:val="22"/>
              <w:bidi w:val="0"/>
              <w:rPr>
                <w:color w:val="auto"/>
                <w:highlight w:val="none"/>
              </w:rPr>
            </w:pPr>
            <w:r>
              <w:rPr>
                <w:color w:val="auto"/>
                <w:highlight w:val="none"/>
              </w:rPr>
              <w:t>第四系</w:t>
            </w:r>
          </w:p>
        </w:tc>
        <w:tc>
          <w:tcPr>
            <w:tcW w:w="782" w:type="dxa"/>
            <w:noWrap w:val="0"/>
            <w:vAlign w:val="center"/>
          </w:tcPr>
          <w:p>
            <w:pPr>
              <w:pStyle w:val="22"/>
              <w:bidi w:val="0"/>
              <w:rPr>
                <w:color w:val="auto"/>
                <w:highlight w:val="none"/>
              </w:rPr>
            </w:pPr>
            <w:r>
              <w:rPr>
                <w:color w:val="auto"/>
                <w:highlight w:val="none"/>
              </w:rPr>
              <w:t>全新统</w:t>
            </w:r>
          </w:p>
        </w:tc>
        <w:tc>
          <w:tcPr>
            <w:tcW w:w="1957" w:type="dxa"/>
            <w:gridSpan w:val="2"/>
            <w:noWrap w:val="0"/>
            <w:vAlign w:val="center"/>
          </w:tcPr>
          <w:p>
            <w:pPr>
              <w:pStyle w:val="22"/>
              <w:bidi w:val="0"/>
              <w:rPr>
                <w:color w:val="auto"/>
                <w:highlight w:val="none"/>
              </w:rPr>
            </w:pPr>
          </w:p>
        </w:tc>
        <w:tc>
          <w:tcPr>
            <w:tcW w:w="831" w:type="dxa"/>
            <w:noWrap w:val="0"/>
            <w:vAlign w:val="center"/>
          </w:tcPr>
          <w:p>
            <w:pPr>
              <w:pStyle w:val="22"/>
              <w:bidi w:val="0"/>
              <w:rPr>
                <w:color w:val="auto"/>
                <w:highlight w:val="none"/>
              </w:rPr>
            </w:pPr>
            <w:r>
              <w:rPr>
                <w:color w:val="auto"/>
                <w:highlight w:val="none"/>
              </w:rPr>
              <w:t>Q</w:t>
            </w:r>
            <w:r>
              <w:rPr>
                <w:i/>
                <w:iCs/>
                <w:color w:val="auto"/>
                <w:highlight w:val="none"/>
              </w:rPr>
              <w:t>h</w:t>
            </w:r>
          </w:p>
        </w:tc>
        <w:tc>
          <w:tcPr>
            <w:tcW w:w="983" w:type="dxa"/>
            <w:noWrap w:val="0"/>
            <w:vAlign w:val="center"/>
          </w:tcPr>
          <w:p>
            <w:pPr>
              <w:pStyle w:val="22"/>
              <w:bidi w:val="0"/>
              <w:rPr>
                <w:color w:val="auto"/>
                <w:highlight w:val="none"/>
              </w:rPr>
            </w:pPr>
            <w:r>
              <w:rPr>
                <w:color w:val="auto"/>
                <w:highlight w:val="none"/>
              </w:rPr>
              <w:t>0~15</w:t>
            </w:r>
          </w:p>
        </w:tc>
        <w:tc>
          <w:tcPr>
            <w:tcW w:w="4031" w:type="dxa"/>
            <w:noWrap w:val="0"/>
            <w:vAlign w:val="center"/>
          </w:tcPr>
          <w:p>
            <w:pPr>
              <w:pStyle w:val="22"/>
              <w:bidi w:val="0"/>
              <w:rPr>
                <w:color w:val="auto"/>
                <w:highlight w:val="none"/>
              </w:rPr>
            </w:pPr>
            <w:r>
              <w:rPr>
                <w:color w:val="auto"/>
                <w:highlight w:val="none"/>
              </w:rPr>
              <w:t>粘土、砂土、砂砾石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835" w:type="dxa"/>
            <w:vMerge w:val="continue"/>
            <w:noWrap w:val="0"/>
            <w:vAlign w:val="center"/>
          </w:tcPr>
          <w:p>
            <w:pPr>
              <w:pStyle w:val="22"/>
              <w:bidi w:val="0"/>
              <w:rPr>
                <w:color w:val="auto"/>
                <w:highlight w:val="none"/>
              </w:rPr>
            </w:pPr>
          </w:p>
        </w:tc>
        <w:tc>
          <w:tcPr>
            <w:tcW w:w="782" w:type="dxa"/>
            <w:noWrap w:val="0"/>
            <w:vAlign w:val="center"/>
          </w:tcPr>
          <w:p>
            <w:pPr>
              <w:pStyle w:val="22"/>
              <w:bidi w:val="0"/>
              <w:rPr>
                <w:color w:val="auto"/>
                <w:highlight w:val="none"/>
              </w:rPr>
            </w:pPr>
            <w:r>
              <w:rPr>
                <w:color w:val="auto"/>
                <w:highlight w:val="none"/>
              </w:rPr>
              <w:t>更新统</w:t>
            </w:r>
          </w:p>
        </w:tc>
        <w:tc>
          <w:tcPr>
            <w:tcW w:w="1957" w:type="dxa"/>
            <w:gridSpan w:val="2"/>
            <w:noWrap w:val="0"/>
            <w:vAlign w:val="center"/>
          </w:tcPr>
          <w:p>
            <w:pPr>
              <w:pStyle w:val="22"/>
              <w:bidi w:val="0"/>
              <w:rPr>
                <w:color w:val="auto"/>
                <w:highlight w:val="none"/>
              </w:rPr>
            </w:pPr>
          </w:p>
        </w:tc>
        <w:tc>
          <w:tcPr>
            <w:tcW w:w="831" w:type="dxa"/>
            <w:noWrap w:val="0"/>
            <w:vAlign w:val="center"/>
          </w:tcPr>
          <w:p>
            <w:pPr>
              <w:pStyle w:val="22"/>
              <w:bidi w:val="0"/>
              <w:rPr>
                <w:color w:val="auto"/>
                <w:highlight w:val="none"/>
              </w:rPr>
            </w:pPr>
            <w:r>
              <w:rPr>
                <w:color w:val="auto"/>
                <w:highlight w:val="none"/>
              </w:rPr>
              <w:t>Q</w:t>
            </w:r>
            <w:r>
              <w:rPr>
                <w:i/>
                <w:iCs/>
                <w:color w:val="auto"/>
                <w:highlight w:val="none"/>
              </w:rPr>
              <w:t>p</w:t>
            </w:r>
          </w:p>
        </w:tc>
        <w:tc>
          <w:tcPr>
            <w:tcW w:w="983" w:type="dxa"/>
            <w:noWrap w:val="0"/>
            <w:vAlign w:val="center"/>
          </w:tcPr>
          <w:p>
            <w:pPr>
              <w:pStyle w:val="22"/>
              <w:bidi w:val="0"/>
              <w:rPr>
                <w:color w:val="auto"/>
                <w:highlight w:val="none"/>
              </w:rPr>
            </w:pPr>
            <w:r>
              <w:rPr>
                <w:color w:val="auto"/>
                <w:highlight w:val="none"/>
              </w:rPr>
              <w:t>0~29</w:t>
            </w:r>
          </w:p>
        </w:tc>
        <w:tc>
          <w:tcPr>
            <w:tcW w:w="4031" w:type="dxa"/>
            <w:noWrap w:val="0"/>
            <w:vAlign w:val="center"/>
          </w:tcPr>
          <w:p>
            <w:pPr>
              <w:pStyle w:val="22"/>
              <w:bidi w:val="0"/>
              <w:rPr>
                <w:color w:val="auto"/>
                <w:highlight w:val="none"/>
              </w:rPr>
            </w:pPr>
            <w:r>
              <w:rPr>
                <w:color w:val="auto"/>
                <w:highlight w:val="none"/>
              </w:rPr>
              <w:t>粘土、冲积砾石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835" w:type="dxa"/>
            <w:vMerge w:val="restart"/>
            <w:noWrap w:val="0"/>
            <w:vAlign w:val="center"/>
          </w:tcPr>
          <w:p>
            <w:pPr>
              <w:pStyle w:val="22"/>
              <w:bidi w:val="0"/>
              <w:rPr>
                <w:color w:val="auto"/>
                <w:highlight w:val="none"/>
              </w:rPr>
            </w:pPr>
            <w:r>
              <w:rPr>
                <w:color w:val="auto"/>
                <w:highlight w:val="none"/>
              </w:rPr>
              <w:t>侏罗纪</w:t>
            </w:r>
          </w:p>
        </w:tc>
        <w:tc>
          <w:tcPr>
            <w:tcW w:w="782" w:type="dxa"/>
            <w:noWrap w:val="0"/>
            <w:vAlign w:val="center"/>
          </w:tcPr>
          <w:p>
            <w:pPr>
              <w:pStyle w:val="22"/>
              <w:bidi w:val="0"/>
              <w:rPr>
                <w:color w:val="auto"/>
                <w:highlight w:val="none"/>
              </w:rPr>
            </w:pPr>
            <w:r>
              <w:rPr>
                <w:color w:val="auto"/>
                <w:highlight w:val="none"/>
              </w:rPr>
              <w:t>上统</w:t>
            </w:r>
          </w:p>
        </w:tc>
        <w:tc>
          <w:tcPr>
            <w:tcW w:w="1957" w:type="dxa"/>
            <w:gridSpan w:val="2"/>
            <w:noWrap w:val="0"/>
            <w:vAlign w:val="center"/>
          </w:tcPr>
          <w:p>
            <w:pPr>
              <w:pStyle w:val="22"/>
              <w:bidi w:val="0"/>
              <w:rPr>
                <w:color w:val="auto"/>
                <w:highlight w:val="none"/>
              </w:rPr>
            </w:pPr>
            <w:r>
              <w:rPr>
                <w:color w:val="auto"/>
                <w:highlight w:val="none"/>
              </w:rPr>
              <w:t>遂宁组</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3</w:t>
            </w:r>
            <w:r>
              <w:rPr>
                <w:i/>
                <w:iCs/>
                <w:color w:val="auto"/>
                <w:highlight w:val="none"/>
              </w:rPr>
              <w:t>s</w:t>
            </w:r>
          </w:p>
        </w:tc>
        <w:tc>
          <w:tcPr>
            <w:tcW w:w="983" w:type="dxa"/>
            <w:noWrap w:val="0"/>
            <w:vAlign w:val="center"/>
          </w:tcPr>
          <w:p>
            <w:pPr>
              <w:pStyle w:val="22"/>
              <w:bidi w:val="0"/>
              <w:rPr>
                <w:color w:val="auto"/>
                <w:highlight w:val="none"/>
              </w:rPr>
            </w:pPr>
            <w:r>
              <w:rPr>
                <w:color w:val="auto"/>
                <w:highlight w:val="none"/>
              </w:rPr>
              <w:t>398~410</w:t>
            </w:r>
          </w:p>
        </w:tc>
        <w:tc>
          <w:tcPr>
            <w:tcW w:w="4031" w:type="dxa"/>
            <w:noWrap w:val="0"/>
            <w:vAlign w:val="center"/>
          </w:tcPr>
          <w:p>
            <w:pPr>
              <w:pStyle w:val="22"/>
              <w:bidi w:val="0"/>
              <w:rPr>
                <w:color w:val="auto"/>
                <w:highlight w:val="none"/>
              </w:rPr>
            </w:pPr>
            <w:r>
              <w:rPr>
                <w:color w:val="auto"/>
                <w:highlight w:val="none"/>
              </w:rPr>
              <w:t>泥岩，夹石英粉砂岩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35" w:type="dxa"/>
            <w:vMerge w:val="continue"/>
            <w:noWrap w:val="0"/>
            <w:vAlign w:val="center"/>
          </w:tcPr>
          <w:p>
            <w:pPr>
              <w:pStyle w:val="22"/>
              <w:bidi w:val="0"/>
              <w:rPr>
                <w:color w:val="auto"/>
                <w:highlight w:val="none"/>
              </w:rPr>
            </w:pPr>
          </w:p>
        </w:tc>
        <w:tc>
          <w:tcPr>
            <w:tcW w:w="782" w:type="dxa"/>
            <w:vMerge w:val="restart"/>
            <w:noWrap w:val="0"/>
            <w:vAlign w:val="center"/>
          </w:tcPr>
          <w:p>
            <w:pPr>
              <w:pStyle w:val="22"/>
              <w:bidi w:val="0"/>
              <w:rPr>
                <w:color w:val="auto"/>
                <w:highlight w:val="none"/>
              </w:rPr>
            </w:pPr>
            <w:r>
              <w:rPr>
                <w:color w:val="auto"/>
                <w:highlight w:val="none"/>
              </w:rPr>
              <w:t>中统</w:t>
            </w:r>
          </w:p>
        </w:tc>
        <w:tc>
          <w:tcPr>
            <w:tcW w:w="1957" w:type="dxa"/>
            <w:gridSpan w:val="2"/>
            <w:noWrap w:val="0"/>
            <w:vAlign w:val="center"/>
          </w:tcPr>
          <w:p>
            <w:pPr>
              <w:pStyle w:val="22"/>
              <w:bidi w:val="0"/>
              <w:rPr>
                <w:color w:val="auto"/>
                <w:highlight w:val="none"/>
              </w:rPr>
            </w:pPr>
            <w:r>
              <w:rPr>
                <w:color w:val="auto"/>
                <w:highlight w:val="none"/>
              </w:rPr>
              <w:t>上沙溪庙组</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2</w:t>
            </w:r>
            <w:r>
              <w:rPr>
                <w:i/>
                <w:iCs/>
                <w:color w:val="auto"/>
                <w:highlight w:val="none"/>
              </w:rPr>
              <w:t>s</w:t>
            </w:r>
            <w:r>
              <w:rPr>
                <w:color w:val="auto"/>
                <w:highlight w:val="none"/>
                <w:vertAlign w:val="superscript"/>
              </w:rPr>
              <w:t>2</w:t>
            </w:r>
          </w:p>
        </w:tc>
        <w:tc>
          <w:tcPr>
            <w:tcW w:w="983" w:type="dxa"/>
            <w:noWrap w:val="0"/>
            <w:vAlign w:val="center"/>
          </w:tcPr>
          <w:p>
            <w:pPr>
              <w:pStyle w:val="22"/>
              <w:bidi w:val="0"/>
              <w:rPr>
                <w:color w:val="auto"/>
                <w:highlight w:val="none"/>
              </w:rPr>
            </w:pPr>
            <w:r>
              <w:rPr>
                <w:color w:val="auto"/>
                <w:highlight w:val="none"/>
              </w:rPr>
              <w:t>＞1340</w:t>
            </w:r>
          </w:p>
        </w:tc>
        <w:tc>
          <w:tcPr>
            <w:tcW w:w="4031" w:type="dxa"/>
            <w:noWrap w:val="0"/>
            <w:vAlign w:val="center"/>
          </w:tcPr>
          <w:p>
            <w:pPr>
              <w:pStyle w:val="22"/>
              <w:bidi w:val="0"/>
              <w:rPr>
                <w:color w:val="auto"/>
                <w:highlight w:val="none"/>
              </w:rPr>
            </w:pPr>
            <w:r>
              <w:rPr>
                <w:color w:val="auto"/>
                <w:highlight w:val="none"/>
              </w:rPr>
              <w:t>泥岩、砂质泥岩与岩屑长石砂岩、粉砂岩互层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6"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1957" w:type="dxa"/>
            <w:gridSpan w:val="2"/>
            <w:noWrap w:val="0"/>
            <w:vAlign w:val="center"/>
          </w:tcPr>
          <w:p>
            <w:pPr>
              <w:pStyle w:val="22"/>
              <w:bidi w:val="0"/>
              <w:rPr>
                <w:color w:val="auto"/>
                <w:highlight w:val="none"/>
              </w:rPr>
            </w:pPr>
            <w:r>
              <w:rPr>
                <w:color w:val="auto"/>
                <w:highlight w:val="none"/>
              </w:rPr>
              <w:t>下沙溪庙组</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2</w:t>
            </w:r>
            <w:r>
              <w:rPr>
                <w:i/>
                <w:iCs/>
                <w:color w:val="auto"/>
                <w:highlight w:val="none"/>
              </w:rPr>
              <w:t>s</w:t>
            </w:r>
            <w:r>
              <w:rPr>
                <w:color w:val="auto"/>
                <w:highlight w:val="none"/>
                <w:vertAlign w:val="superscript"/>
              </w:rPr>
              <w:t>1</w:t>
            </w:r>
          </w:p>
        </w:tc>
        <w:tc>
          <w:tcPr>
            <w:tcW w:w="983" w:type="dxa"/>
            <w:noWrap w:val="0"/>
            <w:vAlign w:val="center"/>
          </w:tcPr>
          <w:p>
            <w:pPr>
              <w:pStyle w:val="22"/>
              <w:bidi w:val="0"/>
              <w:rPr>
                <w:color w:val="auto"/>
                <w:highlight w:val="none"/>
              </w:rPr>
            </w:pPr>
            <w:r>
              <w:rPr>
                <w:color w:val="auto"/>
                <w:highlight w:val="none"/>
              </w:rPr>
              <w:t>251~467</w:t>
            </w:r>
          </w:p>
        </w:tc>
        <w:tc>
          <w:tcPr>
            <w:tcW w:w="4031" w:type="dxa"/>
            <w:noWrap w:val="0"/>
            <w:vAlign w:val="center"/>
          </w:tcPr>
          <w:p>
            <w:pPr>
              <w:pStyle w:val="22"/>
              <w:bidi w:val="0"/>
              <w:rPr>
                <w:color w:val="auto"/>
                <w:highlight w:val="none"/>
              </w:rPr>
            </w:pPr>
            <w:r>
              <w:rPr>
                <w:color w:val="auto"/>
                <w:highlight w:val="none"/>
              </w:rPr>
              <w:t>泥岩夹岩屑长石砂岩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7"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1957" w:type="dxa"/>
            <w:gridSpan w:val="2"/>
            <w:noWrap w:val="0"/>
            <w:vAlign w:val="center"/>
          </w:tcPr>
          <w:p>
            <w:pPr>
              <w:pStyle w:val="22"/>
              <w:bidi w:val="0"/>
              <w:rPr>
                <w:color w:val="auto"/>
                <w:highlight w:val="none"/>
              </w:rPr>
            </w:pPr>
            <w:r>
              <w:rPr>
                <w:color w:val="auto"/>
                <w:highlight w:val="none"/>
              </w:rPr>
              <w:t>新田沟组</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2x</w:t>
            </w:r>
          </w:p>
        </w:tc>
        <w:tc>
          <w:tcPr>
            <w:tcW w:w="983" w:type="dxa"/>
            <w:noWrap w:val="0"/>
            <w:vAlign w:val="center"/>
          </w:tcPr>
          <w:p>
            <w:pPr>
              <w:pStyle w:val="22"/>
              <w:bidi w:val="0"/>
              <w:rPr>
                <w:color w:val="auto"/>
                <w:highlight w:val="none"/>
              </w:rPr>
            </w:pPr>
            <w:r>
              <w:rPr>
                <w:color w:val="auto"/>
                <w:highlight w:val="none"/>
              </w:rPr>
              <w:t>103~276</w:t>
            </w:r>
          </w:p>
        </w:tc>
        <w:tc>
          <w:tcPr>
            <w:tcW w:w="4031" w:type="dxa"/>
            <w:noWrap w:val="0"/>
            <w:vAlign w:val="center"/>
          </w:tcPr>
          <w:p>
            <w:pPr>
              <w:pStyle w:val="22"/>
              <w:bidi w:val="0"/>
              <w:rPr>
                <w:color w:val="auto"/>
                <w:highlight w:val="none"/>
              </w:rPr>
            </w:pPr>
            <w:r>
              <w:rPr>
                <w:color w:val="auto"/>
                <w:highlight w:val="none"/>
              </w:rPr>
              <w:t>泥岩、岩屑长石砂岩、砂岩中夹生物碎屑灰岩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8" w:hRule="atLeast"/>
          <w:jc w:val="center"/>
        </w:trPr>
        <w:tc>
          <w:tcPr>
            <w:tcW w:w="835" w:type="dxa"/>
            <w:vMerge w:val="continue"/>
            <w:noWrap w:val="0"/>
            <w:vAlign w:val="center"/>
          </w:tcPr>
          <w:p>
            <w:pPr>
              <w:pStyle w:val="22"/>
              <w:bidi w:val="0"/>
              <w:rPr>
                <w:color w:val="auto"/>
                <w:highlight w:val="none"/>
              </w:rPr>
            </w:pPr>
          </w:p>
        </w:tc>
        <w:tc>
          <w:tcPr>
            <w:tcW w:w="782" w:type="dxa"/>
            <w:vMerge w:val="restart"/>
            <w:noWrap w:val="0"/>
            <w:vAlign w:val="center"/>
          </w:tcPr>
          <w:p>
            <w:pPr>
              <w:pStyle w:val="22"/>
              <w:bidi w:val="0"/>
              <w:rPr>
                <w:color w:val="auto"/>
                <w:highlight w:val="none"/>
              </w:rPr>
            </w:pPr>
            <w:r>
              <w:rPr>
                <w:color w:val="auto"/>
                <w:highlight w:val="none"/>
              </w:rPr>
              <w:t>中下统</w:t>
            </w:r>
          </w:p>
        </w:tc>
        <w:tc>
          <w:tcPr>
            <w:tcW w:w="582" w:type="dxa"/>
            <w:vMerge w:val="restart"/>
            <w:noWrap w:val="0"/>
            <w:vAlign w:val="center"/>
          </w:tcPr>
          <w:p>
            <w:pPr>
              <w:pStyle w:val="22"/>
              <w:bidi w:val="0"/>
              <w:rPr>
                <w:color w:val="auto"/>
                <w:highlight w:val="none"/>
              </w:rPr>
            </w:pPr>
            <w:r>
              <w:rPr>
                <w:color w:val="auto"/>
                <w:highlight w:val="none"/>
              </w:rPr>
              <w:t>自流井组</w:t>
            </w:r>
          </w:p>
        </w:tc>
        <w:tc>
          <w:tcPr>
            <w:tcW w:w="1375" w:type="dxa"/>
            <w:noWrap w:val="0"/>
            <w:vAlign w:val="center"/>
          </w:tcPr>
          <w:p>
            <w:pPr>
              <w:pStyle w:val="22"/>
              <w:bidi w:val="0"/>
              <w:rPr>
                <w:color w:val="auto"/>
                <w:highlight w:val="none"/>
              </w:rPr>
            </w:pPr>
            <w:r>
              <w:rPr>
                <w:color w:val="auto"/>
                <w:highlight w:val="none"/>
              </w:rPr>
              <w:t>大安寨段</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1-2</w:t>
            </w:r>
            <w:r>
              <w:rPr>
                <w:i/>
                <w:iCs/>
                <w:color w:val="auto"/>
                <w:highlight w:val="none"/>
              </w:rPr>
              <w:t>z</w:t>
            </w:r>
            <w:r>
              <w:rPr>
                <w:color w:val="auto"/>
                <w:highlight w:val="none"/>
                <w:vertAlign w:val="superscript"/>
              </w:rPr>
              <w:t>3</w:t>
            </w:r>
          </w:p>
        </w:tc>
        <w:tc>
          <w:tcPr>
            <w:tcW w:w="983" w:type="dxa"/>
            <w:noWrap w:val="0"/>
            <w:vAlign w:val="center"/>
          </w:tcPr>
          <w:p>
            <w:pPr>
              <w:pStyle w:val="22"/>
              <w:bidi w:val="0"/>
              <w:rPr>
                <w:color w:val="auto"/>
                <w:highlight w:val="none"/>
              </w:rPr>
            </w:pPr>
            <w:r>
              <w:rPr>
                <w:color w:val="auto"/>
                <w:highlight w:val="none"/>
              </w:rPr>
              <w:t>35~105</w:t>
            </w:r>
          </w:p>
        </w:tc>
        <w:tc>
          <w:tcPr>
            <w:tcW w:w="4031" w:type="dxa"/>
            <w:noWrap w:val="0"/>
            <w:vAlign w:val="center"/>
          </w:tcPr>
          <w:p>
            <w:pPr>
              <w:pStyle w:val="22"/>
              <w:bidi w:val="0"/>
              <w:rPr>
                <w:color w:val="auto"/>
                <w:highlight w:val="none"/>
              </w:rPr>
            </w:pPr>
            <w:r>
              <w:rPr>
                <w:color w:val="auto"/>
                <w:highlight w:val="none"/>
              </w:rPr>
              <w:t>石灰岩、生物碎屑灰岩夹泥岩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582" w:type="dxa"/>
            <w:vMerge w:val="continue"/>
            <w:noWrap w:val="0"/>
            <w:vAlign w:val="center"/>
          </w:tcPr>
          <w:p>
            <w:pPr>
              <w:pStyle w:val="22"/>
              <w:bidi w:val="0"/>
              <w:rPr>
                <w:color w:val="auto"/>
                <w:highlight w:val="none"/>
              </w:rPr>
            </w:pPr>
          </w:p>
        </w:tc>
        <w:tc>
          <w:tcPr>
            <w:tcW w:w="1375" w:type="dxa"/>
            <w:noWrap w:val="0"/>
            <w:vAlign w:val="center"/>
          </w:tcPr>
          <w:p>
            <w:pPr>
              <w:pStyle w:val="22"/>
              <w:bidi w:val="0"/>
              <w:rPr>
                <w:color w:val="auto"/>
                <w:highlight w:val="none"/>
              </w:rPr>
            </w:pPr>
            <w:r>
              <w:rPr>
                <w:color w:val="auto"/>
                <w:highlight w:val="none"/>
              </w:rPr>
              <w:t>马鞍山段</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1-2</w:t>
            </w:r>
            <w:r>
              <w:rPr>
                <w:i/>
                <w:iCs/>
                <w:color w:val="auto"/>
                <w:highlight w:val="none"/>
              </w:rPr>
              <w:t>z</w:t>
            </w:r>
            <w:r>
              <w:rPr>
                <w:color w:val="auto"/>
                <w:highlight w:val="none"/>
                <w:vertAlign w:val="superscript"/>
              </w:rPr>
              <w:t>2</w:t>
            </w:r>
          </w:p>
        </w:tc>
        <w:tc>
          <w:tcPr>
            <w:tcW w:w="983" w:type="dxa"/>
            <w:noWrap w:val="0"/>
            <w:vAlign w:val="center"/>
          </w:tcPr>
          <w:p>
            <w:pPr>
              <w:pStyle w:val="22"/>
              <w:bidi w:val="0"/>
              <w:rPr>
                <w:color w:val="auto"/>
                <w:highlight w:val="none"/>
              </w:rPr>
            </w:pPr>
            <w:r>
              <w:rPr>
                <w:color w:val="auto"/>
                <w:highlight w:val="none"/>
              </w:rPr>
              <w:t>71~146</w:t>
            </w:r>
          </w:p>
        </w:tc>
        <w:tc>
          <w:tcPr>
            <w:tcW w:w="4031" w:type="dxa"/>
            <w:noWrap w:val="0"/>
            <w:vAlign w:val="center"/>
          </w:tcPr>
          <w:p>
            <w:pPr>
              <w:pStyle w:val="22"/>
              <w:bidi w:val="0"/>
              <w:rPr>
                <w:color w:val="auto"/>
                <w:highlight w:val="none"/>
              </w:rPr>
            </w:pPr>
            <w:r>
              <w:rPr>
                <w:color w:val="auto"/>
                <w:highlight w:val="none"/>
              </w:rPr>
              <w:t>泥岩夹石英粉砂岩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8"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582" w:type="dxa"/>
            <w:vMerge w:val="continue"/>
            <w:noWrap w:val="0"/>
            <w:vAlign w:val="center"/>
          </w:tcPr>
          <w:p>
            <w:pPr>
              <w:pStyle w:val="22"/>
              <w:bidi w:val="0"/>
              <w:rPr>
                <w:color w:val="auto"/>
                <w:highlight w:val="none"/>
              </w:rPr>
            </w:pPr>
          </w:p>
        </w:tc>
        <w:tc>
          <w:tcPr>
            <w:tcW w:w="1375" w:type="dxa"/>
            <w:noWrap w:val="0"/>
            <w:vAlign w:val="center"/>
          </w:tcPr>
          <w:p>
            <w:pPr>
              <w:pStyle w:val="22"/>
              <w:bidi w:val="0"/>
              <w:rPr>
                <w:color w:val="auto"/>
                <w:highlight w:val="none"/>
              </w:rPr>
            </w:pPr>
            <w:r>
              <w:rPr>
                <w:color w:val="auto"/>
                <w:highlight w:val="none"/>
              </w:rPr>
              <w:t>东岳庙段</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1-2</w:t>
            </w:r>
            <w:r>
              <w:rPr>
                <w:i/>
                <w:iCs/>
                <w:color w:val="auto"/>
                <w:highlight w:val="none"/>
              </w:rPr>
              <w:t>z</w:t>
            </w:r>
            <w:r>
              <w:rPr>
                <w:color w:val="auto"/>
                <w:highlight w:val="none"/>
                <w:vertAlign w:val="superscript"/>
              </w:rPr>
              <w:t>1</w:t>
            </w:r>
          </w:p>
        </w:tc>
        <w:tc>
          <w:tcPr>
            <w:tcW w:w="983" w:type="dxa"/>
            <w:noWrap w:val="0"/>
            <w:vAlign w:val="center"/>
          </w:tcPr>
          <w:p>
            <w:pPr>
              <w:pStyle w:val="22"/>
              <w:bidi w:val="0"/>
              <w:rPr>
                <w:color w:val="auto"/>
                <w:highlight w:val="none"/>
              </w:rPr>
            </w:pPr>
            <w:r>
              <w:rPr>
                <w:color w:val="auto"/>
                <w:highlight w:val="none"/>
              </w:rPr>
              <w:t>46~58</w:t>
            </w:r>
          </w:p>
        </w:tc>
        <w:tc>
          <w:tcPr>
            <w:tcW w:w="4031" w:type="dxa"/>
            <w:noWrap w:val="0"/>
            <w:vAlign w:val="center"/>
          </w:tcPr>
          <w:p>
            <w:pPr>
              <w:pStyle w:val="22"/>
              <w:bidi w:val="0"/>
              <w:rPr>
                <w:color w:val="auto"/>
                <w:highlight w:val="none"/>
              </w:rPr>
            </w:pPr>
            <w:r>
              <w:rPr>
                <w:color w:val="auto"/>
                <w:highlight w:val="none"/>
              </w:rPr>
              <w:t>泥岩夹介壳灰岩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835" w:type="dxa"/>
            <w:vMerge w:val="continue"/>
            <w:noWrap w:val="0"/>
            <w:vAlign w:val="center"/>
          </w:tcPr>
          <w:p>
            <w:pPr>
              <w:pStyle w:val="22"/>
              <w:bidi w:val="0"/>
              <w:rPr>
                <w:color w:val="auto"/>
                <w:highlight w:val="none"/>
              </w:rPr>
            </w:pPr>
          </w:p>
        </w:tc>
        <w:tc>
          <w:tcPr>
            <w:tcW w:w="782" w:type="dxa"/>
            <w:noWrap w:val="0"/>
            <w:vAlign w:val="center"/>
          </w:tcPr>
          <w:p>
            <w:pPr>
              <w:pStyle w:val="22"/>
              <w:bidi w:val="0"/>
              <w:rPr>
                <w:color w:val="auto"/>
                <w:highlight w:val="none"/>
              </w:rPr>
            </w:pPr>
            <w:r>
              <w:rPr>
                <w:color w:val="auto"/>
                <w:highlight w:val="none"/>
              </w:rPr>
              <w:t>下统</w:t>
            </w:r>
          </w:p>
        </w:tc>
        <w:tc>
          <w:tcPr>
            <w:tcW w:w="582" w:type="dxa"/>
            <w:noWrap w:val="0"/>
            <w:vAlign w:val="center"/>
          </w:tcPr>
          <w:p>
            <w:pPr>
              <w:pStyle w:val="22"/>
              <w:bidi w:val="0"/>
              <w:rPr>
                <w:color w:val="auto"/>
                <w:highlight w:val="none"/>
              </w:rPr>
            </w:pPr>
          </w:p>
        </w:tc>
        <w:tc>
          <w:tcPr>
            <w:tcW w:w="1375" w:type="dxa"/>
            <w:noWrap w:val="0"/>
            <w:vAlign w:val="center"/>
          </w:tcPr>
          <w:p>
            <w:pPr>
              <w:pStyle w:val="22"/>
              <w:bidi w:val="0"/>
              <w:rPr>
                <w:color w:val="auto"/>
                <w:highlight w:val="none"/>
              </w:rPr>
            </w:pPr>
            <w:r>
              <w:rPr>
                <w:color w:val="auto"/>
                <w:highlight w:val="none"/>
              </w:rPr>
              <w:t>珍珠冲组</w:t>
            </w:r>
          </w:p>
        </w:tc>
        <w:tc>
          <w:tcPr>
            <w:tcW w:w="831" w:type="dxa"/>
            <w:noWrap w:val="0"/>
            <w:vAlign w:val="center"/>
          </w:tcPr>
          <w:p>
            <w:pPr>
              <w:pStyle w:val="22"/>
              <w:bidi w:val="0"/>
              <w:rPr>
                <w:color w:val="auto"/>
                <w:highlight w:val="none"/>
              </w:rPr>
            </w:pPr>
            <w:r>
              <w:rPr>
                <w:color w:val="auto"/>
                <w:highlight w:val="none"/>
              </w:rPr>
              <w:t>J</w:t>
            </w:r>
            <w:r>
              <w:rPr>
                <w:color w:val="auto"/>
                <w:highlight w:val="none"/>
                <w:vertAlign w:val="subscript"/>
              </w:rPr>
              <w:t>1</w:t>
            </w:r>
            <w:r>
              <w:rPr>
                <w:i/>
                <w:iCs/>
                <w:color w:val="auto"/>
                <w:highlight w:val="none"/>
              </w:rPr>
              <w:t>z</w:t>
            </w:r>
          </w:p>
        </w:tc>
        <w:tc>
          <w:tcPr>
            <w:tcW w:w="983" w:type="dxa"/>
            <w:noWrap w:val="0"/>
            <w:vAlign w:val="center"/>
          </w:tcPr>
          <w:p>
            <w:pPr>
              <w:pStyle w:val="22"/>
              <w:bidi w:val="0"/>
              <w:rPr>
                <w:color w:val="auto"/>
                <w:highlight w:val="none"/>
              </w:rPr>
            </w:pPr>
            <w:r>
              <w:rPr>
                <w:color w:val="auto"/>
                <w:highlight w:val="none"/>
              </w:rPr>
              <w:t>131~272</w:t>
            </w:r>
          </w:p>
        </w:tc>
        <w:tc>
          <w:tcPr>
            <w:tcW w:w="4031" w:type="dxa"/>
            <w:noWrap w:val="0"/>
            <w:vAlign w:val="center"/>
          </w:tcPr>
          <w:p>
            <w:pPr>
              <w:pStyle w:val="22"/>
              <w:bidi w:val="0"/>
              <w:rPr>
                <w:color w:val="auto"/>
                <w:highlight w:val="none"/>
              </w:rPr>
            </w:pPr>
            <w:r>
              <w:rPr>
                <w:color w:val="auto"/>
                <w:highlight w:val="none"/>
              </w:rPr>
              <w:t>泥岩、石英细砂岩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6" w:hRule="atLeast"/>
          <w:jc w:val="center"/>
        </w:trPr>
        <w:tc>
          <w:tcPr>
            <w:tcW w:w="835" w:type="dxa"/>
            <w:vMerge w:val="restart"/>
            <w:noWrap w:val="0"/>
            <w:vAlign w:val="center"/>
          </w:tcPr>
          <w:p>
            <w:pPr>
              <w:pStyle w:val="22"/>
              <w:bidi w:val="0"/>
              <w:rPr>
                <w:color w:val="auto"/>
                <w:highlight w:val="none"/>
              </w:rPr>
            </w:pPr>
            <w:r>
              <w:rPr>
                <w:color w:val="auto"/>
                <w:highlight w:val="none"/>
              </w:rPr>
              <w:t>三叠系</w:t>
            </w:r>
          </w:p>
        </w:tc>
        <w:tc>
          <w:tcPr>
            <w:tcW w:w="782" w:type="dxa"/>
            <w:vMerge w:val="restart"/>
            <w:noWrap w:val="0"/>
            <w:vAlign w:val="center"/>
          </w:tcPr>
          <w:p>
            <w:pPr>
              <w:pStyle w:val="22"/>
              <w:bidi w:val="0"/>
              <w:rPr>
                <w:color w:val="auto"/>
                <w:highlight w:val="none"/>
              </w:rPr>
            </w:pPr>
            <w:r>
              <w:rPr>
                <w:color w:val="auto"/>
                <w:highlight w:val="none"/>
              </w:rPr>
              <w:t>上统</w:t>
            </w:r>
          </w:p>
        </w:tc>
        <w:tc>
          <w:tcPr>
            <w:tcW w:w="582" w:type="dxa"/>
            <w:vMerge w:val="restart"/>
            <w:noWrap w:val="0"/>
            <w:vAlign w:val="center"/>
          </w:tcPr>
          <w:p>
            <w:pPr>
              <w:pStyle w:val="22"/>
              <w:bidi w:val="0"/>
              <w:rPr>
                <w:color w:val="auto"/>
                <w:highlight w:val="none"/>
              </w:rPr>
            </w:pPr>
            <w:r>
              <w:rPr>
                <w:color w:val="auto"/>
                <w:highlight w:val="none"/>
              </w:rPr>
              <w:t>须家河组</w:t>
            </w:r>
          </w:p>
        </w:tc>
        <w:tc>
          <w:tcPr>
            <w:tcW w:w="1375" w:type="dxa"/>
            <w:noWrap w:val="0"/>
            <w:vAlign w:val="center"/>
          </w:tcPr>
          <w:p>
            <w:pPr>
              <w:pStyle w:val="22"/>
              <w:bidi w:val="0"/>
              <w:rPr>
                <w:color w:val="auto"/>
                <w:highlight w:val="none"/>
              </w:rPr>
            </w:pPr>
            <w:r>
              <w:rPr>
                <w:color w:val="auto"/>
                <w:highlight w:val="none"/>
              </w:rPr>
              <w:t>上亚组</w:t>
            </w:r>
          </w:p>
        </w:tc>
        <w:tc>
          <w:tcPr>
            <w:tcW w:w="831" w:type="dxa"/>
            <w:noWrap w:val="0"/>
            <w:vAlign w:val="center"/>
          </w:tcPr>
          <w:p>
            <w:pPr>
              <w:pStyle w:val="22"/>
              <w:bidi w:val="0"/>
              <w:rPr>
                <w:color w:val="auto"/>
                <w:highlight w:val="none"/>
              </w:rPr>
            </w:pPr>
            <w:r>
              <w:rPr>
                <w:color w:val="auto"/>
                <w:highlight w:val="none"/>
              </w:rPr>
              <w:t>T</w:t>
            </w:r>
            <w:r>
              <w:rPr>
                <w:color w:val="auto"/>
                <w:highlight w:val="none"/>
                <w:vertAlign w:val="subscript"/>
              </w:rPr>
              <w:t>3</w:t>
            </w:r>
            <w:r>
              <w:rPr>
                <w:i/>
                <w:iCs/>
                <w:color w:val="auto"/>
                <w:highlight w:val="none"/>
              </w:rPr>
              <w:t>xj</w:t>
            </w:r>
            <w:r>
              <w:rPr>
                <w:color w:val="auto"/>
                <w:highlight w:val="none"/>
                <w:vertAlign w:val="superscript"/>
              </w:rPr>
              <w:t>2</w:t>
            </w:r>
          </w:p>
        </w:tc>
        <w:tc>
          <w:tcPr>
            <w:tcW w:w="983" w:type="dxa"/>
            <w:noWrap w:val="0"/>
            <w:vAlign w:val="center"/>
          </w:tcPr>
          <w:p>
            <w:pPr>
              <w:pStyle w:val="22"/>
              <w:bidi w:val="0"/>
              <w:rPr>
                <w:color w:val="auto"/>
                <w:highlight w:val="none"/>
              </w:rPr>
            </w:pPr>
            <w:r>
              <w:rPr>
                <w:color w:val="auto"/>
                <w:highlight w:val="none"/>
              </w:rPr>
              <w:t>210~400</w:t>
            </w:r>
          </w:p>
        </w:tc>
        <w:tc>
          <w:tcPr>
            <w:tcW w:w="4031" w:type="dxa"/>
            <w:noWrap w:val="0"/>
            <w:vAlign w:val="center"/>
          </w:tcPr>
          <w:p>
            <w:pPr>
              <w:pStyle w:val="22"/>
              <w:bidi w:val="0"/>
              <w:rPr>
                <w:color w:val="auto"/>
                <w:highlight w:val="none"/>
              </w:rPr>
            </w:pPr>
            <w:r>
              <w:rPr>
                <w:color w:val="auto"/>
                <w:highlight w:val="none"/>
              </w:rPr>
              <w:t>岩屑石英砂岩夹泥岩及煤线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3"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582" w:type="dxa"/>
            <w:vMerge w:val="continue"/>
            <w:noWrap w:val="0"/>
            <w:vAlign w:val="center"/>
          </w:tcPr>
          <w:p>
            <w:pPr>
              <w:pStyle w:val="22"/>
              <w:bidi w:val="0"/>
              <w:rPr>
                <w:color w:val="auto"/>
                <w:highlight w:val="none"/>
              </w:rPr>
            </w:pPr>
          </w:p>
        </w:tc>
        <w:tc>
          <w:tcPr>
            <w:tcW w:w="1375" w:type="dxa"/>
            <w:noWrap w:val="0"/>
            <w:vAlign w:val="center"/>
          </w:tcPr>
          <w:p>
            <w:pPr>
              <w:pStyle w:val="22"/>
              <w:bidi w:val="0"/>
              <w:rPr>
                <w:color w:val="auto"/>
                <w:highlight w:val="none"/>
              </w:rPr>
            </w:pPr>
            <w:r>
              <w:rPr>
                <w:color w:val="auto"/>
                <w:highlight w:val="none"/>
              </w:rPr>
              <w:t>下亚组</w:t>
            </w:r>
          </w:p>
        </w:tc>
        <w:tc>
          <w:tcPr>
            <w:tcW w:w="831" w:type="dxa"/>
            <w:noWrap w:val="0"/>
            <w:vAlign w:val="center"/>
          </w:tcPr>
          <w:p>
            <w:pPr>
              <w:pStyle w:val="22"/>
              <w:bidi w:val="0"/>
              <w:rPr>
                <w:color w:val="auto"/>
                <w:highlight w:val="none"/>
              </w:rPr>
            </w:pPr>
            <w:r>
              <w:rPr>
                <w:color w:val="auto"/>
                <w:highlight w:val="none"/>
              </w:rPr>
              <w:t>T</w:t>
            </w:r>
            <w:r>
              <w:rPr>
                <w:color w:val="auto"/>
                <w:highlight w:val="none"/>
                <w:vertAlign w:val="subscript"/>
              </w:rPr>
              <w:t>3</w:t>
            </w:r>
            <w:r>
              <w:rPr>
                <w:i/>
                <w:iCs/>
                <w:color w:val="auto"/>
                <w:highlight w:val="none"/>
              </w:rPr>
              <w:t>xj</w:t>
            </w:r>
            <w:r>
              <w:rPr>
                <w:color w:val="auto"/>
                <w:highlight w:val="none"/>
                <w:vertAlign w:val="superscript"/>
              </w:rPr>
              <w:t>1</w:t>
            </w:r>
          </w:p>
        </w:tc>
        <w:tc>
          <w:tcPr>
            <w:tcW w:w="983" w:type="dxa"/>
            <w:noWrap w:val="0"/>
            <w:vAlign w:val="center"/>
          </w:tcPr>
          <w:p>
            <w:pPr>
              <w:pStyle w:val="22"/>
              <w:bidi w:val="0"/>
              <w:rPr>
                <w:color w:val="auto"/>
                <w:highlight w:val="none"/>
              </w:rPr>
            </w:pPr>
            <w:r>
              <w:rPr>
                <w:color w:val="auto"/>
                <w:highlight w:val="none"/>
              </w:rPr>
              <w:t>160~255</w:t>
            </w:r>
          </w:p>
        </w:tc>
        <w:tc>
          <w:tcPr>
            <w:tcW w:w="4031" w:type="dxa"/>
            <w:noWrap w:val="0"/>
            <w:vAlign w:val="center"/>
          </w:tcPr>
          <w:p>
            <w:pPr>
              <w:pStyle w:val="22"/>
              <w:bidi w:val="0"/>
              <w:rPr>
                <w:color w:val="auto"/>
                <w:highlight w:val="none"/>
              </w:rPr>
            </w:pPr>
            <w:r>
              <w:rPr>
                <w:color w:val="auto"/>
                <w:highlight w:val="none"/>
              </w:rPr>
              <w:t>泥岩夹细砂岩及薄煤层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89" w:hRule="atLeast"/>
          <w:jc w:val="center"/>
        </w:trPr>
        <w:tc>
          <w:tcPr>
            <w:tcW w:w="835" w:type="dxa"/>
            <w:vMerge w:val="continue"/>
            <w:noWrap w:val="0"/>
            <w:vAlign w:val="center"/>
          </w:tcPr>
          <w:p>
            <w:pPr>
              <w:pStyle w:val="22"/>
              <w:bidi w:val="0"/>
              <w:rPr>
                <w:color w:val="auto"/>
                <w:highlight w:val="none"/>
              </w:rPr>
            </w:pPr>
          </w:p>
        </w:tc>
        <w:tc>
          <w:tcPr>
            <w:tcW w:w="782" w:type="dxa"/>
            <w:noWrap w:val="0"/>
            <w:vAlign w:val="center"/>
          </w:tcPr>
          <w:p>
            <w:pPr>
              <w:pStyle w:val="22"/>
              <w:bidi w:val="0"/>
              <w:rPr>
                <w:color w:val="auto"/>
                <w:highlight w:val="none"/>
              </w:rPr>
            </w:pPr>
            <w:r>
              <w:rPr>
                <w:color w:val="auto"/>
                <w:highlight w:val="none"/>
              </w:rPr>
              <w:t>中统</w:t>
            </w:r>
          </w:p>
        </w:tc>
        <w:tc>
          <w:tcPr>
            <w:tcW w:w="1957" w:type="dxa"/>
            <w:gridSpan w:val="2"/>
            <w:noWrap w:val="0"/>
            <w:vAlign w:val="center"/>
          </w:tcPr>
          <w:p>
            <w:pPr>
              <w:pStyle w:val="22"/>
              <w:bidi w:val="0"/>
              <w:rPr>
                <w:color w:val="auto"/>
                <w:highlight w:val="none"/>
              </w:rPr>
            </w:pPr>
            <w:r>
              <w:rPr>
                <w:color w:val="auto"/>
                <w:highlight w:val="none"/>
              </w:rPr>
              <w:t>雷口坡组</w:t>
            </w:r>
          </w:p>
        </w:tc>
        <w:tc>
          <w:tcPr>
            <w:tcW w:w="831" w:type="dxa"/>
            <w:noWrap w:val="0"/>
            <w:vAlign w:val="center"/>
          </w:tcPr>
          <w:p>
            <w:pPr>
              <w:pStyle w:val="22"/>
              <w:bidi w:val="0"/>
              <w:rPr>
                <w:color w:val="auto"/>
                <w:highlight w:val="none"/>
              </w:rPr>
            </w:pPr>
            <w:r>
              <w:rPr>
                <w:color w:val="auto"/>
                <w:highlight w:val="none"/>
              </w:rPr>
              <w:t>T</w:t>
            </w:r>
            <w:r>
              <w:rPr>
                <w:color w:val="auto"/>
                <w:highlight w:val="none"/>
                <w:vertAlign w:val="subscript"/>
              </w:rPr>
              <w:t>2</w:t>
            </w:r>
            <w:r>
              <w:rPr>
                <w:i/>
                <w:iCs/>
                <w:color w:val="auto"/>
                <w:highlight w:val="none"/>
              </w:rPr>
              <w:t>l</w:t>
            </w:r>
          </w:p>
        </w:tc>
        <w:tc>
          <w:tcPr>
            <w:tcW w:w="983" w:type="dxa"/>
            <w:noWrap w:val="0"/>
            <w:vAlign w:val="center"/>
          </w:tcPr>
          <w:p>
            <w:pPr>
              <w:pStyle w:val="22"/>
              <w:bidi w:val="0"/>
              <w:rPr>
                <w:color w:val="auto"/>
                <w:highlight w:val="none"/>
              </w:rPr>
            </w:pPr>
            <w:r>
              <w:rPr>
                <w:color w:val="auto"/>
                <w:highlight w:val="none"/>
              </w:rPr>
              <w:t>358~776</w:t>
            </w:r>
          </w:p>
        </w:tc>
        <w:tc>
          <w:tcPr>
            <w:tcW w:w="4031" w:type="dxa"/>
            <w:noWrap w:val="0"/>
            <w:vAlign w:val="center"/>
          </w:tcPr>
          <w:p>
            <w:pPr>
              <w:pStyle w:val="22"/>
              <w:bidi w:val="0"/>
              <w:rPr>
                <w:color w:val="auto"/>
                <w:highlight w:val="none"/>
              </w:rPr>
            </w:pPr>
            <w:r>
              <w:rPr>
                <w:color w:val="auto"/>
                <w:highlight w:val="none"/>
              </w:rPr>
              <w:t>白云岩、泥质白云岩，底为水云母粘土岩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835" w:type="dxa"/>
            <w:vMerge w:val="continue"/>
            <w:noWrap w:val="0"/>
            <w:vAlign w:val="center"/>
          </w:tcPr>
          <w:p>
            <w:pPr>
              <w:pStyle w:val="22"/>
              <w:bidi w:val="0"/>
              <w:rPr>
                <w:color w:val="auto"/>
                <w:highlight w:val="none"/>
              </w:rPr>
            </w:pPr>
          </w:p>
        </w:tc>
        <w:tc>
          <w:tcPr>
            <w:tcW w:w="782" w:type="dxa"/>
            <w:vMerge w:val="restart"/>
            <w:noWrap w:val="0"/>
            <w:vAlign w:val="center"/>
          </w:tcPr>
          <w:p>
            <w:pPr>
              <w:pStyle w:val="22"/>
              <w:bidi w:val="0"/>
              <w:rPr>
                <w:color w:val="auto"/>
                <w:highlight w:val="none"/>
              </w:rPr>
            </w:pPr>
            <w:r>
              <w:rPr>
                <w:color w:val="auto"/>
                <w:highlight w:val="none"/>
              </w:rPr>
              <w:t>下统</w:t>
            </w:r>
          </w:p>
        </w:tc>
        <w:tc>
          <w:tcPr>
            <w:tcW w:w="1957" w:type="dxa"/>
            <w:gridSpan w:val="2"/>
            <w:noWrap w:val="0"/>
            <w:vAlign w:val="center"/>
          </w:tcPr>
          <w:p>
            <w:pPr>
              <w:pStyle w:val="22"/>
              <w:bidi w:val="0"/>
              <w:rPr>
                <w:color w:val="auto"/>
                <w:highlight w:val="none"/>
              </w:rPr>
            </w:pPr>
            <w:r>
              <w:rPr>
                <w:color w:val="auto"/>
                <w:highlight w:val="none"/>
              </w:rPr>
              <w:t>嘉陵江组</w:t>
            </w:r>
          </w:p>
        </w:tc>
        <w:tc>
          <w:tcPr>
            <w:tcW w:w="831" w:type="dxa"/>
            <w:noWrap w:val="0"/>
            <w:vAlign w:val="center"/>
          </w:tcPr>
          <w:p>
            <w:pPr>
              <w:pStyle w:val="22"/>
              <w:bidi w:val="0"/>
              <w:rPr>
                <w:color w:val="auto"/>
                <w:highlight w:val="none"/>
              </w:rPr>
            </w:pPr>
            <w:r>
              <w:rPr>
                <w:color w:val="auto"/>
                <w:highlight w:val="none"/>
              </w:rPr>
              <w:t>T</w:t>
            </w:r>
            <w:r>
              <w:rPr>
                <w:color w:val="auto"/>
                <w:highlight w:val="none"/>
                <w:vertAlign w:val="subscript"/>
              </w:rPr>
              <w:t>1</w:t>
            </w:r>
            <w:r>
              <w:rPr>
                <w:i/>
                <w:iCs/>
                <w:color w:val="auto"/>
                <w:highlight w:val="none"/>
              </w:rPr>
              <w:t>j</w:t>
            </w:r>
          </w:p>
        </w:tc>
        <w:tc>
          <w:tcPr>
            <w:tcW w:w="983" w:type="dxa"/>
            <w:noWrap w:val="0"/>
            <w:vAlign w:val="center"/>
          </w:tcPr>
          <w:p>
            <w:pPr>
              <w:pStyle w:val="22"/>
              <w:bidi w:val="0"/>
              <w:rPr>
                <w:color w:val="auto"/>
                <w:highlight w:val="none"/>
              </w:rPr>
            </w:pPr>
            <w:r>
              <w:rPr>
                <w:color w:val="auto"/>
                <w:highlight w:val="none"/>
              </w:rPr>
              <w:t>484~715</w:t>
            </w:r>
          </w:p>
        </w:tc>
        <w:tc>
          <w:tcPr>
            <w:tcW w:w="4031" w:type="dxa"/>
            <w:noWrap w:val="0"/>
            <w:vAlign w:val="center"/>
          </w:tcPr>
          <w:p>
            <w:pPr>
              <w:pStyle w:val="22"/>
              <w:bidi w:val="0"/>
              <w:rPr>
                <w:color w:val="auto"/>
                <w:highlight w:val="none"/>
              </w:rPr>
            </w:pPr>
            <w:r>
              <w:rPr>
                <w:color w:val="auto"/>
                <w:highlight w:val="none"/>
              </w:rPr>
              <w:t>灰岩、泥质灰岩夹白云岩及膏盐层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3"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1957" w:type="dxa"/>
            <w:gridSpan w:val="2"/>
            <w:noWrap w:val="0"/>
            <w:vAlign w:val="center"/>
          </w:tcPr>
          <w:p>
            <w:pPr>
              <w:pStyle w:val="22"/>
              <w:bidi w:val="0"/>
              <w:rPr>
                <w:color w:val="auto"/>
                <w:highlight w:val="none"/>
              </w:rPr>
            </w:pPr>
            <w:r>
              <w:rPr>
                <w:color w:val="auto"/>
                <w:highlight w:val="none"/>
              </w:rPr>
              <w:t>飞仙关组</w:t>
            </w:r>
          </w:p>
        </w:tc>
        <w:tc>
          <w:tcPr>
            <w:tcW w:w="831" w:type="dxa"/>
            <w:noWrap w:val="0"/>
            <w:vAlign w:val="center"/>
          </w:tcPr>
          <w:p>
            <w:pPr>
              <w:pStyle w:val="22"/>
              <w:bidi w:val="0"/>
              <w:rPr>
                <w:color w:val="auto"/>
                <w:highlight w:val="none"/>
              </w:rPr>
            </w:pPr>
            <w:r>
              <w:rPr>
                <w:color w:val="auto"/>
                <w:highlight w:val="none"/>
              </w:rPr>
              <w:t>T</w:t>
            </w:r>
            <w:r>
              <w:rPr>
                <w:color w:val="auto"/>
                <w:highlight w:val="none"/>
                <w:vertAlign w:val="subscript"/>
              </w:rPr>
              <w:t>1</w:t>
            </w:r>
            <w:r>
              <w:rPr>
                <w:i/>
                <w:iCs/>
                <w:color w:val="auto"/>
                <w:highlight w:val="none"/>
              </w:rPr>
              <w:t>f</w:t>
            </w:r>
          </w:p>
        </w:tc>
        <w:tc>
          <w:tcPr>
            <w:tcW w:w="983" w:type="dxa"/>
            <w:noWrap w:val="0"/>
            <w:vAlign w:val="center"/>
          </w:tcPr>
          <w:p>
            <w:pPr>
              <w:pStyle w:val="22"/>
              <w:bidi w:val="0"/>
              <w:rPr>
                <w:color w:val="auto"/>
                <w:highlight w:val="none"/>
              </w:rPr>
            </w:pPr>
            <w:r>
              <w:rPr>
                <w:color w:val="auto"/>
                <w:highlight w:val="none"/>
              </w:rPr>
              <w:t>372~536</w:t>
            </w:r>
          </w:p>
        </w:tc>
        <w:tc>
          <w:tcPr>
            <w:tcW w:w="4031" w:type="dxa"/>
            <w:noWrap w:val="0"/>
            <w:vAlign w:val="center"/>
          </w:tcPr>
          <w:p>
            <w:pPr>
              <w:pStyle w:val="22"/>
              <w:bidi w:val="0"/>
              <w:rPr>
                <w:color w:val="auto"/>
                <w:highlight w:val="none"/>
              </w:rPr>
            </w:pPr>
            <w:r>
              <w:rPr>
                <w:color w:val="auto"/>
                <w:highlight w:val="none"/>
              </w:rPr>
              <w:t>泥岩、泥质灰岩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4" w:hRule="atLeast"/>
          <w:jc w:val="center"/>
        </w:trPr>
        <w:tc>
          <w:tcPr>
            <w:tcW w:w="835" w:type="dxa"/>
            <w:vMerge w:val="restart"/>
            <w:noWrap w:val="0"/>
            <w:vAlign w:val="center"/>
          </w:tcPr>
          <w:p>
            <w:pPr>
              <w:pStyle w:val="22"/>
              <w:bidi w:val="0"/>
              <w:rPr>
                <w:color w:val="auto"/>
                <w:highlight w:val="none"/>
              </w:rPr>
            </w:pPr>
            <w:r>
              <w:rPr>
                <w:color w:val="auto"/>
                <w:highlight w:val="none"/>
              </w:rPr>
              <w:t>二叠系</w:t>
            </w:r>
          </w:p>
        </w:tc>
        <w:tc>
          <w:tcPr>
            <w:tcW w:w="782" w:type="dxa"/>
            <w:vMerge w:val="restart"/>
            <w:noWrap w:val="0"/>
            <w:vAlign w:val="center"/>
          </w:tcPr>
          <w:p>
            <w:pPr>
              <w:pStyle w:val="22"/>
              <w:bidi w:val="0"/>
              <w:rPr>
                <w:color w:val="auto"/>
                <w:highlight w:val="none"/>
              </w:rPr>
            </w:pPr>
            <w:r>
              <w:rPr>
                <w:color w:val="auto"/>
                <w:highlight w:val="none"/>
              </w:rPr>
              <w:t>上统</w:t>
            </w:r>
          </w:p>
        </w:tc>
        <w:tc>
          <w:tcPr>
            <w:tcW w:w="1957" w:type="dxa"/>
            <w:gridSpan w:val="2"/>
            <w:noWrap w:val="0"/>
            <w:vAlign w:val="center"/>
          </w:tcPr>
          <w:p>
            <w:pPr>
              <w:pStyle w:val="22"/>
              <w:bidi w:val="0"/>
              <w:rPr>
                <w:color w:val="auto"/>
                <w:highlight w:val="none"/>
              </w:rPr>
            </w:pPr>
            <w:r>
              <w:rPr>
                <w:color w:val="auto"/>
                <w:highlight w:val="none"/>
              </w:rPr>
              <w:t>长兴组</w:t>
            </w:r>
          </w:p>
        </w:tc>
        <w:tc>
          <w:tcPr>
            <w:tcW w:w="831" w:type="dxa"/>
            <w:noWrap w:val="0"/>
            <w:vAlign w:val="center"/>
          </w:tcPr>
          <w:p>
            <w:pPr>
              <w:pStyle w:val="22"/>
              <w:bidi w:val="0"/>
              <w:rPr>
                <w:color w:val="auto"/>
                <w:highlight w:val="none"/>
              </w:rPr>
            </w:pPr>
            <w:r>
              <w:rPr>
                <w:color w:val="auto"/>
                <w:highlight w:val="none"/>
              </w:rPr>
              <w:t>P</w:t>
            </w:r>
            <w:r>
              <w:rPr>
                <w:color w:val="auto"/>
                <w:highlight w:val="none"/>
                <w:vertAlign w:val="subscript"/>
              </w:rPr>
              <w:t>3</w:t>
            </w:r>
            <w:r>
              <w:rPr>
                <w:i/>
                <w:iCs/>
                <w:color w:val="auto"/>
                <w:highlight w:val="none"/>
              </w:rPr>
              <w:t>c</w:t>
            </w:r>
          </w:p>
        </w:tc>
        <w:tc>
          <w:tcPr>
            <w:tcW w:w="983" w:type="dxa"/>
            <w:noWrap w:val="0"/>
            <w:vAlign w:val="center"/>
          </w:tcPr>
          <w:p>
            <w:pPr>
              <w:pStyle w:val="22"/>
              <w:bidi w:val="0"/>
              <w:rPr>
                <w:color w:val="auto"/>
                <w:highlight w:val="none"/>
              </w:rPr>
            </w:pPr>
            <w:r>
              <w:rPr>
                <w:color w:val="auto"/>
                <w:highlight w:val="none"/>
              </w:rPr>
              <w:t>96~241</w:t>
            </w:r>
          </w:p>
        </w:tc>
        <w:tc>
          <w:tcPr>
            <w:tcW w:w="4031" w:type="dxa"/>
            <w:noWrap w:val="0"/>
            <w:vAlign w:val="center"/>
          </w:tcPr>
          <w:p>
            <w:pPr>
              <w:pStyle w:val="22"/>
              <w:bidi w:val="0"/>
              <w:rPr>
                <w:color w:val="auto"/>
                <w:highlight w:val="none"/>
              </w:rPr>
            </w:pPr>
            <w:r>
              <w:rPr>
                <w:color w:val="auto"/>
                <w:highlight w:val="none"/>
              </w:rPr>
              <w:t>石灰岩，中上部含燧石结核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1957" w:type="dxa"/>
            <w:gridSpan w:val="2"/>
            <w:noWrap w:val="0"/>
            <w:vAlign w:val="center"/>
          </w:tcPr>
          <w:p>
            <w:pPr>
              <w:pStyle w:val="22"/>
              <w:bidi w:val="0"/>
              <w:rPr>
                <w:color w:val="auto"/>
                <w:highlight w:val="none"/>
              </w:rPr>
            </w:pPr>
            <w:r>
              <w:rPr>
                <w:color w:val="auto"/>
                <w:highlight w:val="none"/>
              </w:rPr>
              <w:t>龙潭组</w:t>
            </w:r>
          </w:p>
        </w:tc>
        <w:tc>
          <w:tcPr>
            <w:tcW w:w="831" w:type="dxa"/>
            <w:noWrap w:val="0"/>
            <w:vAlign w:val="center"/>
          </w:tcPr>
          <w:p>
            <w:pPr>
              <w:pStyle w:val="22"/>
              <w:bidi w:val="0"/>
              <w:rPr>
                <w:color w:val="auto"/>
                <w:highlight w:val="none"/>
              </w:rPr>
            </w:pPr>
            <w:r>
              <w:rPr>
                <w:color w:val="auto"/>
                <w:highlight w:val="none"/>
              </w:rPr>
              <w:t>P</w:t>
            </w:r>
            <w:r>
              <w:rPr>
                <w:color w:val="auto"/>
                <w:highlight w:val="none"/>
                <w:vertAlign w:val="subscript"/>
              </w:rPr>
              <w:t>3</w:t>
            </w:r>
            <w:r>
              <w:rPr>
                <w:i/>
                <w:iCs/>
                <w:color w:val="auto"/>
                <w:highlight w:val="none"/>
              </w:rPr>
              <w:t>l</w:t>
            </w:r>
          </w:p>
        </w:tc>
        <w:tc>
          <w:tcPr>
            <w:tcW w:w="983" w:type="dxa"/>
            <w:noWrap w:val="0"/>
            <w:vAlign w:val="center"/>
          </w:tcPr>
          <w:p>
            <w:pPr>
              <w:pStyle w:val="22"/>
              <w:bidi w:val="0"/>
              <w:rPr>
                <w:color w:val="auto"/>
                <w:highlight w:val="none"/>
              </w:rPr>
            </w:pPr>
            <w:r>
              <w:rPr>
                <w:color w:val="auto"/>
                <w:highlight w:val="none"/>
              </w:rPr>
              <w:t>104~172</w:t>
            </w:r>
          </w:p>
        </w:tc>
        <w:tc>
          <w:tcPr>
            <w:tcW w:w="4031" w:type="dxa"/>
            <w:noWrap w:val="0"/>
            <w:vAlign w:val="center"/>
          </w:tcPr>
          <w:p>
            <w:pPr>
              <w:pStyle w:val="22"/>
              <w:bidi w:val="0"/>
              <w:rPr>
                <w:color w:val="auto"/>
                <w:highlight w:val="none"/>
              </w:rPr>
            </w:pPr>
            <w:r>
              <w:rPr>
                <w:color w:val="auto"/>
                <w:highlight w:val="none"/>
              </w:rPr>
              <w:t>砂质泥岩、燧石灰岩含煤层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4"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1957" w:type="dxa"/>
            <w:gridSpan w:val="2"/>
            <w:noWrap w:val="0"/>
            <w:vAlign w:val="center"/>
          </w:tcPr>
          <w:p>
            <w:pPr>
              <w:pStyle w:val="22"/>
              <w:bidi w:val="0"/>
              <w:rPr>
                <w:color w:val="auto"/>
                <w:highlight w:val="none"/>
              </w:rPr>
            </w:pPr>
            <w:r>
              <w:rPr>
                <w:color w:val="auto"/>
                <w:highlight w:val="none"/>
              </w:rPr>
              <w:t>峨眉山玄武岩组</w:t>
            </w:r>
          </w:p>
        </w:tc>
        <w:tc>
          <w:tcPr>
            <w:tcW w:w="831" w:type="dxa"/>
            <w:noWrap w:val="0"/>
            <w:vAlign w:val="center"/>
          </w:tcPr>
          <w:p>
            <w:pPr>
              <w:pStyle w:val="22"/>
              <w:bidi w:val="0"/>
              <w:rPr>
                <w:color w:val="auto"/>
                <w:highlight w:val="none"/>
              </w:rPr>
            </w:pPr>
            <w:r>
              <w:rPr>
                <w:color w:val="auto"/>
                <w:highlight w:val="none"/>
              </w:rPr>
              <w:t>P</w:t>
            </w:r>
            <w:r>
              <w:rPr>
                <w:color w:val="auto"/>
                <w:highlight w:val="none"/>
                <w:vertAlign w:val="subscript"/>
              </w:rPr>
              <w:t>3</w:t>
            </w:r>
            <w:r>
              <w:rPr>
                <w:i/>
                <w:iCs/>
                <w:color w:val="auto"/>
                <w:highlight w:val="none"/>
              </w:rPr>
              <w:t>em</w:t>
            </w:r>
          </w:p>
        </w:tc>
        <w:tc>
          <w:tcPr>
            <w:tcW w:w="983" w:type="dxa"/>
            <w:noWrap w:val="0"/>
            <w:vAlign w:val="center"/>
          </w:tcPr>
          <w:p>
            <w:pPr>
              <w:pStyle w:val="22"/>
              <w:bidi w:val="0"/>
              <w:rPr>
                <w:color w:val="auto"/>
                <w:highlight w:val="none"/>
              </w:rPr>
            </w:pPr>
            <w:r>
              <w:rPr>
                <w:color w:val="auto"/>
                <w:highlight w:val="none"/>
              </w:rPr>
              <w:t>0~70</w:t>
            </w:r>
          </w:p>
        </w:tc>
        <w:tc>
          <w:tcPr>
            <w:tcW w:w="4031" w:type="dxa"/>
            <w:noWrap w:val="0"/>
            <w:vAlign w:val="center"/>
          </w:tcPr>
          <w:p>
            <w:pPr>
              <w:pStyle w:val="22"/>
              <w:bidi w:val="0"/>
              <w:rPr>
                <w:color w:val="auto"/>
                <w:highlight w:val="none"/>
              </w:rPr>
            </w:pPr>
            <w:r>
              <w:rPr>
                <w:color w:val="auto"/>
                <w:highlight w:val="none"/>
              </w:rPr>
              <w:t>杏仁状玄武岩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835" w:type="dxa"/>
            <w:vMerge w:val="continue"/>
            <w:noWrap w:val="0"/>
            <w:vAlign w:val="center"/>
          </w:tcPr>
          <w:p>
            <w:pPr>
              <w:pStyle w:val="22"/>
              <w:bidi w:val="0"/>
              <w:rPr>
                <w:color w:val="auto"/>
                <w:highlight w:val="none"/>
              </w:rPr>
            </w:pPr>
          </w:p>
        </w:tc>
        <w:tc>
          <w:tcPr>
            <w:tcW w:w="782" w:type="dxa"/>
            <w:vMerge w:val="restart"/>
            <w:noWrap w:val="0"/>
            <w:vAlign w:val="center"/>
          </w:tcPr>
          <w:p>
            <w:pPr>
              <w:pStyle w:val="22"/>
              <w:bidi w:val="0"/>
              <w:rPr>
                <w:color w:val="auto"/>
                <w:highlight w:val="none"/>
              </w:rPr>
            </w:pPr>
            <w:r>
              <w:rPr>
                <w:color w:val="auto"/>
                <w:highlight w:val="none"/>
              </w:rPr>
              <w:t>中统</w:t>
            </w:r>
          </w:p>
        </w:tc>
        <w:tc>
          <w:tcPr>
            <w:tcW w:w="1957" w:type="dxa"/>
            <w:gridSpan w:val="2"/>
            <w:noWrap w:val="0"/>
            <w:vAlign w:val="center"/>
          </w:tcPr>
          <w:p>
            <w:pPr>
              <w:pStyle w:val="22"/>
              <w:bidi w:val="0"/>
              <w:rPr>
                <w:color w:val="auto"/>
                <w:highlight w:val="none"/>
              </w:rPr>
            </w:pPr>
            <w:r>
              <w:rPr>
                <w:color w:val="auto"/>
                <w:highlight w:val="none"/>
              </w:rPr>
              <w:t>茅口组</w:t>
            </w:r>
          </w:p>
        </w:tc>
        <w:tc>
          <w:tcPr>
            <w:tcW w:w="831" w:type="dxa"/>
            <w:noWrap w:val="0"/>
            <w:vAlign w:val="center"/>
          </w:tcPr>
          <w:p>
            <w:pPr>
              <w:pStyle w:val="22"/>
              <w:bidi w:val="0"/>
              <w:rPr>
                <w:color w:val="auto"/>
                <w:highlight w:val="none"/>
              </w:rPr>
            </w:pPr>
            <w:r>
              <w:rPr>
                <w:color w:val="auto"/>
                <w:highlight w:val="none"/>
              </w:rPr>
              <w:t>P</w:t>
            </w:r>
            <w:r>
              <w:rPr>
                <w:color w:val="auto"/>
                <w:highlight w:val="none"/>
                <w:vertAlign w:val="subscript"/>
              </w:rPr>
              <w:t>2</w:t>
            </w:r>
            <w:r>
              <w:rPr>
                <w:i/>
                <w:iCs/>
                <w:color w:val="auto"/>
                <w:highlight w:val="none"/>
              </w:rPr>
              <w:t>m</w:t>
            </w:r>
          </w:p>
        </w:tc>
        <w:tc>
          <w:tcPr>
            <w:tcW w:w="983" w:type="dxa"/>
            <w:noWrap w:val="0"/>
            <w:vAlign w:val="center"/>
          </w:tcPr>
          <w:p>
            <w:pPr>
              <w:pStyle w:val="22"/>
              <w:bidi w:val="0"/>
              <w:rPr>
                <w:color w:val="auto"/>
                <w:highlight w:val="none"/>
              </w:rPr>
            </w:pPr>
            <w:r>
              <w:rPr>
                <w:color w:val="auto"/>
                <w:highlight w:val="none"/>
              </w:rPr>
              <w:t>188~191</w:t>
            </w:r>
          </w:p>
        </w:tc>
        <w:tc>
          <w:tcPr>
            <w:tcW w:w="4031" w:type="dxa"/>
            <w:noWrap w:val="0"/>
            <w:vAlign w:val="center"/>
          </w:tcPr>
          <w:p>
            <w:pPr>
              <w:pStyle w:val="22"/>
              <w:bidi w:val="0"/>
              <w:rPr>
                <w:color w:val="auto"/>
                <w:highlight w:val="none"/>
              </w:rPr>
            </w:pPr>
            <w:r>
              <w:rPr>
                <w:color w:val="auto"/>
                <w:highlight w:val="none"/>
              </w:rPr>
              <w:t>石灰岩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835" w:type="dxa"/>
            <w:vMerge w:val="continue"/>
            <w:noWrap w:val="0"/>
            <w:vAlign w:val="center"/>
          </w:tcPr>
          <w:p>
            <w:pPr>
              <w:pStyle w:val="22"/>
              <w:bidi w:val="0"/>
              <w:rPr>
                <w:color w:val="auto"/>
                <w:highlight w:val="none"/>
              </w:rPr>
            </w:pPr>
          </w:p>
        </w:tc>
        <w:tc>
          <w:tcPr>
            <w:tcW w:w="782" w:type="dxa"/>
            <w:vMerge w:val="continue"/>
            <w:noWrap w:val="0"/>
            <w:vAlign w:val="center"/>
          </w:tcPr>
          <w:p>
            <w:pPr>
              <w:pStyle w:val="22"/>
              <w:bidi w:val="0"/>
              <w:rPr>
                <w:color w:val="auto"/>
                <w:highlight w:val="none"/>
              </w:rPr>
            </w:pPr>
          </w:p>
        </w:tc>
        <w:tc>
          <w:tcPr>
            <w:tcW w:w="1957" w:type="dxa"/>
            <w:gridSpan w:val="2"/>
            <w:noWrap w:val="0"/>
            <w:vAlign w:val="center"/>
          </w:tcPr>
          <w:p>
            <w:pPr>
              <w:pStyle w:val="22"/>
              <w:bidi w:val="0"/>
              <w:rPr>
                <w:color w:val="auto"/>
                <w:highlight w:val="none"/>
              </w:rPr>
            </w:pPr>
            <w:r>
              <w:rPr>
                <w:color w:val="auto"/>
                <w:highlight w:val="none"/>
              </w:rPr>
              <w:t>栖霞组</w:t>
            </w:r>
          </w:p>
        </w:tc>
        <w:tc>
          <w:tcPr>
            <w:tcW w:w="831" w:type="dxa"/>
            <w:noWrap w:val="0"/>
            <w:vAlign w:val="center"/>
          </w:tcPr>
          <w:p>
            <w:pPr>
              <w:pStyle w:val="22"/>
              <w:bidi w:val="0"/>
              <w:rPr>
                <w:color w:val="auto"/>
                <w:highlight w:val="none"/>
              </w:rPr>
            </w:pPr>
            <w:r>
              <w:rPr>
                <w:color w:val="auto"/>
                <w:highlight w:val="none"/>
              </w:rPr>
              <w:t>P</w:t>
            </w:r>
            <w:r>
              <w:rPr>
                <w:color w:val="auto"/>
                <w:highlight w:val="none"/>
                <w:vertAlign w:val="subscript"/>
              </w:rPr>
              <w:t>2</w:t>
            </w:r>
            <w:r>
              <w:rPr>
                <w:i/>
                <w:iCs/>
                <w:color w:val="auto"/>
                <w:highlight w:val="none"/>
              </w:rPr>
              <w:t>q</w:t>
            </w:r>
          </w:p>
        </w:tc>
        <w:tc>
          <w:tcPr>
            <w:tcW w:w="983" w:type="dxa"/>
            <w:noWrap w:val="0"/>
            <w:vAlign w:val="center"/>
          </w:tcPr>
          <w:p>
            <w:pPr>
              <w:pStyle w:val="22"/>
              <w:bidi w:val="0"/>
              <w:rPr>
                <w:color w:val="auto"/>
                <w:highlight w:val="none"/>
              </w:rPr>
            </w:pPr>
            <w:r>
              <w:rPr>
                <w:color w:val="auto"/>
                <w:highlight w:val="none"/>
              </w:rPr>
              <w:t>126~156</w:t>
            </w:r>
          </w:p>
        </w:tc>
        <w:tc>
          <w:tcPr>
            <w:tcW w:w="4031" w:type="dxa"/>
            <w:noWrap w:val="0"/>
            <w:vAlign w:val="center"/>
          </w:tcPr>
          <w:p>
            <w:pPr>
              <w:pStyle w:val="22"/>
              <w:bidi w:val="0"/>
              <w:rPr>
                <w:color w:val="auto"/>
                <w:highlight w:val="none"/>
              </w:rPr>
            </w:pPr>
            <w:r>
              <w:rPr>
                <w:color w:val="auto"/>
                <w:highlight w:val="none"/>
              </w:rPr>
              <w:t>石灰岩，上部含燧石结核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835" w:type="dxa"/>
            <w:vMerge w:val="continue"/>
            <w:noWrap w:val="0"/>
            <w:vAlign w:val="center"/>
          </w:tcPr>
          <w:p>
            <w:pPr>
              <w:pStyle w:val="22"/>
              <w:bidi w:val="0"/>
              <w:rPr>
                <w:color w:val="auto"/>
                <w:highlight w:val="none"/>
              </w:rPr>
            </w:pPr>
          </w:p>
        </w:tc>
        <w:tc>
          <w:tcPr>
            <w:tcW w:w="782" w:type="dxa"/>
            <w:noWrap w:val="0"/>
            <w:vAlign w:val="center"/>
          </w:tcPr>
          <w:p>
            <w:pPr>
              <w:pStyle w:val="22"/>
              <w:bidi w:val="0"/>
              <w:rPr>
                <w:color w:val="auto"/>
                <w:highlight w:val="none"/>
              </w:rPr>
            </w:pPr>
            <w:r>
              <w:rPr>
                <w:color w:val="auto"/>
                <w:highlight w:val="none"/>
              </w:rPr>
              <w:t>下统</w:t>
            </w:r>
          </w:p>
        </w:tc>
        <w:tc>
          <w:tcPr>
            <w:tcW w:w="1957" w:type="dxa"/>
            <w:gridSpan w:val="2"/>
            <w:noWrap w:val="0"/>
            <w:vAlign w:val="center"/>
          </w:tcPr>
          <w:p>
            <w:pPr>
              <w:pStyle w:val="22"/>
              <w:bidi w:val="0"/>
              <w:rPr>
                <w:color w:val="auto"/>
                <w:highlight w:val="none"/>
              </w:rPr>
            </w:pPr>
            <w:r>
              <w:rPr>
                <w:color w:val="auto"/>
                <w:highlight w:val="none"/>
              </w:rPr>
              <w:t>梁山组</w:t>
            </w:r>
          </w:p>
        </w:tc>
        <w:tc>
          <w:tcPr>
            <w:tcW w:w="831" w:type="dxa"/>
            <w:noWrap w:val="0"/>
            <w:vAlign w:val="center"/>
          </w:tcPr>
          <w:p>
            <w:pPr>
              <w:pStyle w:val="22"/>
              <w:bidi w:val="0"/>
              <w:rPr>
                <w:color w:val="auto"/>
                <w:highlight w:val="none"/>
              </w:rPr>
            </w:pPr>
            <w:r>
              <w:rPr>
                <w:color w:val="auto"/>
                <w:highlight w:val="none"/>
              </w:rPr>
              <w:t>P</w:t>
            </w:r>
            <w:r>
              <w:rPr>
                <w:color w:val="auto"/>
                <w:highlight w:val="none"/>
                <w:vertAlign w:val="subscript"/>
              </w:rPr>
              <w:t>1</w:t>
            </w:r>
            <w:r>
              <w:rPr>
                <w:i/>
                <w:iCs/>
                <w:color w:val="auto"/>
                <w:highlight w:val="none"/>
              </w:rPr>
              <w:t>l</w:t>
            </w:r>
          </w:p>
        </w:tc>
        <w:tc>
          <w:tcPr>
            <w:tcW w:w="983" w:type="dxa"/>
            <w:noWrap w:val="0"/>
            <w:vAlign w:val="center"/>
          </w:tcPr>
          <w:p>
            <w:pPr>
              <w:pStyle w:val="22"/>
              <w:bidi w:val="0"/>
              <w:rPr>
                <w:color w:val="auto"/>
                <w:highlight w:val="none"/>
              </w:rPr>
            </w:pPr>
            <w:r>
              <w:rPr>
                <w:color w:val="auto"/>
                <w:highlight w:val="none"/>
              </w:rPr>
              <w:t>32~144</w:t>
            </w:r>
          </w:p>
        </w:tc>
        <w:tc>
          <w:tcPr>
            <w:tcW w:w="4031" w:type="dxa"/>
            <w:noWrap w:val="0"/>
            <w:vAlign w:val="center"/>
          </w:tcPr>
          <w:p>
            <w:pPr>
              <w:pStyle w:val="22"/>
              <w:bidi w:val="0"/>
              <w:rPr>
                <w:color w:val="auto"/>
                <w:highlight w:val="none"/>
              </w:rPr>
            </w:pPr>
            <w:r>
              <w:rPr>
                <w:color w:val="auto"/>
                <w:highlight w:val="none"/>
              </w:rPr>
              <w:t>泥岩夹粘土岩及煤线</w:t>
            </w:r>
          </w:p>
        </w:tc>
      </w:tr>
    </w:tbl>
    <w:p>
      <w:pPr>
        <w:pStyle w:val="22"/>
        <w:bidi w:val="0"/>
        <w:rPr>
          <w:color w:val="auto"/>
          <w:highlight w:val="none"/>
        </w:rPr>
      </w:pP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区域构造</w:t>
      </w:r>
    </w:p>
    <w:p>
      <w:pPr>
        <w:bidi w:val="0"/>
        <w:rPr>
          <w:color w:val="auto"/>
          <w:highlight w:val="none"/>
        </w:rPr>
      </w:pPr>
      <w:r>
        <w:rPr>
          <w:rFonts w:ascii="Times New Roman" w:eastAsia="Times New Roman"/>
          <w:color w:val="auto"/>
          <w:highlight w:val="none"/>
        </w:rPr>
        <w:t>本区位于新华夏系四川沉降带川东褶皱带</w:t>
      </w:r>
      <w:r>
        <w:rPr>
          <w:rFonts w:hint="eastAsia" w:ascii="Times New Roman" w:eastAsia="Times New Roman"/>
          <w:color w:val="auto"/>
          <w:highlight w:val="none"/>
        </w:rPr>
        <w:t>，有</w:t>
      </w:r>
      <w:r>
        <w:rPr>
          <w:rFonts w:ascii="Times New Roman" w:eastAsia="Times New Roman"/>
          <w:color w:val="auto"/>
          <w:highlight w:val="none"/>
        </w:rPr>
        <w:t>铜锣峡(中山)背斜</w:t>
      </w:r>
      <w:r>
        <w:rPr>
          <w:rFonts w:hint="eastAsia" w:ascii="Times New Roman" w:eastAsia="Times New Roman"/>
          <w:color w:val="auto"/>
          <w:highlight w:val="none"/>
        </w:rPr>
        <w:t>、</w:t>
      </w:r>
      <w:r>
        <w:rPr>
          <w:rFonts w:ascii="Times New Roman" w:eastAsia="Times New Roman"/>
          <w:color w:val="auto"/>
          <w:highlight w:val="none"/>
        </w:rPr>
        <w:t>达县～大竹向斜、华蓥山背斜</w:t>
      </w:r>
      <w:r>
        <w:rPr>
          <w:rFonts w:hint="eastAsia" w:ascii="Times New Roman" w:eastAsia="Times New Roman"/>
          <w:color w:val="auto"/>
          <w:highlight w:val="none"/>
        </w:rPr>
        <w:t>、</w:t>
      </w:r>
      <w:r>
        <w:rPr>
          <w:rFonts w:ascii="Times New Roman" w:eastAsia="Times New Roman"/>
          <w:color w:val="auto"/>
          <w:highlight w:val="none"/>
        </w:rPr>
        <w:t>景市～永兴向斜、明月峡背斜，彼此呈线状平行排列，轴向呈NE～SW向展布，背斜紧密，向斜开阔</w:t>
      </w:r>
      <w:r>
        <w:rPr>
          <w:rFonts w:hint="eastAsia" w:ascii="Times New Roman" w:eastAsia="Times New Roman"/>
          <w:color w:val="auto"/>
          <w:highlight w:val="none"/>
        </w:rPr>
        <w:t>。</w:t>
      </w:r>
      <w:r>
        <w:rPr>
          <w:rFonts w:ascii="Times New Roman" w:eastAsia="Times New Roman"/>
          <w:color w:val="auto"/>
          <w:highlight w:val="none"/>
        </w:rPr>
        <w:t>(</w:t>
      </w:r>
      <w:r>
        <w:rPr>
          <w:color w:val="auto"/>
          <w:highlight w:val="none"/>
        </w:rPr>
        <w:t>见图</w:t>
      </w:r>
      <w:r>
        <w:rPr>
          <w:rFonts w:ascii="Times New Roman" w:eastAsia="Times New Roman"/>
          <w:color w:val="auto"/>
          <w:highlight w:val="none"/>
        </w:rPr>
        <w:t>5.2-1)</w:t>
      </w:r>
      <w:r>
        <w:rPr>
          <w:color w:val="auto"/>
          <w:highlight w:val="none"/>
        </w:rPr>
        <w:t>。</w:t>
      </w:r>
    </w:p>
    <w:p>
      <w:pPr>
        <w:pStyle w:val="22"/>
        <w:bidi w:val="0"/>
        <w:rPr>
          <w:color w:val="auto"/>
          <w:highlight w:val="none"/>
        </w:rPr>
      </w:pPr>
      <w:r>
        <w:rPr>
          <w:rFonts w:ascii="宋体" w:hAnsi="宋体" w:cs="宋体"/>
          <w:color w:val="auto"/>
          <w:sz w:val="28"/>
          <w:szCs w:val="28"/>
          <w:highlight w:val="none"/>
        </w:rPr>
        <w:drawing>
          <wp:inline distT="0" distB="0" distL="114300" distR="114300">
            <wp:extent cx="5238750" cy="6156325"/>
            <wp:effectExtent l="0" t="0" r="0" b="15875"/>
            <wp:docPr id="36" name="图片 1" descr="说明: 未定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说明: 未定名"/>
                    <pic:cNvPicPr>
                      <a:picLocks noChangeAspect="1"/>
                    </pic:cNvPicPr>
                  </pic:nvPicPr>
                  <pic:blipFill>
                    <a:blip r:embed="rId47"/>
                    <a:srcRect l="2565" t="1938" r="3419" b="1781"/>
                    <a:stretch>
                      <a:fillRect/>
                    </a:stretch>
                  </pic:blipFill>
                  <pic:spPr>
                    <a:xfrm>
                      <a:off x="0" y="0"/>
                      <a:ext cx="5238750" cy="6156325"/>
                    </a:xfrm>
                    <a:prstGeom prst="rect">
                      <a:avLst/>
                    </a:prstGeom>
                    <a:noFill/>
                    <a:ln>
                      <a:noFill/>
                    </a:ln>
                  </pic:spPr>
                </pic:pic>
              </a:graphicData>
            </a:graphic>
          </wp:inline>
        </w:drawing>
      </w:r>
    </w:p>
    <w:p>
      <w:pPr>
        <w:pStyle w:val="22"/>
        <w:bidi w:val="0"/>
        <w:rPr>
          <w:color w:val="auto"/>
          <w:sz w:val="21"/>
          <w:highlight w:val="none"/>
        </w:rPr>
      </w:pPr>
      <w:r>
        <w:rPr>
          <w:color w:val="auto"/>
          <w:sz w:val="21"/>
          <w:highlight w:val="none"/>
        </w:rPr>
        <w:t>图</w:t>
      </w:r>
      <w:r>
        <w:rPr>
          <w:color w:val="auto"/>
          <w:spacing w:val="-54"/>
          <w:sz w:val="21"/>
          <w:highlight w:val="none"/>
        </w:rPr>
        <w:t xml:space="preserve"> </w:t>
      </w:r>
      <w:r>
        <w:rPr>
          <w:rFonts w:ascii="Times New Roman" w:eastAsia="Times New Roman"/>
          <w:b/>
          <w:color w:val="auto"/>
          <w:sz w:val="21"/>
          <w:highlight w:val="none"/>
        </w:rPr>
        <w:t>5.2-1</w:t>
      </w:r>
      <w:r>
        <w:rPr>
          <w:rFonts w:hint="eastAsia"/>
          <w:b/>
          <w:color w:val="auto"/>
          <w:sz w:val="21"/>
          <w:highlight w:val="none"/>
          <w:lang w:val="en-US" w:eastAsia="zh-CN"/>
        </w:rPr>
        <w:t xml:space="preserve">   </w:t>
      </w:r>
      <w:r>
        <w:rPr>
          <w:color w:val="auto"/>
          <w:sz w:val="21"/>
          <w:highlight w:val="none"/>
        </w:rPr>
        <w:t>区域构造纲要图</w:t>
      </w:r>
    </w:p>
    <w:p>
      <w:pPr>
        <w:pStyle w:val="7"/>
        <w:numPr>
          <w:ilvl w:val="3"/>
          <w:numId w:val="10"/>
        </w:numPr>
        <w:bidi w:val="0"/>
        <w:rPr>
          <w:color w:val="auto"/>
          <w:highlight w:val="none"/>
        </w:rPr>
      </w:pPr>
      <w:r>
        <w:rPr>
          <w:color w:val="auto"/>
          <w:highlight w:val="none"/>
        </w:rPr>
        <w:t>矿区地质</w:t>
      </w:r>
    </w:p>
    <w:p>
      <w:pPr>
        <w:adjustRightInd w:val="0"/>
        <w:snapToGrid w:val="0"/>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lang w:val="en-US" w:eastAsia="zh-CN"/>
        </w:rPr>
        <w:t>1</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rPr>
        <w:t>华蓥山北段矿段地层</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本区出露最老地层为下三叠统飞仙关组，最新地层为侏罗系中统新田沟组(J</w:t>
      </w:r>
      <w:r>
        <w:rPr>
          <w:rFonts w:hint="eastAsia" w:ascii="宋体" w:hAnsi="宋体"/>
          <w:color w:val="auto"/>
          <w:sz w:val="24"/>
          <w:szCs w:val="24"/>
          <w:highlight w:val="none"/>
          <w:vertAlign w:val="subscript"/>
        </w:rPr>
        <w:t>2</w:t>
      </w:r>
      <w:r>
        <w:rPr>
          <w:rFonts w:hint="eastAsia" w:ascii="宋体" w:hAnsi="宋体"/>
          <w:color w:val="auto"/>
          <w:sz w:val="24"/>
          <w:szCs w:val="24"/>
          <w:highlight w:val="none"/>
        </w:rPr>
        <w:t>x)；钻孔揭露最老地层为下二叠统茅口组。区内含煤地层为二叠上统</w:t>
      </w:r>
      <w:r>
        <w:rPr>
          <w:rFonts w:hint="eastAsia" w:ascii="宋体" w:hAnsi="宋体"/>
          <w:bCs/>
          <w:color w:val="auto"/>
          <w:sz w:val="24"/>
          <w:szCs w:val="24"/>
          <w:highlight w:val="none"/>
        </w:rPr>
        <w:t>统</w:t>
      </w:r>
      <w:r>
        <w:rPr>
          <w:rFonts w:hint="eastAsia" w:ascii="宋体" w:hAnsi="宋体"/>
          <w:color w:val="auto"/>
          <w:sz w:val="24"/>
          <w:szCs w:val="24"/>
          <w:highlight w:val="none"/>
        </w:rPr>
        <w:t>龙潭组（P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hint="eastAsia" w:ascii="宋体" w:hAnsi="宋体"/>
          <w:color w:val="auto"/>
          <w:sz w:val="24"/>
          <w:szCs w:val="24"/>
          <w:highlight w:val="none"/>
        </w:rPr>
        <w:t>）和三叠系上统须家河组</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rPr>
        <w:t>。现将含煤地层由老至新分述如下：</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上二叠统龙潭组（P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为本区的主要含煤地层。岩性由灰色中厚层状石灰岩、泥质灰岩及深灰色薄～中厚层状钙质泥岩和泥岩与粉砂质泥岩互层组成，水平层理发育。下部含本区主要可采煤层（I</w:t>
      </w:r>
      <w:r>
        <w:rPr>
          <w:rFonts w:hint="eastAsia" w:ascii="宋体" w:hAnsi="宋体"/>
          <w:color w:val="auto"/>
          <w:sz w:val="24"/>
          <w:szCs w:val="24"/>
          <w:highlight w:val="none"/>
          <w:vertAlign w:val="subscript"/>
        </w:rPr>
        <w:t>1</w:t>
      </w:r>
      <w:r>
        <w:rPr>
          <w:rFonts w:hint="eastAsia" w:ascii="宋体" w:hAnsi="宋体"/>
          <w:color w:val="auto"/>
          <w:sz w:val="24"/>
          <w:szCs w:val="24"/>
          <w:highlight w:val="none"/>
        </w:rPr>
        <w:t>煤层），夹粉砂岩、细粒砂岩，底部为铝质泥岩。与下伏地层呈假整合接触。该组地层厚125m～155m，一般厚140m，根据其岩性特征分为五段，其中第一段为含煤段，第二～五段为非含煤段。</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①</w:t>
      </w:r>
      <w:r>
        <w:rPr>
          <w:rFonts w:hint="eastAsia" w:ascii="宋体" w:hAnsi="宋体"/>
          <w:color w:val="auto"/>
          <w:sz w:val="24"/>
          <w:szCs w:val="24"/>
          <w:highlight w:val="none"/>
        </w:rPr>
        <w:t>第一段（P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ascii="宋体" w:hAnsi="宋体"/>
          <w:color w:val="auto"/>
          <w:sz w:val="24"/>
          <w:szCs w:val="24"/>
          <w:highlight w:val="none"/>
          <w:vertAlign w:val="superscript"/>
        </w:rPr>
        <w:t>1</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上部为灰色中厚层状石灰岩及灰、深灰色薄层状泥岩；下部为深灰色薄～中厚层状泥岩、粉砂质泥岩、细粒砂岩，含煤1～3层；底部为铝质泥质，富含星散状黄铁矿晶粒或结核。该段厚15m～32m，一般厚22m。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②</w:t>
      </w:r>
      <w:r>
        <w:rPr>
          <w:rFonts w:hint="eastAsia" w:ascii="宋体" w:hAnsi="宋体"/>
          <w:color w:val="auto"/>
          <w:sz w:val="24"/>
          <w:szCs w:val="24"/>
          <w:highlight w:val="none"/>
        </w:rPr>
        <w:t>第二段（P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hint="eastAsia" w:ascii="宋体" w:hAnsi="宋体"/>
          <w:color w:val="auto"/>
          <w:sz w:val="24"/>
          <w:szCs w:val="24"/>
          <w:highlight w:val="none"/>
          <w:vertAlign w:val="superscript"/>
        </w:rPr>
        <w:t>2</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灰色中～厚层状石灰岩，质硬，含燧石结核，中夹薄层泥岩。厚12m～19m。一般厚15m。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③</w:t>
      </w:r>
      <w:r>
        <w:rPr>
          <w:rFonts w:hint="eastAsia" w:ascii="宋体" w:hAnsi="宋体"/>
          <w:color w:val="auto"/>
          <w:sz w:val="24"/>
          <w:szCs w:val="24"/>
          <w:highlight w:val="none"/>
        </w:rPr>
        <w:t>第三段（P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hint="eastAsia" w:ascii="宋体" w:hAnsi="宋体"/>
          <w:color w:val="auto"/>
          <w:sz w:val="24"/>
          <w:szCs w:val="24"/>
          <w:highlight w:val="none"/>
          <w:vertAlign w:val="superscript"/>
        </w:rPr>
        <w:t>3</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灰、深灰色薄层状泥岩、</w:t>
      </w:r>
      <w:r>
        <w:rPr>
          <w:rFonts w:hint="eastAsia" w:ascii="宋体" w:hAnsi="宋体" w:cs="宋体"/>
          <w:color w:val="auto"/>
          <w:sz w:val="24"/>
          <w:szCs w:val="24"/>
          <w:highlight w:val="none"/>
        </w:rPr>
        <w:t>钙质</w:t>
      </w:r>
      <w:r>
        <w:rPr>
          <w:rFonts w:hint="eastAsia" w:ascii="宋体" w:hAnsi="宋体"/>
          <w:color w:val="auto"/>
          <w:sz w:val="24"/>
          <w:szCs w:val="24"/>
          <w:highlight w:val="none"/>
        </w:rPr>
        <w:t>泥岩、泥质灰岩，水平层理发育，厚7m～18m，一般厚12m。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④</w:t>
      </w:r>
      <w:r>
        <w:rPr>
          <w:rFonts w:hint="eastAsia" w:ascii="宋体" w:hAnsi="宋体"/>
          <w:color w:val="auto"/>
          <w:sz w:val="24"/>
          <w:szCs w:val="24"/>
          <w:highlight w:val="none"/>
        </w:rPr>
        <w:t>第四段（P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hint="eastAsia" w:ascii="宋体" w:hAnsi="宋体"/>
          <w:color w:val="auto"/>
          <w:sz w:val="24"/>
          <w:szCs w:val="24"/>
          <w:highlight w:val="none"/>
          <w:vertAlign w:val="superscript"/>
        </w:rPr>
        <w:t>4</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灰色中厚层状石灰岩，含</w:t>
      </w:r>
      <w:r>
        <w:rPr>
          <w:rFonts w:hint="eastAsia" w:ascii="宋体" w:hAnsi="宋体" w:cs="宋体"/>
          <w:color w:val="auto"/>
          <w:sz w:val="24"/>
          <w:szCs w:val="24"/>
          <w:highlight w:val="none"/>
        </w:rPr>
        <w:t>燧石</w:t>
      </w:r>
      <w:r>
        <w:rPr>
          <w:rFonts w:hint="eastAsia" w:ascii="宋体" w:hAnsi="宋体"/>
          <w:color w:val="auto"/>
          <w:sz w:val="24"/>
          <w:szCs w:val="24"/>
          <w:highlight w:val="none"/>
        </w:rPr>
        <w:t>结核，夹沥青质条带，锤击具臭味，下部夹1～2层深灰色泥岩。该段厚58m～67m，一般厚63m。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⑤</w:t>
      </w:r>
      <w:r>
        <w:rPr>
          <w:rFonts w:hint="eastAsia" w:ascii="宋体" w:hAnsi="宋体"/>
          <w:color w:val="auto"/>
          <w:sz w:val="24"/>
          <w:szCs w:val="24"/>
          <w:highlight w:val="none"/>
        </w:rPr>
        <w:t>第五段（P</w:t>
      </w:r>
      <w:r>
        <w:rPr>
          <w:rFonts w:hint="eastAsia" w:ascii="宋体" w:hAnsi="宋体"/>
          <w:color w:val="auto"/>
          <w:sz w:val="24"/>
          <w:szCs w:val="24"/>
          <w:highlight w:val="none"/>
          <w:vertAlign w:val="subscript"/>
        </w:rPr>
        <w:t>2</w:t>
      </w:r>
      <w:r>
        <w:rPr>
          <w:rFonts w:ascii="宋体" w:hAnsi="宋体"/>
          <w:i/>
          <w:iCs/>
          <w:color w:val="auto"/>
          <w:sz w:val="24"/>
          <w:szCs w:val="24"/>
          <w:highlight w:val="none"/>
        </w:rPr>
        <w:t>l</w:t>
      </w:r>
      <w:r>
        <w:rPr>
          <w:rFonts w:hint="eastAsia" w:ascii="宋体" w:hAnsi="宋体"/>
          <w:color w:val="auto"/>
          <w:sz w:val="24"/>
          <w:szCs w:val="24"/>
          <w:highlight w:val="none"/>
          <w:vertAlign w:val="superscript"/>
        </w:rPr>
        <w:t>5</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顶部为深灰色泥岩、钙质泥岩；中、上部为灰色石灰岩，含少量燧石，偶夹薄层泥岩；下部为深灰色粉砂质泥岩、泥岩及灰色细粒砂岩，含黄铁矿结核，水平层理发育；该段厚12m～</w:t>
      </w:r>
      <w:r>
        <w:rPr>
          <w:rFonts w:hint="eastAsia" w:ascii="宋体" w:hAnsi="宋体" w:cs="宋体"/>
          <w:color w:val="auto"/>
          <w:sz w:val="24"/>
          <w:szCs w:val="24"/>
          <w:highlight w:val="none"/>
        </w:rPr>
        <w:t>34m</w:t>
      </w:r>
      <w:r>
        <w:rPr>
          <w:rFonts w:hint="eastAsia" w:ascii="宋体" w:hAnsi="宋体"/>
          <w:color w:val="auto"/>
          <w:sz w:val="24"/>
          <w:szCs w:val="24"/>
          <w:highlight w:val="none"/>
        </w:rPr>
        <w:t>，一般厚30m。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三叠系中统雷口坡组（T</w:t>
      </w:r>
      <w:r>
        <w:rPr>
          <w:rFonts w:hint="eastAsia" w:ascii="宋体" w:hAnsi="宋体"/>
          <w:color w:val="auto"/>
          <w:sz w:val="24"/>
          <w:szCs w:val="24"/>
          <w:highlight w:val="none"/>
          <w:vertAlign w:val="subscript"/>
        </w:rPr>
        <w:t>2</w:t>
      </w:r>
      <w:r>
        <w:rPr>
          <w:rFonts w:hint="eastAsia" w:ascii="宋体" w:hAnsi="宋体"/>
          <w:i/>
          <w:color w:val="auto"/>
          <w:sz w:val="24"/>
          <w:szCs w:val="24"/>
          <w:highlight w:val="none"/>
        </w:rPr>
        <w:t>l</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上部为深灰～黑灰色中层状泥质白云岩，微晶白云岩及白云质灰岩；中部灰色中层状泥质白云岩为主，夹绿灰色及暗紫色薄层状白云质泥岩；下部以黄灰色中厚层状微晶白云岩为主。未见底。</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三叠系上统须家河组(T</w:t>
      </w:r>
      <w:r>
        <w:rPr>
          <w:rFonts w:hint="eastAsia" w:ascii="宋体" w:hAnsi="宋体"/>
          <w:color w:val="auto"/>
          <w:sz w:val="24"/>
          <w:szCs w:val="24"/>
          <w:highlight w:val="none"/>
          <w:vertAlign w:val="subscript"/>
        </w:rPr>
        <w:t>3</w:t>
      </w:r>
      <w:r>
        <w:rPr>
          <w:rFonts w:hint="eastAsia" w:ascii="宋体" w:hAnsi="宋体"/>
          <w:color w:val="auto"/>
          <w:sz w:val="24"/>
          <w:szCs w:val="24"/>
          <w:highlight w:val="none"/>
        </w:rPr>
        <w:t>xj)</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为区内的含煤地层之一，以假整合覆于三叠系中统雷口坡组(T</w:t>
      </w:r>
      <w:r>
        <w:rPr>
          <w:rFonts w:hint="eastAsia" w:ascii="宋体" w:hAnsi="宋体"/>
          <w:color w:val="auto"/>
          <w:sz w:val="24"/>
          <w:szCs w:val="24"/>
          <w:highlight w:val="none"/>
          <w:vertAlign w:val="subscript"/>
        </w:rPr>
        <w:t>2</w:t>
      </w:r>
      <w:r>
        <w:rPr>
          <w:rFonts w:hint="eastAsia" w:ascii="宋体" w:hAnsi="宋体" w:cs="Italic"/>
          <w:color w:val="auto"/>
          <w:sz w:val="24"/>
          <w:szCs w:val="24"/>
          <w:highlight w:val="none"/>
        </w:rPr>
        <w:t>l</w:t>
      </w:r>
      <w:r>
        <w:rPr>
          <w:rFonts w:hint="eastAsia" w:ascii="宋体" w:hAnsi="宋体"/>
          <w:color w:val="auto"/>
          <w:sz w:val="24"/>
          <w:szCs w:val="24"/>
          <w:highlight w:val="none"/>
        </w:rPr>
        <w:t>)灰岩之上。由细～粗粒砂岩、粉砂岩、粉砂质泥岩、泥岩夹薄层泥灰岩和煤组成，为一套三角洲——河流、湖泊相沉积，旋回结构十分明显。按沉积旋回，岩性组合和含煤性，将本组地层共划分为七个岩性段，由下往上，第一、三、五、七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1</w:t>
      </w:r>
      <w:r>
        <w:rPr>
          <w:rFonts w:hint="eastAsia" w:ascii="宋体" w:hAnsi="宋体"/>
          <w:color w:val="auto"/>
          <w:sz w:val="24"/>
          <w:szCs w:val="24"/>
          <w:highlight w:val="none"/>
        </w:rPr>
        <w:t>、</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3</w:t>
      </w:r>
      <w:r>
        <w:rPr>
          <w:rFonts w:hint="eastAsia" w:ascii="宋体" w:hAnsi="宋体"/>
          <w:color w:val="auto"/>
          <w:sz w:val="24"/>
          <w:szCs w:val="24"/>
          <w:highlight w:val="none"/>
        </w:rPr>
        <w:t>、</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5</w:t>
      </w:r>
      <w:r>
        <w:rPr>
          <w:rFonts w:hint="eastAsia" w:ascii="宋体" w:hAnsi="宋体"/>
          <w:color w:val="auto"/>
          <w:sz w:val="24"/>
          <w:szCs w:val="24"/>
          <w:highlight w:val="none"/>
        </w:rPr>
        <w:t>、</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7</w:t>
      </w:r>
      <w:r>
        <w:rPr>
          <w:rFonts w:hint="eastAsia" w:ascii="宋体" w:hAnsi="宋体"/>
          <w:color w:val="auto"/>
          <w:sz w:val="24"/>
          <w:szCs w:val="24"/>
          <w:highlight w:val="none"/>
        </w:rPr>
        <w:t>)为含煤段，第二、四、六段(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2</w:t>
      </w:r>
      <w:r>
        <w:rPr>
          <w:rFonts w:hint="eastAsia" w:ascii="宋体" w:hAnsi="宋体"/>
          <w:color w:val="auto"/>
          <w:sz w:val="24"/>
          <w:szCs w:val="24"/>
          <w:highlight w:val="none"/>
        </w:rPr>
        <w:t>、</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4</w:t>
      </w:r>
      <w:r>
        <w:rPr>
          <w:rFonts w:hint="eastAsia" w:ascii="宋体" w:hAnsi="宋体"/>
          <w:color w:val="auto"/>
          <w:sz w:val="24"/>
          <w:szCs w:val="24"/>
          <w:highlight w:val="none"/>
        </w:rPr>
        <w:t>、</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6</w:t>
      </w:r>
      <w:r>
        <w:rPr>
          <w:rFonts w:hint="eastAsia" w:ascii="宋体" w:hAnsi="宋体"/>
          <w:color w:val="auto"/>
          <w:sz w:val="24"/>
          <w:szCs w:val="24"/>
          <w:highlight w:val="none"/>
        </w:rPr>
        <w:t>)为砂岩段。在泥岩和煤层的顶底板中含丰富的植物化石，并含少量的小体瓣鳃化石及鱼化石等动物化石。</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现将区内出露或揭露出的须家河组第一段至第七段地层叙述如下：</w:t>
      </w:r>
    </w:p>
    <w:p>
      <w:pPr>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lang w:eastAsia="zh-CN"/>
        </w:rPr>
        <w:t>①</w:t>
      </w:r>
      <w:r>
        <w:rPr>
          <w:rFonts w:hint="eastAsia" w:hAnsi="宋体"/>
          <w:color w:val="auto"/>
          <w:sz w:val="24"/>
          <w:szCs w:val="24"/>
          <w:highlight w:val="none"/>
        </w:rPr>
        <w:t>第</w:t>
      </w:r>
      <w:r>
        <w:rPr>
          <w:rFonts w:hAnsi="宋体"/>
          <w:color w:val="auto"/>
          <w:sz w:val="24"/>
          <w:szCs w:val="24"/>
          <w:highlight w:val="none"/>
        </w:rPr>
        <w:t>一段(</w:t>
      </w:r>
      <w:r>
        <w:rPr>
          <w:color w:val="auto"/>
          <w:sz w:val="24"/>
          <w:szCs w:val="24"/>
          <w:highlight w:val="none"/>
        </w:rPr>
        <w:t>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1</w:t>
      </w:r>
      <w:r>
        <w:rPr>
          <w:rFonts w:hAnsi="宋体"/>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Ansi="宋体"/>
          <w:color w:val="auto"/>
          <w:sz w:val="24"/>
          <w:szCs w:val="24"/>
          <w:highlight w:val="none"/>
        </w:rPr>
        <w:t>平均厚</w:t>
      </w:r>
      <w:r>
        <w:rPr>
          <w:color w:val="auto"/>
          <w:sz w:val="24"/>
          <w:szCs w:val="24"/>
          <w:highlight w:val="none"/>
        </w:rPr>
        <w:t>60</w:t>
      </w:r>
      <w:r>
        <w:rPr>
          <w:rFonts w:hAnsi="宋体"/>
          <w:color w:val="auto"/>
          <w:sz w:val="24"/>
          <w:szCs w:val="24"/>
          <w:highlight w:val="none"/>
        </w:rPr>
        <w:t>m左右，岩性为灰、黄灰、深灰、黑色泥岩，粘土质泥岩、粉砂质泥岩、泥质砂岩、石英砂岩，夹煤层及炭质泥岩，含植物化石。一般含煤两层，俗称内大连、内双连。</w:t>
      </w:r>
    </w:p>
    <w:p>
      <w:pPr>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lang w:eastAsia="zh-CN"/>
        </w:rPr>
        <w:t>②</w:t>
      </w:r>
      <w:r>
        <w:rPr>
          <w:rFonts w:hint="eastAsia" w:hAnsi="宋体"/>
          <w:color w:val="auto"/>
          <w:sz w:val="24"/>
          <w:szCs w:val="24"/>
          <w:highlight w:val="none"/>
        </w:rPr>
        <w:t>第</w:t>
      </w:r>
      <w:r>
        <w:rPr>
          <w:rFonts w:hAnsi="宋体"/>
          <w:color w:val="auto"/>
          <w:sz w:val="24"/>
          <w:szCs w:val="24"/>
          <w:highlight w:val="none"/>
        </w:rPr>
        <w:t>二段(</w:t>
      </w:r>
      <w:r>
        <w:rPr>
          <w:color w:val="auto"/>
          <w:sz w:val="24"/>
          <w:szCs w:val="24"/>
          <w:highlight w:val="none"/>
        </w:rPr>
        <w:t>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2</w:t>
      </w:r>
      <w:r>
        <w:rPr>
          <w:rFonts w:hAnsi="宋体"/>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Ansi="宋体"/>
          <w:color w:val="auto"/>
          <w:sz w:val="24"/>
          <w:szCs w:val="24"/>
          <w:highlight w:val="none"/>
        </w:rPr>
        <w:t>平均厚</w:t>
      </w:r>
      <w:r>
        <w:rPr>
          <w:color w:val="auto"/>
          <w:sz w:val="24"/>
          <w:szCs w:val="24"/>
          <w:highlight w:val="none"/>
        </w:rPr>
        <w:t>160</w:t>
      </w:r>
      <w:r>
        <w:rPr>
          <w:rFonts w:hAnsi="宋体"/>
          <w:color w:val="auto"/>
          <w:sz w:val="24"/>
          <w:szCs w:val="24"/>
          <w:highlight w:val="none"/>
        </w:rPr>
        <w:t>m，岩性主要为浅灰色石英砂岩，局部夹灰色砂岩透镜体及薄层砂质泥岩，含少量植物化石及硅化木。</w:t>
      </w:r>
    </w:p>
    <w:p>
      <w:pPr>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lang w:eastAsia="zh-CN"/>
        </w:rPr>
        <w:t>③</w:t>
      </w:r>
      <w:r>
        <w:rPr>
          <w:rFonts w:hint="eastAsia" w:hAnsi="宋体"/>
          <w:color w:val="auto"/>
          <w:sz w:val="24"/>
          <w:szCs w:val="24"/>
          <w:highlight w:val="none"/>
        </w:rPr>
        <w:t>第</w:t>
      </w:r>
      <w:r>
        <w:rPr>
          <w:rFonts w:hAnsi="宋体"/>
          <w:color w:val="auto"/>
          <w:sz w:val="24"/>
          <w:szCs w:val="24"/>
          <w:highlight w:val="none"/>
        </w:rPr>
        <w:t>三段(</w:t>
      </w:r>
      <w:r>
        <w:rPr>
          <w:color w:val="auto"/>
          <w:sz w:val="24"/>
          <w:szCs w:val="24"/>
          <w:highlight w:val="none"/>
        </w:rPr>
        <w:t>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3</w:t>
      </w:r>
      <w:r>
        <w:rPr>
          <w:rFonts w:hAnsi="宋体"/>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Ansi="宋体"/>
          <w:color w:val="auto"/>
          <w:sz w:val="24"/>
          <w:szCs w:val="24"/>
          <w:highlight w:val="none"/>
        </w:rPr>
        <w:t>厚度变化大，</w:t>
      </w:r>
      <w:r>
        <w:rPr>
          <w:rFonts w:hint="eastAsia" w:cs="宋体"/>
          <w:color w:val="auto"/>
          <w:sz w:val="24"/>
          <w:szCs w:val="24"/>
          <w:highlight w:val="none"/>
        </w:rPr>
        <w:t>35m～104m，</w:t>
      </w:r>
      <w:r>
        <w:rPr>
          <w:rFonts w:hAnsi="宋体"/>
          <w:color w:val="auto"/>
          <w:sz w:val="24"/>
          <w:szCs w:val="24"/>
          <w:highlight w:val="none"/>
        </w:rPr>
        <w:t>黑灰色泥岩、炭质泥岩夹蓝灰色石英砂岩、灰质粉砂岩，含大量植物化石。一般含煤三层，俗称内砂连、双龙炭、中独连。</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④</w:t>
      </w:r>
      <w:r>
        <w:rPr>
          <w:rFonts w:hint="eastAsia" w:ascii="宋体" w:hAnsi="宋体"/>
          <w:color w:val="auto"/>
          <w:sz w:val="24"/>
          <w:szCs w:val="24"/>
          <w:highlight w:val="none"/>
        </w:rPr>
        <w:t>第四段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4</w:t>
      </w:r>
      <w:r>
        <w:rPr>
          <w:rFonts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该段为厚层状中粒长石石英砂岩，顶部为细粒砂岩，中下部夹砾石多层。该段厚16m～115m。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⑤</w:t>
      </w:r>
      <w:r>
        <w:rPr>
          <w:rFonts w:hint="eastAsia" w:ascii="宋体" w:hAnsi="宋体"/>
          <w:color w:val="auto"/>
          <w:sz w:val="24"/>
          <w:szCs w:val="24"/>
          <w:highlight w:val="none"/>
        </w:rPr>
        <w:t>第五段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5</w:t>
      </w:r>
      <w:r>
        <w:rPr>
          <w:rFonts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该段为本区主要含煤地层之一，俗称“中煤组”，为边滩、湖泊和沼泽相沉积，其上部为深灰色泥岩、粉砂质泥岩，夹薄层粉砂岩和泥质粉砂岩，含丰富的植物化石。中部为灰色中厚层状细～中粒长石石英砂岩，夹薄层粉砂岩和粉砂质泥岩。下部为灰、深灰色泥岩、粉砂质泥岩，夹薄层泥质粉砂岩、粉砂岩，厚25m～105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⑥</w:t>
      </w:r>
      <w:r>
        <w:rPr>
          <w:rFonts w:hint="eastAsia" w:ascii="宋体" w:hAnsi="宋体"/>
          <w:color w:val="auto"/>
          <w:sz w:val="24"/>
          <w:szCs w:val="24"/>
          <w:highlight w:val="none"/>
        </w:rPr>
        <w:t>第六段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6</w:t>
      </w:r>
      <w:r>
        <w:rPr>
          <w:rFonts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该段主要为河床滞留和边滩相沉积。以灰白～浅灰色厚层状细～粗粒砂岩为主，碎屑颗粒的磨圆度和分选性均较差，底部含大量泥质包体、煤包体和菱铁质包体。上部夹薄层泥岩、泥质粉砂岩，厚51m～139m。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⑦</w:t>
      </w:r>
      <w:r>
        <w:rPr>
          <w:rFonts w:hint="eastAsia" w:ascii="宋体" w:hAnsi="宋体"/>
          <w:color w:val="auto"/>
          <w:sz w:val="24"/>
          <w:szCs w:val="24"/>
          <w:highlight w:val="none"/>
        </w:rPr>
        <w:t>第七段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7</w:t>
      </w:r>
      <w:r>
        <w:rPr>
          <w:rFonts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为本区主要含煤段，俗称“上煤组”。为一套湖泊、沼泽和边滩相沉积，厚61m～131m。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rPr>
        <w:t>侏罗系下统珍珠冲组（J</w:t>
      </w:r>
      <w:r>
        <w:rPr>
          <w:rFonts w:hint="eastAsia" w:ascii="宋体" w:hAnsi="宋体"/>
          <w:color w:val="auto"/>
          <w:sz w:val="24"/>
          <w:szCs w:val="24"/>
          <w:highlight w:val="none"/>
          <w:vertAlign w:val="subscript"/>
        </w:rPr>
        <w:t>1</w:t>
      </w:r>
      <w:r>
        <w:rPr>
          <w:rFonts w:hint="eastAsia" w:ascii="宋体" w:hAnsi="宋体"/>
          <w:i/>
          <w:color w:val="auto"/>
          <w:sz w:val="24"/>
          <w:szCs w:val="24"/>
          <w:highlight w:val="none"/>
        </w:rPr>
        <w:t>zh</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为灰、深灰、绿灰等杂色泥岩及粉砂质泥岩，夹2—3层灰色粉砂岩和细粒砂岩，中下部夹煤线，底部为17m左右浅灰、灰白色中粒砂岩。</w:t>
      </w:r>
      <w:r>
        <w:rPr>
          <w:rFonts w:hint="eastAsia"/>
          <w:color w:val="auto"/>
          <w:sz w:val="24"/>
          <w:szCs w:val="24"/>
          <w:highlight w:val="none"/>
        </w:rPr>
        <w:t>厚10</w:t>
      </w:r>
      <w:r>
        <w:rPr>
          <w:color w:val="auto"/>
          <w:sz w:val="24"/>
          <w:szCs w:val="24"/>
          <w:highlight w:val="none"/>
        </w:rPr>
        <w:t>0</w:t>
      </w:r>
      <w:r>
        <w:rPr>
          <w:rFonts w:hint="eastAsia"/>
          <w:color w:val="auto"/>
          <w:sz w:val="24"/>
          <w:szCs w:val="24"/>
          <w:highlight w:val="none"/>
        </w:rPr>
        <w:t>m～1</w:t>
      </w:r>
      <w:r>
        <w:rPr>
          <w:color w:val="auto"/>
          <w:sz w:val="24"/>
          <w:szCs w:val="24"/>
          <w:highlight w:val="none"/>
        </w:rPr>
        <w:t>6</w:t>
      </w:r>
      <w:r>
        <w:rPr>
          <w:rFonts w:hint="eastAsia"/>
          <w:color w:val="auto"/>
          <w:sz w:val="24"/>
          <w:szCs w:val="24"/>
          <w:highlight w:val="none"/>
        </w:rPr>
        <w:t>0m，与下伏三叠系上统须家河组（T</w:t>
      </w:r>
      <w:r>
        <w:rPr>
          <w:rFonts w:hint="eastAsia"/>
          <w:color w:val="auto"/>
          <w:sz w:val="24"/>
          <w:szCs w:val="24"/>
          <w:highlight w:val="none"/>
          <w:vertAlign w:val="subscript"/>
        </w:rPr>
        <w:t>3</w:t>
      </w:r>
      <w:r>
        <w:rPr>
          <w:rFonts w:hint="eastAsia"/>
          <w:i/>
          <w:color w:val="auto"/>
          <w:sz w:val="24"/>
          <w:szCs w:val="24"/>
          <w:highlight w:val="none"/>
        </w:rPr>
        <w:t>xj</w:t>
      </w:r>
      <w:r>
        <w:rPr>
          <w:rFonts w:hint="eastAsia"/>
          <w:color w:val="auto"/>
          <w:sz w:val="24"/>
          <w:szCs w:val="24"/>
          <w:highlight w:val="none"/>
        </w:rPr>
        <w:t>）地层呈整合接触。</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eastAsia="zh-CN"/>
        </w:rPr>
        <w:t>）</w:t>
      </w:r>
      <w:r>
        <w:rPr>
          <w:rFonts w:hint="eastAsia" w:ascii="宋体" w:hAnsi="宋体"/>
          <w:color w:val="auto"/>
          <w:sz w:val="24"/>
          <w:szCs w:val="24"/>
          <w:highlight w:val="none"/>
        </w:rPr>
        <w:t>侏罗系下至</w:t>
      </w:r>
      <w:r>
        <w:rPr>
          <w:rFonts w:hint="eastAsia"/>
          <w:color w:val="auto"/>
          <w:sz w:val="24"/>
          <w:szCs w:val="24"/>
          <w:highlight w:val="none"/>
        </w:rPr>
        <w:t>中统</w:t>
      </w:r>
      <w:r>
        <w:rPr>
          <w:rFonts w:hint="eastAsia" w:ascii="宋体" w:hAnsi="宋体"/>
          <w:color w:val="auto"/>
          <w:sz w:val="24"/>
          <w:szCs w:val="24"/>
          <w:highlight w:val="none"/>
        </w:rPr>
        <w:t>自流井组（J</w:t>
      </w:r>
      <w:r>
        <w:rPr>
          <w:rFonts w:hint="eastAsia" w:ascii="宋体" w:hAnsi="宋体"/>
          <w:color w:val="auto"/>
          <w:sz w:val="24"/>
          <w:szCs w:val="24"/>
          <w:highlight w:val="none"/>
          <w:vertAlign w:val="subscript"/>
        </w:rPr>
        <w:t>1-2</w:t>
      </w:r>
      <w:r>
        <w:rPr>
          <w:rFonts w:hint="eastAsia" w:ascii="宋体" w:hAnsi="宋体"/>
          <w:i/>
          <w:color w:val="auto"/>
          <w:sz w:val="24"/>
          <w:szCs w:val="24"/>
          <w:highlight w:val="none"/>
        </w:rPr>
        <w:t>z</w:t>
      </w:r>
      <w:r>
        <w:rPr>
          <w:rFonts w:hint="eastAsia" w:ascii="宋体" w:hAnsi="宋体"/>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本组为一套湖泊相沉积，岩性岩相较稳定，岩石颜色较深，粒度较细，普遍含钙质，夹多层介屑灰岩、泥灰岩和石灰岩，含大量动物化石，有少量植物化石，</w:t>
      </w:r>
      <w:r>
        <w:rPr>
          <w:rFonts w:hint="eastAsia" w:ascii="宋体" w:hAnsi="宋体"/>
          <w:color w:val="auto"/>
          <w:sz w:val="24"/>
          <w:szCs w:val="24"/>
          <w:highlight w:val="none"/>
        </w:rPr>
        <w:t>与下伏三叠系上统须家河组（T</w:t>
      </w:r>
      <w:r>
        <w:rPr>
          <w:rFonts w:hint="eastAsia" w:ascii="宋体" w:hAnsi="宋体"/>
          <w:color w:val="auto"/>
          <w:sz w:val="24"/>
          <w:szCs w:val="24"/>
          <w:highlight w:val="none"/>
          <w:vertAlign w:val="subscript"/>
        </w:rPr>
        <w:t>3</w:t>
      </w:r>
      <w:r>
        <w:rPr>
          <w:rFonts w:hint="eastAsia" w:ascii="宋体" w:hAnsi="宋体"/>
          <w:i/>
          <w:color w:val="auto"/>
          <w:sz w:val="24"/>
          <w:szCs w:val="24"/>
          <w:highlight w:val="none"/>
        </w:rPr>
        <w:t>xj</w:t>
      </w:r>
      <w:r>
        <w:rPr>
          <w:rFonts w:hint="eastAsia" w:ascii="宋体" w:hAnsi="宋体"/>
          <w:color w:val="auto"/>
          <w:sz w:val="24"/>
          <w:szCs w:val="24"/>
          <w:highlight w:val="none"/>
        </w:rPr>
        <w:t>）地层呈整合接触。</w:t>
      </w:r>
      <w:r>
        <w:rPr>
          <w:rFonts w:hint="eastAsia"/>
          <w:color w:val="auto"/>
          <w:sz w:val="24"/>
          <w:szCs w:val="24"/>
          <w:highlight w:val="none"/>
        </w:rPr>
        <w:t>厚95m～213m，一般厚210m。根据岩性及古生物特征，由老至新划分为东岳庙段、马鞍山段及大安寨段。</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①</w:t>
      </w:r>
      <w:r>
        <w:rPr>
          <w:rFonts w:hint="eastAsia"/>
          <w:color w:val="auto"/>
          <w:sz w:val="24"/>
          <w:szCs w:val="24"/>
          <w:highlight w:val="none"/>
        </w:rPr>
        <w:t>东岳庙段</w:t>
      </w:r>
      <w:r>
        <w:rPr>
          <w:color w:val="auto"/>
          <w:sz w:val="24"/>
          <w:szCs w:val="24"/>
          <w:highlight w:val="none"/>
        </w:rPr>
        <w:t>(J</w:t>
      </w:r>
      <w:r>
        <w:rPr>
          <w:color w:val="auto"/>
          <w:sz w:val="24"/>
          <w:szCs w:val="24"/>
          <w:highlight w:val="none"/>
          <w:vertAlign w:val="subscript"/>
        </w:rPr>
        <w:t>1-2</w:t>
      </w:r>
      <w:r>
        <w:rPr>
          <w:color w:val="auto"/>
          <w:sz w:val="24"/>
          <w:szCs w:val="24"/>
          <w:highlight w:val="none"/>
        </w:rPr>
        <w:t>z</w:t>
      </w:r>
      <w:r>
        <w:rPr>
          <w:color w:val="auto"/>
          <w:sz w:val="24"/>
          <w:szCs w:val="24"/>
          <w:highlight w:val="none"/>
          <w:vertAlign w:val="superscript"/>
        </w:rPr>
        <w:t>1</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上部以深灰色泥岩为主，夹薄层介屑灰岩，下部为灰色粉砂岩和泥质粉砂岩，局部夹细粒长石石英砂岩。本段含大量瓣鳃化石。</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②</w:t>
      </w:r>
      <w:r>
        <w:rPr>
          <w:rFonts w:hint="eastAsia"/>
          <w:color w:val="auto"/>
          <w:sz w:val="24"/>
          <w:szCs w:val="24"/>
          <w:highlight w:val="none"/>
        </w:rPr>
        <w:t>马鞍山段</w:t>
      </w:r>
      <w:r>
        <w:rPr>
          <w:color w:val="auto"/>
          <w:sz w:val="24"/>
          <w:szCs w:val="24"/>
          <w:highlight w:val="none"/>
        </w:rPr>
        <w:t>(J</w:t>
      </w:r>
      <w:r>
        <w:rPr>
          <w:color w:val="auto"/>
          <w:sz w:val="24"/>
          <w:szCs w:val="24"/>
          <w:highlight w:val="none"/>
          <w:vertAlign w:val="subscript"/>
        </w:rPr>
        <w:t>1-2</w:t>
      </w:r>
      <w:r>
        <w:rPr>
          <w:color w:val="auto"/>
          <w:sz w:val="24"/>
          <w:szCs w:val="24"/>
          <w:highlight w:val="none"/>
        </w:rPr>
        <w:t>z</w:t>
      </w:r>
      <w:r>
        <w:rPr>
          <w:rFonts w:hint="eastAsia"/>
          <w:color w:val="auto"/>
          <w:sz w:val="24"/>
          <w:szCs w:val="24"/>
          <w:highlight w:val="none"/>
          <w:vertAlign w:val="superscript"/>
        </w:rPr>
        <w:t>2</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以灰色泥岩、粉砂质泥岩为主，底部为深褐灰色粉砂质泥岩夹薄层含介屑泥质灰岩，中上部夹薄层泥质粉砂岩，上部偶见紫红色泥岩。本段含叶肢介和鱼鳞化石。</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③</w:t>
      </w:r>
      <w:r>
        <w:rPr>
          <w:rFonts w:hint="eastAsia"/>
          <w:color w:val="auto"/>
          <w:sz w:val="24"/>
          <w:szCs w:val="24"/>
          <w:highlight w:val="none"/>
        </w:rPr>
        <w:t>大安寨段</w:t>
      </w:r>
      <w:r>
        <w:rPr>
          <w:color w:val="auto"/>
          <w:sz w:val="24"/>
          <w:szCs w:val="24"/>
          <w:highlight w:val="none"/>
        </w:rPr>
        <w:t>(J</w:t>
      </w:r>
      <w:r>
        <w:rPr>
          <w:color w:val="auto"/>
          <w:sz w:val="24"/>
          <w:szCs w:val="24"/>
          <w:highlight w:val="none"/>
          <w:vertAlign w:val="subscript"/>
        </w:rPr>
        <w:t>1-2</w:t>
      </w:r>
      <w:r>
        <w:rPr>
          <w:color w:val="auto"/>
          <w:sz w:val="24"/>
          <w:szCs w:val="24"/>
          <w:highlight w:val="none"/>
        </w:rPr>
        <w:t>z</w:t>
      </w:r>
      <w:r>
        <w:rPr>
          <w:rFonts w:hint="eastAsia"/>
          <w:color w:val="auto"/>
          <w:sz w:val="24"/>
          <w:szCs w:val="24"/>
          <w:highlight w:val="none"/>
          <w:vertAlign w:val="superscript"/>
        </w:rPr>
        <w:t>3</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深灰色泥岩夹薄层介屑灰岩和石灰岩，上部夹中厚层状粉砂岩和泥质粉砂岩，水平层理及波状层理发育。本段含大量瓣鳃类化石。</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szCs w:val="24"/>
          <w:highlight w:val="none"/>
          <w:lang w:eastAsia="zh-CN"/>
        </w:rPr>
        <w:t>）</w:t>
      </w:r>
      <w:r>
        <w:rPr>
          <w:rFonts w:hint="eastAsia" w:ascii="宋体" w:hAnsi="宋体"/>
          <w:color w:val="auto"/>
          <w:sz w:val="24"/>
          <w:szCs w:val="24"/>
          <w:highlight w:val="none"/>
        </w:rPr>
        <w:t>侏罗系中统新田沟组（J</w:t>
      </w:r>
      <w:r>
        <w:rPr>
          <w:rFonts w:hint="eastAsia" w:ascii="宋体" w:hAnsi="宋体"/>
          <w:color w:val="auto"/>
          <w:sz w:val="24"/>
          <w:szCs w:val="24"/>
          <w:highlight w:val="none"/>
          <w:vertAlign w:val="subscript"/>
        </w:rPr>
        <w:t>2</w:t>
      </w:r>
      <w:r>
        <w:rPr>
          <w:rFonts w:hint="eastAsia" w:ascii="宋体" w:hAnsi="宋体"/>
          <w:i/>
          <w:color w:val="auto"/>
          <w:sz w:val="24"/>
          <w:szCs w:val="24"/>
          <w:highlight w:val="none"/>
        </w:rPr>
        <w:t>x</w:t>
      </w:r>
      <w:r>
        <w:rPr>
          <w:rFonts w:hint="eastAsia" w:ascii="宋体" w:hAnsi="宋体"/>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组为河流、湖泊相沉积，厚约380m。本组上、下部为紫、灰绿色粉砂质泥岩，块状层理，不含化石；中部为灰色泥岩和粉砂岩互层，夹薄层生物屑灰岩和泥灰岩，水平层理发育，含瓣鳃化石，与下伏地层整合接触，根据岩性和化石特征由老至新分为四段。</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①</w:t>
      </w:r>
      <w:r>
        <w:rPr>
          <w:rFonts w:hint="eastAsia"/>
          <w:color w:val="auto"/>
          <w:sz w:val="24"/>
          <w:szCs w:val="24"/>
          <w:highlight w:val="none"/>
        </w:rPr>
        <w:t>第一段(J</w:t>
      </w:r>
      <w:r>
        <w:rPr>
          <w:rFonts w:hint="eastAsia"/>
          <w:color w:val="auto"/>
          <w:sz w:val="24"/>
          <w:szCs w:val="24"/>
          <w:highlight w:val="none"/>
          <w:vertAlign w:val="subscript"/>
        </w:rPr>
        <w:t>2</w:t>
      </w:r>
      <w:r>
        <w:rPr>
          <w:rFonts w:hint="eastAsia"/>
          <w:color w:val="auto"/>
          <w:sz w:val="24"/>
          <w:szCs w:val="24"/>
          <w:highlight w:val="none"/>
        </w:rPr>
        <w:t>x</w:t>
      </w:r>
      <w:r>
        <w:rPr>
          <w:rFonts w:hint="eastAsia"/>
          <w:color w:val="auto"/>
          <w:sz w:val="24"/>
          <w:szCs w:val="24"/>
          <w:highlight w:val="none"/>
          <w:vertAlign w:val="superscript"/>
        </w:rPr>
        <w:t>1</w:t>
      </w:r>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紫、绿灰色泥岩和粉砂质泥岩，团块状结构，含较多钙质结核，中下部夹中厚层状粉砂岩和细粒石英砂岩，底部为绿灰色泥质粉砂岩。本段厚44m～49m，一般厚47m。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②</w:t>
      </w:r>
      <w:r>
        <w:rPr>
          <w:rFonts w:hint="eastAsia"/>
          <w:color w:val="auto"/>
          <w:sz w:val="24"/>
          <w:szCs w:val="24"/>
          <w:highlight w:val="none"/>
        </w:rPr>
        <w:t>第二段(J</w:t>
      </w:r>
      <w:r>
        <w:rPr>
          <w:rFonts w:hint="eastAsia"/>
          <w:color w:val="auto"/>
          <w:sz w:val="24"/>
          <w:szCs w:val="24"/>
          <w:highlight w:val="none"/>
          <w:vertAlign w:val="subscript"/>
        </w:rPr>
        <w:t>2</w:t>
      </w:r>
      <w:r>
        <w:rPr>
          <w:rFonts w:hint="eastAsia"/>
          <w:color w:val="auto"/>
          <w:sz w:val="24"/>
          <w:szCs w:val="24"/>
          <w:highlight w:val="none"/>
        </w:rPr>
        <w:t>x</w:t>
      </w:r>
      <w:r>
        <w:rPr>
          <w:rFonts w:hint="eastAsia"/>
          <w:color w:val="auto"/>
          <w:sz w:val="24"/>
          <w:szCs w:val="24"/>
          <w:highlight w:val="none"/>
          <w:vertAlign w:val="superscript"/>
        </w:rPr>
        <w:t>2</w:t>
      </w:r>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深灰色泥岩和粉砂质泥岩为主，夹薄层泥质粉砂岩、粉砂岩和细粒长石石英砂岩，砂岩和粉砂岩中白云母含量高，并常含钙质。底部为灰色泥质粉砂岩和粉砂岩，含瓣鳃化石和薄层介屑灰岩。本段厚96m～144m，一般厚105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③</w:t>
      </w:r>
      <w:r>
        <w:rPr>
          <w:rFonts w:hint="eastAsia"/>
          <w:color w:val="auto"/>
          <w:sz w:val="24"/>
          <w:szCs w:val="24"/>
          <w:highlight w:val="none"/>
        </w:rPr>
        <w:t>第三段(J</w:t>
      </w:r>
      <w:r>
        <w:rPr>
          <w:rFonts w:hint="eastAsia"/>
          <w:color w:val="auto"/>
          <w:sz w:val="24"/>
          <w:szCs w:val="24"/>
          <w:highlight w:val="none"/>
          <w:vertAlign w:val="subscript"/>
        </w:rPr>
        <w:t>2</w:t>
      </w:r>
      <w:r>
        <w:rPr>
          <w:rFonts w:hint="eastAsia"/>
          <w:color w:val="auto"/>
          <w:sz w:val="24"/>
          <w:szCs w:val="24"/>
          <w:highlight w:val="none"/>
        </w:rPr>
        <w:t>x</w:t>
      </w:r>
      <w:r>
        <w:rPr>
          <w:rFonts w:hint="eastAsia"/>
          <w:color w:val="auto"/>
          <w:sz w:val="24"/>
          <w:szCs w:val="24"/>
          <w:highlight w:val="none"/>
          <w:vertAlign w:val="superscript"/>
        </w:rPr>
        <w:t>3</w:t>
      </w:r>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灰色泥质粉砂岩，粉砂岩夹深灰色泥岩和粉砂质泥岩，中上部有薄层钙质粉砂岩，泥岩中有较多瓣鳃化石，水平层理发育。底部为厚层状细粒砂岩。本段厚85m～122m，一般厚95m。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④</w:t>
      </w:r>
      <w:r>
        <w:rPr>
          <w:rFonts w:hint="eastAsia"/>
          <w:color w:val="auto"/>
          <w:sz w:val="24"/>
          <w:szCs w:val="24"/>
          <w:highlight w:val="none"/>
        </w:rPr>
        <w:t>第四段(J</w:t>
      </w:r>
      <w:r>
        <w:rPr>
          <w:rFonts w:hint="eastAsia"/>
          <w:color w:val="auto"/>
          <w:sz w:val="24"/>
          <w:szCs w:val="24"/>
          <w:highlight w:val="none"/>
          <w:vertAlign w:val="subscript"/>
        </w:rPr>
        <w:t>2</w:t>
      </w:r>
      <w:r>
        <w:rPr>
          <w:rFonts w:hint="eastAsia"/>
          <w:color w:val="auto"/>
          <w:sz w:val="24"/>
          <w:szCs w:val="24"/>
          <w:highlight w:val="none"/>
        </w:rPr>
        <w:t>x</w:t>
      </w:r>
      <w:r>
        <w:rPr>
          <w:rFonts w:hint="eastAsia"/>
          <w:color w:val="auto"/>
          <w:sz w:val="24"/>
          <w:szCs w:val="24"/>
          <w:highlight w:val="none"/>
          <w:vertAlign w:val="superscript"/>
        </w:rPr>
        <w:t>4</w:t>
      </w:r>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紫红、灰绿色泥岩和粉砂质泥岩，含钙质结核，间夹薄层粉砂岩和细粒砂岩，不含化石。本段厚约128m。</w:t>
      </w:r>
    </w:p>
    <w:p>
      <w:pPr>
        <w:adjustRightInd w:val="0"/>
        <w:snapToGrid w:val="0"/>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2</w:t>
      </w:r>
      <w:r>
        <w:rPr>
          <w:rFonts w:hint="eastAsia" w:ascii="宋体" w:hAnsi="宋体"/>
          <w:b/>
          <w:bCs/>
          <w:color w:val="auto"/>
          <w:sz w:val="24"/>
          <w:szCs w:val="24"/>
          <w:highlight w:val="none"/>
        </w:rPr>
        <w:t>）中山矿段地层</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区内出露地层为三叠系中统雷口坡组（</w:t>
      </w:r>
      <w:r>
        <w:rPr>
          <w:rFonts w:ascii="宋体" w:hAnsi="宋体"/>
          <w:color w:val="auto"/>
          <w:sz w:val="24"/>
          <w:szCs w:val="24"/>
          <w:highlight w:val="none"/>
        </w:rPr>
        <w:t>T</w:t>
      </w:r>
      <w:r>
        <w:rPr>
          <w:rFonts w:hint="eastAsia" w:ascii="宋体" w:hAnsi="宋体"/>
          <w:color w:val="auto"/>
          <w:sz w:val="24"/>
          <w:szCs w:val="24"/>
          <w:highlight w:val="none"/>
          <w:vertAlign w:val="subscript"/>
        </w:rPr>
        <w:t>2</w:t>
      </w:r>
      <w:r>
        <w:rPr>
          <w:rFonts w:hint="eastAsia" w:ascii="宋体" w:hAnsi="宋体"/>
          <w:color w:val="auto"/>
          <w:sz w:val="24"/>
          <w:szCs w:val="24"/>
          <w:highlight w:val="none"/>
        </w:rPr>
        <w:t>l）及上统须家河组（</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rPr>
        <w:t>）、侏罗系上统珍珠冲组（</w:t>
      </w:r>
      <w:r>
        <w:rPr>
          <w:rFonts w:ascii="宋体" w:hAnsi="宋体"/>
          <w:color w:val="auto"/>
          <w:sz w:val="24"/>
          <w:szCs w:val="24"/>
          <w:highlight w:val="none"/>
        </w:rPr>
        <w:t>J</w:t>
      </w:r>
      <w:r>
        <w:rPr>
          <w:rFonts w:ascii="宋体" w:hAnsi="宋体"/>
          <w:color w:val="auto"/>
          <w:sz w:val="24"/>
          <w:szCs w:val="24"/>
          <w:highlight w:val="none"/>
          <w:vertAlign w:val="subscript"/>
        </w:rPr>
        <w:t>1</w:t>
      </w:r>
      <w:r>
        <w:rPr>
          <w:rFonts w:ascii="宋体" w:hAnsi="宋体"/>
          <w:color w:val="auto"/>
          <w:sz w:val="24"/>
          <w:szCs w:val="24"/>
          <w:highlight w:val="none"/>
        </w:rPr>
        <w:t>z</w:t>
      </w:r>
      <w:r>
        <w:rPr>
          <w:rFonts w:hint="eastAsia" w:ascii="宋体" w:hAnsi="宋体"/>
          <w:color w:val="auto"/>
          <w:sz w:val="24"/>
          <w:szCs w:val="24"/>
          <w:highlight w:val="none"/>
        </w:rPr>
        <w:t>h）及侏罗系中下统自流井组（</w:t>
      </w:r>
      <w:r>
        <w:rPr>
          <w:rFonts w:ascii="宋体" w:hAnsi="宋体"/>
          <w:color w:val="auto"/>
          <w:sz w:val="24"/>
          <w:szCs w:val="24"/>
          <w:highlight w:val="none"/>
        </w:rPr>
        <w:t>J</w:t>
      </w:r>
      <w:r>
        <w:rPr>
          <w:rFonts w:ascii="宋体" w:hAnsi="宋体"/>
          <w:color w:val="auto"/>
          <w:sz w:val="24"/>
          <w:szCs w:val="24"/>
          <w:highlight w:val="none"/>
          <w:vertAlign w:val="subscript"/>
        </w:rPr>
        <w:t>1</w:t>
      </w:r>
      <w:r>
        <w:rPr>
          <w:rFonts w:hint="eastAsia" w:ascii="宋体" w:hAnsi="宋体"/>
          <w:color w:val="auto"/>
          <w:sz w:val="24"/>
          <w:szCs w:val="24"/>
          <w:highlight w:val="none"/>
          <w:vertAlign w:val="subscript"/>
        </w:rPr>
        <w:t>-2</w:t>
      </w:r>
      <w:r>
        <w:rPr>
          <w:rFonts w:ascii="宋体" w:hAnsi="宋体"/>
          <w:color w:val="auto"/>
          <w:sz w:val="24"/>
          <w:szCs w:val="24"/>
          <w:highlight w:val="none"/>
        </w:rPr>
        <w:t>z</w:t>
      </w:r>
      <w:r>
        <w:rPr>
          <w:rFonts w:hint="eastAsia" w:ascii="宋体" w:hAnsi="宋体"/>
          <w:color w:val="auto"/>
          <w:sz w:val="24"/>
          <w:szCs w:val="24"/>
          <w:highlight w:val="none"/>
        </w:rPr>
        <w:t>）和中统新田沟组（</w:t>
      </w:r>
      <w:r>
        <w:rPr>
          <w:rFonts w:ascii="宋体" w:hAnsi="宋体"/>
          <w:color w:val="auto"/>
          <w:sz w:val="24"/>
          <w:szCs w:val="24"/>
          <w:highlight w:val="none"/>
        </w:rPr>
        <w:t>J</w:t>
      </w:r>
      <w:r>
        <w:rPr>
          <w:rFonts w:hint="eastAsia" w:ascii="宋体" w:hAnsi="宋体"/>
          <w:color w:val="auto"/>
          <w:sz w:val="24"/>
          <w:szCs w:val="24"/>
          <w:highlight w:val="none"/>
          <w:vertAlign w:val="subscript"/>
        </w:rPr>
        <w:t>2</w:t>
      </w:r>
      <w:r>
        <w:rPr>
          <w:rFonts w:hint="eastAsia" w:ascii="宋体" w:hAnsi="宋体"/>
          <w:color w:val="auto"/>
          <w:sz w:val="24"/>
          <w:szCs w:val="24"/>
          <w:highlight w:val="none"/>
        </w:rPr>
        <w:t>x）。现将含煤地层叙述于后：</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含煤地层为三叠系上统须家河组（</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rPr>
        <w:t>），分为七个段，其中第一（</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1</w:t>
      </w:r>
      <w:r>
        <w:rPr>
          <w:rFonts w:hint="eastAsia" w:ascii="宋体" w:hAnsi="宋体"/>
          <w:color w:val="auto"/>
          <w:sz w:val="24"/>
          <w:szCs w:val="24"/>
          <w:highlight w:val="none"/>
        </w:rPr>
        <w:t>）、三（</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3</w:t>
      </w:r>
      <w:r>
        <w:rPr>
          <w:rFonts w:hint="eastAsia" w:ascii="宋体" w:hAnsi="宋体"/>
          <w:color w:val="auto"/>
          <w:sz w:val="24"/>
          <w:szCs w:val="24"/>
          <w:highlight w:val="none"/>
        </w:rPr>
        <w:t>）、五（</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5</w:t>
      </w:r>
      <w:r>
        <w:rPr>
          <w:rFonts w:hint="eastAsia" w:ascii="宋体" w:hAnsi="宋体"/>
          <w:color w:val="auto"/>
          <w:sz w:val="24"/>
          <w:szCs w:val="24"/>
          <w:highlight w:val="none"/>
        </w:rPr>
        <w:t>）、七段（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hint="eastAsia" w:ascii="宋体" w:hAnsi="宋体"/>
          <w:color w:val="auto"/>
          <w:sz w:val="24"/>
          <w:szCs w:val="24"/>
          <w:highlight w:val="none"/>
          <w:vertAlign w:val="superscript"/>
        </w:rPr>
        <w:t>7</w:t>
      </w:r>
      <w:r>
        <w:rPr>
          <w:rFonts w:hint="eastAsia" w:ascii="宋体" w:hAnsi="宋体"/>
          <w:color w:val="auto"/>
          <w:sz w:val="24"/>
          <w:szCs w:val="24"/>
          <w:highlight w:val="none"/>
        </w:rPr>
        <w:t>）为含煤段，主要岩性为深灰色泥岩，夹粉砂岩或厚度不等的细～中粒砂岩、含煤层及煤线。</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三叠系中统雷口坡组(T</w:t>
      </w:r>
      <w:r>
        <w:rPr>
          <w:rFonts w:hint="eastAsia" w:ascii="宋体" w:hAnsi="宋体"/>
          <w:color w:val="auto"/>
          <w:sz w:val="24"/>
          <w:szCs w:val="24"/>
          <w:highlight w:val="none"/>
          <w:vertAlign w:val="subscript"/>
        </w:rPr>
        <w:t>2</w:t>
      </w:r>
      <w:r>
        <w:rPr>
          <w:rFonts w:hint="eastAsia" w:ascii="宋体" w:hAnsi="宋体"/>
          <w:color w:val="auto"/>
          <w:sz w:val="24"/>
          <w:szCs w:val="24"/>
          <w:highlight w:val="none"/>
        </w:rPr>
        <w:t>l)</w:t>
      </w:r>
    </w:p>
    <w:p>
      <w:pPr>
        <w:adjustRightInd w:val="0"/>
        <w:snapToGrid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以灰、棕灰色中厚层状泥灰岩为主，夹浅灰色灰岩，角砾状灰岩及白云质灰岩，并夹有少许紫红色的薄层泥岩。区内出露不全，厚度不详。</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eastAsia="zh-CN"/>
        </w:rPr>
        <w:t>）</w:t>
      </w:r>
      <w:r>
        <w:rPr>
          <w:rFonts w:ascii="宋体" w:hAnsi="宋体"/>
          <w:bCs/>
          <w:color w:val="auto"/>
          <w:sz w:val="24"/>
          <w:szCs w:val="24"/>
          <w:highlight w:val="none"/>
        </w:rPr>
        <w:t>三叠系上统须家河组(T</w:t>
      </w:r>
      <w:r>
        <w:rPr>
          <w:rFonts w:ascii="宋体" w:hAnsi="宋体"/>
          <w:bCs/>
          <w:color w:val="auto"/>
          <w:sz w:val="24"/>
          <w:szCs w:val="24"/>
          <w:highlight w:val="none"/>
          <w:vertAlign w:val="subscript"/>
        </w:rPr>
        <w:t>3</w:t>
      </w:r>
      <w:r>
        <w:rPr>
          <w:rFonts w:ascii="宋体" w:hAnsi="宋体"/>
          <w:bCs/>
          <w:color w:val="auto"/>
          <w:sz w:val="24"/>
          <w:szCs w:val="24"/>
          <w:highlight w:val="none"/>
        </w:rPr>
        <w:t>xj)</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①</w:t>
      </w:r>
      <w:r>
        <w:rPr>
          <w:rFonts w:hint="eastAsia" w:ascii="宋体" w:hAnsi="宋体"/>
          <w:color w:val="auto"/>
          <w:sz w:val="24"/>
          <w:szCs w:val="24"/>
          <w:highlight w:val="none"/>
        </w:rPr>
        <w:t>第一段（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1</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该层上部岩性以粘土质泥岩为主，中部为灰白色厚层状中粒长石英砂岩，下部为泥岩，炭质泥岩和粉砂岩，含煤二层，均为不可采煤层，总厚</w:t>
      </w:r>
      <w:r>
        <w:rPr>
          <w:rFonts w:ascii="宋体" w:hAnsi="宋体"/>
          <w:color w:val="auto"/>
          <w:sz w:val="24"/>
          <w:szCs w:val="24"/>
          <w:highlight w:val="none"/>
        </w:rPr>
        <w:t>12</w:t>
      </w:r>
      <w:r>
        <w:rPr>
          <w:rFonts w:hint="eastAsia" w:ascii="宋体" w:hAnsi="宋体"/>
          <w:color w:val="auto"/>
          <w:sz w:val="24"/>
          <w:szCs w:val="24"/>
          <w:highlight w:val="none"/>
        </w:rPr>
        <w:t>m～</w:t>
      </w:r>
      <w:r>
        <w:rPr>
          <w:rFonts w:ascii="宋体" w:hAnsi="宋体"/>
          <w:color w:val="auto"/>
          <w:sz w:val="24"/>
          <w:szCs w:val="24"/>
          <w:highlight w:val="none"/>
        </w:rPr>
        <w:t>58</w:t>
      </w:r>
      <w:r>
        <w:rPr>
          <w:rFonts w:hint="eastAsia" w:ascii="宋体" w:hAnsi="宋体"/>
          <w:color w:val="auto"/>
          <w:sz w:val="24"/>
          <w:szCs w:val="24"/>
          <w:highlight w:val="none"/>
        </w:rPr>
        <w:t>m，平均厚</w:t>
      </w:r>
      <w:r>
        <w:rPr>
          <w:rFonts w:ascii="宋体" w:hAnsi="宋体"/>
          <w:color w:val="auto"/>
          <w:sz w:val="24"/>
          <w:szCs w:val="24"/>
          <w:highlight w:val="none"/>
        </w:rPr>
        <w:t>24</w:t>
      </w:r>
      <w:r>
        <w:rPr>
          <w:rFonts w:hint="eastAsia" w:ascii="宋体" w:hAnsi="宋体"/>
          <w:color w:val="auto"/>
          <w:sz w:val="24"/>
          <w:szCs w:val="24"/>
          <w:highlight w:val="none"/>
        </w:rPr>
        <w:t>m。与下伏地层雷口坡组呈整合接触。</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②</w:t>
      </w:r>
      <w:r>
        <w:rPr>
          <w:rFonts w:hint="eastAsia" w:ascii="宋体" w:hAnsi="宋体"/>
          <w:color w:val="auto"/>
          <w:sz w:val="24"/>
          <w:szCs w:val="24"/>
          <w:highlight w:val="none"/>
        </w:rPr>
        <w:t>第二段（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2</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为灰白色厚层状中粒石英砂岩，含少量暗色矿物及铁质结核，</w:t>
      </w:r>
      <w:r>
        <w:rPr>
          <w:rFonts w:ascii="宋体" w:hAnsi="宋体"/>
          <w:color w:val="auto"/>
          <w:sz w:val="24"/>
          <w:szCs w:val="24"/>
          <w:highlight w:val="none"/>
        </w:rPr>
        <w:t>风化后呈黄灰色</w:t>
      </w:r>
      <w:r>
        <w:rPr>
          <w:rFonts w:hint="eastAsia" w:ascii="宋体" w:hAnsi="宋体"/>
          <w:color w:val="auto"/>
          <w:sz w:val="24"/>
          <w:szCs w:val="24"/>
          <w:highlight w:val="none"/>
        </w:rPr>
        <w:t>，与下伏岩层冲刷接触。层厚</w:t>
      </w:r>
      <w:r>
        <w:rPr>
          <w:rFonts w:ascii="宋体" w:hAnsi="宋体"/>
          <w:color w:val="auto"/>
          <w:sz w:val="24"/>
          <w:szCs w:val="24"/>
          <w:highlight w:val="none"/>
        </w:rPr>
        <w:t>107.2</w:t>
      </w:r>
      <w:r>
        <w:rPr>
          <w:rFonts w:hint="eastAsia" w:ascii="宋体" w:hAnsi="宋体"/>
          <w:color w:val="auto"/>
          <w:sz w:val="24"/>
          <w:szCs w:val="24"/>
          <w:highlight w:val="none"/>
        </w:rPr>
        <w:t>m～255m。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③</w:t>
      </w:r>
      <w:r>
        <w:rPr>
          <w:rFonts w:hint="eastAsia" w:ascii="宋体" w:hAnsi="宋体"/>
          <w:color w:val="auto"/>
          <w:sz w:val="24"/>
          <w:szCs w:val="24"/>
          <w:highlight w:val="none"/>
        </w:rPr>
        <w:t>第三段（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3</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为灰黑、灰色泥岩、砂质泥岩、泥质粉砂岩、页岩及细粒砂岩组成，与下伏二段岩层为整合接触。层厚</w:t>
      </w:r>
      <w:r>
        <w:rPr>
          <w:rFonts w:ascii="宋体" w:hAnsi="宋体"/>
          <w:color w:val="auto"/>
          <w:sz w:val="24"/>
          <w:szCs w:val="24"/>
          <w:highlight w:val="none"/>
        </w:rPr>
        <w:t>65</w:t>
      </w:r>
      <w:r>
        <w:rPr>
          <w:rFonts w:hint="eastAsia" w:ascii="宋体" w:hAnsi="宋体"/>
          <w:color w:val="auto"/>
          <w:sz w:val="24"/>
          <w:szCs w:val="24"/>
          <w:highlight w:val="none"/>
        </w:rPr>
        <w:t>m～</w:t>
      </w:r>
      <w:r>
        <w:rPr>
          <w:rFonts w:ascii="宋体" w:hAnsi="宋体"/>
          <w:color w:val="auto"/>
          <w:sz w:val="24"/>
          <w:szCs w:val="24"/>
          <w:highlight w:val="none"/>
        </w:rPr>
        <w:t>96</w:t>
      </w:r>
      <w:r>
        <w:rPr>
          <w:rFonts w:hint="eastAsia" w:ascii="宋体" w:hAnsi="宋体"/>
          <w:color w:val="auto"/>
          <w:sz w:val="24"/>
          <w:szCs w:val="24"/>
          <w:highlight w:val="none"/>
        </w:rPr>
        <w:t>m，平均厚</w:t>
      </w:r>
      <w:r>
        <w:rPr>
          <w:rFonts w:ascii="宋体" w:hAnsi="宋体"/>
          <w:color w:val="auto"/>
          <w:sz w:val="24"/>
          <w:szCs w:val="24"/>
          <w:highlight w:val="none"/>
        </w:rPr>
        <w:t>78</w:t>
      </w:r>
      <w:r>
        <w:rPr>
          <w:rFonts w:hint="eastAsia" w:ascii="宋体" w:hAnsi="宋体"/>
          <w:color w:val="auto"/>
          <w:sz w:val="24"/>
          <w:szCs w:val="24"/>
          <w:highlight w:val="none"/>
        </w:rPr>
        <w:t>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④</w:t>
      </w:r>
      <w:r>
        <w:rPr>
          <w:rFonts w:hint="eastAsia" w:ascii="宋体" w:hAnsi="宋体"/>
          <w:color w:val="auto"/>
          <w:sz w:val="24"/>
          <w:szCs w:val="24"/>
          <w:highlight w:val="none"/>
        </w:rPr>
        <w:t>第四段（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4</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浅灰色</w:t>
      </w:r>
      <w:r>
        <w:rPr>
          <w:rFonts w:ascii="宋体" w:hAnsi="宋体"/>
          <w:color w:val="auto"/>
          <w:sz w:val="24"/>
          <w:szCs w:val="24"/>
          <w:highlight w:val="none"/>
        </w:rPr>
        <w:t>、灰色</w:t>
      </w:r>
      <w:r>
        <w:rPr>
          <w:rFonts w:hint="eastAsia" w:ascii="宋体" w:hAnsi="宋体"/>
          <w:color w:val="auto"/>
          <w:sz w:val="24"/>
          <w:szCs w:val="24"/>
          <w:highlight w:val="none"/>
        </w:rPr>
        <w:t>厚层状中粗粒长石石英砂岩，砂岩呈次棱角状，泥质胶结。上部含泥质和较多的暗色矿物，云母碎片及煤屑，组织疏松，中部夹</w:t>
      </w:r>
      <w:r>
        <w:rPr>
          <w:rFonts w:ascii="宋体" w:hAnsi="宋体"/>
          <w:color w:val="auto"/>
          <w:sz w:val="24"/>
          <w:szCs w:val="24"/>
          <w:highlight w:val="none"/>
        </w:rPr>
        <w:t>2</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层砾石，总厚为</w:t>
      </w:r>
      <w:r>
        <w:rPr>
          <w:rFonts w:ascii="宋体" w:hAnsi="宋体"/>
          <w:color w:val="auto"/>
          <w:sz w:val="24"/>
          <w:szCs w:val="24"/>
          <w:highlight w:val="none"/>
        </w:rPr>
        <w:t>78</w:t>
      </w:r>
      <w:r>
        <w:rPr>
          <w:rFonts w:hint="eastAsia" w:ascii="宋体" w:hAnsi="宋体"/>
          <w:color w:val="auto"/>
          <w:sz w:val="24"/>
          <w:szCs w:val="24"/>
          <w:highlight w:val="none"/>
        </w:rPr>
        <w:t>m～</w:t>
      </w:r>
      <w:r>
        <w:rPr>
          <w:rFonts w:ascii="宋体" w:hAnsi="宋体"/>
          <w:color w:val="auto"/>
          <w:sz w:val="24"/>
          <w:szCs w:val="24"/>
          <w:highlight w:val="none"/>
        </w:rPr>
        <w:t>124</w:t>
      </w:r>
      <w:r>
        <w:rPr>
          <w:rFonts w:hint="eastAsia" w:ascii="宋体" w:hAnsi="宋体"/>
          <w:color w:val="auto"/>
          <w:sz w:val="24"/>
          <w:szCs w:val="24"/>
          <w:highlight w:val="none"/>
        </w:rPr>
        <w:t>m，平均厚</w:t>
      </w:r>
      <w:r>
        <w:rPr>
          <w:rFonts w:ascii="宋体" w:hAnsi="宋体"/>
          <w:color w:val="auto"/>
          <w:sz w:val="24"/>
          <w:szCs w:val="24"/>
          <w:highlight w:val="none"/>
        </w:rPr>
        <w:t>106</w:t>
      </w:r>
      <w:r>
        <w:rPr>
          <w:rFonts w:hint="eastAsia" w:ascii="宋体" w:hAnsi="宋体"/>
          <w:color w:val="auto"/>
          <w:sz w:val="24"/>
          <w:szCs w:val="24"/>
          <w:highlight w:val="none"/>
        </w:rPr>
        <w:t>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⑤</w:t>
      </w:r>
      <w:r>
        <w:rPr>
          <w:rFonts w:hint="eastAsia" w:ascii="宋体" w:hAnsi="宋体"/>
          <w:color w:val="auto"/>
          <w:sz w:val="24"/>
          <w:szCs w:val="24"/>
          <w:highlight w:val="none"/>
        </w:rPr>
        <w:t>第五段（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5</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本段是区内主要的含煤段，</w:t>
      </w:r>
      <w:r>
        <w:rPr>
          <w:rFonts w:ascii="宋体" w:hAnsi="宋体"/>
          <w:color w:val="auto"/>
          <w:sz w:val="24"/>
          <w:szCs w:val="24"/>
          <w:highlight w:val="none"/>
        </w:rPr>
        <w:t>俗称“中煤组”</w:t>
      </w:r>
      <w:r>
        <w:rPr>
          <w:rFonts w:hint="eastAsia" w:ascii="宋体" w:hAnsi="宋体"/>
          <w:color w:val="auto"/>
          <w:sz w:val="24"/>
          <w:szCs w:val="24"/>
          <w:highlight w:val="none"/>
        </w:rPr>
        <w:t>，该段按其岩性可分为三个亚段，一、三亚段含煤，二亚段为砂岩。</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A</w:t>
      </w:r>
      <w:r>
        <w:rPr>
          <w:rFonts w:hint="eastAsia" w:ascii="宋体" w:hAnsi="宋体"/>
          <w:color w:val="auto"/>
          <w:sz w:val="24"/>
          <w:szCs w:val="24"/>
          <w:highlight w:val="none"/>
          <w:lang w:eastAsia="zh-CN"/>
        </w:rPr>
        <w:t>）</w:t>
      </w:r>
      <w:r>
        <w:rPr>
          <w:rFonts w:hint="eastAsia" w:ascii="宋体" w:hAnsi="宋体"/>
          <w:color w:val="auto"/>
          <w:sz w:val="24"/>
          <w:szCs w:val="24"/>
          <w:highlight w:val="none"/>
        </w:rPr>
        <w:t>第一亚段（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5-1</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以灰色</w:t>
      </w:r>
      <w:r>
        <w:rPr>
          <w:rFonts w:ascii="宋体" w:hAnsi="宋体"/>
          <w:color w:val="auto"/>
          <w:sz w:val="24"/>
          <w:szCs w:val="24"/>
          <w:highlight w:val="none"/>
        </w:rPr>
        <w:t>～深灰色</w:t>
      </w:r>
      <w:r>
        <w:rPr>
          <w:rFonts w:hint="eastAsia" w:ascii="宋体" w:hAnsi="宋体"/>
          <w:color w:val="auto"/>
          <w:sz w:val="24"/>
          <w:szCs w:val="24"/>
          <w:highlight w:val="none"/>
        </w:rPr>
        <w:t>泥岩、砂质泥岩、粘土质泥岩为主，夹薄层状细粒砂岩，其中含煤三层，即</w:t>
      </w:r>
      <w:r>
        <w:rPr>
          <w:rFonts w:ascii="宋体" w:hAnsi="宋体"/>
          <w:color w:val="auto"/>
          <w:sz w:val="24"/>
          <w:szCs w:val="24"/>
          <w:highlight w:val="none"/>
        </w:rPr>
        <w:t>K</w:t>
      </w:r>
      <w:r>
        <w:rPr>
          <w:rFonts w:ascii="宋体" w:hAnsi="宋体"/>
          <w:color w:val="auto"/>
          <w:sz w:val="24"/>
          <w:szCs w:val="24"/>
          <w:highlight w:val="none"/>
          <w:vertAlign w:val="subscript"/>
        </w:rPr>
        <w:t>3</w:t>
      </w:r>
      <w:r>
        <w:rPr>
          <w:rFonts w:hint="eastAsia" w:ascii="宋体" w:hAnsi="宋体"/>
          <w:color w:val="auto"/>
          <w:sz w:val="24"/>
          <w:szCs w:val="24"/>
          <w:highlight w:val="none"/>
        </w:rPr>
        <w:t>、</w:t>
      </w:r>
      <w:r>
        <w:rPr>
          <w:rFonts w:ascii="宋体" w:hAnsi="宋体"/>
          <w:color w:val="auto"/>
          <w:sz w:val="24"/>
          <w:szCs w:val="24"/>
          <w:highlight w:val="none"/>
        </w:rPr>
        <w:t>K</w:t>
      </w:r>
      <w:r>
        <w:rPr>
          <w:rFonts w:ascii="宋体" w:hAnsi="宋体"/>
          <w:color w:val="auto"/>
          <w:sz w:val="24"/>
          <w:szCs w:val="24"/>
          <w:highlight w:val="none"/>
          <w:vertAlign w:val="subscript"/>
        </w:rPr>
        <w:t>4</w:t>
      </w:r>
      <w:r>
        <w:rPr>
          <w:rFonts w:hint="eastAsia" w:ascii="宋体" w:hAnsi="宋体"/>
          <w:color w:val="auto"/>
          <w:sz w:val="24"/>
          <w:szCs w:val="24"/>
          <w:highlight w:val="none"/>
        </w:rPr>
        <w:t>、</w:t>
      </w:r>
      <w:r>
        <w:rPr>
          <w:rFonts w:ascii="宋体" w:hAnsi="宋体"/>
          <w:color w:val="auto"/>
          <w:sz w:val="24"/>
          <w:szCs w:val="24"/>
          <w:highlight w:val="none"/>
        </w:rPr>
        <w:t>K</w:t>
      </w:r>
      <w:r>
        <w:rPr>
          <w:rFonts w:ascii="宋体" w:hAnsi="宋体"/>
          <w:color w:val="auto"/>
          <w:sz w:val="24"/>
          <w:szCs w:val="24"/>
          <w:highlight w:val="none"/>
          <w:vertAlign w:val="subscript"/>
        </w:rPr>
        <w:t>5</w:t>
      </w:r>
      <w:r>
        <w:rPr>
          <w:rFonts w:hint="eastAsia" w:ascii="宋体" w:hAnsi="宋体"/>
          <w:color w:val="auto"/>
          <w:sz w:val="24"/>
          <w:szCs w:val="24"/>
          <w:highlight w:val="none"/>
        </w:rPr>
        <w:t>煤层。</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B</w:t>
      </w:r>
      <w:r>
        <w:rPr>
          <w:rFonts w:hint="eastAsia" w:ascii="宋体" w:hAnsi="宋体"/>
          <w:color w:val="auto"/>
          <w:sz w:val="24"/>
          <w:szCs w:val="24"/>
          <w:highlight w:val="none"/>
          <w:lang w:eastAsia="zh-CN"/>
        </w:rPr>
        <w:t>）</w:t>
      </w:r>
      <w:r>
        <w:rPr>
          <w:rFonts w:hint="eastAsia" w:ascii="宋体" w:hAnsi="宋体"/>
          <w:color w:val="auto"/>
          <w:sz w:val="24"/>
          <w:szCs w:val="24"/>
          <w:highlight w:val="none"/>
        </w:rPr>
        <w:t>第二亚段（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5-2</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w:t>
      </w:r>
      <w:r>
        <w:rPr>
          <w:rFonts w:ascii="宋体" w:hAnsi="宋体"/>
          <w:color w:val="auto"/>
          <w:sz w:val="24"/>
          <w:szCs w:val="24"/>
          <w:highlight w:val="none"/>
        </w:rPr>
        <w:t>浅灰、灰色中～细粒砂岩</w:t>
      </w:r>
      <w:r>
        <w:rPr>
          <w:rFonts w:hint="eastAsia" w:ascii="宋体" w:hAnsi="宋体"/>
          <w:color w:val="auto"/>
          <w:sz w:val="24"/>
          <w:szCs w:val="24"/>
          <w:highlight w:val="none"/>
        </w:rPr>
        <w:t>，含黑色矿物质坚硬，平均厚度约</w:t>
      </w:r>
      <w:r>
        <w:rPr>
          <w:rFonts w:ascii="宋体" w:hAnsi="宋体"/>
          <w:color w:val="auto"/>
          <w:sz w:val="24"/>
          <w:szCs w:val="24"/>
          <w:highlight w:val="none"/>
        </w:rPr>
        <w:t>50</w:t>
      </w:r>
      <w:r>
        <w:rPr>
          <w:rFonts w:hint="eastAsia" w:ascii="宋体" w:hAnsi="宋体"/>
          <w:color w:val="auto"/>
          <w:sz w:val="24"/>
          <w:szCs w:val="24"/>
          <w:highlight w:val="none"/>
        </w:rPr>
        <w:t>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C</w:t>
      </w:r>
      <w:r>
        <w:rPr>
          <w:rFonts w:hint="eastAsia" w:ascii="宋体" w:hAnsi="宋体"/>
          <w:color w:val="auto"/>
          <w:sz w:val="24"/>
          <w:szCs w:val="24"/>
          <w:highlight w:val="none"/>
          <w:lang w:eastAsia="zh-CN"/>
        </w:rPr>
        <w:t>）</w:t>
      </w:r>
      <w:r>
        <w:rPr>
          <w:rFonts w:hint="eastAsia" w:ascii="宋体" w:hAnsi="宋体"/>
          <w:color w:val="auto"/>
          <w:sz w:val="24"/>
          <w:szCs w:val="24"/>
          <w:highlight w:val="none"/>
        </w:rPr>
        <w:t>第三亚段（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5-3</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以杂色砂质泥岩、泥质粉砂岩、粉砂岩为主，含有机岩、</w:t>
      </w:r>
      <w:r>
        <w:rPr>
          <w:rFonts w:ascii="宋体" w:hAnsi="宋体"/>
          <w:color w:val="auto"/>
          <w:sz w:val="24"/>
          <w:szCs w:val="24"/>
          <w:highlight w:val="none"/>
        </w:rPr>
        <w:t>页岩、砂质页岩</w:t>
      </w:r>
      <w:r>
        <w:rPr>
          <w:rFonts w:hint="eastAsia" w:ascii="宋体" w:hAnsi="宋体"/>
          <w:color w:val="auto"/>
          <w:sz w:val="24"/>
          <w:szCs w:val="24"/>
          <w:highlight w:val="none"/>
        </w:rPr>
        <w:t>，含煤多层。该段厚</w:t>
      </w:r>
      <w:r>
        <w:rPr>
          <w:rFonts w:ascii="宋体" w:hAnsi="宋体"/>
          <w:color w:val="auto"/>
          <w:sz w:val="24"/>
          <w:szCs w:val="24"/>
          <w:highlight w:val="none"/>
        </w:rPr>
        <w:t>60</w:t>
      </w:r>
      <w:r>
        <w:rPr>
          <w:rFonts w:hint="eastAsia" w:ascii="宋体" w:hAnsi="宋体"/>
          <w:color w:val="auto"/>
          <w:sz w:val="24"/>
          <w:szCs w:val="24"/>
          <w:highlight w:val="none"/>
        </w:rPr>
        <w:t>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⑥</w:t>
      </w:r>
      <w:r>
        <w:rPr>
          <w:rFonts w:hint="eastAsia" w:ascii="宋体" w:hAnsi="宋体"/>
          <w:color w:val="auto"/>
          <w:sz w:val="24"/>
          <w:szCs w:val="24"/>
          <w:highlight w:val="none"/>
        </w:rPr>
        <w:t>第六段（</w:t>
      </w:r>
      <w:r>
        <w:rPr>
          <w:rFonts w:ascii="宋体" w:hAnsi="宋体"/>
          <w:color w:val="auto"/>
          <w:sz w:val="24"/>
          <w:szCs w:val="24"/>
          <w:highlight w:val="none"/>
        </w:rPr>
        <w:t>T</w:t>
      </w:r>
      <w:r>
        <w:rPr>
          <w:rFonts w:ascii="宋体" w:hAnsi="宋体"/>
          <w:color w:val="auto"/>
          <w:sz w:val="24"/>
          <w:szCs w:val="24"/>
          <w:highlight w:val="none"/>
          <w:vertAlign w:val="subscript"/>
        </w:rPr>
        <w:t>3</w:t>
      </w:r>
      <w:r>
        <w:rPr>
          <w:rFonts w:ascii="宋体" w:hAnsi="宋体"/>
          <w:color w:val="auto"/>
          <w:sz w:val="24"/>
          <w:szCs w:val="24"/>
          <w:highlight w:val="none"/>
        </w:rPr>
        <w:t>xj</w:t>
      </w:r>
      <w:r>
        <w:rPr>
          <w:rFonts w:ascii="宋体" w:hAnsi="宋体"/>
          <w:color w:val="auto"/>
          <w:sz w:val="24"/>
          <w:szCs w:val="24"/>
          <w:highlight w:val="none"/>
          <w:vertAlign w:val="superscript"/>
        </w:rPr>
        <w:t>6</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为</w:t>
      </w:r>
      <w:r>
        <w:rPr>
          <w:rFonts w:ascii="宋体" w:hAnsi="宋体"/>
          <w:color w:val="auto"/>
          <w:sz w:val="24"/>
          <w:szCs w:val="24"/>
          <w:highlight w:val="none"/>
        </w:rPr>
        <w:t>灰白、浅灰色</w:t>
      </w:r>
      <w:r>
        <w:rPr>
          <w:rFonts w:hint="eastAsia" w:ascii="宋体" w:hAnsi="宋体"/>
          <w:color w:val="auto"/>
          <w:sz w:val="24"/>
          <w:szCs w:val="24"/>
          <w:highlight w:val="none"/>
        </w:rPr>
        <w:t>厚层状细</w:t>
      </w:r>
      <w:r>
        <w:rPr>
          <w:rFonts w:ascii="宋体" w:hAnsi="宋体"/>
          <w:color w:val="auto"/>
          <w:sz w:val="24"/>
          <w:szCs w:val="24"/>
          <w:highlight w:val="none"/>
        </w:rPr>
        <w:t>-粗</w:t>
      </w:r>
      <w:r>
        <w:rPr>
          <w:rFonts w:hint="eastAsia" w:ascii="宋体" w:hAnsi="宋体"/>
          <w:color w:val="auto"/>
          <w:sz w:val="24"/>
          <w:szCs w:val="24"/>
          <w:highlight w:val="none"/>
        </w:rPr>
        <w:t>粒砂岩，</w:t>
      </w:r>
      <w:r>
        <w:rPr>
          <w:rFonts w:ascii="宋体" w:hAnsi="宋体"/>
          <w:color w:val="auto"/>
          <w:sz w:val="24"/>
          <w:szCs w:val="24"/>
          <w:highlight w:val="none"/>
        </w:rPr>
        <w:t>局部夹薄层泥岩、泥质粉砂岩</w:t>
      </w:r>
      <w:r>
        <w:rPr>
          <w:rFonts w:hint="eastAsia" w:ascii="宋体" w:hAnsi="宋体"/>
          <w:color w:val="auto"/>
          <w:sz w:val="24"/>
          <w:szCs w:val="24"/>
          <w:highlight w:val="none"/>
        </w:rPr>
        <w:t>，</w:t>
      </w:r>
      <w:r>
        <w:rPr>
          <w:rFonts w:ascii="宋体" w:hAnsi="宋体"/>
          <w:color w:val="auto"/>
          <w:sz w:val="24"/>
          <w:szCs w:val="24"/>
          <w:highlight w:val="none"/>
        </w:rPr>
        <w:t>含泥质包体、菱铁质包体、煤包体及石英燧石砾石</w:t>
      </w:r>
      <w:r>
        <w:rPr>
          <w:rFonts w:hint="eastAsia" w:ascii="宋体" w:hAnsi="宋体"/>
          <w:color w:val="auto"/>
          <w:sz w:val="24"/>
          <w:szCs w:val="24"/>
          <w:highlight w:val="none"/>
        </w:rPr>
        <w:t>，</w:t>
      </w:r>
      <w:r>
        <w:rPr>
          <w:rFonts w:ascii="宋体" w:hAnsi="宋体"/>
          <w:color w:val="auto"/>
          <w:sz w:val="24"/>
          <w:szCs w:val="24"/>
          <w:highlight w:val="none"/>
        </w:rPr>
        <w:t>厚55</w:t>
      </w:r>
      <w:r>
        <w:rPr>
          <w:rFonts w:hint="eastAsia" w:ascii="宋体" w:hAnsi="宋体"/>
          <w:color w:val="auto"/>
          <w:sz w:val="24"/>
          <w:szCs w:val="24"/>
          <w:highlight w:val="none"/>
        </w:rPr>
        <w:t>m</w:t>
      </w:r>
      <w:r>
        <w:rPr>
          <w:rFonts w:ascii="宋体" w:hAnsi="宋体"/>
          <w:color w:val="auto"/>
          <w:sz w:val="24"/>
          <w:szCs w:val="24"/>
          <w:highlight w:val="none"/>
        </w:rPr>
        <w:t>～150m</w:t>
      </w:r>
      <w:r>
        <w:rPr>
          <w:rFonts w:hint="eastAsia" w:ascii="宋体" w:hAnsi="宋体"/>
          <w:color w:val="auto"/>
          <w:sz w:val="24"/>
          <w:szCs w:val="24"/>
          <w:highlight w:val="none"/>
        </w:rPr>
        <w:t>，平均</w:t>
      </w:r>
      <w:r>
        <w:rPr>
          <w:rFonts w:ascii="宋体" w:hAnsi="宋体"/>
          <w:color w:val="auto"/>
          <w:sz w:val="24"/>
          <w:szCs w:val="24"/>
          <w:highlight w:val="none"/>
        </w:rPr>
        <w:t>120m。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⑦</w:t>
      </w:r>
      <w:r>
        <w:rPr>
          <w:rFonts w:hint="eastAsia" w:ascii="宋体" w:hAnsi="宋体"/>
          <w:color w:val="auto"/>
          <w:sz w:val="24"/>
          <w:szCs w:val="24"/>
          <w:highlight w:val="none"/>
        </w:rPr>
        <w:t>第七段（</w:t>
      </w:r>
      <w:r>
        <w:rPr>
          <w:rFonts w:ascii="宋体" w:hAnsi="宋体"/>
          <w:color w:val="auto"/>
          <w:sz w:val="24"/>
          <w:szCs w:val="24"/>
          <w:highlight w:val="none"/>
        </w:rPr>
        <w:t>T</w:t>
      </w:r>
      <w:r>
        <w:rPr>
          <w:rFonts w:ascii="宋体" w:hAnsi="宋体"/>
          <w:color w:val="auto"/>
          <w:sz w:val="24"/>
          <w:szCs w:val="24"/>
          <w:highlight w:val="none"/>
          <w:vertAlign w:val="subscript"/>
        </w:rPr>
        <w:t>3xj</w:t>
      </w:r>
      <w:r>
        <w:rPr>
          <w:rFonts w:hint="eastAsia" w:ascii="宋体" w:hAnsi="宋体"/>
          <w:color w:val="auto"/>
          <w:sz w:val="24"/>
          <w:szCs w:val="24"/>
          <w:highlight w:val="none"/>
          <w:vertAlign w:val="superscript"/>
        </w:rPr>
        <w:t>7</w:t>
      </w:r>
      <w:r>
        <w:rPr>
          <w:rFonts w:hint="eastAsia" w:ascii="宋体" w:hAnsi="宋体"/>
          <w:color w:val="auto"/>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须家河组第七段俗称“上煤组”。分为三个亚带，一、三亚带为含煤带，岩性为深灰色泥岩、粉砂岩、粉砂质泥岩。</w:t>
      </w:r>
    </w:p>
    <w:p>
      <w:pPr>
        <w:adjustRightInd w:val="0"/>
        <w:snapToGrid w:val="0"/>
        <w:spacing w:line="360" w:lineRule="auto"/>
        <w:ind w:firstLine="480" w:firstLineChars="200"/>
        <w:rPr>
          <w:rFonts w:ascii="宋体" w:hAnsi="宋体"/>
          <w:color w:val="auto"/>
          <w:spacing w:val="-4"/>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A</w:t>
      </w:r>
      <w:r>
        <w:rPr>
          <w:rFonts w:hint="eastAsia" w:ascii="宋体" w:hAnsi="宋体"/>
          <w:color w:val="auto"/>
          <w:sz w:val="24"/>
          <w:szCs w:val="24"/>
          <w:highlight w:val="none"/>
          <w:lang w:eastAsia="zh-CN"/>
        </w:rPr>
        <w:t>）</w:t>
      </w:r>
      <w:r>
        <w:rPr>
          <w:rFonts w:ascii="宋体" w:hAnsi="宋体"/>
          <w:color w:val="auto"/>
          <w:sz w:val="24"/>
          <w:szCs w:val="24"/>
          <w:highlight w:val="none"/>
        </w:rPr>
        <w:t>第一亚段(T</w:t>
      </w:r>
      <w:r>
        <w:rPr>
          <w:rFonts w:ascii="宋体" w:hAnsi="宋体"/>
          <w:color w:val="auto"/>
          <w:sz w:val="24"/>
          <w:szCs w:val="24"/>
          <w:highlight w:val="none"/>
          <w:vertAlign w:val="subscript"/>
        </w:rPr>
        <w:t>3</w:t>
      </w:r>
      <w:r>
        <w:rPr>
          <w:rFonts w:ascii="宋体" w:hAnsi="宋体"/>
          <w:i/>
          <w:iCs/>
          <w:color w:val="auto"/>
          <w:sz w:val="24"/>
          <w:szCs w:val="24"/>
          <w:highlight w:val="none"/>
        </w:rPr>
        <w:t>xj</w:t>
      </w:r>
      <w:r>
        <w:rPr>
          <w:rFonts w:ascii="宋体" w:hAnsi="宋体"/>
          <w:color w:val="auto"/>
          <w:sz w:val="24"/>
          <w:szCs w:val="24"/>
          <w:highlight w:val="none"/>
          <w:vertAlign w:val="superscript"/>
        </w:rPr>
        <w:t>7-1</w:t>
      </w:r>
      <w:r>
        <w:rPr>
          <w:rFonts w:ascii="宋体" w:hAnsi="宋体"/>
          <w:color w:val="auto"/>
          <w:sz w:val="24"/>
          <w:szCs w:val="24"/>
          <w:highlight w:val="none"/>
        </w:rPr>
        <w:t>)以灰色</w:t>
      </w:r>
      <w:r>
        <w:rPr>
          <w:rFonts w:hint="eastAsia" w:ascii="宋体" w:hAnsi="宋体"/>
          <w:color w:val="auto"/>
          <w:sz w:val="24"/>
          <w:szCs w:val="24"/>
          <w:highlight w:val="none"/>
        </w:rPr>
        <w:t>、</w:t>
      </w:r>
      <w:r>
        <w:rPr>
          <w:rFonts w:ascii="宋体" w:hAnsi="宋体"/>
          <w:color w:val="auto"/>
          <w:sz w:val="24"/>
          <w:szCs w:val="24"/>
          <w:highlight w:val="none"/>
        </w:rPr>
        <w:t>深灰色泥岩、粉砂质泥岩为主，夹薄层粉砂岩</w:t>
      </w:r>
      <w:r>
        <w:rPr>
          <w:rFonts w:hint="eastAsia" w:ascii="宋体" w:hAnsi="宋体"/>
          <w:color w:val="auto"/>
          <w:sz w:val="24"/>
          <w:szCs w:val="24"/>
          <w:highlight w:val="none"/>
        </w:rPr>
        <w:t>，</w:t>
      </w:r>
      <w:r>
        <w:rPr>
          <w:rFonts w:ascii="宋体" w:hAnsi="宋体"/>
          <w:color w:val="auto"/>
          <w:sz w:val="24"/>
          <w:szCs w:val="24"/>
          <w:highlight w:val="none"/>
        </w:rPr>
        <w:t>平均厚20m。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B</w:t>
      </w:r>
      <w:r>
        <w:rPr>
          <w:rFonts w:hint="eastAsia" w:ascii="宋体" w:hAnsi="宋体"/>
          <w:color w:val="auto"/>
          <w:sz w:val="24"/>
          <w:szCs w:val="24"/>
          <w:highlight w:val="none"/>
          <w:lang w:eastAsia="zh-CN"/>
        </w:rPr>
        <w:t>）</w:t>
      </w:r>
      <w:r>
        <w:rPr>
          <w:rFonts w:ascii="宋体" w:hAnsi="宋体"/>
          <w:color w:val="auto"/>
          <w:sz w:val="24"/>
          <w:szCs w:val="24"/>
          <w:highlight w:val="none"/>
        </w:rPr>
        <w:t>第二亚段(T</w:t>
      </w:r>
      <w:r>
        <w:rPr>
          <w:rFonts w:ascii="宋体" w:hAnsi="宋体"/>
          <w:color w:val="auto"/>
          <w:sz w:val="24"/>
          <w:szCs w:val="24"/>
          <w:highlight w:val="none"/>
          <w:vertAlign w:val="subscript"/>
        </w:rPr>
        <w:t>3</w:t>
      </w:r>
      <w:r>
        <w:rPr>
          <w:rFonts w:ascii="宋体" w:hAnsi="宋体"/>
          <w:i/>
          <w:iCs/>
          <w:color w:val="auto"/>
          <w:sz w:val="24"/>
          <w:szCs w:val="24"/>
          <w:highlight w:val="none"/>
        </w:rPr>
        <w:t>xj</w:t>
      </w:r>
      <w:r>
        <w:rPr>
          <w:rFonts w:ascii="宋体" w:hAnsi="宋体"/>
          <w:color w:val="auto"/>
          <w:sz w:val="24"/>
          <w:szCs w:val="24"/>
          <w:highlight w:val="none"/>
          <w:vertAlign w:val="superscript"/>
        </w:rPr>
        <w:t>7-2</w:t>
      </w:r>
      <w:r>
        <w:rPr>
          <w:rFonts w:ascii="宋体" w:hAnsi="宋体"/>
          <w:color w:val="auto"/>
          <w:sz w:val="24"/>
          <w:szCs w:val="24"/>
          <w:highlight w:val="none"/>
        </w:rPr>
        <w:t>)为灰色细～中粒砂岩，含泥质包体、菱铁质包体和煤包体，又因含大量黑色硅质岩屑，故称“芝麻砂岩”，平均厚28m。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C</w:t>
      </w:r>
      <w:r>
        <w:rPr>
          <w:rFonts w:hint="eastAsia" w:ascii="宋体" w:hAnsi="宋体"/>
          <w:color w:val="auto"/>
          <w:sz w:val="24"/>
          <w:szCs w:val="24"/>
          <w:highlight w:val="none"/>
          <w:lang w:eastAsia="zh-CN"/>
        </w:rPr>
        <w:t>）</w:t>
      </w:r>
      <w:r>
        <w:rPr>
          <w:rFonts w:ascii="宋体" w:hAnsi="宋体"/>
          <w:color w:val="auto"/>
          <w:sz w:val="24"/>
          <w:szCs w:val="24"/>
          <w:highlight w:val="none"/>
        </w:rPr>
        <w:t>第三亚段(T</w:t>
      </w:r>
      <w:r>
        <w:rPr>
          <w:rFonts w:ascii="宋体" w:hAnsi="宋体"/>
          <w:color w:val="auto"/>
          <w:sz w:val="24"/>
          <w:szCs w:val="24"/>
          <w:highlight w:val="none"/>
          <w:vertAlign w:val="subscript"/>
        </w:rPr>
        <w:t>3</w:t>
      </w:r>
      <w:r>
        <w:rPr>
          <w:rFonts w:ascii="宋体" w:hAnsi="宋体"/>
          <w:i/>
          <w:iCs/>
          <w:color w:val="auto"/>
          <w:sz w:val="24"/>
          <w:szCs w:val="24"/>
          <w:highlight w:val="none"/>
        </w:rPr>
        <w:t>xj</w:t>
      </w:r>
      <w:r>
        <w:rPr>
          <w:rFonts w:ascii="宋体" w:hAnsi="宋体"/>
          <w:color w:val="auto"/>
          <w:sz w:val="24"/>
          <w:szCs w:val="24"/>
          <w:highlight w:val="none"/>
          <w:vertAlign w:val="superscript"/>
        </w:rPr>
        <w:t>7-3</w:t>
      </w:r>
      <w:r>
        <w:rPr>
          <w:rFonts w:ascii="宋体" w:hAnsi="宋体"/>
          <w:color w:val="auto"/>
          <w:sz w:val="24"/>
          <w:szCs w:val="24"/>
          <w:highlight w:val="none"/>
        </w:rPr>
        <w:t>)由灰、深灰色粉砂质泥岩、泥岩夹细粒砂岩组成，平均厚15m。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bCs/>
          <w:color w:val="auto"/>
          <w:kern w:val="44"/>
          <w:sz w:val="24"/>
          <w:szCs w:val="24"/>
          <w:highlight w:val="none"/>
        </w:rPr>
        <w:t>3</w:t>
      </w:r>
      <w:r>
        <w:rPr>
          <w:rFonts w:hint="eastAsia" w:ascii="宋体" w:hAnsi="宋体"/>
          <w:bCs/>
          <w:color w:val="auto"/>
          <w:kern w:val="44"/>
          <w:sz w:val="24"/>
          <w:szCs w:val="24"/>
          <w:highlight w:val="none"/>
          <w:lang w:eastAsia="zh-CN"/>
        </w:rPr>
        <w:t>）</w:t>
      </w:r>
      <w:r>
        <w:rPr>
          <w:rFonts w:ascii="宋体" w:hAnsi="宋体"/>
          <w:color w:val="auto"/>
          <w:sz w:val="24"/>
          <w:szCs w:val="24"/>
          <w:highlight w:val="none"/>
        </w:rPr>
        <w:t>侏罗系下统珍珠冲组(J</w:t>
      </w:r>
      <w:r>
        <w:rPr>
          <w:rFonts w:ascii="宋体" w:hAnsi="宋体"/>
          <w:color w:val="auto"/>
          <w:sz w:val="24"/>
          <w:szCs w:val="24"/>
          <w:highlight w:val="none"/>
          <w:vertAlign w:val="subscript"/>
        </w:rPr>
        <w:t>1</w:t>
      </w:r>
      <w:r>
        <w:rPr>
          <w:rFonts w:ascii="宋体" w:hAnsi="宋体"/>
          <w:color w:val="auto"/>
          <w:sz w:val="24"/>
          <w:szCs w:val="24"/>
          <w:highlight w:val="none"/>
        </w:rPr>
        <w:t>z)</w:t>
      </w:r>
    </w:p>
    <w:p>
      <w:pPr>
        <w:adjustRightInd w:val="0"/>
        <w:snapToGrid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为灰色、绿灰色砂质泥岩、泥岩夹细砂岩、粉砂岩，上部有少量紫红色泥岩，间夹数层粉砂岩和细砂岩。下部含煤线数层，底部为厚层状细～中粒砂岩，含少量燧石砾石，</w:t>
      </w:r>
      <w:r>
        <w:rPr>
          <w:rFonts w:hint="eastAsia" w:ascii="宋体" w:hAnsi="宋体"/>
          <w:color w:val="auto"/>
          <w:sz w:val="24"/>
          <w:szCs w:val="24"/>
          <w:highlight w:val="none"/>
        </w:rPr>
        <w:t>该组厚度81m～163m，平均厚160m。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bCs/>
          <w:color w:val="auto"/>
          <w:kern w:val="44"/>
          <w:sz w:val="24"/>
          <w:szCs w:val="24"/>
          <w:highlight w:val="none"/>
        </w:rPr>
        <w:t>4</w:t>
      </w:r>
      <w:r>
        <w:rPr>
          <w:rFonts w:hint="eastAsia" w:ascii="宋体" w:hAnsi="宋体"/>
          <w:bCs/>
          <w:color w:val="auto"/>
          <w:kern w:val="44"/>
          <w:sz w:val="24"/>
          <w:szCs w:val="24"/>
          <w:highlight w:val="none"/>
          <w:lang w:eastAsia="zh-CN"/>
        </w:rPr>
        <w:t>）</w:t>
      </w:r>
      <w:r>
        <w:rPr>
          <w:rFonts w:ascii="宋体" w:hAnsi="宋体"/>
          <w:color w:val="auto"/>
          <w:sz w:val="24"/>
          <w:szCs w:val="24"/>
          <w:highlight w:val="none"/>
        </w:rPr>
        <w:t>侏罗系中、下统自流井组(J</w:t>
      </w:r>
      <w:r>
        <w:rPr>
          <w:rFonts w:ascii="宋体" w:hAnsi="宋体"/>
          <w:color w:val="auto"/>
          <w:sz w:val="24"/>
          <w:szCs w:val="24"/>
          <w:highlight w:val="none"/>
          <w:vertAlign w:val="subscript"/>
        </w:rPr>
        <w:t>1-2</w:t>
      </w:r>
      <w:r>
        <w:rPr>
          <w:rFonts w:ascii="宋体" w:hAnsi="宋体"/>
          <w:color w:val="auto"/>
          <w:sz w:val="24"/>
          <w:szCs w:val="24"/>
          <w:highlight w:val="none"/>
        </w:rPr>
        <w:t>z)</w:t>
      </w:r>
    </w:p>
    <w:p>
      <w:pPr>
        <w:adjustRightInd w:val="0"/>
        <w:snapToGrid w:val="0"/>
        <w:spacing w:line="360" w:lineRule="auto"/>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灰色夹紫色泥岩为主间夹粉砂岩、砂岩；上部为灰岩、钙质泥岩，</w:t>
      </w:r>
      <w:r>
        <w:rPr>
          <w:rFonts w:ascii="宋体" w:hAnsi="宋体"/>
          <w:color w:val="auto"/>
          <w:sz w:val="24"/>
          <w:szCs w:val="24"/>
          <w:highlight w:val="none"/>
        </w:rPr>
        <w:t>总厚176.0m～232.00m，</w:t>
      </w:r>
      <w:r>
        <w:rPr>
          <w:rFonts w:ascii="宋体" w:hAnsi="宋体"/>
          <w:color w:val="auto"/>
          <w:spacing w:val="-2"/>
          <w:sz w:val="24"/>
          <w:szCs w:val="24"/>
          <w:highlight w:val="none"/>
        </w:rPr>
        <w:t>厚度</w:t>
      </w:r>
      <w:r>
        <w:rPr>
          <w:rFonts w:hint="eastAsia" w:ascii="宋体" w:hAnsi="宋体"/>
          <w:color w:val="auto"/>
          <w:sz w:val="24"/>
          <w:szCs w:val="24"/>
          <w:highlight w:val="none"/>
        </w:rPr>
        <w:t>225</w:t>
      </w:r>
      <w:r>
        <w:rPr>
          <w:rFonts w:ascii="宋体" w:hAnsi="宋体"/>
          <w:color w:val="auto"/>
          <w:sz w:val="24"/>
          <w:szCs w:val="24"/>
          <w:highlight w:val="none"/>
        </w:rPr>
        <w:t>m</w:t>
      </w:r>
      <w:r>
        <w:rPr>
          <w:rFonts w:ascii="宋体" w:hAnsi="宋体"/>
          <w:color w:val="auto"/>
          <w:spacing w:val="-2"/>
          <w:sz w:val="24"/>
          <w:szCs w:val="24"/>
          <w:highlight w:val="none"/>
        </w:rPr>
        <w:t>。</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①</w:t>
      </w:r>
      <w:r>
        <w:rPr>
          <w:rFonts w:ascii="宋体" w:hAnsi="宋体"/>
          <w:color w:val="auto"/>
          <w:sz w:val="24"/>
          <w:szCs w:val="24"/>
          <w:highlight w:val="none"/>
        </w:rPr>
        <w:t>东岳庙段(J</w:t>
      </w:r>
      <w:r>
        <w:rPr>
          <w:rFonts w:ascii="宋体" w:hAnsi="宋体"/>
          <w:color w:val="auto"/>
          <w:sz w:val="24"/>
          <w:szCs w:val="24"/>
          <w:highlight w:val="none"/>
          <w:vertAlign w:val="subscript"/>
        </w:rPr>
        <w:t>1-2</w:t>
      </w:r>
      <w:r>
        <w:rPr>
          <w:rFonts w:ascii="宋体" w:hAnsi="宋体"/>
          <w:i/>
          <w:iCs/>
          <w:color w:val="auto"/>
          <w:sz w:val="24"/>
          <w:szCs w:val="24"/>
          <w:highlight w:val="none"/>
        </w:rPr>
        <w:t>z</w:t>
      </w:r>
      <w:r>
        <w:rPr>
          <w:rFonts w:ascii="宋体" w:hAnsi="宋体"/>
          <w:color w:val="auto"/>
          <w:sz w:val="24"/>
          <w:szCs w:val="24"/>
          <w:highlight w:val="none"/>
          <w:vertAlign w:val="superscript"/>
        </w:rPr>
        <w:t>1</w:t>
      </w:r>
      <w:r>
        <w:rPr>
          <w:rFonts w:ascii="宋体" w:hAnsi="宋体"/>
          <w:color w:val="auto"/>
          <w:sz w:val="24"/>
          <w:szCs w:val="24"/>
          <w:highlight w:val="none"/>
        </w:rPr>
        <w:t>)为灰色介壳灰岩、钙质泥岩及黑色泥岩，含丰富的瓣鳃类化石。底部为粉砂岩，含少量瓣鳃化石，厚18</w:t>
      </w:r>
      <w:r>
        <w:rPr>
          <w:rFonts w:hint="eastAsia" w:ascii="宋体" w:hAnsi="宋体"/>
          <w:color w:val="auto"/>
          <w:sz w:val="24"/>
          <w:szCs w:val="24"/>
          <w:highlight w:val="none"/>
        </w:rPr>
        <w:t>m</w:t>
      </w:r>
      <w:r>
        <w:rPr>
          <w:rFonts w:ascii="宋体" w:hAnsi="宋体"/>
          <w:color w:val="auto"/>
          <w:sz w:val="24"/>
          <w:szCs w:val="24"/>
          <w:highlight w:val="none"/>
        </w:rPr>
        <w:t>～52m</w:t>
      </w:r>
      <w:r>
        <w:rPr>
          <w:rFonts w:hint="eastAsia" w:ascii="宋体" w:hAnsi="宋体"/>
          <w:color w:val="auto"/>
          <w:sz w:val="24"/>
          <w:szCs w:val="24"/>
          <w:highlight w:val="none"/>
        </w:rPr>
        <w:t>，平均3</w:t>
      </w:r>
      <w:r>
        <w:rPr>
          <w:rFonts w:ascii="宋体" w:hAnsi="宋体"/>
          <w:color w:val="auto"/>
          <w:sz w:val="24"/>
          <w:szCs w:val="24"/>
          <w:highlight w:val="none"/>
        </w:rPr>
        <w:t>7m。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②</w:t>
      </w:r>
      <w:r>
        <w:rPr>
          <w:rFonts w:ascii="宋体" w:hAnsi="宋体"/>
          <w:color w:val="auto"/>
          <w:sz w:val="24"/>
          <w:szCs w:val="24"/>
          <w:highlight w:val="none"/>
        </w:rPr>
        <w:t>马鞍山段(J</w:t>
      </w:r>
      <w:r>
        <w:rPr>
          <w:rFonts w:ascii="宋体" w:hAnsi="宋体"/>
          <w:color w:val="auto"/>
          <w:sz w:val="24"/>
          <w:szCs w:val="24"/>
          <w:highlight w:val="none"/>
          <w:vertAlign w:val="subscript"/>
        </w:rPr>
        <w:t>1-2</w:t>
      </w:r>
      <w:r>
        <w:rPr>
          <w:rFonts w:ascii="宋体" w:hAnsi="宋体"/>
          <w:i/>
          <w:iCs/>
          <w:color w:val="auto"/>
          <w:sz w:val="24"/>
          <w:szCs w:val="24"/>
          <w:highlight w:val="none"/>
        </w:rPr>
        <w:t>z</w:t>
      </w:r>
      <w:r>
        <w:rPr>
          <w:rFonts w:ascii="宋体" w:hAnsi="宋体"/>
          <w:color w:val="auto"/>
          <w:sz w:val="24"/>
          <w:szCs w:val="24"/>
          <w:highlight w:val="none"/>
          <w:vertAlign w:val="superscript"/>
        </w:rPr>
        <w:t>2</w:t>
      </w:r>
      <w:r>
        <w:rPr>
          <w:rFonts w:ascii="宋体" w:hAnsi="宋体"/>
          <w:color w:val="auto"/>
          <w:sz w:val="24"/>
          <w:szCs w:val="24"/>
          <w:highlight w:val="none"/>
        </w:rPr>
        <w:t>)为灰色、黄灰色粉砂质泥岩夹泥质粉砂岩和粉砂岩，含较多的叶肢介化石，厚68</w:t>
      </w:r>
      <w:r>
        <w:rPr>
          <w:rFonts w:hint="eastAsia" w:ascii="宋体" w:hAnsi="宋体"/>
          <w:color w:val="auto"/>
          <w:sz w:val="24"/>
          <w:szCs w:val="24"/>
          <w:highlight w:val="none"/>
        </w:rPr>
        <w:t>m</w:t>
      </w:r>
      <w:r>
        <w:rPr>
          <w:rFonts w:ascii="宋体" w:hAnsi="宋体"/>
          <w:color w:val="auto"/>
          <w:sz w:val="24"/>
          <w:szCs w:val="24"/>
          <w:highlight w:val="none"/>
        </w:rPr>
        <w:t>～1</w:t>
      </w:r>
      <w:r>
        <w:rPr>
          <w:rFonts w:hint="eastAsia" w:ascii="宋体" w:hAnsi="宋体"/>
          <w:color w:val="auto"/>
          <w:sz w:val="24"/>
          <w:szCs w:val="24"/>
          <w:highlight w:val="none"/>
        </w:rPr>
        <w:t>6</w:t>
      </w:r>
      <w:r>
        <w:rPr>
          <w:rFonts w:ascii="宋体" w:hAnsi="宋体"/>
          <w:color w:val="auto"/>
          <w:sz w:val="24"/>
          <w:szCs w:val="24"/>
          <w:highlight w:val="none"/>
        </w:rPr>
        <w:t>5m</w:t>
      </w:r>
      <w:r>
        <w:rPr>
          <w:rFonts w:hint="eastAsia" w:ascii="宋体" w:hAnsi="宋体"/>
          <w:color w:val="auto"/>
          <w:sz w:val="24"/>
          <w:szCs w:val="24"/>
          <w:highlight w:val="none"/>
        </w:rPr>
        <w:t>，平均1</w:t>
      </w:r>
      <w:r>
        <w:rPr>
          <w:rFonts w:ascii="宋体" w:hAnsi="宋体"/>
          <w:color w:val="auto"/>
          <w:sz w:val="24"/>
          <w:szCs w:val="24"/>
          <w:highlight w:val="none"/>
        </w:rPr>
        <w:t>07m。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③</w:t>
      </w:r>
      <w:r>
        <w:rPr>
          <w:rFonts w:ascii="宋体" w:hAnsi="宋体"/>
          <w:color w:val="auto"/>
          <w:sz w:val="24"/>
          <w:szCs w:val="24"/>
          <w:highlight w:val="none"/>
        </w:rPr>
        <w:t>大安寨段(J</w:t>
      </w:r>
      <w:r>
        <w:rPr>
          <w:rFonts w:ascii="宋体" w:hAnsi="宋体"/>
          <w:color w:val="auto"/>
          <w:sz w:val="24"/>
          <w:szCs w:val="24"/>
          <w:highlight w:val="none"/>
          <w:vertAlign w:val="subscript"/>
        </w:rPr>
        <w:t>1-2</w:t>
      </w:r>
      <w:r>
        <w:rPr>
          <w:rFonts w:ascii="宋体" w:hAnsi="宋体"/>
          <w:i/>
          <w:iCs/>
          <w:color w:val="auto"/>
          <w:sz w:val="24"/>
          <w:szCs w:val="24"/>
          <w:highlight w:val="none"/>
        </w:rPr>
        <w:t>z</w:t>
      </w:r>
      <w:r>
        <w:rPr>
          <w:rFonts w:ascii="宋体" w:hAnsi="宋体"/>
          <w:color w:val="auto"/>
          <w:sz w:val="24"/>
          <w:szCs w:val="24"/>
          <w:highlight w:val="none"/>
          <w:vertAlign w:val="superscript"/>
        </w:rPr>
        <w:t>3</w:t>
      </w:r>
      <w:r>
        <w:rPr>
          <w:rFonts w:ascii="宋体" w:hAnsi="宋体"/>
          <w:color w:val="auto"/>
          <w:sz w:val="24"/>
          <w:szCs w:val="24"/>
          <w:highlight w:val="none"/>
        </w:rPr>
        <w:t>)顶、底为灰色、棕灰色结晶灰岩，中部为深灰色泥岩及粉砂质泥岩，含大量瓣鳃化石，厚31</w:t>
      </w:r>
      <w:r>
        <w:rPr>
          <w:rFonts w:hint="eastAsia" w:ascii="宋体" w:hAnsi="宋体"/>
          <w:color w:val="auto"/>
          <w:sz w:val="24"/>
          <w:szCs w:val="24"/>
          <w:highlight w:val="none"/>
        </w:rPr>
        <w:t>m</w:t>
      </w:r>
      <w:r>
        <w:rPr>
          <w:rFonts w:ascii="宋体" w:hAnsi="宋体"/>
          <w:color w:val="auto"/>
          <w:sz w:val="24"/>
          <w:szCs w:val="24"/>
          <w:highlight w:val="none"/>
        </w:rPr>
        <w:t>～62m。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bCs/>
          <w:color w:val="auto"/>
          <w:kern w:val="44"/>
          <w:sz w:val="24"/>
          <w:szCs w:val="24"/>
          <w:highlight w:val="none"/>
        </w:rPr>
        <w:t>5</w:t>
      </w:r>
      <w:r>
        <w:rPr>
          <w:rFonts w:hint="eastAsia" w:ascii="宋体" w:hAnsi="宋体"/>
          <w:bCs/>
          <w:color w:val="auto"/>
          <w:kern w:val="44"/>
          <w:sz w:val="24"/>
          <w:szCs w:val="24"/>
          <w:highlight w:val="none"/>
          <w:lang w:eastAsia="zh-CN"/>
        </w:rPr>
        <w:t>）</w:t>
      </w:r>
      <w:r>
        <w:rPr>
          <w:rFonts w:ascii="宋体" w:hAnsi="宋体"/>
          <w:color w:val="auto"/>
          <w:sz w:val="24"/>
          <w:szCs w:val="24"/>
          <w:highlight w:val="none"/>
        </w:rPr>
        <w:t>侏罗系中统新田沟组(J</w:t>
      </w:r>
      <w:r>
        <w:rPr>
          <w:rFonts w:ascii="宋体" w:hAnsi="宋体"/>
          <w:color w:val="auto"/>
          <w:sz w:val="24"/>
          <w:szCs w:val="24"/>
          <w:highlight w:val="none"/>
          <w:vertAlign w:val="subscript"/>
        </w:rPr>
        <w:t>2</w:t>
      </w:r>
      <w:r>
        <w:rPr>
          <w:rFonts w:ascii="宋体" w:hAnsi="宋体"/>
          <w:color w:val="auto"/>
          <w:sz w:val="24"/>
          <w:szCs w:val="24"/>
          <w:highlight w:val="none"/>
        </w:rPr>
        <w:t>x)</w:t>
      </w:r>
    </w:p>
    <w:p>
      <w:pPr>
        <w:adjustRightInd w:val="0"/>
        <w:snapToGrid w:val="0"/>
        <w:spacing w:line="360" w:lineRule="auto"/>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紫、</w:t>
      </w:r>
      <w:r>
        <w:rPr>
          <w:rFonts w:ascii="宋体" w:hAnsi="宋体"/>
          <w:color w:val="auto"/>
          <w:spacing w:val="-2"/>
          <w:sz w:val="24"/>
          <w:szCs w:val="24"/>
          <w:highlight w:val="none"/>
        </w:rPr>
        <w:t>灰绿色砂</w:t>
      </w:r>
      <w:r>
        <w:rPr>
          <w:rFonts w:ascii="宋体" w:hAnsi="宋体"/>
          <w:color w:val="auto"/>
          <w:sz w:val="24"/>
          <w:szCs w:val="24"/>
          <w:highlight w:val="none"/>
        </w:rPr>
        <w:t>质泥岩为主，中部为灰色泥岩、砂质泥岩，厚</w:t>
      </w:r>
      <w:r>
        <w:rPr>
          <w:rFonts w:hint="eastAsia" w:ascii="宋体" w:hAnsi="宋体"/>
          <w:color w:val="auto"/>
          <w:sz w:val="24"/>
          <w:szCs w:val="24"/>
          <w:highlight w:val="none"/>
        </w:rPr>
        <w:t>350</w:t>
      </w:r>
      <w:r>
        <w:rPr>
          <w:rFonts w:ascii="宋体" w:hAnsi="宋体"/>
          <w:color w:val="auto"/>
          <w:sz w:val="24"/>
          <w:szCs w:val="24"/>
          <w:highlight w:val="none"/>
        </w:rPr>
        <w:t>m。</w:t>
      </w:r>
    </w:p>
    <w:p>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bCs/>
          <w:color w:val="auto"/>
          <w:kern w:val="44"/>
          <w:sz w:val="24"/>
          <w:szCs w:val="24"/>
          <w:highlight w:val="none"/>
        </w:rPr>
        <w:t>6</w:t>
      </w:r>
      <w:r>
        <w:rPr>
          <w:rFonts w:hint="eastAsia" w:ascii="宋体" w:hAnsi="宋体"/>
          <w:bCs/>
          <w:color w:val="auto"/>
          <w:kern w:val="44"/>
          <w:sz w:val="24"/>
          <w:szCs w:val="24"/>
          <w:highlight w:val="none"/>
          <w:lang w:eastAsia="zh-CN"/>
        </w:rPr>
        <w:t>）</w:t>
      </w:r>
      <w:r>
        <w:rPr>
          <w:rFonts w:hint="eastAsia" w:ascii="宋体" w:hAnsi="宋体"/>
          <w:color w:val="auto"/>
          <w:sz w:val="24"/>
          <w:szCs w:val="24"/>
          <w:highlight w:val="none"/>
        </w:rPr>
        <w:t>第四系</w:t>
      </w:r>
      <w:r>
        <w:rPr>
          <w:rFonts w:ascii="宋体" w:hAnsi="宋体"/>
          <w:color w:val="auto"/>
          <w:sz w:val="24"/>
          <w:szCs w:val="24"/>
          <w:highlight w:val="none"/>
        </w:rPr>
        <w:t>(</w:t>
      </w:r>
      <w:r>
        <w:rPr>
          <w:rFonts w:hint="eastAsia" w:ascii="宋体" w:hAnsi="宋体"/>
          <w:bCs/>
          <w:color w:val="auto"/>
          <w:sz w:val="24"/>
          <w:szCs w:val="24"/>
          <w:highlight w:val="none"/>
        </w:rPr>
        <w:t>Q</w:t>
      </w:r>
      <w:r>
        <w:rPr>
          <w:rFonts w:hint="eastAsia" w:ascii="宋体" w:hAnsi="宋体"/>
          <w:bCs/>
          <w:color w:val="auto"/>
          <w:sz w:val="24"/>
          <w:szCs w:val="24"/>
          <w:highlight w:val="none"/>
          <w:vertAlign w:val="subscript"/>
        </w:rPr>
        <w:t>4</w:t>
      </w:r>
      <w:r>
        <w:rPr>
          <w:rFonts w:ascii="宋体" w:hAnsi="宋体"/>
          <w:color w:val="auto"/>
          <w:sz w:val="24"/>
          <w:szCs w:val="24"/>
          <w:highlight w:val="none"/>
        </w:rPr>
        <w:t>)</w:t>
      </w:r>
    </w:p>
    <w:p>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洪冲积层（Q</w:t>
      </w:r>
      <w:r>
        <w:rPr>
          <w:rFonts w:hint="eastAsia" w:ascii="宋体" w:hAnsi="宋体"/>
          <w:color w:val="auto"/>
          <w:sz w:val="24"/>
          <w:szCs w:val="24"/>
          <w:highlight w:val="none"/>
          <w:vertAlign w:val="subscript"/>
        </w:rPr>
        <w:t>4</w:t>
      </w:r>
      <w:r>
        <w:rPr>
          <w:rFonts w:hint="eastAsia" w:ascii="宋体" w:hAnsi="宋体"/>
          <w:color w:val="auto"/>
          <w:sz w:val="24"/>
          <w:szCs w:val="24"/>
          <w:highlight w:val="none"/>
          <w:vertAlign w:val="superscript"/>
        </w:rPr>
        <w:t>pal</w:t>
      </w:r>
      <w:r>
        <w:rPr>
          <w:rFonts w:hint="eastAsia" w:ascii="宋体" w:hAnsi="宋体"/>
          <w:color w:val="auto"/>
          <w:sz w:val="24"/>
          <w:szCs w:val="24"/>
          <w:highlight w:val="none"/>
        </w:rPr>
        <w:t>）：岩性为砾石，细砂、淤泥等组成，砾石大小不等，呈次棱角状，磨圆度较差，洪冲积层二元结构不明显，其厚度不详；残坡积层（Q</w:t>
      </w:r>
      <w:r>
        <w:rPr>
          <w:rFonts w:hint="eastAsia" w:ascii="宋体" w:hAnsi="宋体"/>
          <w:color w:val="auto"/>
          <w:sz w:val="24"/>
          <w:szCs w:val="24"/>
          <w:highlight w:val="none"/>
          <w:vertAlign w:val="subscript"/>
        </w:rPr>
        <w:t>4</w:t>
      </w:r>
      <w:r>
        <w:rPr>
          <w:rFonts w:hint="eastAsia" w:ascii="宋体" w:hAnsi="宋体"/>
          <w:color w:val="auto"/>
          <w:sz w:val="24"/>
          <w:szCs w:val="24"/>
          <w:highlight w:val="none"/>
          <w:vertAlign w:val="superscript"/>
        </w:rPr>
        <w:t>esl</w:t>
      </w:r>
      <w:r>
        <w:rPr>
          <w:rFonts w:hint="eastAsia" w:ascii="宋体" w:hAnsi="宋体"/>
          <w:color w:val="auto"/>
          <w:sz w:val="24"/>
          <w:szCs w:val="24"/>
          <w:highlight w:val="none"/>
        </w:rPr>
        <w:t>）：在宽缓槽谷、低洼及山麓平缓地带分布，岩性主要为风化残积粘土、粉土、砂质粘土夹少量碎石及块石，为厚0.2m～3m。</w:t>
      </w:r>
    </w:p>
    <w:p>
      <w:pPr>
        <w:adjustRightInd w:val="0"/>
        <w:snapToGrid w:val="0"/>
        <w:spacing w:line="360" w:lineRule="auto"/>
        <w:ind w:firstLine="482" w:firstLineChars="200"/>
        <w:rPr>
          <w:b/>
          <w:color w:val="auto"/>
          <w:sz w:val="24"/>
          <w:szCs w:val="24"/>
          <w:highlight w:val="none"/>
        </w:rPr>
      </w:pPr>
      <w:r>
        <w:rPr>
          <w:b/>
          <w:color w:val="auto"/>
          <w:sz w:val="24"/>
          <w:szCs w:val="24"/>
          <w:highlight w:val="none"/>
        </w:rPr>
        <w:t>（</w:t>
      </w:r>
      <w:r>
        <w:rPr>
          <w:rFonts w:hint="eastAsia"/>
          <w:b/>
          <w:color w:val="auto"/>
          <w:sz w:val="24"/>
          <w:szCs w:val="24"/>
          <w:highlight w:val="none"/>
          <w:lang w:val="en-US" w:eastAsia="zh-CN"/>
        </w:rPr>
        <w:t>3</w:t>
      </w:r>
      <w:r>
        <w:rPr>
          <w:b/>
          <w:color w:val="auto"/>
          <w:sz w:val="24"/>
          <w:szCs w:val="24"/>
          <w:highlight w:val="none"/>
        </w:rPr>
        <w:t>）</w:t>
      </w:r>
      <w:r>
        <w:rPr>
          <w:rFonts w:hint="eastAsia"/>
          <w:b/>
          <w:color w:val="auto"/>
          <w:sz w:val="24"/>
          <w:szCs w:val="24"/>
          <w:highlight w:val="none"/>
        </w:rPr>
        <w:t>明月峡矿段</w:t>
      </w:r>
      <w:r>
        <w:rPr>
          <w:b/>
          <w:color w:val="auto"/>
          <w:sz w:val="24"/>
          <w:szCs w:val="24"/>
          <w:highlight w:val="none"/>
        </w:rPr>
        <w:t>地层</w:t>
      </w:r>
    </w:p>
    <w:p>
      <w:pPr>
        <w:adjustRightInd w:val="0"/>
        <w:snapToGrid w:val="0"/>
        <w:spacing w:line="360" w:lineRule="auto"/>
        <w:ind w:firstLine="480" w:firstLineChars="200"/>
        <w:rPr>
          <w:color w:val="auto"/>
          <w:sz w:val="24"/>
          <w:szCs w:val="24"/>
          <w:highlight w:val="none"/>
        </w:rPr>
      </w:pPr>
      <w:r>
        <w:rPr>
          <w:color w:val="auto"/>
          <w:sz w:val="24"/>
          <w:szCs w:val="24"/>
          <w:highlight w:val="none"/>
        </w:rPr>
        <w:t>区内出露地层为侏罗系中统新田沟组、自流井组、下统珍珠冲组及三叠系上统须家河组，地表零星分布有第四系，按照从新至老的顺序分述如下：</w:t>
      </w:r>
    </w:p>
    <w:p>
      <w:pPr>
        <w:adjustRightInd w:val="0"/>
        <w:snapToGrid w:val="0"/>
        <w:spacing w:line="360" w:lineRule="auto"/>
        <w:ind w:firstLine="480" w:firstLineChars="200"/>
        <w:rPr>
          <w:color w:val="auto"/>
          <w:sz w:val="24"/>
          <w:szCs w:val="24"/>
          <w:highlight w:val="none"/>
        </w:rPr>
      </w:pPr>
      <w:r>
        <w:rPr>
          <w:color w:val="auto"/>
          <w:sz w:val="24"/>
          <w:szCs w:val="24"/>
          <w:highlight w:val="none"/>
        </w:rPr>
        <w:t>1</w:t>
      </w:r>
      <w:r>
        <w:rPr>
          <w:rFonts w:hint="eastAsia"/>
          <w:color w:val="auto"/>
          <w:sz w:val="24"/>
          <w:szCs w:val="24"/>
          <w:highlight w:val="none"/>
          <w:lang w:eastAsia="zh-CN"/>
        </w:rPr>
        <w:t>）</w:t>
      </w:r>
      <w:r>
        <w:rPr>
          <w:color w:val="auto"/>
          <w:sz w:val="24"/>
          <w:szCs w:val="24"/>
          <w:highlight w:val="none"/>
        </w:rPr>
        <w:t>第四系（Q）</w:t>
      </w:r>
    </w:p>
    <w:p>
      <w:pPr>
        <w:adjustRightInd w:val="0"/>
        <w:snapToGrid w:val="0"/>
        <w:spacing w:line="360" w:lineRule="auto"/>
        <w:ind w:firstLine="480" w:firstLineChars="200"/>
        <w:rPr>
          <w:color w:val="auto"/>
          <w:sz w:val="24"/>
          <w:szCs w:val="24"/>
          <w:highlight w:val="none"/>
        </w:rPr>
      </w:pPr>
      <w:r>
        <w:rPr>
          <w:color w:val="auto"/>
          <w:sz w:val="24"/>
          <w:szCs w:val="24"/>
          <w:highlight w:val="none"/>
        </w:rPr>
        <w:t>零星分布于地形低凹处，厚度0～10m，以粘土、沙土、粉土为主。</w:t>
      </w:r>
    </w:p>
    <w:p>
      <w:pPr>
        <w:adjustRightInd w:val="0"/>
        <w:snapToGrid w:val="0"/>
        <w:spacing w:line="360" w:lineRule="auto"/>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lang w:eastAsia="zh-CN"/>
        </w:rPr>
        <w:t>）</w:t>
      </w:r>
      <w:r>
        <w:rPr>
          <w:color w:val="auto"/>
          <w:sz w:val="24"/>
          <w:szCs w:val="24"/>
          <w:highlight w:val="none"/>
        </w:rPr>
        <w:t>侏罗系（J）</w:t>
      </w:r>
    </w:p>
    <w:p>
      <w:pPr>
        <w:adjustRightInd w:val="0"/>
        <w:snapToGrid w:val="0"/>
        <w:spacing w:line="360" w:lineRule="auto"/>
        <w:ind w:firstLine="480" w:firstLineChars="200"/>
        <w:rPr>
          <w:color w:val="auto"/>
          <w:sz w:val="24"/>
          <w:szCs w:val="24"/>
          <w:highlight w:val="none"/>
        </w:rPr>
      </w:pPr>
      <w:r>
        <w:rPr>
          <w:color w:val="auto"/>
          <w:sz w:val="24"/>
          <w:szCs w:val="24"/>
          <w:highlight w:val="none"/>
        </w:rPr>
        <w:t>侏罗系根据岩性组合特征，将划分为四组，该区内仅出露中统新田沟组、自流井组及下统珍珠冲组。现分述如下：</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①</w:t>
      </w:r>
      <w:r>
        <w:rPr>
          <w:color w:val="auto"/>
          <w:sz w:val="24"/>
          <w:szCs w:val="24"/>
          <w:highlight w:val="none"/>
        </w:rPr>
        <w:t>侏罗系上统新田沟组（J</w:t>
      </w:r>
      <w:r>
        <w:rPr>
          <w:color w:val="auto"/>
          <w:sz w:val="24"/>
          <w:szCs w:val="24"/>
          <w:highlight w:val="none"/>
          <w:vertAlign w:val="subscript"/>
        </w:rPr>
        <w:t>2</w:t>
      </w:r>
      <w:r>
        <w:rPr>
          <w:color w:val="auto"/>
          <w:sz w:val="24"/>
          <w:szCs w:val="24"/>
          <w:highlight w:val="none"/>
        </w:rPr>
        <w:t>x）</w:t>
      </w:r>
    </w:p>
    <w:p>
      <w:pPr>
        <w:adjustRightInd w:val="0"/>
        <w:snapToGrid w:val="0"/>
        <w:spacing w:line="360" w:lineRule="auto"/>
        <w:ind w:firstLine="480" w:firstLineChars="200"/>
        <w:rPr>
          <w:color w:val="auto"/>
          <w:sz w:val="24"/>
          <w:szCs w:val="24"/>
          <w:highlight w:val="none"/>
        </w:rPr>
      </w:pPr>
      <w:r>
        <w:rPr>
          <w:color w:val="auto"/>
          <w:sz w:val="24"/>
          <w:szCs w:val="24"/>
          <w:highlight w:val="none"/>
        </w:rPr>
        <w:t>为灰、深灰色结晶灰岩，介壳灰岩与</w:t>
      </w:r>
      <w:r>
        <w:rPr>
          <w:rFonts w:ascii="宋体" w:hAnsi="宋体"/>
          <w:color w:val="auto"/>
          <w:sz w:val="24"/>
          <w:szCs w:val="24"/>
          <w:highlight w:val="none"/>
        </w:rPr>
        <w:t>介壳</w:t>
      </w:r>
      <w:r>
        <w:rPr>
          <w:color w:val="auto"/>
          <w:sz w:val="24"/>
          <w:szCs w:val="24"/>
          <w:highlight w:val="none"/>
        </w:rPr>
        <w:t>钙质泥岩互层，夹2～3层细粒砂岩；中部为灰、灰黑色泥岩，夹薄层介壳灰岩数层；下部为中厚层至厚层状结晶灰岩；底部夹薄层泥岩及介壳灰岩。含动物化石楔蚌，假蛟蚌等厚度83.69</w:t>
      </w:r>
      <w:r>
        <w:rPr>
          <w:rFonts w:hint="eastAsia"/>
          <w:color w:val="auto"/>
          <w:sz w:val="24"/>
          <w:szCs w:val="24"/>
          <w:highlight w:val="none"/>
        </w:rPr>
        <w:t>m</w:t>
      </w:r>
      <w:r>
        <w:rPr>
          <w:color w:val="auto"/>
          <w:sz w:val="24"/>
          <w:szCs w:val="24"/>
          <w:highlight w:val="none"/>
        </w:rPr>
        <w:t>～115.00m，平均92.58m。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②</w:t>
      </w:r>
      <w:r>
        <w:rPr>
          <w:color w:val="auto"/>
          <w:sz w:val="24"/>
          <w:szCs w:val="24"/>
          <w:highlight w:val="none"/>
        </w:rPr>
        <w:t>侏罗系上统自流井组（J</w:t>
      </w:r>
      <w:r>
        <w:rPr>
          <w:color w:val="auto"/>
          <w:sz w:val="24"/>
          <w:szCs w:val="24"/>
          <w:highlight w:val="none"/>
          <w:vertAlign w:val="subscript"/>
        </w:rPr>
        <w:t>2</w:t>
      </w:r>
      <w:r>
        <w:rPr>
          <w:color w:val="auto"/>
          <w:sz w:val="24"/>
          <w:szCs w:val="24"/>
          <w:highlight w:val="none"/>
        </w:rPr>
        <w:t>z）</w:t>
      </w:r>
    </w:p>
    <w:p>
      <w:pPr>
        <w:adjustRightInd w:val="0"/>
        <w:snapToGrid w:val="0"/>
        <w:spacing w:line="360" w:lineRule="auto"/>
        <w:ind w:firstLine="480" w:firstLineChars="200"/>
        <w:rPr>
          <w:color w:val="auto"/>
          <w:sz w:val="24"/>
          <w:szCs w:val="24"/>
          <w:highlight w:val="none"/>
        </w:rPr>
      </w:pPr>
      <w:r>
        <w:rPr>
          <w:color w:val="auto"/>
          <w:sz w:val="24"/>
          <w:szCs w:val="24"/>
          <w:highlight w:val="none"/>
        </w:rPr>
        <w:t>本段上部和中部以灰、灰绿色砂质泥岩、泥岩为主，夹细粒砂岩；顶部有一层厚约2m的紫红色泥岩，偶见菱铁矿结核（即马鞍山段），下部为含大量瓣鳃类动物化石的灰黑色泥岩，俗称“胡豆石”（即东岳庙段），为中肢介、假蛟蚌等化石。厚89</w:t>
      </w:r>
      <w:r>
        <w:rPr>
          <w:rFonts w:hint="eastAsia"/>
          <w:color w:val="auto"/>
          <w:sz w:val="24"/>
          <w:szCs w:val="24"/>
          <w:highlight w:val="none"/>
        </w:rPr>
        <w:t>m</w:t>
      </w:r>
      <w:r>
        <w:rPr>
          <w:color w:val="auto"/>
          <w:sz w:val="24"/>
          <w:szCs w:val="24"/>
          <w:highlight w:val="none"/>
        </w:rPr>
        <w:t>～124m，平均105.13m。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③</w:t>
      </w:r>
      <w:r>
        <w:rPr>
          <w:color w:val="auto"/>
          <w:sz w:val="24"/>
          <w:szCs w:val="24"/>
          <w:highlight w:val="none"/>
        </w:rPr>
        <w:t>侏罗系下统珍珠冲组（J</w:t>
      </w:r>
      <w:r>
        <w:rPr>
          <w:color w:val="auto"/>
          <w:sz w:val="24"/>
          <w:szCs w:val="24"/>
          <w:highlight w:val="none"/>
          <w:vertAlign w:val="subscript"/>
        </w:rPr>
        <w:t>1</w:t>
      </w:r>
      <w:r>
        <w:rPr>
          <w:color w:val="auto"/>
          <w:sz w:val="24"/>
          <w:szCs w:val="24"/>
          <w:highlight w:val="none"/>
        </w:rPr>
        <w:t>zh）</w:t>
      </w:r>
    </w:p>
    <w:p>
      <w:pPr>
        <w:adjustRightInd w:val="0"/>
        <w:snapToGrid w:val="0"/>
        <w:spacing w:line="360" w:lineRule="auto"/>
        <w:ind w:firstLine="480" w:firstLineChars="200"/>
        <w:rPr>
          <w:color w:val="auto"/>
          <w:sz w:val="24"/>
          <w:szCs w:val="24"/>
          <w:highlight w:val="none"/>
        </w:rPr>
      </w:pPr>
      <w:r>
        <w:rPr>
          <w:color w:val="auto"/>
          <w:sz w:val="24"/>
          <w:szCs w:val="24"/>
          <w:highlight w:val="none"/>
        </w:rPr>
        <w:t>以灰色、灰绿色泥岩为主，中上部有1～2层</w:t>
      </w:r>
      <w:r>
        <w:rPr>
          <w:rFonts w:ascii="宋体" w:hAnsi="宋体"/>
          <w:color w:val="auto"/>
          <w:sz w:val="24"/>
          <w:szCs w:val="24"/>
          <w:highlight w:val="none"/>
        </w:rPr>
        <w:t>紫红色</w:t>
      </w:r>
      <w:r>
        <w:rPr>
          <w:color w:val="auto"/>
          <w:sz w:val="24"/>
          <w:szCs w:val="24"/>
          <w:highlight w:val="none"/>
        </w:rPr>
        <w:t>斑块状泥岩；下部常有数层厚层状细粒砂岩或粉砂岩。与下伏地层呈整合接触。产动物化石，简单醴陵蛤和植物化石－较小异羽叶，尼尔桑等。厚度169.11～203.72m，平均189.21m。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3）</w:t>
      </w:r>
      <w:r>
        <w:rPr>
          <w:color w:val="auto"/>
          <w:sz w:val="24"/>
          <w:szCs w:val="24"/>
          <w:highlight w:val="none"/>
        </w:rPr>
        <w:t>三叠系上统须家河组（T</w:t>
      </w:r>
      <w:r>
        <w:rPr>
          <w:color w:val="auto"/>
          <w:sz w:val="24"/>
          <w:szCs w:val="24"/>
          <w:highlight w:val="none"/>
          <w:vertAlign w:val="subscript"/>
        </w:rPr>
        <w:t>3</w:t>
      </w:r>
      <w:r>
        <w:rPr>
          <w:color w:val="auto"/>
          <w:sz w:val="24"/>
          <w:szCs w:val="24"/>
          <w:highlight w:val="none"/>
        </w:rPr>
        <w:t>xj）</w:t>
      </w:r>
    </w:p>
    <w:p>
      <w:pPr>
        <w:adjustRightInd w:val="0"/>
        <w:snapToGrid w:val="0"/>
        <w:spacing w:line="360" w:lineRule="auto"/>
        <w:ind w:firstLine="480" w:firstLineChars="200"/>
        <w:rPr>
          <w:color w:val="auto"/>
          <w:sz w:val="24"/>
          <w:szCs w:val="24"/>
          <w:highlight w:val="none"/>
        </w:rPr>
      </w:pPr>
      <w:r>
        <w:rPr>
          <w:color w:val="auto"/>
          <w:sz w:val="24"/>
          <w:szCs w:val="24"/>
          <w:highlight w:val="none"/>
        </w:rPr>
        <w:t>三叠系上统须家河组为含煤地层，总厚为500</w:t>
      </w:r>
      <w:r>
        <w:rPr>
          <w:rFonts w:hint="eastAsia"/>
          <w:color w:val="auto"/>
          <w:sz w:val="24"/>
          <w:szCs w:val="24"/>
          <w:highlight w:val="none"/>
        </w:rPr>
        <w:t>m</w:t>
      </w:r>
      <w:r>
        <w:rPr>
          <w:color w:val="auto"/>
          <w:sz w:val="24"/>
          <w:szCs w:val="24"/>
          <w:highlight w:val="none"/>
        </w:rPr>
        <w:t>～800m，根据岩性组合特征和含煤性差异，划分为6段。现分述如下：</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①</w:t>
      </w:r>
      <w:r>
        <w:rPr>
          <w:color w:val="auto"/>
          <w:sz w:val="24"/>
          <w:szCs w:val="24"/>
          <w:highlight w:val="none"/>
        </w:rPr>
        <w:t>第六段（T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6</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color w:val="auto"/>
          <w:sz w:val="24"/>
          <w:szCs w:val="24"/>
          <w:highlight w:val="none"/>
        </w:rPr>
        <w:t>上部灰白色厚层状细-中粒砂岩，铁质胶结，致密坚硬，含局部可采煤一层为K</w:t>
      </w:r>
      <w:r>
        <w:rPr>
          <w:color w:val="auto"/>
          <w:sz w:val="24"/>
          <w:szCs w:val="24"/>
          <w:highlight w:val="none"/>
          <w:vertAlign w:val="subscript"/>
        </w:rPr>
        <w:t>7</w:t>
      </w:r>
      <w:r>
        <w:rPr>
          <w:color w:val="auto"/>
          <w:sz w:val="24"/>
          <w:szCs w:val="24"/>
          <w:highlight w:val="none"/>
        </w:rPr>
        <w:t>，下部灰黄色厚层砾岩，含泥质和煤包体，顶板具有明显冲刷现象，厚度90</w:t>
      </w:r>
      <w:r>
        <w:rPr>
          <w:rFonts w:hint="eastAsia"/>
          <w:color w:val="auto"/>
          <w:sz w:val="24"/>
          <w:szCs w:val="24"/>
          <w:highlight w:val="none"/>
        </w:rPr>
        <w:t>m</w:t>
      </w:r>
      <w:r>
        <w:rPr>
          <w:color w:val="auto"/>
          <w:sz w:val="24"/>
          <w:szCs w:val="24"/>
          <w:highlight w:val="none"/>
        </w:rPr>
        <w:t>～170.13m，平均厚140m。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②</w:t>
      </w:r>
      <w:r>
        <w:rPr>
          <w:color w:val="auto"/>
          <w:sz w:val="24"/>
          <w:szCs w:val="24"/>
          <w:highlight w:val="none"/>
        </w:rPr>
        <w:t>第五段（T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5</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color w:val="auto"/>
          <w:sz w:val="24"/>
          <w:szCs w:val="24"/>
          <w:highlight w:val="none"/>
        </w:rPr>
        <w:t>本段是区内主要的含煤段，以灰色泥岩、泥质粉砂岩、砂质泥岩、粘土质泥岩、粉砂岩为主，夹薄层状细粒砂岩，含煤四层，编号为K</w:t>
      </w:r>
      <w:r>
        <w:rPr>
          <w:color w:val="auto"/>
          <w:sz w:val="24"/>
          <w:szCs w:val="24"/>
          <w:highlight w:val="none"/>
          <w:vertAlign w:val="subscript"/>
        </w:rPr>
        <w:t>3</w:t>
      </w:r>
      <w:r>
        <w:rPr>
          <w:color w:val="auto"/>
          <w:sz w:val="24"/>
          <w:szCs w:val="24"/>
          <w:highlight w:val="none"/>
        </w:rPr>
        <w:t>、K</w:t>
      </w:r>
      <w:r>
        <w:rPr>
          <w:color w:val="auto"/>
          <w:sz w:val="24"/>
          <w:szCs w:val="24"/>
          <w:highlight w:val="none"/>
          <w:vertAlign w:val="subscript"/>
        </w:rPr>
        <w:t>4</w:t>
      </w:r>
      <w:r>
        <w:rPr>
          <w:color w:val="auto"/>
          <w:sz w:val="24"/>
          <w:szCs w:val="24"/>
          <w:highlight w:val="none"/>
        </w:rPr>
        <w:t>、K</w:t>
      </w:r>
      <w:r>
        <w:rPr>
          <w:color w:val="auto"/>
          <w:sz w:val="24"/>
          <w:szCs w:val="24"/>
          <w:highlight w:val="none"/>
          <w:vertAlign w:val="subscript"/>
        </w:rPr>
        <w:t>5</w:t>
      </w:r>
      <w:r>
        <w:rPr>
          <w:color w:val="auto"/>
          <w:sz w:val="24"/>
          <w:szCs w:val="24"/>
          <w:highlight w:val="none"/>
        </w:rPr>
        <w:t>、K</w:t>
      </w:r>
      <w:r>
        <w:rPr>
          <w:color w:val="auto"/>
          <w:sz w:val="24"/>
          <w:szCs w:val="24"/>
          <w:highlight w:val="none"/>
          <w:vertAlign w:val="subscript"/>
        </w:rPr>
        <w:t>6</w:t>
      </w:r>
      <w:r>
        <w:rPr>
          <w:color w:val="auto"/>
          <w:sz w:val="24"/>
          <w:szCs w:val="24"/>
          <w:highlight w:val="none"/>
        </w:rPr>
        <w:t>，其中K</w:t>
      </w:r>
      <w:r>
        <w:rPr>
          <w:color w:val="auto"/>
          <w:sz w:val="24"/>
          <w:szCs w:val="24"/>
          <w:highlight w:val="none"/>
          <w:vertAlign w:val="subscript"/>
        </w:rPr>
        <w:t>5</w:t>
      </w:r>
      <w:r>
        <w:rPr>
          <w:color w:val="auto"/>
          <w:sz w:val="24"/>
          <w:szCs w:val="24"/>
          <w:highlight w:val="none"/>
        </w:rPr>
        <w:t>煤层不可采。厚度70</w:t>
      </w:r>
      <w:r>
        <w:rPr>
          <w:rFonts w:hint="eastAsia"/>
          <w:color w:val="auto"/>
          <w:sz w:val="24"/>
          <w:szCs w:val="24"/>
          <w:highlight w:val="none"/>
        </w:rPr>
        <w:t>m</w:t>
      </w:r>
      <w:r>
        <w:rPr>
          <w:color w:val="auto"/>
          <w:sz w:val="24"/>
          <w:szCs w:val="24"/>
          <w:highlight w:val="none"/>
        </w:rPr>
        <w:t>～110m，平均厚86m。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③</w:t>
      </w:r>
      <w:r>
        <w:rPr>
          <w:color w:val="auto"/>
          <w:sz w:val="24"/>
          <w:szCs w:val="24"/>
          <w:highlight w:val="none"/>
        </w:rPr>
        <w:t>第四段（T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4</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color w:val="auto"/>
          <w:sz w:val="24"/>
          <w:szCs w:val="24"/>
          <w:highlight w:val="none"/>
        </w:rPr>
        <w:t>浅灰色厚层状中粗粒长石石英砂岩，砂岩呈次棱角状，泥质胶结。上部含泥质和较多的暗色矿物，云母碎片及煤屑，中部夹2～3层砾石，总厚为78</w:t>
      </w:r>
      <w:r>
        <w:rPr>
          <w:rFonts w:hint="eastAsia"/>
          <w:color w:val="auto"/>
          <w:sz w:val="24"/>
          <w:szCs w:val="24"/>
          <w:highlight w:val="none"/>
        </w:rPr>
        <w:t>m</w:t>
      </w:r>
      <w:r>
        <w:rPr>
          <w:color w:val="auto"/>
          <w:sz w:val="24"/>
          <w:szCs w:val="24"/>
          <w:highlight w:val="none"/>
        </w:rPr>
        <w:t>～124m，平均厚106m。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④</w:t>
      </w:r>
      <w:r>
        <w:rPr>
          <w:color w:val="auto"/>
          <w:sz w:val="24"/>
          <w:szCs w:val="24"/>
          <w:highlight w:val="none"/>
        </w:rPr>
        <w:t>第三段（T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3</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color w:val="auto"/>
          <w:sz w:val="24"/>
          <w:szCs w:val="24"/>
          <w:highlight w:val="none"/>
        </w:rPr>
        <w:t>该段岩性为灰黑-灰色泥岩、砂质泥岩、泥质粉砂岩及细粒砂岩组成，与下伏二段岩层为整合接触。夹煤线3～8层。层厚65</w:t>
      </w:r>
      <w:r>
        <w:rPr>
          <w:rFonts w:hint="eastAsia"/>
          <w:color w:val="auto"/>
          <w:sz w:val="24"/>
          <w:szCs w:val="24"/>
          <w:highlight w:val="none"/>
        </w:rPr>
        <w:t>m</w:t>
      </w:r>
      <w:r>
        <w:rPr>
          <w:color w:val="auto"/>
          <w:sz w:val="24"/>
          <w:szCs w:val="24"/>
          <w:highlight w:val="none"/>
        </w:rPr>
        <w:t>～96m，平均厚78m。</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⑤</w:t>
      </w:r>
      <w:r>
        <w:rPr>
          <w:color w:val="auto"/>
          <w:sz w:val="24"/>
          <w:szCs w:val="24"/>
          <w:highlight w:val="none"/>
        </w:rPr>
        <w:t>第二段（T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2</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ascii="宋体" w:hAnsi="宋体"/>
          <w:color w:val="auto"/>
          <w:sz w:val="24"/>
          <w:szCs w:val="24"/>
          <w:highlight w:val="none"/>
        </w:rPr>
        <w:t>灰白色</w:t>
      </w:r>
      <w:r>
        <w:rPr>
          <w:color w:val="auto"/>
          <w:sz w:val="24"/>
          <w:szCs w:val="24"/>
          <w:highlight w:val="none"/>
        </w:rPr>
        <w:t>厚层状中粒石英砂岩，含少量暗色矿物及铁质结核，与下伏岩层冲刷接触。厚107.2</w:t>
      </w:r>
      <w:r>
        <w:rPr>
          <w:rFonts w:hint="eastAsia"/>
          <w:color w:val="auto"/>
          <w:sz w:val="24"/>
          <w:szCs w:val="24"/>
          <w:highlight w:val="none"/>
        </w:rPr>
        <w:t>m</w:t>
      </w:r>
      <w:r>
        <w:rPr>
          <w:color w:val="auto"/>
          <w:sz w:val="24"/>
          <w:szCs w:val="24"/>
          <w:highlight w:val="none"/>
        </w:rPr>
        <w:t>～121m，平均厚113m，全区厚度变化不大。</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eastAsia="zh-CN"/>
        </w:rPr>
        <w:t>⑥</w:t>
      </w:r>
      <w:r>
        <w:rPr>
          <w:color w:val="auto"/>
          <w:sz w:val="24"/>
          <w:szCs w:val="24"/>
          <w:highlight w:val="none"/>
        </w:rPr>
        <w:t>第一段（T</w:t>
      </w:r>
      <w:r>
        <w:rPr>
          <w:color w:val="auto"/>
          <w:sz w:val="24"/>
          <w:szCs w:val="24"/>
          <w:highlight w:val="none"/>
          <w:vertAlign w:val="subscript"/>
        </w:rPr>
        <w:t>3</w:t>
      </w:r>
      <w:r>
        <w:rPr>
          <w:color w:val="auto"/>
          <w:sz w:val="24"/>
          <w:szCs w:val="24"/>
          <w:highlight w:val="none"/>
        </w:rPr>
        <w:t>xj</w:t>
      </w:r>
      <w:r>
        <w:rPr>
          <w:color w:val="auto"/>
          <w:sz w:val="24"/>
          <w:szCs w:val="24"/>
          <w:highlight w:val="none"/>
          <w:vertAlign w:val="superscript"/>
        </w:rPr>
        <w:t>1</w:t>
      </w:r>
      <w:r>
        <w:rPr>
          <w:color w:val="auto"/>
          <w:sz w:val="24"/>
          <w:szCs w:val="24"/>
          <w:highlight w:val="none"/>
        </w:rPr>
        <w:t>）</w:t>
      </w:r>
    </w:p>
    <w:p>
      <w:pPr>
        <w:bidi w:val="0"/>
        <w:rPr>
          <w:color w:val="auto"/>
          <w:sz w:val="24"/>
          <w:szCs w:val="24"/>
          <w:highlight w:val="none"/>
        </w:rPr>
      </w:pPr>
      <w:r>
        <w:rPr>
          <w:color w:val="auto"/>
          <w:sz w:val="24"/>
          <w:szCs w:val="24"/>
          <w:highlight w:val="none"/>
        </w:rPr>
        <w:t>该层上部岩性以粘土质泥岩为主，中部为灰白色厚层状中粒长石石英砂岩，下部为泥岩，炭质泥岩和粉砂岩，含煤二层，均为不可采煤层，总厚12</w:t>
      </w:r>
      <w:r>
        <w:rPr>
          <w:rFonts w:hint="eastAsia"/>
          <w:color w:val="auto"/>
          <w:sz w:val="24"/>
          <w:szCs w:val="24"/>
          <w:highlight w:val="none"/>
        </w:rPr>
        <w:t>m</w:t>
      </w:r>
      <w:r>
        <w:rPr>
          <w:color w:val="auto"/>
          <w:sz w:val="24"/>
          <w:szCs w:val="24"/>
          <w:highlight w:val="none"/>
        </w:rPr>
        <w:t>～58m，平均厚24m。</w:t>
      </w:r>
    </w:p>
    <w:p>
      <w:pPr>
        <w:pStyle w:val="7"/>
        <w:numPr>
          <w:ilvl w:val="3"/>
          <w:numId w:val="10"/>
        </w:numPr>
        <w:bidi w:val="0"/>
        <w:rPr>
          <w:color w:val="auto"/>
          <w:highlight w:val="none"/>
        </w:rPr>
      </w:pPr>
      <w:r>
        <w:rPr>
          <w:color w:val="auto"/>
          <w:highlight w:val="none"/>
        </w:rPr>
        <w:t>矿区</w:t>
      </w:r>
      <w:r>
        <w:rPr>
          <w:rFonts w:hint="eastAsia"/>
          <w:color w:val="auto"/>
          <w:highlight w:val="none"/>
          <w:lang w:eastAsia="zh-CN"/>
        </w:rPr>
        <w:t>构造</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大竹县由华蓥山背斜、铜锣峡背斜、明月峡背斜构成，背斜轴向呈北北东－南南西向状展布，大致平行形成背斜紧密、向斜平缓开阔的隔档式褶皱组合形态。</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华蓥山背斜轴线方向N9°～70°E，并以2°～4°的倾伏角向北倾伏。两翼倾角一般为25°～45°左右，为近似对称的脊状背斜；铜锣峡背斜（中山背斜）为新华夏系的北北东向背斜，背斜轴线总体走向为NE10°～24°，长约85km，背斜两翼不对称，东翼缓，地层倾角15°～70°，西翼陡，地层倾角30°～60°。</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铜锣峡背斜轴向北20°－35°东，长约92km。轴部岩层倾角缓，翼部陡，组成不对称之箱状褶曲，一般为东翼陡，西翼缓。</w:t>
      </w:r>
    </w:p>
    <w:p>
      <w:pPr>
        <w:bidi w:val="0"/>
        <w:rPr>
          <w:rFonts w:hint="eastAsia"/>
          <w:color w:val="auto"/>
          <w:highlight w:val="none"/>
        </w:rPr>
      </w:pPr>
      <w:r>
        <w:rPr>
          <w:rFonts w:hint="default" w:ascii="Times New Roman" w:hAnsi="Times New Roman" w:cs="Times New Roman"/>
          <w:color w:val="auto"/>
          <w:highlight w:val="none"/>
        </w:rPr>
        <w:t>仅在柏林煤矿范围内发现12条小断层和堡子煤矿范围内发现2个小断层，其中柏林煤矿范围内的断层落差均小于30m，除推断的一条隐伏小断层F39（落差约8m）破坏煤层外，其余断层对煤层均无破坏作用；在堡子煤矿范围内发现2个小断层：</w:t>
      </w:r>
      <w:r>
        <w:rPr>
          <w:rFonts w:hint="eastAsia" w:ascii="Times New Roman" w:hAnsi="Times New Roman" w:cs="Times New Roman"/>
          <w:color w:val="auto"/>
          <w:highlight w:val="none"/>
          <w:lang w:eastAsia="zh-CN"/>
        </w:rPr>
        <w:t>①</w:t>
      </w:r>
      <w:r>
        <w:rPr>
          <w:rFonts w:hint="default" w:ascii="Times New Roman" w:hAnsi="Times New Roman" w:cs="Times New Roman"/>
          <w:color w:val="auto"/>
          <w:highlight w:val="none"/>
        </w:rPr>
        <w:t>F1逆～平移断层：长约850m，走向320°～330°，倾向南西，断层面倾角60°～70°。断层表现为平移兼有逆冲性质，水平断距70m～20m，垂直断距10m～6m，破碎带宽约0.8m。断层面附近见大量擦痕和碎片状断层角砾，磨光镜面发育。</w:t>
      </w:r>
      <w:r>
        <w:rPr>
          <w:rFonts w:hint="eastAsia" w:ascii="Times New Roman" w:hAnsi="Times New Roman" w:cs="Times New Roman"/>
          <w:color w:val="auto"/>
          <w:highlight w:val="none"/>
          <w:lang w:eastAsia="zh-CN"/>
        </w:rPr>
        <w:t>②</w:t>
      </w:r>
      <w:r>
        <w:rPr>
          <w:rFonts w:hint="default" w:ascii="Times New Roman" w:hAnsi="Times New Roman" w:cs="Times New Roman"/>
          <w:color w:val="auto"/>
          <w:highlight w:val="none"/>
        </w:rPr>
        <w:t>F3逆～平移断层：长约700m，走向320°，倾向南西，断层面倾角68°，水平断距60m，垂直断距80m，对煤层开采无影</w:t>
      </w:r>
      <w:r>
        <w:rPr>
          <w:rFonts w:hint="eastAsia"/>
          <w:color w:val="auto"/>
          <w:highlight w:val="none"/>
        </w:rPr>
        <w:t>响。</w:t>
      </w:r>
    </w:p>
    <w:p>
      <w:pPr>
        <w:pStyle w:val="7"/>
        <w:numPr>
          <w:ilvl w:val="3"/>
          <w:numId w:val="10"/>
        </w:numPr>
        <w:bidi w:val="0"/>
        <w:rPr>
          <w:color w:val="auto"/>
          <w:highlight w:val="none"/>
        </w:rPr>
      </w:pPr>
      <w:r>
        <w:rPr>
          <w:rFonts w:hint="eastAsia"/>
          <w:color w:val="auto"/>
          <w:highlight w:val="none"/>
          <w:lang w:eastAsia="zh-CN"/>
        </w:rPr>
        <w:t>岩浆岩</w:t>
      </w:r>
    </w:p>
    <w:p>
      <w:pPr>
        <w:bidi w:val="0"/>
        <w:rPr>
          <w:color w:val="auto"/>
          <w:highlight w:val="none"/>
        </w:rPr>
      </w:pPr>
      <w:r>
        <w:rPr>
          <w:rFonts w:hint="eastAsia"/>
          <w:color w:val="auto"/>
          <w:highlight w:val="none"/>
        </w:rPr>
        <w:t>矿区范围内全为沉积岩，未发现岩浆岩体。</w:t>
      </w:r>
    </w:p>
    <w:p>
      <w:pPr>
        <w:pStyle w:val="6"/>
        <w:numPr>
          <w:ilvl w:val="2"/>
          <w:numId w:val="10"/>
        </w:numPr>
        <w:bidi w:val="0"/>
        <w:rPr>
          <w:color w:val="auto"/>
          <w:highlight w:val="none"/>
        </w:rPr>
      </w:pPr>
      <w:bookmarkStart w:id="387" w:name="5.2.2 水文地质条件"/>
      <w:bookmarkEnd w:id="387"/>
      <w:bookmarkStart w:id="388" w:name="5.2.2 水文地质条件"/>
      <w:bookmarkEnd w:id="388"/>
      <w:bookmarkStart w:id="389" w:name="_Toc29163"/>
      <w:bookmarkStart w:id="390" w:name="_Toc26497"/>
      <w:r>
        <w:rPr>
          <w:color w:val="auto"/>
          <w:highlight w:val="none"/>
        </w:rPr>
        <w:t>水文地质条件</w:t>
      </w:r>
      <w:bookmarkEnd w:id="389"/>
      <w:bookmarkEnd w:id="390"/>
    </w:p>
    <w:p>
      <w:pPr>
        <w:pStyle w:val="7"/>
        <w:numPr>
          <w:ilvl w:val="3"/>
          <w:numId w:val="10"/>
        </w:numPr>
        <w:bidi w:val="0"/>
        <w:rPr>
          <w:color w:val="auto"/>
          <w:highlight w:val="none"/>
        </w:rPr>
      </w:pPr>
      <w:r>
        <w:rPr>
          <w:color w:val="auto"/>
          <w:highlight w:val="none"/>
        </w:rPr>
        <w:t>区域水文地质</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本区含水层有灰岩岩溶含水层（中三叠统雷口坡组(T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)至上二迭统长兴组(P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c</w:t>
      </w:r>
      <w:r>
        <w:rPr>
          <w:rFonts w:hint="default" w:ascii="Times New Roman" w:hAnsi="Times New Roman" w:cs="Times New Roman"/>
          <w:color w:val="auto"/>
          <w:sz w:val="24"/>
          <w:szCs w:val="24"/>
          <w:highlight w:val="none"/>
        </w:rPr>
        <w:t>)）、三叠系上统须家河组(T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xj)砂岩含水层。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灰岩岩溶含水层：矿区出露地层为中三叠统雷口坡组(T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)至上二迭统长兴组(P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c</w:t>
      </w:r>
      <w:r>
        <w:rPr>
          <w:rFonts w:hint="default" w:ascii="Times New Roman" w:hAnsi="Times New Roman" w:cs="Times New Roman"/>
          <w:color w:val="auto"/>
          <w:sz w:val="24"/>
          <w:szCs w:val="24"/>
          <w:highlight w:val="none"/>
        </w:rPr>
        <w:t>)，钻孔揭露最老地层为下二迭统茅口组(P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m</w:t>
      </w:r>
      <w:r>
        <w:rPr>
          <w:rFonts w:hint="default" w:ascii="Times New Roman" w:hAnsi="Times New Roman" w:cs="Times New Roman"/>
          <w:color w:val="auto"/>
          <w:sz w:val="24"/>
          <w:szCs w:val="24"/>
          <w:highlight w:val="none"/>
        </w:rPr>
        <w:t>)。岩性主要为碳酸盐岩，碎屑岩次之。以岩性和岩溶裂隙(充水空间)发育程度的不同为依据划分含水层和隔水层。其中：中三叠统雷口坡组(T</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)、下三叠统嘉陵江组(T</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j</w:t>
      </w:r>
      <w:r>
        <w:rPr>
          <w:rFonts w:hint="default" w:ascii="Times New Roman" w:hAnsi="Times New Roman" w:cs="Times New Roman"/>
          <w:color w:val="auto"/>
          <w:sz w:val="24"/>
          <w:szCs w:val="24"/>
          <w:highlight w:val="none"/>
        </w:rPr>
        <w:t>)、飞仙关组(T</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f</w:t>
      </w:r>
      <w:r>
        <w:rPr>
          <w:rFonts w:hint="default" w:ascii="Times New Roman" w:hAnsi="Times New Roman" w:cs="Times New Roman"/>
          <w:color w:val="auto"/>
          <w:sz w:val="24"/>
          <w:szCs w:val="24"/>
          <w:highlight w:val="none"/>
        </w:rPr>
        <w:t>)、上二迭统长兴组(P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c</w:t>
      </w:r>
      <w:r>
        <w:rPr>
          <w:rFonts w:hint="default" w:ascii="Times New Roman" w:hAnsi="Times New Roman" w:cs="Times New Roman"/>
          <w:color w:val="auto"/>
          <w:sz w:val="24"/>
          <w:szCs w:val="24"/>
          <w:highlight w:val="none"/>
        </w:rPr>
        <w:t>)、龙潭组(P</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i/>
          <w:iCs/>
          <w:color w:val="auto"/>
          <w:sz w:val="24"/>
          <w:szCs w:val="24"/>
          <w:highlight w:val="none"/>
        </w:rPr>
        <w:t>l</w:t>
      </w:r>
      <w:r>
        <w:rPr>
          <w:rFonts w:hint="default" w:ascii="Times New Roman" w:hAnsi="Times New Roman" w:cs="Times New Roman"/>
          <w:color w:val="auto"/>
          <w:sz w:val="24"/>
          <w:szCs w:val="24"/>
          <w:highlight w:val="none"/>
        </w:rPr>
        <w:t>)和下二迭统茅口组(P</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i/>
          <w:iCs/>
          <w:color w:val="auto"/>
          <w:sz w:val="24"/>
          <w:szCs w:val="24"/>
          <w:highlight w:val="none"/>
        </w:rPr>
        <w:t>m</w:t>
      </w:r>
      <w:r>
        <w:rPr>
          <w:rFonts w:hint="default" w:ascii="Times New Roman" w:hAnsi="Times New Roman" w:cs="Times New Roman"/>
          <w:color w:val="auto"/>
          <w:sz w:val="24"/>
          <w:szCs w:val="24"/>
          <w:highlight w:val="none"/>
        </w:rPr>
        <w:t>)等各地层中的灰岩，为碳酸盐类岩石，具可溶性，其岩溶裂隙、溶洞不同程度相对发育，具良好的充水空间，为岩溶含水层。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三叠系上统须家河组(T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 )砂岩含水层：本区以砂岩裂隙含水层为主，对煤层开拓有充分影响的含水层共4层，分布在T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zh地层中，含水层平均总厚度为92m，占该段地层平均总厚度的23.6%。各含水层之间都有大于10m的隔水层相隔。相互之间不发生水力联系。</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直接对矿井充水的含水层共有4层：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第一号含水层由三叠系上统须家河组第五段二亚段(T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5-2</w:t>
      </w:r>
      <w:r>
        <w:rPr>
          <w:rFonts w:hint="default" w:ascii="Times New Roman" w:hAnsi="Times New Roman" w:cs="Times New Roman"/>
          <w:color w:val="auto"/>
          <w:sz w:val="24"/>
          <w:szCs w:val="24"/>
          <w:highlight w:val="none"/>
        </w:rPr>
        <w:t>)的细～中粒砂岩组成。矿井巷道揭露初期水大，后期水量大大减少。可见该层富水性较弱。</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第二号含水层由T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和T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5-3</w:t>
      </w:r>
      <w:r>
        <w:rPr>
          <w:rFonts w:hint="default" w:ascii="Times New Roman" w:hAnsi="Times New Roman" w:cs="Times New Roman"/>
          <w:color w:val="auto"/>
          <w:sz w:val="24"/>
          <w:szCs w:val="24"/>
          <w:highlight w:val="none"/>
        </w:rPr>
        <w:t>顶部的细～中粒砂岩组成。一般仅对中煤组煤层开采有充水影响，通过抽、放水试验观测，该层富水性弱，深部比浅部更弱。</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第三号含水层由T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7-2</w:t>
      </w:r>
      <w:r>
        <w:rPr>
          <w:rFonts w:hint="default" w:ascii="Times New Roman" w:hAnsi="Times New Roman" w:cs="Times New Roman"/>
          <w:color w:val="auto"/>
          <w:sz w:val="24"/>
          <w:szCs w:val="24"/>
          <w:highlight w:val="none"/>
        </w:rPr>
        <w:t>的细～中粒砂岩组成。位于上煤组煤层之上2.43m～36.34m，一般9.8m。具有随深度增加该富水层相应减薄的规律。矿井揭露在此层一般都干枯无水，属富水性极弱的含水层。</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第四号含水层由J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zh底部及T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7-3</w:t>
      </w:r>
      <w:r>
        <w:rPr>
          <w:rFonts w:hint="default" w:ascii="Times New Roman" w:hAnsi="Times New Roman" w:cs="Times New Roman"/>
          <w:color w:val="auto"/>
          <w:sz w:val="24"/>
          <w:szCs w:val="24"/>
          <w:highlight w:val="none"/>
        </w:rPr>
        <w:t>顶部的细粒砂岩组成。</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分布在T</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xj</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zh地层中。各含水层之间都有大于10m的隔水层相隔。相互之间不发生水力联系。</w:t>
      </w:r>
    </w:p>
    <w:p>
      <w:pPr>
        <w:bidi w:val="0"/>
        <w:rPr>
          <w:rFonts w:hint="eastAsia" w:ascii="Times New Roman" w:hAnsi="Times New Roman" w:cs="Times New Roman"/>
          <w:bCs/>
          <w:color w:val="auto"/>
          <w:sz w:val="24"/>
          <w:szCs w:val="24"/>
          <w:highlight w:val="none"/>
          <w:lang w:eastAsia="zh-CN"/>
        </w:rPr>
      </w:pPr>
      <w:r>
        <w:rPr>
          <w:rFonts w:hint="default" w:ascii="Times New Roman" w:hAnsi="Times New Roman" w:cs="Times New Roman"/>
          <w:color w:val="auto"/>
          <w:sz w:val="24"/>
          <w:szCs w:val="24"/>
          <w:highlight w:val="none"/>
        </w:rPr>
        <w:t>大竹县各矿井的</w:t>
      </w:r>
      <w:r>
        <w:rPr>
          <w:rFonts w:hint="default" w:ascii="Times New Roman" w:hAnsi="Times New Roman" w:cs="Times New Roman"/>
          <w:bCs/>
          <w:color w:val="auto"/>
          <w:sz w:val="24"/>
          <w:szCs w:val="24"/>
          <w:highlight w:val="none"/>
        </w:rPr>
        <w:t>水文地质类型为：简单-中等-复杂。</w:t>
      </w:r>
      <w:r>
        <w:rPr>
          <w:rFonts w:hint="eastAsia" w:ascii="Times New Roman" w:hAnsi="Times New Roman" w:cs="Times New Roman"/>
          <w:bCs/>
          <w:color w:val="auto"/>
          <w:sz w:val="24"/>
          <w:szCs w:val="24"/>
          <w:highlight w:val="none"/>
          <w:lang w:eastAsia="zh-CN"/>
        </w:rPr>
        <w:t>具体如下：</w:t>
      </w:r>
    </w:p>
    <w:p>
      <w:pPr>
        <w:pStyle w:val="22"/>
        <w:bidi w:val="0"/>
        <w:rPr>
          <w:rFonts w:hint="eastAsia"/>
          <w:color w:val="auto"/>
          <w:highlight w:val="none"/>
          <w:lang w:val="en-US" w:eastAsia="zh-CN"/>
        </w:rPr>
      </w:pPr>
      <w:r>
        <w:rPr>
          <w:rFonts w:hint="eastAsia"/>
          <w:color w:val="auto"/>
          <w:highlight w:val="none"/>
          <w:lang w:val="en-US" w:eastAsia="zh-CN"/>
        </w:rPr>
        <w:t>表5.2-2   矿区内各煤矿水文地质类型</w:t>
      </w:r>
    </w:p>
    <w:tbl>
      <w:tblPr>
        <w:tblStyle w:val="17"/>
        <w:tblW w:w="5000" w:type="pct"/>
        <w:jc w:val="center"/>
        <w:tblLayout w:type="autofit"/>
        <w:tblCellMar>
          <w:top w:w="0" w:type="dxa"/>
          <w:left w:w="108" w:type="dxa"/>
          <w:bottom w:w="0" w:type="dxa"/>
          <w:right w:w="108" w:type="dxa"/>
        </w:tblCellMar>
      </w:tblPr>
      <w:tblGrid>
        <w:gridCol w:w="1569"/>
        <w:gridCol w:w="4446"/>
        <w:gridCol w:w="3611"/>
      </w:tblGrid>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顺序</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名称</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水文地质类型</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default"/>
                <w:color w:val="auto"/>
                <w:highlight w:val="none"/>
              </w:rPr>
              <w:t>1</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柏林煤矿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default"/>
                <w:color w:val="auto"/>
                <w:highlight w:val="none"/>
              </w:rPr>
              <w:t>2</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田坝煤矿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default"/>
                <w:color w:val="auto"/>
                <w:highlight w:val="none"/>
              </w:rPr>
              <w:t>3</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黑滩煤矿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4</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大河沟煤矿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default"/>
                <w:color w:val="auto"/>
                <w:highlight w:val="none"/>
              </w:rPr>
              <w:t>5</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大硐坪煤矿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default"/>
                <w:color w:val="auto"/>
                <w:highlight w:val="none"/>
              </w:rPr>
              <w:t>6</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新桥红星煤矿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7</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堡子煤矿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复杂</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8</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荣华煤矿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复杂</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9</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华家沟煤矿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10</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孔家沟煤矿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11</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刘家沟联合煤矿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简单</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12</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牛郎沟煤矿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13</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平桥煤矿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r>
        <w:tblPrEx>
          <w:tblCellMar>
            <w:top w:w="0" w:type="dxa"/>
            <w:left w:w="108" w:type="dxa"/>
            <w:bottom w:w="0" w:type="dxa"/>
            <w:right w:w="108" w:type="dxa"/>
          </w:tblCellMar>
        </w:tblPrEx>
        <w:trPr>
          <w:trHeight w:val="454" w:hRule="atLeast"/>
          <w:jc w:val="center"/>
        </w:trPr>
        <w:tc>
          <w:tcPr>
            <w:tcW w:w="74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14</w:t>
            </w:r>
          </w:p>
        </w:tc>
        <w:tc>
          <w:tcPr>
            <w:tcW w:w="2102"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color w:val="auto"/>
                <w:highlight w:val="none"/>
              </w:rPr>
            </w:pPr>
            <w:r>
              <w:rPr>
                <w:rFonts w:hint="eastAsia"/>
                <w:color w:val="auto"/>
                <w:highlight w:val="none"/>
              </w:rPr>
              <w:t>观音煤矿</w:t>
            </w:r>
          </w:p>
        </w:tc>
        <w:tc>
          <w:tcPr>
            <w:tcW w:w="1707" w:type="dxa"/>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color w:val="auto"/>
                <w:highlight w:val="none"/>
              </w:rPr>
            </w:pPr>
            <w:r>
              <w:rPr>
                <w:rFonts w:hint="eastAsia"/>
                <w:color w:val="auto"/>
                <w:highlight w:val="none"/>
              </w:rPr>
              <w:t>中等</w:t>
            </w:r>
          </w:p>
        </w:tc>
      </w:tr>
    </w:tbl>
    <w:p>
      <w:pPr>
        <w:pStyle w:val="22"/>
        <w:bidi w:val="0"/>
        <w:rPr>
          <w:rFonts w:hint="default"/>
          <w:color w:val="auto"/>
          <w:highlight w:val="none"/>
          <w:lang w:val="en-US" w:eastAsia="zh-CN"/>
        </w:rPr>
      </w:pPr>
    </w:p>
    <w:p>
      <w:pPr>
        <w:pStyle w:val="7"/>
        <w:numPr>
          <w:ilvl w:val="3"/>
          <w:numId w:val="10"/>
        </w:numPr>
        <w:bidi w:val="0"/>
        <w:rPr>
          <w:color w:val="auto"/>
          <w:highlight w:val="none"/>
        </w:rPr>
      </w:pPr>
      <w:r>
        <w:rPr>
          <w:color w:val="auto"/>
          <w:highlight w:val="none"/>
        </w:rPr>
        <w:t>矿床充水因素</w:t>
      </w:r>
    </w:p>
    <w:p>
      <w:pPr>
        <w:bidi w:val="0"/>
        <w:rPr>
          <w:color w:val="auto"/>
          <w:highlight w:val="none"/>
        </w:rPr>
      </w:pPr>
      <w:r>
        <w:rPr>
          <w:color w:val="auto"/>
          <w:highlight w:val="none"/>
        </w:rPr>
        <w:t>据调查，矿井水主要来源于两个方面，一是煤层顶、底板砂岩含水层承压裂隙水，二是采空区水。矿井枯期以含水层地下水充水为主，由于矿区范围内含水层富水性弱，且与各开采煤层间有数米的泥岩隔水层，一般对煤层开采影响不大。洪期矿井充水以采空区水为主，洪期大气降水和地表溪沟水通过老采区塌陷裂隙渗入矿井，致使矿井涌水量较一般期流量增大</w:t>
      </w:r>
      <w:r>
        <w:rPr>
          <w:rFonts w:ascii="Times New Roman" w:eastAsia="Times New Roman"/>
          <w:color w:val="auto"/>
          <w:highlight w:val="none"/>
        </w:rPr>
        <w:t>2</w:t>
      </w:r>
      <w:r>
        <w:rPr>
          <w:color w:val="auto"/>
          <w:highlight w:val="none"/>
        </w:rPr>
        <w:t>倍以上。</w:t>
      </w:r>
    </w:p>
    <w:p>
      <w:pPr>
        <w:bidi w:val="0"/>
        <w:rPr>
          <w:color w:val="auto"/>
          <w:highlight w:val="none"/>
        </w:rPr>
      </w:pPr>
      <w:r>
        <w:rPr>
          <w:color w:val="auto"/>
          <w:highlight w:val="none"/>
        </w:rPr>
        <w:t>矿井充水因素为砂岩裂隙及孔隙水，老空区积水及地表大气降水。大气降水是矿井充水的主要来源，矿井涌水直接受大气降水控制。</w:t>
      </w:r>
    </w:p>
    <w:p>
      <w:pPr>
        <w:pStyle w:val="6"/>
        <w:numPr>
          <w:ilvl w:val="2"/>
          <w:numId w:val="10"/>
        </w:numPr>
        <w:bidi w:val="0"/>
        <w:rPr>
          <w:color w:val="auto"/>
          <w:highlight w:val="none"/>
        </w:rPr>
      </w:pPr>
      <w:bookmarkStart w:id="391" w:name="5.2.3 矿区煤炭开采对地下水资源的影响"/>
      <w:bookmarkEnd w:id="391"/>
      <w:bookmarkStart w:id="392" w:name="5.2.3 矿区煤炭开采对地下水资源的影响"/>
      <w:bookmarkEnd w:id="392"/>
      <w:bookmarkStart w:id="393" w:name="_Toc22089"/>
      <w:bookmarkStart w:id="394" w:name="_Toc15452"/>
      <w:r>
        <w:rPr>
          <w:color w:val="auto"/>
          <w:highlight w:val="none"/>
        </w:rPr>
        <w:t>矿区煤炭开采对地下水资源的影响</w:t>
      </w:r>
      <w:bookmarkEnd w:id="393"/>
      <w:bookmarkEnd w:id="394"/>
    </w:p>
    <w:p>
      <w:pPr>
        <w:bidi w:val="0"/>
        <w:rPr>
          <w:color w:val="auto"/>
          <w:highlight w:val="none"/>
        </w:rPr>
      </w:pPr>
      <w:r>
        <w:rPr>
          <w:color w:val="auto"/>
          <w:highlight w:val="none"/>
        </w:rPr>
        <w:t>矿区内</w:t>
      </w:r>
      <w:r>
        <w:rPr>
          <w:rFonts w:hint="eastAsia"/>
          <w:color w:val="auto"/>
          <w:highlight w:val="none"/>
          <w:lang w:val="en-US" w:eastAsia="zh-CN"/>
        </w:rPr>
        <w:t>14</w:t>
      </w:r>
      <w:r>
        <w:rPr>
          <w:color w:val="auto"/>
          <w:highlight w:val="none"/>
        </w:rPr>
        <w:t>宗矿井均采用井工开采，对地下水资源的影响，主要由于采煤地表沉陷所致。结合矿区实际水文地质条件，本评价报告主要分析采煤沉陷所形成的导水裂缝丢地下水含水层通道破坏影响。</w:t>
      </w:r>
    </w:p>
    <w:p>
      <w:pPr>
        <w:bidi w:val="0"/>
        <w:rPr>
          <w:color w:val="auto"/>
          <w:highlight w:val="none"/>
        </w:rPr>
      </w:pPr>
      <w:r>
        <w:rPr>
          <w:color w:val="auto"/>
          <w:highlight w:val="none"/>
        </w:rPr>
        <w:t>井下煤炭采出后，采空区周围的岩层发生位移、变形乃至破坏，上覆岩层根据变形和破坏程度的不同分为冒落、裂缝和弯曲三带，其中裂缝带又分为连通和非连通两部分，通常将冒落带和裂缝带的连通部分称为导水裂隙带。井下开采对地下水的影响程度取决于上覆岩破坏形成的导水裂隙带高度是否波及水体。</w:t>
      </w:r>
    </w:p>
    <w:p>
      <w:pPr>
        <w:bidi w:val="0"/>
        <w:rPr>
          <w:color w:val="auto"/>
          <w:highlight w:val="none"/>
        </w:rPr>
      </w:pPr>
      <w:r>
        <w:rPr>
          <w:color w:val="auto"/>
          <w:spacing w:val="-3"/>
          <w:highlight w:val="none"/>
        </w:rPr>
        <w:t>本区开采煤层倾角较大，平均倾角</w:t>
      </w:r>
      <w:r>
        <w:rPr>
          <w:rFonts w:hint="eastAsia"/>
          <w:color w:val="auto"/>
          <w:spacing w:val="2"/>
          <w:highlight w:val="none"/>
          <w:lang w:val="en-US" w:eastAsia="zh-CN"/>
        </w:rPr>
        <w:t>18</w:t>
      </w:r>
      <w:r>
        <w:rPr>
          <w:rFonts w:ascii="Times New Roman" w:hAnsi="Times New Roman" w:eastAsia="Times New Roman"/>
          <w:color w:val="auto"/>
          <w:spacing w:val="2"/>
          <w:highlight w:val="none"/>
        </w:rPr>
        <w:t>°</w:t>
      </w:r>
      <w:r>
        <w:rPr>
          <w:color w:val="auto"/>
          <w:spacing w:val="2"/>
          <w:highlight w:val="none"/>
        </w:rPr>
        <w:t>～</w:t>
      </w:r>
      <w:r>
        <w:rPr>
          <w:rFonts w:hint="eastAsia"/>
          <w:color w:val="auto"/>
          <w:spacing w:val="2"/>
          <w:highlight w:val="none"/>
          <w:lang w:val="en-US" w:eastAsia="zh-CN"/>
        </w:rPr>
        <w:t>76</w:t>
      </w:r>
      <w:r>
        <w:rPr>
          <w:rFonts w:ascii="Times New Roman" w:hAnsi="Times New Roman" w:eastAsia="Times New Roman"/>
          <w:color w:val="auto"/>
          <w:spacing w:val="2"/>
          <w:highlight w:val="none"/>
        </w:rPr>
        <w:t>°</w:t>
      </w:r>
      <w:r>
        <w:rPr>
          <w:color w:val="auto"/>
          <w:spacing w:val="1"/>
          <w:highlight w:val="none"/>
        </w:rPr>
        <w:t>，顶板以砂质泥岩、细砂岩、</w:t>
      </w:r>
      <w:r>
        <w:rPr>
          <w:color w:val="auto"/>
          <w:spacing w:val="-2"/>
          <w:highlight w:val="none"/>
        </w:rPr>
        <w:t>粉砂岩为主，岩石单向饱和抗压强度小于</w:t>
      </w:r>
      <w:r>
        <w:rPr>
          <w:rFonts w:ascii="Times New Roman" w:hAnsi="Times New Roman" w:eastAsia="Times New Roman"/>
          <w:color w:val="auto"/>
          <w:highlight w:val="none"/>
        </w:rPr>
        <w:t>40MPa</w:t>
      </w:r>
      <w:r>
        <w:rPr>
          <w:color w:val="auto"/>
          <w:highlight w:val="none"/>
        </w:rPr>
        <w:t>，各矿井顶板按全部陷落管理，本次评价采用《煤矿床水文地质、工程地质及环境地质勘查评价标准》（</w:t>
      </w:r>
      <w:r>
        <w:rPr>
          <w:rFonts w:ascii="Times New Roman" w:eastAsia="Times New Roman"/>
          <w:color w:val="auto"/>
          <w:highlight w:val="none"/>
        </w:rPr>
        <w:t>MT/T 1091-2008</w:t>
      </w:r>
      <w:r>
        <w:rPr>
          <w:color w:val="auto"/>
          <w:highlight w:val="none"/>
        </w:rPr>
        <w:t>）中附录</w:t>
      </w:r>
      <w:r>
        <w:rPr>
          <w:rFonts w:ascii="Times New Roman" w:eastAsia="Times New Roman"/>
          <w:color w:val="auto"/>
          <w:highlight w:val="none"/>
        </w:rPr>
        <w:t>D</w:t>
      </w:r>
      <w:r>
        <w:rPr>
          <w:color w:val="auto"/>
          <w:highlight w:val="none"/>
        </w:rPr>
        <w:t>冒落带、导水裂隙带最大高度经验公式：</w:t>
      </w:r>
    </w:p>
    <w:p>
      <w:pPr>
        <w:bidi w:val="0"/>
        <w:ind w:left="0" w:leftChars="0" w:firstLine="0" w:firstLineChars="0"/>
        <w:jc w:val="center"/>
        <w:rPr>
          <w:color w:val="auto"/>
          <w:highlight w:val="none"/>
        </w:rPr>
      </w:pPr>
      <w:r>
        <w:rPr>
          <w:color w:val="auto"/>
          <w:highlight w:val="none"/>
        </w:rPr>
        <w:t>H</w:t>
      </w:r>
      <w:r>
        <w:rPr>
          <w:color w:val="auto"/>
          <w:highlight w:val="none"/>
          <w:vertAlign w:val="subscript"/>
        </w:rPr>
        <w:t>c</w:t>
      </w:r>
      <w:r>
        <w:rPr>
          <w:color w:val="auto"/>
          <w:highlight w:val="none"/>
        </w:rPr>
        <w:t>=0.5M</w:t>
      </w:r>
    </w:p>
    <w:p>
      <w:pPr>
        <w:bidi w:val="0"/>
        <w:jc w:val="center"/>
        <w:rPr>
          <w:rFonts w:hint="default"/>
          <w:color w:val="auto"/>
          <w:highlight w:val="none"/>
          <w:lang w:val="en-US"/>
        </w:rPr>
      </w:pPr>
      <m:oMathPara>
        <m:oMath>
          <m:sSub>
            <m:sSubPr>
              <m:ctrlPr>
                <w:rPr>
                  <w:rFonts w:hint="default" w:ascii="Cambria Math" w:hAnsi="Cambria Math" w:cs="Times New Roman"/>
                  <w:color w:val="auto"/>
                  <w:sz w:val="24"/>
                  <w:szCs w:val="24"/>
                  <w:highlight w:val="none"/>
                  <w:lang w:val="en-US" w:eastAsia="zh-CN" w:bidi="ar-SA"/>
                </w:rPr>
              </m:ctrlPr>
            </m:sSubPr>
            <m:e>
              <m:r>
                <m:rPr>
                  <m:sty m:val="p"/>
                </m:rPr>
                <w:rPr>
                  <w:rFonts w:hint="default" w:ascii="Cambria Math" w:hAnsi="Cambria Math" w:cs="Times New Roman"/>
                  <w:color w:val="auto"/>
                  <w:sz w:val="24"/>
                  <w:szCs w:val="24"/>
                  <w:highlight w:val="none"/>
                  <w:lang w:val="en-US" w:eastAsia="zh-CN" w:bidi="ar-SA"/>
                </w:rPr>
                <m:t>H</m:t>
              </m:r>
              <m:ctrlPr>
                <w:rPr>
                  <w:rFonts w:hint="default" w:ascii="Cambria Math" w:hAnsi="Cambria Math" w:cs="Times New Roman"/>
                  <w:color w:val="auto"/>
                  <w:sz w:val="24"/>
                  <w:szCs w:val="24"/>
                  <w:highlight w:val="none"/>
                  <w:lang w:val="en-US" w:eastAsia="zh-CN" w:bidi="ar-SA"/>
                </w:rPr>
              </m:ctrlPr>
            </m:e>
            <m:sub>
              <m:r>
                <m:rPr>
                  <m:sty m:val="p"/>
                </m:rPr>
                <w:rPr>
                  <w:rFonts w:hint="default" w:ascii="Cambria Math" w:hAnsi="Cambria Math" w:cs="Times New Roman"/>
                  <w:color w:val="auto"/>
                  <w:sz w:val="24"/>
                  <w:szCs w:val="24"/>
                  <w:highlight w:val="none"/>
                  <w:lang w:val="en-US" w:eastAsia="zh-CN" w:bidi="ar-SA"/>
                </w:rPr>
                <m:t>f</m:t>
              </m:r>
              <m:ctrlPr>
                <w:rPr>
                  <w:rFonts w:hint="default" w:ascii="Cambria Math" w:hAnsi="Cambria Math" w:cs="Times New Roman"/>
                  <w:color w:val="auto"/>
                  <w:sz w:val="24"/>
                  <w:szCs w:val="24"/>
                  <w:highlight w:val="none"/>
                  <w:lang w:val="en-US" w:eastAsia="zh-CN" w:bidi="ar-SA"/>
                </w:rPr>
              </m:ctrlPr>
            </m:sub>
          </m:sSub>
          <m:r>
            <m:rPr>
              <m:sty m:val="p"/>
            </m:rPr>
            <w:rPr>
              <w:rFonts w:hint="default" w:ascii="Cambria Math" w:hAnsi="Cambria Math" w:cs="Times New Roman"/>
              <w:color w:val="auto"/>
              <w:sz w:val="24"/>
              <w:szCs w:val="24"/>
              <w:highlight w:val="none"/>
              <w:lang w:val="en-US" w:eastAsia="zh-CN" w:bidi="ar-SA"/>
            </w:rPr>
            <m:t>=</m:t>
          </m:r>
          <m:box>
            <m:boxPr>
              <m:ctrlPr>
                <w:rPr>
                  <w:rFonts w:hint="default" w:ascii="Cambria Math" w:hAnsi="Cambria Math" w:cs="Times New Roman"/>
                  <w:color w:val="auto"/>
                  <w:sz w:val="24"/>
                  <w:szCs w:val="24"/>
                  <w:highlight w:val="none"/>
                  <w:lang w:val="en-US" w:eastAsia="zh-CN" w:bidi="ar-SA"/>
                </w:rPr>
              </m:ctrlPr>
            </m:boxPr>
            <m:e>
              <m:argPr>
                <m:argSz m:val="-1"/>
              </m:argPr>
              <m:f>
                <m:fPr>
                  <m:ctrlPr>
                    <w:rPr>
                      <w:rFonts w:hint="default" w:ascii="Cambria Math" w:hAnsi="Cambria Math" w:cs="Times New Roman"/>
                      <w:color w:val="auto"/>
                      <w:sz w:val="24"/>
                      <w:szCs w:val="24"/>
                      <w:highlight w:val="none"/>
                      <w:lang w:val="en-US" w:eastAsia="zh-CN" w:bidi="ar-SA"/>
                    </w:rPr>
                  </m:ctrlPr>
                </m:fPr>
                <m:num>
                  <m:r>
                    <m:rPr>
                      <m:sty m:val="p"/>
                    </m:rPr>
                    <w:rPr>
                      <w:rFonts w:hint="default" w:ascii="Cambria Math" w:hAnsi="Cambria Math" w:cs="Times New Roman"/>
                      <w:color w:val="auto"/>
                      <w:sz w:val="24"/>
                      <w:szCs w:val="24"/>
                      <w:highlight w:val="none"/>
                      <w:lang w:val="en-US" w:eastAsia="zh-CN" w:bidi="ar-SA"/>
                    </w:rPr>
                    <m:t>100mh</m:t>
                  </m:r>
                  <m:ctrlPr>
                    <w:rPr>
                      <w:rFonts w:hint="default" w:ascii="Cambria Math" w:hAnsi="Cambria Math" w:cs="Times New Roman"/>
                      <w:color w:val="auto"/>
                      <w:sz w:val="24"/>
                      <w:szCs w:val="24"/>
                      <w:highlight w:val="none"/>
                      <w:lang w:val="en-US" w:eastAsia="zh-CN" w:bidi="ar-SA"/>
                    </w:rPr>
                  </m:ctrlPr>
                </m:num>
                <m:den>
                  <m:r>
                    <m:rPr>
                      <m:sty m:val="p"/>
                    </m:rPr>
                    <w:rPr>
                      <w:rFonts w:hint="default" w:ascii="Cambria Math" w:hAnsi="Cambria Math" w:cs="Times New Roman"/>
                      <w:color w:val="auto"/>
                      <w:sz w:val="24"/>
                      <w:szCs w:val="24"/>
                      <w:highlight w:val="none"/>
                      <w:lang w:val="en-US" w:eastAsia="zh-CN" w:bidi="ar-SA"/>
                    </w:rPr>
                    <m:t>7.5h+293</m:t>
                  </m:r>
                  <m:ctrlPr>
                    <w:rPr>
                      <w:rFonts w:hint="default" w:ascii="Cambria Math" w:hAnsi="Cambria Math" w:cs="Times New Roman"/>
                      <w:color w:val="auto"/>
                      <w:sz w:val="24"/>
                      <w:szCs w:val="24"/>
                      <w:highlight w:val="none"/>
                      <w:lang w:val="en-US" w:eastAsia="zh-CN" w:bidi="ar-SA"/>
                    </w:rPr>
                  </m:ctrlPr>
                </m:den>
              </m:f>
              <m:r>
                <m:rPr>
                  <m:sty m:val="p"/>
                </m:rPr>
                <w:rPr>
                  <w:rFonts w:hint="default" w:ascii="Cambria Math" w:hAnsi="Cambria Math" w:cs="Times New Roman"/>
                  <w:color w:val="auto"/>
                  <w:sz w:val="24"/>
                  <w:szCs w:val="24"/>
                  <w:highlight w:val="none"/>
                  <w:lang w:val="en-US" w:eastAsia="zh-CN" w:bidi="ar-SA"/>
                </w:rPr>
                <m:t>+7.3</m:t>
              </m:r>
              <m:ctrlPr>
                <w:rPr>
                  <w:rFonts w:hint="default" w:ascii="Cambria Math" w:hAnsi="Cambria Math" w:cs="Times New Roman"/>
                  <w:color w:val="auto"/>
                  <w:sz w:val="24"/>
                  <w:szCs w:val="24"/>
                  <w:highlight w:val="none"/>
                  <w:lang w:val="en-US" w:eastAsia="zh-CN" w:bidi="ar-SA"/>
                </w:rPr>
              </m:ctrlPr>
            </m:e>
          </m:box>
        </m:oMath>
      </m:oMathPara>
    </w:p>
    <w:p>
      <w:pPr>
        <w:bidi w:val="0"/>
        <w:rPr>
          <w:color w:val="auto"/>
          <w:highlight w:val="none"/>
        </w:rPr>
      </w:pPr>
      <w:r>
        <w:rPr>
          <w:color w:val="auto"/>
          <w:highlight w:val="none"/>
        </w:rPr>
        <w:t>式中：</w:t>
      </w:r>
    </w:p>
    <w:p>
      <w:pPr>
        <w:bidi w:val="0"/>
        <w:rPr>
          <w:color w:val="auto"/>
          <w:highlight w:val="none"/>
        </w:rPr>
      </w:pPr>
      <w:r>
        <w:rPr>
          <w:color w:val="auto"/>
          <w:highlight w:val="none"/>
        </w:rPr>
        <w:t>H</w:t>
      </w:r>
      <w:r>
        <w:rPr>
          <w:color w:val="auto"/>
          <w:highlight w:val="none"/>
          <w:vertAlign w:val="subscript"/>
        </w:rPr>
        <w:t>c</w:t>
      </w:r>
      <w:r>
        <w:rPr>
          <w:color w:val="auto"/>
          <w:highlight w:val="none"/>
        </w:rPr>
        <w:t>——冒落带最大高度（m）；</w:t>
      </w:r>
    </w:p>
    <w:p>
      <w:pPr>
        <w:bidi w:val="0"/>
        <w:rPr>
          <w:color w:val="auto"/>
          <w:highlight w:val="none"/>
        </w:rPr>
      </w:pPr>
      <w:r>
        <w:rPr>
          <w:color w:val="auto"/>
          <w:highlight w:val="none"/>
        </w:rPr>
        <w:t>M——累计采厚（m）；</w:t>
      </w:r>
    </w:p>
    <w:p>
      <w:pPr>
        <w:bidi w:val="0"/>
        <w:rPr>
          <w:color w:val="auto"/>
          <w:highlight w:val="none"/>
        </w:rPr>
      </w:pPr>
      <w:r>
        <w:rPr>
          <w:color w:val="auto"/>
          <w:highlight w:val="none"/>
        </w:rPr>
        <w:t>m——煤层厚度（m）；</w:t>
      </w:r>
    </w:p>
    <w:p>
      <w:pPr>
        <w:bidi w:val="0"/>
        <w:rPr>
          <w:color w:val="auto"/>
          <w:highlight w:val="none"/>
        </w:rPr>
      </w:pPr>
      <w:r>
        <w:rPr>
          <w:color w:val="auto"/>
          <w:highlight w:val="none"/>
        </w:rPr>
        <w:t>n——煤分层层数；</w:t>
      </w:r>
    </w:p>
    <w:p>
      <w:pPr>
        <w:bidi w:val="0"/>
        <w:rPr>
          <w:color w:val="auto"/>
          <w:highlight w:val="none"/>
        </w:rPr>
      </w:pPr>
      <w:r>
        <w:rPr>
          <w:color w:val="auto"/>
          <w:highlight w:val="none"/>
        </w:rPr>
        <w:t>H</w:t>
      </w:r>
      <w:r>
        <w:rPr>
          <w:color w:val="auto"/>
          <w:highlight w:val="none"/>
          <w:vertAlign w:val="subscript"/>
        </w:rPr>
        <w:t>f</w:t>
      </w:r>
      <w:r>
        <w:rPr>
          <w:color w:val="auto"/>
          <w:highlight w:val="none"/>
        </w:rPr>
        <w:t>——导水裂隙带最大高度（m）；</w:t>
      </w:r>
    </w:p>
    <w:p>
      <w:pPr>
        <w:bidi w:val="0"/>
        <w:rPr>
          <w:color w:val="auto"/>
          <w:highlight w:val="none"/>
        </w:rPr>
      </w:pPr>
      <w:r>
        <w:rPr>
          <w:color w:val="auto"/>
          <w:highlight w:val="none"/>
        </w:rPr>
        <w:t>h——采煤工作面小阶段垂高（m）。</w:t>
      </w:r>
    </w:p>
    <w:p>
      <w:pPr>
        <w:bidi w:val="0"/>
        <w:rPr>
          <w:color w:val="auto"/>
          <w:highlight w:val="none"/>
        </w:rPr>
      </w:pPr>
      <w:r>
        <w:rPr>
          <w:rFonts w:hint="eastAsia"/>
          <w:color w:val="auto"/>
          <w:highlight w:val="none"/>
          <w:lang w:eastAsia="zh-CN"/>
        </w:rPr>
        <w:t>规划</w:t>
      </w:r>
      <w:r>
        <w:rPr>
          <w:color w:val="auto"/>
          <w:highlight w:val="none"/>
        </w:rPr>
        <w:t>矿区各矿井全面投产后，有</w:t>
      </w:r>
      <w:r>
        <w:rPr>
          <w:rFonts w:hint="eastAsia"/>
          <w:color w:val="auto"/>
          <w:highlight w:val="none"/>
          <w:lang w:val="en-US" w:eastAsia="zh-CN"/>
        </w:rPr>
        <w:t>14</w:t>
      </w:r>
      <w:r>
        <w:rPr>
          <w:color w:val="auto"/>
          <w:highlight w:val="none"/>
        </w:rPr>
        <w:t>宗矿井同时生产，煤炭开采规模达到</w:t>
      </w:r>
      <w:r>
        <w:rPr>
          <w:rFonts w:hint="eastAsia"/>
          <w:color w:val="auto"/>
          <w:highlight w:val="none"/>
          <w:lang w:val="en-US" w:eastAsia="zh-CN"/>
        </w:rPr>
        <w:t>390</w:t>
      </w:r>
      <w:r>
        <w:rPr>
          <w:color w:val="auto"/>
          <w:highlight w:val="none"/>
        </w:rPr>
        <w:t>万t/a。本次规划实施以后，该区域煤系含水层进一步疏干，矿井涌水量增大。根据各矿井裂隙带计算最大高度，未能直接导通第四系含水层，但受开采煤层倾角较大、断层等影响，局部地段会发生第四系孔隙潜水向下伏含水层直接渗漏的情况。因此，矿区开发对区域地下水资源影响有限，在可接受范围。</w:t>
      </w:r>
    </w:p>
    <w:p>
      <w:pPr>
        <w:pStyle w:val="6"/>
        <w:numPr>
          <w:ilvl w:val="2"/>
          <w:numId w:val="10"/>
        </w:numPr>
        <w:bidi w:val="0"/>
        <w:rPr>
          <w:color w:val="auto"/>
          <w:highlight w:val="none"/>
        </w:rPr>
      </w:pPr>
      <w:bookmarkStart w:id="395" w:name="5.2.4 地下水环境变化对生态环境的影响"/>
      <w:bookmarkEnd w:id="395"/>
      <w:bookmarkStart w:id="396" w:name="5.2.4 地下水环境变化对生态环境的影响"/>
      <w:bookmarkEnd w:id="396"/>
      <w:bookmarkStart w:id="397" w:name="_Toc18292"/>
      <w:bookmarkStart w:id="398" w:name="_Toc17753"/>
      <w:r>
        <w:rPr>
          <w:color w:val="auto"/>
          <w:highlight w:val="none"/>
        </w:rPr>
        <w:t>地下水环境变化对生态环境的影响</w:t>
      </w:r>
      <w:bookmarkEnd w:id="397"/>
      <w:bookmarkEnd w:id="398"/>
    </w:p>
    <w:p>
      <w:pPr>
        <w:bidi w:val="0"/>
        <w:rPr>
          <w:color w:val="auto"/>
          <w:highlight w:val="none"/>
        </w:rPr>
      </w:pPr>
      <w:r>
        <w:rPr>
          <w:color w:val="auto"/>
          <w:highlight w:val="none"/>
        </w:rPr>
        <w:t>地下水环境的变化直接影响矿区范围内的植被，从地下水水位埋深、矿化度、包气带岩性结构等综合对周围地表植被产生影响。就整个矿区而言，区域内植被以人工栽培植物为主，土壤类型为</w:t>
      </w:r>
      <w:r>
        <w:rPr>
          <w:rFonts w:hint="eastAsia"/>
          <w:color w:val="auto"/>
          <w:highlight w:val="none"/>
          <w:lang w:eastAsia="zh-CN"/>
        </w:rPr>
        <w:t>水稻土、紫色土</w:t>
      </w:r>
      <w:r>
        <w:rPr>
          <w:color w:val="auto"/>
          <w:highlight w:val="none"/>
        </w:rPr>
        <w:t>，植被类型以浅根系农作物为主，由上文地下水环境的预测可知，煤炭开采对浅层地下水影响较弱，故不会因为煤炭的开采而是植被根系所在的第四系潜水含水层水量受到影响，因此，井田煤炭开采对保护区内植被根系影响较小。</w:t>
      </w:r>
    </w:p>
    <w:p>
      <w:pPr>
        <w:pStyle w:val="6"/>
        <w:numPr>
          <w:ilvl w:val="2"/>
          <w:numId w:val="10"/>
        </w:numPr>
        <w:bidi w:val="0"/>
        <w:rPr>
          <w:color w:val="auto"/>
          <w:highlight w:val="none"/>
        </w:rPr>
      </w:pPr>
      <w:bookmarkStart w:id="399" w:name="5.2.5 矿区对地下水水质的影响"/>
      <w:bookmarkEnd w:id="399"/>
      <w:bookmarkStart w:id="400" w:name="5.2.5 矿区对地下水水质的影响"/>
      <w:bookmarkEnd w:id="400"/>
      <w:bookmarkStart w:id="401" w:name="_Toc5286"/>
      <w:bookmarkStart w:id="402" w:name="_Toc7902"/>
      <w:r>
        <w:rPr>
          <w:color w:val="auto"/>
          <w:highlight w:val="none"/>
        </w:rPr>
        <w:t>矿区对地下水水质的影响</w:t>
      </w:r>
      <w:bookmarkEnd w:id="401"/>
      <w:bookmarkEnd w:id="402"/>
    </w:p>
    <w:p>
      <w:pPr>
        <w:bidi w:val="0"/>
        <w:rPr>
          <w:color w:val="auto"/>
          <w:highlight w:val="none"/>
        </w:rPr>
      </w:pPr>
      <w:r>
        <w:rPr>
          <w:color w:val="auto"/>
          <w:highlight w:val="none"/>
        </w:rPr>
        <w:t>根据地下水环境影响预测情况可知，煤矿开采对周围地下水水质的影响主要是由矿井开采过程中煤矸石的堆存长期受到雨水冲淋产生的淋溶废水，下渗进入地下含水层而引起的污染等。以下就几种废水可能引起污染分析如下：</w:t>
      </w:r>
    </w:p>
    <w:p>
      <w:pPr>
        <w:pStyle w:val="7"/>
        <w:numPr>
          <w:ilvl w:val="3"/>
          <w:numId w:val="10"/>
        </w:numPr>
        <w:bidi w:val="0"/>
        <w:rPr>
          <w:color w:val="auto"/>
          <w:highlight w:val="none"/>
        </w:rPr>
      </w:pPr>
      <w:r>
        <w:rPr>
          <w:color w:val="auto"/>
          <w:highlight w:val="none"/>
        </w:rPr>
        <w:t>工业场地排水对地下水的影响分析</w:t>
      </w:r>
    </w:p>
    <w:p>
      <w:pPr>
        <w:bidi w:val="0"/>
        <w:rPr>
          <w:color w:val="auto"/>
          <w:highlight w:val="none"/>
        </w:rPr>
      </w:pPr>
      <w:r>
        <w:rPr>
          <w:color w:val="auto"/>
          <w:highlight w:val="none"/>
        </w:rPr>
        <w:t>矿区各矿井地面接触水主要为处理后的废水，其不含有毒有害物质，水质较好，加之当地蒸发量大，单位面积接触水量有限，不具备下渗条件，场地洒水、绿化不会对区域地下水水质造成污染。</w:t>
      </w:r>
    </w:p>
    <w:p>
      <w:pPr>
        <w:pStyle w:val="7"/>
        <w:numPr>
          <w:ilvl w:val="3"/>
          <w:numId w:val="10"/>
        </w:numPr>
        <w:bidi w:val="0"/>
        <w:rPr>
          <w:color w:val="auto"/>
          <w:highlight w:val="none"/>
        </w:rPr>
      </w:pPr>
      <w:r>
        <w:rPr>
          <w:color w:val="auto"/>
          <w:highlight w:val="none"/>
        </w:rPr>
        <w:t>排矸场淋溶水对地下水水质的影响</w:t>
      </w:r>
    </w:p>
    <w:p>
      <w:pPr>
        <w:bidi w:val="0"/>
        <w:rPr>
          <w:color w:val="auto"/>
          <w:highlight w:val="none"/>
        </w:rPr>
      </w:pPr>
      <w:r>
        <w:rPr>
          <w:color w:val="auto"/>
          <w:highlight w:val="none"/>
        </w:rPr>
        <w:t>排矸场矸石堆存时在雨水淋溶条件下，淋溶液可能对地下水的污染。</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矸石性质界定</w:t>
      </w:r>
    </w:p>
    <w:p>
      <w:pPr>
        <w:bidi w:val="0"/>
        <w:rPr>
          <w:color w:val="auto"/>
          <w:highlight w:val="none"/>
        </w:rPr>
      </w:pPr>
      <w:r>
        <w:rPr>
          <w:color w:val="auto"/>
          <w:highlight w:val="none"/>
        </w:rPr>
        <w:t>区内</w:t>
      </w:r>
      <w:r>
        <w:rPr>
          <w:rFonts w:hint="eastAsia"/>
          <w:color w:val="auto"/>
          <w:highlight w:val="none"/>
          <w:lang w:eastAsia="zh-CN"/>
        </w:rPr>
        <w:t>三个矿段中的</w:t>
      </w:r>
      <w:r>
        <w:rPr>
          <w:color w:val="auto"/>
          <w:highlight w:val="none"/>
        </w:rPr>
        <w:t>矿井可采煤层</w:t>
      </w:r>
      <w:r>
        <w:rPr>
          <w:rFonts w:hint="eastAsia"/>
          <w:color w:val="auto"/>
          <w:highlight w:val="none"/>
          <w:lang w:eastAsia="zh-CN"/>
        </w:rPr>
        <w:t>在同矿段中基本</w:t>
      </w:r>
      <w:r>
        <w:rPr>
          <w:color w:val="auto"/>
          <w:highlight w:val="none"/>
        </w:rPr>
        <w:t>属于同类煤层，且顶、底板岩性基本相同，本次评价引用</w:t>
      </w:r>
      <w:r>
        <w:rPr>
          <w:rFonts w:hint="eastAsia"/>
          <w:color w:val="auto"/>
          <w:highlight w:val="none"/>
          <w:lang w:eastAsia="zh-CN"/>
        </w:rPr>
        <w:t>三个矿段中一些</w:t>
      </w:r>
      <w:r>
        <w:rPr>
          <w:color w:val="auto"/>
          <w:highlight w:val="none"/>
        </w:rPr>
        <w:t>建设煤矿煤矸石</w:t>
      </w:r>
      <w:r>
        <w:rPr>
          <w:rFonts w:hint="eastAsia"/>
          <w:color w:val="auto"/>
          <w:highlight w:val="none"/>
          <w:lang w:eastAsia="zh-CN"/>
        </w:rPr>
        <w:t>浸出</w:t>
      </w:r>
      <w:r>
        <w:rPr>
          <w:color w:val="auto"/>
          <w:highlight w:val="none"/>
        </w:rPr>
        <w:t>试验检测结果进行分析，具体监测结果见</w:t>
      </w:r>
      <w:r>
        <w:rPr>
          <w:rFonts w:hint="eastAsia"/>
          <w:color w:val="auto"/>
          <w:highlight w:val="none"/>
          <w:lang w:eastAsia="zh-CN"/>
        </w:rPr>
        <w:t>下表</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5.2-</w:t>
      </w:r>
      <w:r>
        <w:rPr>
          <w:rFonts w:hint="eastAsia"/>
          <w:b/>
          <w:color w:val="auto"/>
          <w:sz w:val="21"/>
          <w:highlight w:val="none"/>
          <w:lang w:val="en-US" w:eastAsia="zh-CN"/>
        </w:rPr>
        <w:t xml:space="preserve">3   </w:t>
      </w:r>
      <w:r>
        <w:rPr>
          <w:b/>
          <w:color w:val="auto"/>
          <w:sz w:val="21"/>
          <w:highlight w:val="none"/>
        </w:rPr>
        <w:t>煤矸石</w:t>
      </w:r>
      <w:r>
        <w:rPr>
          <w:rFonts w:hint="eastAsia"/>
          <w:b/>
          <w:color w:val="auto"/>
          <w:sz w:val="21"/>
          <w:highlight w:val="none"/>
          <w:lang w:eastAsia="zh-CN"/>
        </w:rPr>
        <w:t>浸出</w:t>
      </w:r>
      <w:r>
        <w:rPr>
          <w:b/>
          <w:color w:val="auto"/>
          <w:sz w:val="21"/>
          <w:highlight w:val="none"/>
        </w:rPr>
        <w:t>试验结果表</w:t>
      </w:r>
    </w:p>
    <w:tbl>
      <w:tblPr>
        <w:tblStyle w:val="17"/>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68"/>
        <w:gridCol w:w="1482"/>
        <w:gridCol w:w="1650"/>
        <w:gridCol w:w="2074"/>
        <w:gridCol w:w="1569"/>
        <w:gridCol w:w="15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tcBorders>
              <w:left w:val="nil"/>
              <w:bottom w:val="single" w:color="000000" w:sz="6" w:space="0"/>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所属矿段</w:t>
            </w:r>
          </w:p>
        </w:tc>
        <w:tc>
          <w:tcPr>
            <w:tcW w:w="1482" w:type="dxa"/>
            <w:tcBorders>
              <w:left w:val="nil"/>
              <w:bottom w:val="single" w:color="000000" w:sz="6" w:space="0"/>
              <w:righ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eastAsia="zh-CN"/>
              </w:rPr>
              <w:t>煤矿名称</w:t>
            </w:r>
          </w:p>
        </w:tc>
        <w:tc>
          <w:tcPr>
            <w:tcW w:w="1650" w:type="dxa"/>
            <w:tcBorders>
              <w:left w:val="nil"/>
              <w:bottom w:val="single" w:color="000000" w:sz="6" w:space="0"/>
              <w:right w:val="single" w:color="000000" w:sz="6" w:space="0"/>
            </w:tcBorders>
            <w:vAlign w:val="center"/>
          </w:tcPr>
          <w:p>
            <w:pPr>
              <w:pStyle w:val="22"/>
              <w:bidi w:val="0"/>
              <w:rPr>
                <w:color w:val="auto"/>
                <w:highlight w:val="none"/>
              </w:rPr>
            </w:pPr>
            <w:r>
              <w:rPr>
                <w:color w:val="auto"/>
                <w:highlight w:val="none"/>
              </w:rPr>
              <w:t>监测项目</w:t>
            </w:r>
          </w:p>
        </w:tc>
        <w:tc>
          <w:tcPr>
            <w:tcW w:w="2074" w:type="dxa"/>
            <w:tcBorders>
              <w:left w:val="single" w:color="000000" w:sz="6" w:space="0"/>
              <w:bottom w:val="single" w:color="000000" w:sz="6" w:space="0"/>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监测结果（</w:t>
            </w:r>
            <w:r>
              <w:rPr>
                <w:rFonts w:hint="eastAsia"/>
                <w:color w:val="auto"/>
                <w:highlight w:val="none"/>
                <w:lang w:val="en-US" w:eastAsia="zh-CN"/>
              </w:rPr>
              <w:t>mg/L</w:t>
            </w:r>
            <w:r>
              <w:rPr>
                <w:rFonts w:hint="eastAsia"/>
                <w:color w:val="auto"/>
                <w:highlight w:val="none"/>
                <w:lang w:eastAsia="zh-CN"/>
              </w:rPr>
              <w:t>）</w:t>
            </w:r>
          </w:p>
        </w:tc>
        <w:tc>
          <w:tcPr>
            <w:tcW w:w="1569" w:type="dxa"/>
            <w:tcBorders>
              <w:left w:val="single" w:color="000000" w:sz="6" w:space="0"/>
              <w:bottom w:val="single" w:color="000000" w:sz="6" w:space="0"/>
              <w:right w:val="single" w:color="000000" w:sz="4" w:space="0"/>
            </w:tcBorders>
            <w:vAlign w:val="center"/>
          </w:tcPr>
          <w:p>
            <w:pPr>
              <w:pStyle w:val="22"/>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（GB8978-1996）中最高允许排放浓度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mg/L</w:t>
            </w:r>
            <w:r>
              <w:rPr>
                <w:rFonts w:hint="default" w:ascii="Times New Roman" w:hAnsi="Times New Roman" w:cs="Times New Roman"/>
                <w:color w:val="auto"/>
                <w:highlight w:val="none"/>
                <w:lang w:eastAsia="zh-CN"/>
              </w:rPr>
              <w:t>）</w:t>
            </w:r>
          </w:p>
        </w:tc>
        <w:tc>
          <w:tcPr>
            <w:tcW w:w="1567" w:type="dxa"/>
            <w:tcBorders>
              <w:left w:val="single" w:color="000000" w:sz="4" w:space="0"/>
              <w:bottom w:val="single" w:color="000000" w:sz="6" w:space="0"/>
              <w:right w:val="nil"/>
            </w:tcBorders>
            <w:vAlign w:val="center"/>
          </w:tcPr>
          <w:p>
            <w:pPr>
              <w:pStyle w:val="22"/>
              <w:bidi w:val="0"/>
              <w:rPr>
                <w:rFonts w:hint="eastAsia" w:eastAsia="宋体"/>
                <w:color w:val="auto"/>
                <w:highlight w:val="none"/>
                <w:lang w:eastAsia="zh-CN"/>
              </w:rPr>
            </w:pPr>
            <w:r>
              <w:rPr>
                <w:color w:val="auto"/>
                <w:highlight w:val="none"/>
              </w:rPr>
              <w:t>GB5085.3-2007中标准值</w:t>
            </w:r>
            <w:r>
              <w:rPr>
                <w:rFonts w:hint="eastAsia"/>
                <w:color w:val="auto"/>
                <w:highlight w:val="none"/>
                <w:lang w:eastAsia="zh-CN"/>
              </w:rPr>
              <w:t>（</w:t>
            </w:r>
            <w:r>
              <w:rPr>
                <w:rFonts w:hint="eastAsia"/>
                <w:color w:val="auto"/>
                <w:highlight w:val="none"/>
                <w:lang w:val="en-US" w:eastAsia="zh-CN"/>
              </w:rPr>
              <w:t>mg/L</w:t>
            </w:r>
            <w:r>
              <w:rPr>
                <w:rFonts w:hint="eastAsia"/>
                <w:color w:val="auto"/>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restart"/>
            <w:tcBorders>
              <w:top w:val="single" w:color="000000" w:sz="6" w:space="0"/>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华蓥山北段</w:t>
            </w:r>
          </w:p>
        </w:tc>
        <w:tc>
          <w:tcPr>
            <w:tcW w:w="1482" w:type="dxa"/>
            <w:vMerge w:val="restart"/>
            <w:tcBorders>
              <w:top w:val="single" w:color="000000" w:sz="6" w:space="0"/>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黑滩煤矿</w:t>
            </w:r>
          </w:p>
        </w:tc>
        <w:tc>
          <w:tcPr>
            <w:tcW w:w="1650" w:type="dxa"/>
            <w:tcBorders>
              <w:top w:val="single" w:color="000000" w:sz="6" w:space="0"/>
              <w:left w:val="nil"/>
              <w:bottom w:val="single" w:color="000000" w:sz="6" w:space="0"/>
              <w:right w:val="single" w:color="000000" w:sz="6" w:space="0"/>
            </w:tcBorders>
            <w:vAlign w:val="center"/>
          </w:tcPr>
          <w:p>
            <w:pPr>
              <w:pStyle w:val="22"/>
              <w:bidi w:val="0"/>
              <w:rPr>
                <w:rFonts w:hint="eastAsia" w:eastAsia="宋体"/>
                <w:color w:val="auto"/>
                <w:highlight w:val="none"/>
                <w:lang w:eastAsia="zh-CN"/>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8.83</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rPr>
                <w:color w:val="auto"/>
                <w:highlight w:val="none"/>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rPr>
                <w:color w:val="auto"/>
                <w:highlight w:val="none"/>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rPr>
                <w:color w:val="auto"/>
                <w:highlight w:val="none"/>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rPr>
                <w:rFonts w:hint="eastAsia"/>
                <w:color w:val="auto"/>
                <w:highlight w:val="none"/>
                <w:lang w:eastAsia="zh-CN"/>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rPr>
                <w:color w:val="auto"/>
                <w:highlight w:val="none"/>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eastAsia="宋体"/>
                <w:color w:val="auto"/>
                <w:highlight w:val="none"/>
                <w:lang w:eastAsia="zh-CN"/>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4.32×10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rPr>
                <w:rFonts w:hint="eastAsia" w:eastAsia="宋体"/>
                <w:color w:val="auto"/>
                <w:highlight w:val="none"/>
                <w:lang w:eastAsia="zh-CN"/>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0.276</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restart"/>
            <w:tcBorders>
              <w:left w:val="nil"/>
              <w:right w:val="single" w:color="000000" w:sz="6"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大硐坪煤矿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7.96</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2.81×10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0.359</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restart"/>
            <w:tcBorders>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大河沟煤矿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8.30</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1.00×10</w:t>
            </w:r>
            <w:r>
              <w:rPr>
                <w:rFonts w:hint="eastAsia" w:cs="宋体"/>
                <w:color w:val="auto"/>
                <w:sz w:val="21"/>
                <w:szCs w:val="21"/>
                <w:highlight w:val="none"/>
                <w:vertAlign w:val="superscript"/>
                <w:lang w:val="en-US" w:eastAsia="zh-CN" w:bidi="ar-SA"/>
              </w:rPr>
              <w:t>-3</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7.2×10</w:t>
            </w:r>
            <w:r>
              <w:rPr>
                <w:rFonts w:hint="eastAsia" w:cs="宋体"/>
                <w:color w:val="auto"/>
                <w:sz w:val="21"/>
                <w:szCs w:val="21"/>
                <w:highlight w:val="none"/>
                <w:vertAlign w:val="superscript"/>
                <w:lang w:val="en-US" w:eastAsia="zh-CN" w:bidi="ar-SA"/>
              </w:rPr>
              <w:t>-3</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0.102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bottom w:val="single" w:color="000000" w:sz="6" w:space="0"/>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0.317</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restart"/>
            <w:tcBorders>
              <w:top w:val="single" w:color="000000" w:sz="6" w:space="0"/>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中山矿段</w:t>
            </w:r>
          </w:p>
        </w:tc>
        <w:tc>
          <w:tcPr>
            <w:tcW w:w="1482" w:type="dxa"/>
            <w:vMerge w:val="restart"/>
            <w:tcBorders>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平桥煤矿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6.58</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0.0126</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0.00378</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0.01</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0.05</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0.102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0.0910</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restart"/>
            <w:tcBorders>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牛郎沟煤矿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6.72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0.0115</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0.00434</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0.03</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0.06</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0.0498</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restart"/>
            <w:tcBorders>
              <w:left w:val="nil"/>
              <w:right w:val="single" w:color="000000" w:sz="6" w:space="0"/>
            </w:tcBorders>
            <w:vAlign w:val="center"/>
          </w:tcPr>
          <w:p>
            <w:pPr>
              <w:pStyle w:val="22"/>
              <w:bidi w:val="0"/>
              <w:rPr>
                <w:rFonts w:hint="eastAsia"/>
                <w:color w:val="auto"/>
                <w:highlight w:val="none"/>
                <w:lang w:eastAsia="zh-CN"/>
              </w:rPr>
            </w:pPr>
            <w:r>
              <w:rPr>
                <w:rFonts w:hint="eastAsia"/>
                <w:color w:val="auto"/>
                <w:highlight w:val="none"/>
                <w:lang w:eastAsia="zh-CN"/>
              </w:rPr>
              <w:t>孔家沟</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6.60</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0.00882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0.00355</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0.05</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0.0352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restart"/>
            <w:tcBorders>
              <w:left w:val="nil"/>
              <w:right w:val="single" w:color="000000" w:sz="6" w:space="0"/>
            </w:tcBorders>
            <w:vAlign w:val="center"/>
          </w:tcPr>
          <w:p>
            <w:pPr>
              <w:pStyle w:val="22"/>
              <w:bidi w:val="0"/>
              <w:rPr>
                <w:rFonts w:hint="eastAsia"/>
                <w:color w:val="auto"/>
                <w:highlight w:val="none"/>
                <w:lang w:eastAsia="zh-CN"/>
              </w:rPr>
            </w:pPr>
            <w:r>
              <w:rPr>
                <w:rFonts w:hint="eastAsia"/>
                <w:color w:val="auto"/>
                <w:highlight w:val="none"/>
                <w:lang w:eastAsia="zh-CN"/>
              </w:rPr>
              <w:t>堡子煤矿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8.21</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4.1×10</w:t>
            </w:r>
            <w:r>
              <w:rPr>
                <w:rFonts w:hint="eastAsia" w:cs="宋体"/>
                <w:color w:val="auto"/>
                <w:sz w:val="21"/>
                <w:szCs w:val="21"/>
                <w:highlight w:val="none"/>
                <w:vertAlign w:val="superscript"/>
                <w:lang w:val="en-US" w:eastAsia="zh-CN" w:bidi="ar-SA"/>
              </w:rPr>
              <w:t>-4</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3.46×10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1.27×10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0.453</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restart"/>
            <w:tcBorders>
              <w:left w:val="nil"/>
              <w:right w:val="single" w:color="000000" w:sz="6" w:space="0"/>
            </w:tcBorders>
            <w:vAlign w:val="center"/>
          </w:tcPr>
          <w:p>
            <w:pPr>
              <w:pStyle w:val="22"/>
              <w:bidi w:val="0"/>
              <w:rPr>
                <w:rFonts w:hint="eastAsia"/>
                <w:color w:val="auto"/>
                <w:highlight w:val="none"/>
                <w:lang w:eastAsia="zh-CN"/>
              </w:rPr>
            </w:pPr>
            <w:r>
              <w:rPr>
                <w:rFonts w:hint="eastAsia"/>
                <w:color w:val="auto"/>
                <w:highlight w:val="none"/>
                <w:lang w:eastAsia="zh-CN"/>
              </w:rPr>
              <w:t>荣华煤矿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8.90</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3.42×10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0.331</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restart"/>
            <w:tcBorders>
              <w:left w:val="nil"/>
              <w:right w:val="single" w:color="000000" w:sz="6" w:space="0"/>
            </w:tcBorders>
            <w:vAlign w:val="center"/>
          </w:tcPr>
          <w:p>
            <w:pPr>
              <w:pStyle w:val="22"/>
              <w:bidi w:val="0"/>
              <w:rPr>
                <w:rFonts w:hint="eastAsia"/>
                <w:color w:val="auto"/>
                <w:highlight w:val="none"/>
                <w:lang w:eastAsia="zh-CN"/>
              </w:rPr>
            </w:pPr>
            <w:r>
              <w:rPr>
                <w:rFonts w:hint="eastAsia"/>
                <w:color w:val="auto"/>
                <w:highlight w:val="none"/>
                <w:lang w:eastAsia="zh-CN"/>
              </w:rPr>
              <w:t>华家沟煤矿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8.46</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4.3×10</w:t>
            </w:r>
            <w:r>
              <w:rPr>
                <w:rFonts w:hint="eastAsia" w:cs="宋体"/>
                <w:color w:val="auto"/>
                <w:sz w:val="21"/>
                <w:szCs w:val="21"/>
                <w:highlight w:val="none"/>
                <w:vertAlign w:val="superscript"/>
                <w:lang w:val="en-US" w:eastAsia="zh-CN" w:bidi="ar-SA"/>
              </w:rPr>
              <w:t>-4</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6×10</w:t>
            </w:r>
            <w:r>
              <w:rPr>
                <w:rFonts w:hint="eastAsia" w:cs="宋体"/>
                <w:color w:val="auto"/>
                <w:sz w:val="21"/>
                <w:szCs w:val="21"/>
                <w:highlight w:val="none"/>
                <w:vertAlign w:val="superscript"/>
                <w:lang w:val="en-US" w:eastAsia="zh-CN" w:bidi="ar-SA"/>
              </w:rPr>
              <w:t>-5</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3.25×10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bottom w:val="single" w:color="000000" w:sz="6" w:space="0"/>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0.274</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restart"/>
            <w:tcBorders>
              <w:top w:val="single" w:color="000000" w:sz="6" w:space="0"/>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明月峡矿段</w:t>
            </w:r>
          </w:p>
        </w:tc>
        <w:tc>
          <w:tcPr>
            <w:tcW w:w="1482" w:type="dxa"/>
            <w:vMerge w:val="restart"/>
            <w:tcBorders>
              <w:left w:val="nil"/>
              <w:right w:val="single" w:color="000000" w:sz="6" w:space="0"/>
            </w:tcBorders>
            <w:vAlign w:val="center"/>
          </w:tcPr>
          <w:p>
            <w:pPr>
              <w:pStyle w:val="22"/>
              <w:bidi w:val="0"/>
              <w:rPr>
                <w:rFonts w:hint="eastAsia" w:eastAsia="宋体"/>
                <w:color w:val="auto"/>
                <w:highlight w:val="none"/>
                <w:lang w:eastAsia="zh-CN"/>
              </w:rPr>
            </w:pPr>
            <w:r>
              <w:rPr>
                <w:rFonts w:hint="eastAsia"/>
                <w:color w:val="auto"/>
                <w:highlight w:val="none"/>
                <w:lang w:eastAsia="zh-CN"/>
              </w:rPr>
              <w:t>观音煤矿</w:t>
            </w: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pH</w:t>
            </w:r>
            <w:r>
              <w:rPr>
                <w:rFonts w:hint="eastAsia"/>
                <w:color w:val="auto"/>
                <w:highlight w:val="none"/>
                <w:lang w:eastAsia="zh-CN"/>
              </w:rPr>
              <w:t>（无量纲）</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8.58</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6~9</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六价铬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砷</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2.0×10</w:t>
            </w:r>
            <w:r>
              <w:rPr>
                <w:rFonts w:hint="eastAsia" w:cs="宋体"/>
                <w:color w:val="auto"/>
                <w:sz w:val="21"/>
                <w:szCs w:val="21"/>
                <w:highlight w:val="none"/>
                <w:vertAlign w:val="superscript"/>
                <w:lang w:val="en-US" w:eastAsia="zh-CN" w:bidi="ar-SA"/>
              </w:rPr>
              <w:t>-4</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汞</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铬</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镍</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4.2×10</w:t>
            </w:r>
            <w:r>
              <w:rPr>
                <w:rFonts w:hint="eastAsia" w:cs="宋体"/>
                <w:color w:val="auto"/>
                <w:sz w:val="21"/>
                <w:szCs w:val="21"/>
                <w:highlight w:val="none"/>
                <w:vertAlign w:val="superscript"/>
                <w:lang w:val="en-US" w:eastAsia="zh-CN" w:bidi="ar-SA"/>
              </w:rPr>
              <w:t>-3</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铜</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482" w:type="dxa"/>
            <w:vMerge w:val="continue"/>
            <w:tcBorders>
              <w:left w:val="nil"/>
              <w:right w:val="single" w:color="000000" w:sz="6" w:space="0"/>
            </w:tcBorders>
            <w:vAlign w:val="center"/>
          </w:tcPr>
          <w:p>
            <w:pPr>
              <w:pStyle w:val="22"/>
              <w:bidi w:val="0"/>
              <w:rPr>
                <w:rFonts w:hint="eastAsia"/>
                <w:color w:val="auto"/>
                <w:highlight w:val="none"/>
                <w:lang w:eastAsia="zh-CN"/>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锌</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镉</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≤0.1</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铅</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银</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未检出</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sz w:val="21"/>
                <w:szCs w:val="21"/>
                <w:highlight w:val="none"/>
                <w:lang w:val="en-US" w:eastAsia="zh-CN" w:bidi="ar-SA"/>
              </w:rPr>
              <w:t>0.5</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锰</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5.25×10</w:t>
            </w:r>
            <w:r>
              <w:rPr>
                <w:rFonts w:hint="eastAsia" w:cs="宋体"/>
                <w:color w:val="auto"/>
                <w:sz w:val="21"/>
                <w:szCs w:val="21"/>
                <w:highlight w:val="none"/>
                <w:vertAlign w:val="superscript"/>
                <w:lang w:val="en-US" w:eastAsia="zh-CN" w:bidi="ar-SA"/>
              </w:rPr>
              <w:t>-2</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1068" w:type="dxa"/>
            <w:vMerge w:val="continue"/>
            <w:tcBorders>
              <w:left w:val="nil"/>
              <w:right w:val="single" w:color="000000" w:sz="6" w:space="0"/>
            </w:tcBorders>
            <w:vAlign w:val="center"/>
          </w:tcPr>
          <w:p>
            <w:pPr>
              <w:pStyle w:val="22"/>
              <w:bidi w:val="0"/>
              <w:rPr>
                <w:color w:val="auto"/>
                <w:highlight w:val="none"/>
              </w:rPr>
            </w:pPr>
          </w:p>
        </w:tc>
        <w:tc>
          <w:tcPr>
            <w:tcW w:w="1482" w:type="dxa"/>
            <w:vMerge w:val="continue"/>
            <w:tcBorders>
              <w:left w:val="nil"/>
              <w:right w:val="single" w:color="000000" w:sz="6" w:space="0"/>
            </w:tcBorders>
            <w:vAlign w:val="center"/>
          </w:tcPr>
          <w:p>
            <w:pPr>
              <w:pStyle w:val="22"/>
              <w:bidi w:val="0"/>
              <w:rPr>
                <w:color w:val="auto"/>
                <w:highlight w:val="none"/>
              </w:rPr>
            </w:pPr>
          </w:p>
        </w:tc>
        <w:tc>
          <w:tcPr>
            <w:tcW w:w="1650" w:type="dxa"/>
            <w:tcBorders>
              <w:top w:val="single" w:color="000000" w:sz="6" w:space="0"/>
              <w:left w:val="nil"/>
              <w:bottom w:val="single" w:color="000000" w:sz="6" w:space="0"/>
              <w:right w:val="single" w:color="000000" w:sz="6" w:space="0"/>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氟</w:t>
            </w:r>
            <w:r>
              <w:rPr>
                <w:rFonts w:hint="eastAsia"/>
                <w:color w:val="auto"/>
                <w:highlight w:val="none"/>
                <w:lang w:eastAsia="zh-CN"/>
              </w:rPr>
              <w:t>离子</w:t>
            </w:r>
          </w:p>
        </w:tc>
        <w:tc>
          <w:tcPr>
            <w:tcW w:w="2074" w:type="dxa"/>
            <w:tcBorders>
              <w:top w:val="single" w:color="000000" w:sz="6" w:space="0"/>
              <w:left w:val="single" w:color="000000" w:sz="6" w:space="0"/>
              <w:bottom w:val="single" w:color="000000" w:sz="6" w:space="0"/>
              <w:right w:val="single" w:color="000000" w:sz="6" w:space="0"/>
            </w:tcBorders>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0.301</w:t>
            </w:r>
          </w:p>
        </w:tc>
        <w:tc>
          <w:tcPr>
            <w:tcW w:w="1569" w:type="dxa"/>
            <w:tcBorders>
              <w:top w:val="single" w:color="000000" w:sz="6" w:space="0"/>
              <w:left w:val="single" w:color="000000" w:sz="6" w:space="0"/>
              <w:bottom w:val="single" w:color="000000" w:sz="6" w:space="0"/>
              <w:right w:val="single" w:color="000000" w:sz="4" w:space="0"/>
            </w:tcBorders>
            <w:vAlign w:val="center"/>
          </w:tcPr>
          <w:p>
            <w:pPr>
              <w:pStyle w:val="22"/>
              <w:bidi w:val="0"/>
              <w:ind w:left="0" w:leftChars="0" w:right="0" w:rightChars="0" w:firstLine="0" w:firstLineChars="0"/>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highlight w:val="none"/>
              </w:rPr>
              <w:t>≤10</w:t>
            </w:r>
          </w:p>
        </w:tc>
        <w:tc>
          <w:tcPr>
            <w:tcW w:w="1567" w:type="dxa"/>
            <w:tcBorders>
              <w:top w:val="single" w:color="000000" w:sz="6" w:space="0"/>
              <w:left w:val="single" w:color="000000" w:sz="4" w:space="0"/>
              <w:bottom w:val="single" w:color="000000" w:sz="6" w:space="0"/>
              <w:right w:val="nil"/>
            </w:tcBorders>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9410" w:type="dxa"/>
            <w:gridSpan w:val="6"/>
            <w:tcBorders>
              <w:left w:val="nil"/>
              <w:bottom w:val="single" w:color="000000" w:sz="6" w:space="0"/>
              <w:right w:val="nil"/>
            </w:tcBorders>
            <w:vAlign w:val="center"/>
          </w:tcPr>
          <w:p>
            <w:pPr>
              <w:pStyle w:val="22"/>
              <w:bidi w:val="0"/>
              <w:ind w:left="0" w:leftChars="0" w:right="0" w:rightChars="0" w:firstLine="0" w:firstLineChars="0"/>
              <w:jc w:val="both"/>
              <w:rPr>
                <w:rFonts w:hint="eastAsia"/>
                <w:color w:val="auto"/>
                <w:highlight w:val="none"/>
                <w:lang w:val="en-US" w:eastAsia="zh-CN"/>
              </w:rPr>
            </w:pPr>
            <w:r>
              <w:rPr>
                <w:color w:val="auto"/>
                <w:sz w:val="21"/>
                <w:highlight w:val="none"/>
              </w:rPr>
              <w:t>备注：</w:t>
            </w:r>
            <w:r>
              <w:rPr>
                <w:rFonts w:hint="eastAsia"/>
                <w:color w:val="auto"/>
                <w:sz w:val="21"/>
                <w:highlight w:val="none"/>
                <w:lang w:val="en-US" w:eastAsia="zh-CN"/>
              </w:rPr>
              <w:t>pH采用</w:t>
            </w:r>
            <w:r>
              <w:rPr>
                <w:color w:val="auto"/>
                <w:sz w:val="21"/>
                <w:highlight w:val="none"/>
              </w:rPr>
              <w:t>《固体废物</w:t>
            </w:r>
            <w:r>
              <w:rPr>
                <w:rFonts w:hint="eastAsia"/>
                <w:color w:val="auto"/>
                <w:sz w:val="21"/>
                <w:highlight w:val="none"/>
                <w:lang w:val="en-US" w:eastAsia="zh-CN"/>
              </w:rPr>
              <w:t xml:space="preserve"> 腐蚀性测定</w:t>
            </w:r>
            <w:r>
              <w:rPr>
                <w:rFonts w:ascii="Times New Roman" w:hAnsi="Times New Roman" w:eastAsia="Times New Roman"/>
                <w:color w:val="auto"/>
                <w:sz w:val="21"/>
                <w:highlight w:val="none"/>
              </w:rPr>
              <w:t>—</w:t>
            </w:r>
            <w:r>
              <w:rPr>
                <w:rFonts w:hint="eastAsia"/>
                <w:color w:val="auto"/>
                <w:sz w:val="21"/>
                <w:highlight w:val="none"/>
                <w:lang w:eastAsia="zh-CN"/>
              </w:rPr>
              <w:t>玻璃电极法</w:t>
            </w:r>
            <w:r>
              <w:rPr>
                <w:color w:val="auto"/>
                <w:sz w:val="21"/>
                <w:highlight w:val="none"/>
              </w:rPr>
              <w:t>》（</w:t>
            </w:r>
            <w:r>
              <w:rPr>
                <w:rFonts w:hint="eastAsia"/>
                <w:color w:val="auto"/>
                <w:sz w:val="21"/>
                <w:highlight w:val="none"/>
                <w:lang w:val="en-US" w:eastAsia="zh-CN"/>
              </w:rPr>
              <w:t>GB/T 15555.12-1995</w:t>
            </w:r>
            <w:r>
              <w:rPr>
                <w:color w:val="auto"/>
                <w:sz w:val="21"/>
                <w:highlight w:val="none"/>
              </w:rPr>
              <w:t>）中相关检测方法</w:t>
            </w:r>
            <w:r>
              <w:rPr>
                <w:rFonts w:hint="eastAsia"/>
                <w:color w:val="auto"/>
                <w:sz w:val="21"/>
                <w:highlight w:val="none"/>
                <w:lang w:val="en-US" w:eastAsia="zh-CN"/>
              </w:rPr>
              <w:t>；六价铬</w:t>
            </w:r>
            <w:r>
              <w:rPr>
                <w:color w:val="auto"/>
                <w:sz w:val="21"/>
                <w:highlight w:val="none"/>
              </w:rPr>
              <w:t>采用《固体废物</w:t>
            </w:r>
            <w:r>
              <w:rPr>
                <w:rFonts w:hint="eastAsia"/>
                <w:color w:val="auto"/>
                <w:sz w:val="21"/>
                <w:highlight w:val="none"/>
                <w:lang w:val="en-US" w:eastAsia="zh-CN"/>
              </w:rPr>
              <w:t xml:space="preserve"> </w:t>
            </w:r>
            <w:r>
              <w:rPr>
                <w:color w:val="auto"/>
                <w:sz w:val="21"/>
                <w:highlight w:val="none"/>
              </w:rPr>
              <w:t>浸出毒性浸出方法</w:t>
            </w:r>
            <w:r>
              <w:rPr>
                <w:rFonts w:ascii="Times New Roman" w:hAnsi="Times New Roman" w:eastAsia="Times New Roman"/>
                <w:color w:val="auto"/>
                <w:sz w:val="21"/>
                <w:highlight w:val="none"/>
              </w:rPr>
              <w:t>—</w:t>
            </w:r>
            <w:r>
              <w:rPr>
                <w:color w:val="auto"/>
                <w:sz w:val="21"/>
                <w:highlight w:val="none"/>
              </w:rPr>
              <w:t>水平振荡法》（</w:t>
            </w:r>
            <w:r>
              <w:rPr>
                <w:rFonts w:ascii="Times New Roman" w:hAnsi="Times New Roman" w:eastAsia="Times New Roman"/>
                <w:color w:val="auto"/>
                <w:sz w:val="21"/>
                <w:highlight w:val="none"/>
              </w:rPr>
              <w:t>HJ557-2010</w:t>
            </w:r>
            <w:r>
              <w:rPr>
                <w:color w:val="auto"/>
                <w:sz w:val="21"/>
                <w:highlight w:val="none"/>
              </w:rPr>
              <w:t>）中相关检测方法</w:t>
            </w:r>
            <w:r>
              <w:rPr>
                <w:rFonts w:hint="eastAsia"/>
                <w:color w:val="auto"/>
                <w:sz w:val="21"/>
                <w:highlight w:val="none"/>
                <w:lang w:eastAsia="zh-CN"/>
              </w:rPr>
              <w:t>；氟离子采用《危险废物鉴别标准</w:t>
            </w:r>
            <w:r>
              <w:rPr>
                <w:rFonts w:hint="eastAsia"/>
                <w:color w:val="auto"/>
                <w:sz w:val="21"/>
                <w:highlight w:val="none"/>
                <w:lang w:val="en-US" w:eastAsia="zh-CN"/>
              </w:rPr>
              <w:t xml:space="preserve"> 浸出毒性鉴别方法</w:t>
            </w:r>
            <w:r>
              <w:rPr>
                <w:rFonts w:hint="eastAsia"/>
                <w:color w:val="auto"/>
                <w:sz w:val="21"/>
                <w:highlight w:val="none"/>
                <w:lang w:eastAsia="zh-CN"/>
              </w:rPr>
              <w:t>》</w:t>
            </w:r>
            <w:r>
              <w:rPr>
                <w:rFonts w:hint="eastAsia"/>
                <w:color w:val="auto"/>
                <w:sz w:val="21"/>
                <w:highlight w:val="none"/>
                <w:lang w:val="en-US" w:eastAsia="zh-CN"/>
              </w:rPr>
              <w:t>（GB5085.3-2007）附录F</w:t>
            </w:r>
            <w:r>
              <w:rPr>
                <w:color w:val="auto"/>
                <w:sz w:val="21"/>
                <w:highlight w:val="none"/>
              </w:rPr>
              <w:t>中相关检测方法</w:t>
            </w:r>
            <w:r>
              <w:rPr>
                <w:rFonts w:hint="eastAsia"/>
                <w:color w:val="auto"/>
                <w:sz w:val="21"/>
                <w:highlight w:val="none"/>
                <w:lang w:eastAsia="zh-CN"/>
              </w:rPr>
              <w:t>；其余指标采用《固体废物</w:t>
            </w:r>
            <w:r>
              <w:rPr>
                <w:rFonts w:hint="eastAsia"/>
                <w:color w:val="auto"/>
                <w:sz w:val="21"/>
                <w:highlight w:val="none"/>
                <w:lang w:val="en-US" w:eastAsia="zh-CN"/>
              </w:rPr>
              <w:t xml:space="preserve"> 浸出毒性浸出方法 硫酸硝酸法</w:t>
            </w:r>
            <w:r>
              <w:rPr>
                <w:rFonts w:hint="eastAsia"/>
                <w:color w:val="auto"/>
                <w:sz w:val="21"/>
                <w:highlight w:val="none"/>
                <w:lang w:eastAsia="zh-CN"/>
              </w:rPr>
              <w:t>》（</w:t>
            </w:r>
            <w:r>
              <w:rPr>
                <w:rFonts w:hint="eastAsia"/>
                <w:color w:val="auto"/>
                <w:sz w:val="21"/>
                <w:highlight w:val="none"/>
                <w:lang w:val="en-US" w:eastAsia="zh-CN"/>
              </w:rPr>
              <w:t>HJ/T299-2007</w:t>
            </w:r>
            <w:r>
              <w:rPr>
                <w:rFonts w:hint="eastAsia"/>
                <w:color w:val="auto"/>
                <w:sz w:val="21"/>
                <w:highlight w:val="none"/>
                <w:lang w:eastAsia="zh-CN"/>
              </w:rPr>
              <w:t>）</w:t>
            </w:r>
            <w:r>
              <w:rPr>
                <w:color w:val="auto"/>
                <w:sz w:val="21"/>
                <w:highlight w:val="none"/>
              </w:rPr>
              <w:t>中相关检测方法。</w:t>
            </w:r>
          </w:p>
        </w:tc>
      </w:tr>
    </w:tbl>
    <w:p>
      <w:pPr>
        <w:bidi w:val="0"/>
        <w:rPr>
          <w:rFonts w:hint="default"/>
          <w:color w:val="auto"/>
          <w:highlight w:val="none"/>
          <w:lang w:val="en-US" w:eastAsia="zh-CN"/>
        </w:rPr>
      </w:pPr>
      <w:r>
        <w:rPr>
          <w:rFonts w:hint="eastAsia"/>
          <w:color w:val="auto"/>
          <w:highlight w:val="none"/>
          <w:lang w:eastAsia="zh-CN"/>
        </w:rPr>
        <w:t>由以上结果可以看出，规划矿区三个矿段内建设矿井的煤矸石浸出毒性试验中，各项监测指标均远低于《危险废物鉴别标准</w:t>
      </w:r>
      <w:r>
        <w:rPr>
          <w:rFonts w:hint="eastAsia"/>
          <w:color w:val="auto"/>
          <w:highlight w:val="none"/>
          <w:lang w:val="en-US" w:eastAsia="zh-CN"/>
        </w:rPr>
        <w:t xml:space="preserve"> 浸出毒性鉴别方法</w:t>
      </w:r>
      <w:r>
        <w:rPr>
          <w:rFonts w:hint="eastAsia"/>
          <w:color w:val="auto"/>
          <w:highlight w:val="none"/>
          <w:lang w:eastAsia="zh-CN"/>
        </w:rPr>
        <w:t>》</w:t>
      </w:r>
      <w:r>
        <w:rPr>
          <w:rFonts w:hint="eastAsia"/>
          <w:color w:val="auto"/>
          <w:highlight w:val="none"/>
          <w:lang w:val="en-US" w:eastAsia="zh-CN"/>
        </w:rPr>
        <w:t>（GB5085.3-2007）中表1限值要求。</w:t>
      </w:r>
    </w:p>
    <w:p>
      <w:pPr>
        <w:pStyle w:val="5"/>
        <w:numPr>
          <w:ilvl w:val="1"/>
          <w:numId w:val="10"/>
        </w:numPr>
        <w:bidi w:val="0"/>
        <w:rPr>
          <w:color w:val="auto"/>
          <w:highlight w:val="none"/>
        </w:rPr>
      </w:pPr>
      <w:bookmarkStart w:id="403" w:name="5.3 大气环境影响预测与评价"/>
      <w:bookmarkEnd w:id="403"/>
      <w:bookmarkStart w:id="404" w:name="_bookmark28"/>
      <w:bookmarkEnd w:id="404"/>
      <w:bookmarkStart w:id="405" w:name="_Toc15974"/>
      <w:bookmarkStart w:id="406" w:name="_Toc11666"/>
      <w:r>
        <w:rPr>
          <w:color w:val="auto"/>
          <w:highlight w:val="none"/>
        </w:rPr>
        <w:t>大气环境影响预测与评价</w:t>
      </w:r>
      <w:bookmarkEnd w:id="405"/>
      <w:bookmarkEnd w:id="406"/>
      <w:bookmarkStart w:id="407" w:name="5.3.1 气象资料统计"/>
      <w:bookmarkEnd w:id="407"/>
      <w:bookmarkStart w:id="408" w:name="5.3.1 气象资料统计"/>
      <w:bookmarkEnd w:id="408"/>
    </w:p>
    <w:p>
      <w:pPr>
        <w:pStyle w:val="6"/>
        <w:numPr>
          <w:ilvl w:val="2"/>
          <w:numId w:val="10"/>
        </w:numPr>
        <w:bidi w:val="0"/>
        <w:rPr>
          <w:color w:val="auto"/>
          <w:highlight w:val="none"/>
        </w:rPr>
      </w:pPr>
      <w:bookmarkStart w:id="409" w:name="_Toc14047"/>
      <w:bookmarkStart w:id="410" w:name="_Toc16781"/>
      <w:r>
        <w:rPr>
          <w:color w:val="auto"/>
          <w:highlight w:val="none"/>
        </w:rPr>
        <w:t>气象资料统计</w:t>
      </w:r>
      <w:bookmarkEnd w:id="409"/>
      <w:bookmarkEnd w:id="410"/>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区域多年气候特征</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属四川盆地亚热带湿润气候区，特点是：日照适宜，热量丰富，雨量充沛，温暖湿润，无霜期长，大陆性季风气候显著。因此，农业气候四季分明，春季气温不稳定，回升缓慢，多寒潮；夏季气温高，降雨集中，光照充足，暑热多伏旱；秋季温暖，多连绵雨；冬季凉，多云雾，霜雪少，无霜期长。总的来说，农业气候比较优越，但降雨时常分布不均，干旱较频繁，尤以伏旱严重，冰雹、大风、暴雨，亦有发生。</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竹县气温随海拔高程和地理位置的不同而有所差异，在地理位置上，总的趋势是从南到北气温有所下降，随海拔高程的增高而有所降低。多年平均气温16.6℃，最高气温一般出现在8月（月平均气温26.6℃），极端最高温度39.4℃（1995年9月7日）。最低气温一般出现在1月（月平均气温6.0℃），极端最低气温-4.7℃（1991年12月28日）。≥10℃的积温5237.4℃。受地形、天气状况等因素影响，年均日照1088.6h，最多1383.2h（2001年），最少1023.4h（1989年），年均日照百分率为28.4%，区内照时数的地域分布是北多南少，季节分布是夏季最多（平均占年日照时数的39%），冬季最少（平均占年日照时数的20%），年内8月最多，达215.5h，最少的1月，只有34.4h。</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受大气环流、地理位置、地貌等因素的制约和影响，区内降水、季节分布明显不均，集中在夏秋季节。多年平均降雨量1184mm，季节分配不均，年最多降水量1419.5mm（2000年），年最少降水量841.9mm（1987年），夏秋两季降水量最多，其中夏季约占全年降水量的45%，秋季占全年降水量的28%。实测最大一日降水量183.9mm（1989年7月10日）。多年平均陆面蒸发量947.2mm，最小蒸发量783.9mm（1986年），最大蒸发量1134.9mm（2001年）。年内月降雨量呈双峰型。其中，1～4月为上升阶段，山前5月、山后6月为第一峰，降雨量167.8mm～188.9mm，7～8月略降或升；9月是第二峰，10～12月为下降期；4～9月或4～10月，月降雨量均在100mm以上，各占全年的10%有余；其他各月都不超过64.1mm。年大雨日数为4～19天，80%以上年为9天以上。</w:t>
      </w:r>
    </w:p>
    <w:p>
      <w:pPr>
        <w:bidi w:val="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湿度：年均最大相对湿度为85%，年均最小相对湿度为82%，年际间变幅5%。无霜期：284天。风向及风速：主导风向为北东北，年频率达14%；多年平均风速1.2m/s，最大风速达27.0m/s（2001年7月21）。</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月平均温度统计</w:t>
      </w:r>
    </w:p>
    <w:p>
      <w:pPr>
        <w:bidi w:val="0"/>
        <w:rPr>
          <w:color w:val="auto"/>
          <w:highlight w:val="none"/>
        </w:rPr>
      </w:pPr>
      <w:r>
        <w:rPr>
          <w:rFonts w:ascii="Times New Roman" w:eastAsia="Times New Roman"/>
          <w:color w:val="auto"/>
          <w:highlight w:val="none"/>
        </w:rPr>
        <w:t>2020</w:t>
      </w:r>
      <w:r>
        <w:rPr>
          <w:color w:val="auto"/>
          <w:highlight w:val="none"/>
        </w:rPr>
        <w:t>年平均温度的月变化统计见表</w:t>
      </w:r>
      <w:r>
        <w:rPr>
          <w:rFonts w:ascii="Times New Roman" w:eastAsia="Times New Roman"/>
          <w:color w:val="auto"/>
          <w:highlight w:val="none"/>
        </w:rPr>
        <w:t>5.3-</w:t>
      </w:r>
      <w:r>
        <w:rPr>
          <w:rFonts w:hint="eastAsia"/>
          <w:color w:val="auto"/>
          <w:highlight w:val="none"/>
          <w:lang w:val="en-US" w:eastAsia="zh-CN"/>
        </w:rPr>
        <w:t>1</w:t>
      </w:r>
      <w:r>
        <w:rPr>
          <w:color w:val="auto"/>
          <w:highlight w:val="none"/>
        </w:rPr>
        <w:t>及图</w:t>
      </w:r>
      <w:r>
        <w:rPr>
          <w:rFonts w:ascii="Times New Roman" w:eastAsia="Times New Roman"/>
          <w:color w:val="auto"/>
          <w:highlight w:val="none"/>
        </w:rPr>
        <w:t>5.3-</w:t>
      </w:r>
      <w:r>
        <w:rPr>
          <w:rFonts w:hint="eastAsia"/>
          <w:color w:val="auto"/>
          <w:highlight w:val="none"/>
          <w:lang w:val="en-US" w:eastAsia="zh-CN"/>
        </w:rPr>
        <w:t>1</w:t>
      </w:r>
      <w:r>
        <w:rPr>
          <w:color w:val="auto"/>
          <w:highlight w:val="none"/>
        </w:rPr>
        <w:t>。</w:t>
      </w:r>
    </w:p>
    <w:p>
      <w:pPr>
        <w:pStyle w:val="22"/>
        <w:bidi w:val="0"/>
        <w:rPr>
          <w:rFonts w:ascii="Times New Roman" w:hAnsi="Times New Roman" w:eastAsia="Times New Roman"/>
          <w:b/>
          <w:color w:val="auto"/>
          <w:sz w:val="21"/>
          <w:highlight w:val="none"/>
        </w:rPr>
      </w:pPr>
      <w:r>
        <w:rPr>
          <w:b/>
          <w:color w:val="auto"/>
          <w:sz w:val="21"/>
          <w:highlight w:val="none"/>
        </w:rPr>
        <w:t>表</w:t>
      </w:r>
      <w:r>
        <w:rPr>
          <w:b/>
          <w:color w:val="auto"/>
          <w:spacing w:val="-52"/>
          <w:sz w:val="21"/>
          <w:highlight w:val="none"/>
        </w:rPr>
        <w:t xml:space="preserve"> </w:t>
      </w:r>
      <w:r>
        <w:rPr>
          <w:rFonts w:ascii="Times New Roman" w:hAnsi="Times New Roman" w:eastAsia="Times New Roman"/>
          <w:b/>
          <w:color w:val="auto"/>
          <w:sz w:val="21"/>
          <w:highlight w:val="none"/>
        </w:rPr>
        <w:t>5.3-</w:t>
      </w:r>
      <w:r>
        <w:rPr>
          <w:rFonts w:hint="eastAsia"/>
          <w:b/>
          <w:color w:val="auto"/>
          <w:sz w:val="21"/>
          <w:highlight w:val="none"/>
          <w:lang w:val="en-US" w:eastAsia="zh-CN"/>
        </w:rPr>
        <w:t xml:space="preserve">1   </w:t>
      </w:r>
      <w:r>
        <w:rPr>
          <w:b/>
          <w:color w:val="auto"/>
          <w:sz w:val="21"/>
          <w:highlight w:val="none"/>
        </w:rPr>
        <w:t>气象站</w:t>
      </w:r>
      <w:r>
        <w:rPr>
          <w:b/>
          <w:color w:val="auto"/>
          <w:spacing w:val="-53"/>
          <w:sz w:val="21"/>
          <w:highlight w:val="none"/>
        </w:rPr>
        <w:t xml:space="preserve"> </w:t>
      </w:r>
      <w:r>
        <w:rPr>
          <w:rFonts w:ascii="Times New Roman" w:hAnsi="Times New Roman" w:eastAsia="Times New Roman"/>
          <w:b/>
          <w:color w:val="auto"/>
          <w:sz w:val="21"/>
          <w:highlight w:val="none"/>
        </w:rPr>
        <w:t>2020</w:t>
      </w:r>
      <w:r>
        <w:rPr>
          <w:rFonts w:ascii="Times New Roman" w:hAnsi="Times New Roman" w:eastAsia="Times New Roman"/>
          <w:b/>
          <w:color w:val="auto"/>
          <w:spacing w:val="-3"/>
          <w:sz w:val="21"/>
          <w:highlight w:val="none"/>
        </w:rPr>
        <w:t xml:space="preserve"> </w:t>
      </w:r>
      <w:r>
        <w:rPr>
          <w:b/>
          <w:color w:val="auto"/>
          <w:sz w:val="21"/>
          <w:highlight w:val="none"/>
        </w:rPr>
        <w:t>年平均温度月变化表</w:t>
      </w:r>
      <w:r>
        <w:rPr>
          <w:b/>
          <w:color w:val="auto"/>
          <w:sz w:val="21"/>
          <w:highlight w:val="none"/>
        </w:rPr>
        <w:tab/>
      </w:r>
      <w:r>
        <w:rPr>
          <w:b/>
          <w:color w:val="auto"/>
          <w:sz w:val="21"/>
          <w:highlight w:val="none"/>
        </w:rPr>
        <w:t>单位：</w:t>
      </w:r>
      <w:r>
        <w:rPr>
          <w:rFonts w:ascii="Times New Roman" w:hAnsi="Times New Roman" w:eastAsia="Times New Roman"/>
          <w:b/>
          <w:color w:val="auto"/>
          <w:sz w:val="21"/>
          <w:highlight w:val="none"/>
        </w:rPr>
        <w:t>(°C)</w:t>
      </w:r>
    </w:p>
    <w:tbl>
      <w:tblPr>
        <w:tblStyle w:val="17"/>
        <w:tblW w:w="0" w:type="auto"/>
        <w:tblInd w:w="1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0"/>
        <w:gridCol w:w="699"/>
        <w:gridCol w:w="700"/>
        <w:gridCol w:w="701"/>
        <w:gridCol w:w="698"/>
        <w:gridCol w:w="701"/>
        <w:gridCol w:w="700"/>
        <w:gridCol w:w="700"/>
        <w:gridCol w:w="699"/>
        <w:gridCol w:w="701"/>
        <w:gridCol w:w="700"/>
        <w:gridCol w:w="701"/>
        <w:gridCol w:w="7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700" w:type="dxa"/>
            <w:tcBorders>
              <w:left w:val="nil"/>
              <w:bottom w:val="single" w:color="000000" w:sz="4" w:space="0"/>
              <w:right w:val="single" w:color="000000" w:sz="4" w:space="0"/>
            </w:tcBorders>
          </w:tcPr>
          <w:p>
            <w:pPr>
              <w:pStyle w:val="22"/>
              <w:bidi w:val="0"/>
              <w:rPr>
                <w:color w:val="auto"/>
                <w:highlight w:val="none"/>
              </w:rPr>
            </w:pPr>
            <w:r>
              <w:rPr>
                <w:color w:val="auto"/>
                <w:highlight w:val="none"/>
              </w:rPr>
              <w:t>月份</w:t>
            </w:r>
          </w:p>
        </w:tc>
        <w:tc>
          <w:tcPr>
            <w:tcW w:w="699"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1月</w:t>
            </w:r>
          </w:p>
        </w:tc>
        <w:tc>
          <w:tcPr>
            <w:tcW w:w="70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2月</w:t>
            </w:r>
          </w:p>
        </w:tc>
        <w:tc>
          <w:tcPr>
            <w:tcW w:w="701"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3月</w:t>
            </w:r>
          </w:p>
        </w:tc>
        <w:tc>
          <w:tcPr>
            <w:tcW w:w="698"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4月</w:t>
            </w:r>
          </w:p>
        </w:tc>
        <w:tc>
          <w:tcPr>
            <w:tcW w:w="701"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5月</w:t>
            </w:r>
          </w:p>
        </w:tc>
        <w:tc>
          <w:tcPr>
            <w:tcW w:w="70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6月</w:t>
            </w:r>
          </w:p>
        </w:tc>
        <w:tc>
          <w:tcPr>
            <w:tcW w:w="70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7月</w:t>
            </w:r>
          </w:p>
        </w:tc>
        <w:tc>
          <w:tcPr>
            <w:tcW w:w="699"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8 月</w:t>
            </w:r>
          </w:p>
        </w:tc>
        <w:tc>
          <w:tcPr>
            <w:tcW w:w="701"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9月</w:t>
            </w:r>
          </w:p>
        </w:tc>
        <w:tc>
          <w:tcPr>
            <w:tcW w:w="70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10月</w:t>
            </w:r>
          </w:p>
        </w:tc>
        <w:tc>
          <w:tcPr>
            <w:tcW w:w="701"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11月</w:t>
            </w:r>
          </w:p>
        </w:tc>
        <w:tc>
          <w:tcPr>
            <w:tcW w:w="700" w:type="dxa"/>
            <w:tcBorders>
              <w:left w:val="single" w:color="000000" w:sz="4" w:space="0"/>
              <w:bottom w:val="single" w:color="000000" w:sz="4" w:space="0"/>
              <w:right w:val="nil"/>
            </w:tcBorders>
          </w:tcPr>
          <w:p>
            <w:pPr>
              <w:pStyle w:val="22"/>
              <w:bidi w:val="0"/>
              <w:rPr>
                <w:color w:val="auto"/>
                <w:highlight w:val="none"/>
              </w:rPr>
            </w:pPr>
            <w:r>
              <w:rPr>
                <w:color w:val="auto"/>
                <w:highlight w:val="none"/>
              </w:rPr>
              <w:t>12月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7" w:hRule="atLeast"/>
        </w:trPr>
        <w:tc>
          <w:tcPr>
            <w:tcW w:w="700" w:type="dxa"/>
            <w:tcBorders>
              <w:top w:val="single" w:color="000000" w:sz="4" w:space="0"/>
              <w:left w:val="nil"/>
              <w:right w:val="single" w:color="000000" w:sz="4" w:space="0"/>
            </w:tcBorders>
          </w:tcPr>
          <w:p>
            <w:pPr>
              <w:pStyle w:val="22"/>
              <w:bidi w:val="0"/>
              <w:rPr>
                <w:color w:val="auto"/>
                <w:highlight w:val="none"/>
              </w:rPr>
            </w:pPr>
            <w:r>
              <w:rPr>
                <w:color w:val="auto"/>
                <w:highlight w:val="none"/>
              </w:rPr>
              <w:t>温度</w:t>
            </w:r>
          </w:p>
          <w:p>
            <w:pPr>
              <w:pStyle w:val="22"/>
              <w:bidi w:val="0"/>
              <w:rPr>
                <w:color w:val="auto"/>
                <w:highlight w:val="none"/>
              </w:rPr>
            </w:pPr>
            <w:r>
              <w:rPr>
                <w:color w:val="auto"/>
                <w:highlight w:val="none"/>
              </w:rPr>
              <w:t>(℃)</w:t>
            </w:r>
          </w:p>
        </w:tc>
        <w:tc>
          <w:tcPr>
            <w:tcW w:w="699"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8.0</w:t>
            </w:r>
          </w:p>
        </w:tc>
        <w:tc>
          <w:tcPr>
            <w:tcW w:w="70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10.0</w:t>
            </w:r>
          </w:p>
        </w:tc>
        <w:tc>
          <w:tcPr>
            <w:tcW w:w="701"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14.5</w:t>
            </w:r>
          </w:p>
        </w:tc>
        <w:tc>
          <w:tcPr>
            <w:tcW w:w="698"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16.7</w:t>
            </w:r>
          </w:p>
        </w:tc>
        <w:tc>
          <w:tcPr>
            <w:tcW w:w="701"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23.6</w:t>
            </w:r>
          </w:p>
        </w:tc>
        <w:tc>
          <w:tcPr>
            <w:tcW w:w="70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25.8</w:t>
            </w:r>
          </w:p>
        </w:tc>
        <w:tc>
          <w:tcPr>
            <w:tcW w:w="70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26.6</w:t>
            </w:r>
          </w:p>
        </w:tc>
        <w:tc>
          <w:tcPr>
            <w:tcW w:w="699"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29.6</w:t>
            </w:r>
          </w:p>
        </w:tc>
        <w:tc>
          <w:tcPr>
            <w:tcW w:w="701"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23.4</w:t>
            </w:r>
          </w:p>
        </w:tc>
        <w:tc>
          <w:tcPr>
            <w:tcW w:w="70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16.9</w:t>
            </w:r>
          </w:p>
        </w:tc>
        <w:tc>
          <w:tcPr>
            <w:tcW w:w="701"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14.0</w:t>
            </w:r>
          </w:p>
        </w:tc>
        <w:tc>
          <w:tcPr>
            <w:tcW w:w="700" w:type="dxa"/>
            <w:tcBorders>
              <w:top w:val="single" w:color="000000" w:sz="4" w:space="0"/>
              <w:left w:val="single" w:color="000000" w:sz="4" w:space="0"/>
              <w:right w:val="nil"/>
            </w:tcBorders>
          </w:tcPr>
          <w:p>
            <w:pPr>
              <w:pStyle w:val="22"/>
              <w:bidi w:val="0"/>
              <w:rPr>
                <w:color w:val="auto"/>
                <w:highlight w:val="none"/>
              </w:rPr>
            </w:pPr>
            <w:r>
              <w:rPr>
                <w:color w:val="auto"/>
                <w:highlight w:val="none"/>
              </w:rPr>
              <w:t>7.1</w:t>
            </w:r>
          </w:p>
        </w:tc>
      </w:tr>
    </w:tbl>
    <w:p>
      <w:pPr>
        <w:pStyle w:val="10"/>
        <w:spacing w:before="3"/>
        <w:ind w:left="0"/>
        <w:rPr>
          <w:rFonts w:ascii="Times New Roman"/>
          <w:b/>
          <w:color w:val="auto"/>
          <w:sz w:val="6"/>
          <w:highlight w:val="none"/>
        </w:rPr>
      </w:pPr>
    </w:p>
    <w:p>
      <w:pPr>
        <w:pStyle w:val="10"/>
        <w:ind w:left="540"/>
        <w:rPr>
          <w:rFonts w:ascii="Times New Roman"/>
          <w:color w:val="auto"/>
          <w:sz w:val="20"/>
          <w:highlight w:val="none"/>
        </w:rPr>
      </w:pPr>
      <w:r>
        <w:rPr>
          <w:rFonts w:ascii="Times New Roman"/>
          <w:color w:val="auto"/>
          <w:sz w:val="20"/>
          <w:highlight w:val="none"/>
        </w:rPr>
        <w:drawing>
          <wp:inline distT="0" distB="0" distL="0" distR="0">
            <wp:extent cx="5253355" cy="2291080"/>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pic:cNvPicPr>
                      <a:picLocks noChangeAspect="1"/>
                    </pic:cNvPicPr>
                  </pic:nvPicPr>
                  <pic:blipFill>
                    <a:blip r:embed="rId173" cstate="print"/>
                    <a:stretch>
                      <a:fillRect/>
                    </a:stretch>
                  </pic:blipFill>
                  <pic:spPr>
                    <a:xfrm>
                      <a:off x="0" y="0"/>
                      <a:ext cx="5253602" cy="2291238"/>
                    </a:xfrm>
                    <a:prstGeom prst="rect">
                      <a:avLst/>
                    </a:prstGeom>
                  </pic:spPr>
                </pic:pic>
              </a:graphicData>
            </a:graphic>
          </wp:inline>
        </w:drawing>
      </w:r>
    </w:p>
    <w:p>
      <w:pPr>
        <w:spacing w:before="13"/>
        <w:ind w:left="2716" w:right="0" w:firstLine="0"/>
        <w:jc w:val="both"/>
        <w:rPr>
          <w:b/>
          <w:color w:val="auto"/>
          <w:sz w:val="21"/>
          <w:highlight w:val="none"/>
        </w:rPr>
      </w:pPr>
      <w:r>
        <w:rPr>
          <w:b/>
          <w:color w:val="auto"/>
          <w:spacing w:val="-26"/>
          <w:sz w:val="21"/>
          <w:highlight w:val="none"/>
        </w:rPr>
        <w:t xml:space="preserve">图 </w:t>
      </w:r>
      <w:r>
        <w:rPr>
          <w:rFonts w:ascii="Times New Roman" w:eastAsia="Times New Roman"/>
          <w:b/>
          <w:color w:val="auto"/>
          <w:sz w:val="21"/>
          <w:highlight w:val="none"/>
        </w:rPr>
        <w:t>5.3-</w:t>
      </w:r>
      <w:r>
        <w:rPr>
          <w:rFonts w:hint="eastAsia"/>
          <w:b/>
          <w:color w:val="auto"/>
          <w:sz w:val="21"/>
          <w:highlight w:val="none"/>
          <w:lang w:val="en-US" w:eastAsia="zh-CN"/>
        </w:rPr>
        <w:t>1</w:t>
      </w:r>
      <w:r>
        <w:rPr>
          <w:rFonts w:ascii="Times New Roman" w:eastAsia="Times New Roman"/>
          <w:b/>
          <w:color w:val="auto"/>
          <w:sz w:val="21"/>
          <w:highlight w:val="none"/>
        </w:rPr>
        <w:t xml:space="preserve"> </w:t>
      </w:r>
      <w:r>
        <w:rPr>
          <w:b/>
          <w:color w:val="auto"/>
          <w:spacing w:val="-13"/>
          <w:sz w:val="21"/>
          <w:highlight w:val="none"/>
        </w:rPr>
        <w:t xml:space="preserve"> </w:t>
      </w:r>
      <w:r>
        <w:rPr>
          <w:rFonts w:ascii="Times New Roman" w:eastAsia="Times New Roman"/>
          <w:b/>
          <w:color w:val="auto"/>
          <w:sz w:val="21"/>
          <w:highlight w:val="none"/>
        </w:rPr>
        <w:t xml:space="preserve">2020 </w:t>
      </w:r>
      <w:r>
        <w:rPr>
          <w:b/>
          <w:color w:val="auto"/>
          <w:sz w:val="21"/>
          <w:highlight w:val="none"/>
        </w:rPr>
        <w:t>年平均温度月变化图</w:t>
      </w:r>
    </w:p>
    <w:p>
      <w:pPr>
        <w:bidi w:val="0"/>
        <w:rPr>
          <w:color w:val="auto"/>
          <w:highlight w:val="none"/>
        </w:rPr>
      </w:pPr>
      <w:r>
        <w:rPr>
          <w:color w:val="auto"/>
          <w:highlight w:val="none"/>
        </w:rPr>
        <w:t>由以上图表可见，</w:t>
      </w:r>
      <w:r>
        <w:rPr>
          <w:rFonts w:ascii="Times New Roman" w:eastAsia="Times New Roman"/>
          <w:color w:val="auto"/>
          <w:highlight w:val="none"/>
        </w:rPr>
        <w:t>2020</w:t>
      </w:r>
      <w:r>
        <w:rPr>
          <w:color w:val="auto"/>
          <w:spacing w:val="-1"/>
          <w:highlight w:val="none"/>
        </w:rPr>
        <w:t>年全年气温变化明显，四季分明，其中冬季</w:t>
      </w:r>
      <w:r>
        <w:rPr>
          <w:color w:val="auto"/>
          <w:spacing w:val="-30"/>
          <w:highlight w:val="none"/>
        </w:rPr>
        <w:t>的</w:t>
      </w:r>
      <w:r>
        <w:rPr>
          <w:rFonts w:ascii="Times New Roman" w:eastAsia="Times New Roman"/>
          <w:color w:val="auto"/>
          <w:highlight w:val="none"/>
        </w:rPr>
        <w:t>12</w:t>
      </w:r>
      <w:r>
        <w:rPr>
          <w:color w:val="auto"/>
          <w:highlight w:val="none"/>
        </w:rPr>
        <w:t>、</w:t>
      </w:r>
      <w:r>
        <w:rPr>
          <w:rFonts w:ascii="Times New Roman" w:eastAsia="Times New Roman"/>
          <w:color w:val="auto"/>
          <w:highlight w:val="none"/>
        </w:rPr>
        <w:t>1</w:t>
      </w:r>
      <w:r>
        <w:rPr>
          <w:color w:val="auto"/>
          <w:highlight w:val="none"/>
        </w:rPr>
        <w:t>、</w:t>
      </w:r>
      <w:r>
        <w:rPr>
          <w:rFonts w:ascii="Times New Roman" w:eastAsia="Times New Roman"/>
          <w:color w:val="auto"/>
          <w:highlight w:val="none"/>
        </w:rPr>
        <w:t>2</w:t>
      </w:r>
      <w:r>
        <w:rPr>
          <w:color w:val="auto"/>
          <w:highlight w:val="none"/>
        </w:rPr>
        <w:t>月平均气温为全年最低；夏季（</w:t>
      </w:r>
      <w:r>
        <w:rPr>
          <w:rFonts w:ascii="Times New Roman" w:eastAsia="Times New Roman"/>
          <w:color w:val="auto"/>
          <w:highlight w:val="none"/>
        </w:rPr>
        <w:t>6</w:t>
      </w:r>
      <w:r>
        <w:rPr>
          <w:color w:val="auto"/>
          <w:highlight w:val="none"/>
        </w:rPr>
        <w:t>、</w:t>
      </w:r>
      <w:r>
        <w:rPr>
          <w:rFonts w:ascii="Times New Roman" w:eastAsia="Times New Roman"/>
          <w:color w:val="auto"/>
          <w:highlight w:val="none"/>
        </w:rPr>
        <w:t>7</w:t>
      </w:r>
      <w:r>
        <w:rPr>
          <w:color w:val="auto"/>
          <w:highlight w:val="none"/>
        </w:rPr>
        <w:t>、</w:t>
      </w:r>
      <w:r>
        <w:rPr>
          <w:rFonts w:ascii="Times New Roman" w:eastAsia="Times New Roman"/>
          <w:color w:val="auto"/>
          <w:highlight w:val="none"/>
        </w:rPr>
        <w:t>8</w:t>
      </w:r>
      <w:r>
        <w:rPr>
          <w:color w:val="auto"/>
          <w:highlight w:val="none"/>
        </w:rPr>
        <w:t>月）</w:t>
      </w:r>
      <w:r>
        <w:rPr>
          <w:color w:val="auto"/>
          <w:spacing w:val="-2"/>
          <w:highlight w:val="none"/>
        </w:rPr>
        <w:t>气温为全年最高，以</w:t>
      </w:r>
      <w:r>
        <w:rPr>
          <w:rFonts w:ascii="Times New Roman" w:eastAsia="Times New Roman"/>
          <w:color w:val="auto"/>
          <w:highlight w:val="none"/>
        </w:rPr>
        <w:t>8</w:t>
      </w:r>
      <w:r>
        <w:rPr>
          <w:color w:val="auto"/>
          <w:highlight w:val="none"/>
        </w:rPr>
        <w:t>月温度最高。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月平均风速统计</w:t>
      </w:r>
    </w:p>
    <w:p>
      <w:pPr>
        <w:bidi w:val="0"/>
        <w:rPr>
          <w:color w:val="auto"/>
          <w:highlight w:val="none"/>
        </w:rPr>
      </w:pPr>
      <w:r>
        <w:rPr>
          <w:rFonts w:ascii="Times New Roman" w:eastAsia="Times New Roman"/>
          <w:color w:val="auto"/>
          <w:highlight w:val="none"/>
        </w:rPr>
        <w:t>2020</w:t>
      </w:r>
      <w:r>
        <w:rPr>
          <w:color w:val="auto"/>
          <w:highlight w:val="none"/>
        </w:rPr>
        <w:t>年年平均风速的月变化统计见表</w:t>
      </w:r>
      <w:r>
        <w:rPr>
          <w:rFonts w:ascii="Times New Roman" w:eastAsia="Times New Roman"/>
          <w:color w:val="auto"/>
          <w:highlight w:val="none"/>
        </w:rPr>
        <w:t>5.3-6</w:t>
      </w:r>
      <w:r>
        <w:rPr>
          <w:color w:val="auto"/>
          <w:highlight w:val="none"/>
        </w:rPr>
        <w:t>及图</w:t>
      </w:r>
      <w:r>
        <w:rPr>
          <w:rFonts w:ascii="Times New Roman" w:eastAsia="Times New Roman"/>
          <w:color w:val="auto"/>
          <w:highlight w:val="none"/>
        </w:rPr>
        <w:t>5.3-3</w:t>
      </w:r>
      <w:r>
        <w:rPr>
          <w:color w:val="auto"/>
          <w:highlight w:val="none"/>
        </w:rPr>
        <w:t>。</w:t>
      </w:r>
    </w:p>
    <w:p>
      <w:pPr>
        <w:pStyle w:val="22"/>
        <w:bidi w:val="0"/>
        <w:rPr>
          <w:rFonts w:ascii="Times New Roman" w:eastAsia="Times New Roman"/>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5.3-</w:t>
      </w:r>
      <w:r>
        <w:rPr>
          <w:rFonts w:hint="eastAsia"/>
          <w:b/>
          <w:color w:val="auto"/>
          <w:sz w:val="21"/>
          <w:highlight w:val="none"/>
          <w:lang w:val="en-US" w:eastAsia="zh-CN"/>
        </w:rPr>
        <w:t xml:space="preserve">1   </w:t>
      </w:r>
      <w:r>
        <w:rPr>
          <w:b/>
          <w:color w:val="auto"/>
          <w:sz w:val="21"/>
          <w:highlight w:val="none"/>
        </w:rPr>
        <w:t>气象站</w:t>
      </w:r>
      <w:r>
        <w:rPr>
          <w:b/>
          <w:color w:val="auto"/>
          <w:spacing w:val="-54"/>
          <w:sz w:val="21"/>
          <w:highlight w:val="none"/>
        </w:rPr>
        <w:t xml:space="preserve"> </w:t>
      </w:r>
      <w:r>
        <w:rPr>
          <w:rFonts w:ascii="Times New Roman" w:eastAsia="Times New Roman"/>
          <w:b/>
          <w:color w:val="auto"/>
          <w:sz w:val="21"/>
          <w:highlight w:val="none"/>
        </w:rPr>
        <w:t>2020</w:t>
      </w:r>
      <w:r>
        <w:rPr>
          <w:rFonts w:ascii="Times New Roman" w:eastAsia="Times New Roman"/>
          <w:b/>
          <w:color w:val="auto"/>
          <w:spacing w:val="-1"/>
          <w:sz w:val="21"/>
          <w:highlight w:val="none"/>
        </w:rPr>
        <w:t xml:space="preserve"> </w:t>
      </w:r>
      <w:r>
        <w:rPr>
          <w:b/>
          <w:color w:val="auto"/>
          <w:sz w:val="21"/>
          <w:highlight w:val="none"/>
        </w:rPr>
        <w:t>年平均风速月变化统计表</w:t>
      </w:r>
      <w:r>
        <w:rPr>
          <w:b/>
          <w:color w:val="auto"/>
          <w:sz w:val="21"/>
          <w:highlight w:val="none"/>
        </w:rPr>
        <w:tab/>
      </w:r>
      <w:r>
        <w:rPr>
          <w:b/>
          <w:color w:val="auto"/>
          <w:sz w:val="21"/>
          <w:highlight w:val="none"/>
        </w:rPr>
        <w:t>单位：</w:t>
      </w:r>
      <w:r>
        <w:rPr>
          <w:rFonts w:ascii="Times New Roman" w:eastAsia="Times New Roman"/>
          <w:b/>
          <w:color w:val="auto"/>
          <w:sz w:val="21"/>
          <w:highlight w:val="none"/>
        </w:rPr>
        <w:t>m/s</w:t>
      </w:r>
    </w:p>
    <w:p>
      <w:pPr>
        <w:pStyle w:val="10"/>
        <w:spacing w:before="5"/>
        <w:ind w:left="0"/>
        <w:rPr>
          <w:rFonts w:ascii="Times New Roman"/>
          <w:b/>
          <w:color w:val="auto"/>
          <w:sz w:val="13"/>
          <w:highlight w:val="none"/>
        </w:rPr>
      </w:pPr>
    </w:p>
    <w:tbl>
      <w:tblPr>
        <w:tblStyle w:val="17"/>
        <w:tblW w:w="0" w:type="auto"/>
        <w:tblInd w:w="1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
        <w:gridCol w:w="693"/>
        <w:gridCol w:w="7"/>
        <w:gridCol w:w="693"/>
        <w:gridCol w:w="7"/>
        <w:gridCol w:w="692"/>
        <w:gridCol w:w="7"/>
        <w:gridCol w:w="694"/>
        <w:gridCol w:w="7"/>
        <w:gridCol w:w="692"/>
        <w:gridCol w:w="7"/>
        <w:gridCol w:w="694"/>
        <w:gridCol w:w="7"/>
        <w:gridCol w:w="706"/>
        <w:gridCol w:w="687"/>
        <w:gridCol w:w="7"/>
        <w:gridCol w:w="692"/>
        <w:gridCol w:w="7"/>
        <w:gridCol w:w="694"/>
        <w:gridCol w:w="7"/>
        <w:gridCol w:w="692"/>
        <w:gridCol w:w="7"/>
        <w:gridCol w:w="693"/>
        <w:gridCol w:w="7"/>
        <w:gridCol w:w="694"/>
        <w:gridCol w:w="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Before w:val="1"/>
          <w:wBefore w:w="7" w:type="dxa"/>
          <w:trHeight w:val="392" w:hRule="atLeast"/>
        </w:trPr>
        <w:tc>
          <w:tcPr>
            <w:tcW w:w="700" w:type="dxa"/>
            <w:gridSpan w:val="2"/>
            <w:tcBorders>
              <w:left w:val="nil"/>
              <w:bottom w:val="single" w:color="000000" w:sz="4" w:space="0"/>
              <w:right w:val="single" w:color="000000" w:sz="4" w:space="0"/>
            </w:tcBorders>
          </w:tcPr>
          <w:p>
            <w:pPr>
              <w:pStyle w:val="22"/>
              <w:bidi w:val="0"/>
              <w:rPr>
                <w:color w:val="auto"/>
                <w:highlight w:val="none"/>
              </w:rPr>
            </w:pPr>
            <w:r>
              <w:rPr>
                <w:color w:val="auto"/>
                <w:highlight w:val="none"/>
              </w:rPr>
              <w:t>月份</w:t>
            </w:r>
          </w:p>
        </w:tc>
        <w:tc>
          <w:tcPr>
            <w:tcW w:w="700"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1月</w:t>
            </w:r>
          </w:p>
        </w:tc>
        <w:tc>
          <w:tcPr>
            <w:tcW w:w="699"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2月</w:t>
            </w:r>
          </w:p>
        </w:tc>
        <w:tc>
          <w:tcPr>
            <w:tcW w:w="701"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3月</w:t>
            </w:r>
          </w:p>
        </w:tc>
        <w:tc>
          <w:tcPr>
            <w:tcW w:w="699"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4月</w:t>
            </w:r>
          </w:p>
        </w:tc>
        <w:tc>
          <w:tcPr>
            <w:tcW w:w="701"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5月</w:t>
            </w:r>
          </w:p>
        </w:tc>
        <w:tc>
          <w:tcPr>
            <w:tcW w:w="706"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6月</w:t>
            </w:r>
          </w:p>
        </w:tc>
        <w:tc>
          <w:tcPr>
            <w:tcW w:w="694"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7月</w:t>
            </w:r>
          </w:p>
        </w:tc>
        <w:tc>
          <w:tcPr>
            <w:tcW w:w="699"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8月</w:t>
            </w:r>
          </w:p>
        </w:tc>
        <w:tc>
          <w:tcPr>
            <w:tcW w:w="701"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9月</w:t>
            </w:r>
          </w:p>
        </w:tc>
        <w:tc>
          <w:tcPr>
            <w:tcW w:w="699"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10月</w:t>
            </w:r>
          </w:p>
        </w:tc>
        <w:tc>
          <w:tcPr>
            <w:tcW w:w="700" w:type="dxa"/>
            <w:gridSpan w:val="2"/>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11月</w:t>
            </w:r>
          </w:p>
        </w:tc>
        <w:tc>
          <w:tcPr>
            <w:tcW w:w="701" w:type="dxa"/>
            <w:gridSpan w:val="2"/>
            <w:tcBorders>
              <w:left w:val="single" w:color="000000" w:sz="4" w:space="0"/>
              <w:bottom w:val="single" w:color="000000" w:sz="4" w:space="0"/>
              <w:right w:val="nil"/>
            </w:tcBorders>
          </w:tcPr>
          <w:p>
            <w:pPr>
              <w:pStyle w:val="22"/>
              <w:bidi w:val="0"/>
              <w:rPr>
                <w:color w:val="auto"/>
                <w:highlight w:val="none"/>
              </w:rPr>
            </w:pPr>
            <w:r>
              <w:rPr>
                <w:color w:val="auto"/>
                <w:highlight w:val="none"/>
              </w:rPr>
              <w:t>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394" w:hRule="atLeast"/>
        </w:trPr>
        <w:tc>
          <w:tcPr>
            <w:tcW w:w="700" w:type="dxa"/>
            <w:gridSpan w:val="2"/>
            <w:tcBorders>
              <w:left w:val="nil"/>
              <w:bottom w:val="single" w:color="000000" w:sz="12" w:space="0"/>
            </w:tcBorders>
          </w:tcPr>
          <w:p>
            <w:pPr>
              <w:pStyle w:val="22"/>
              <w:bidi w:val="0"/>
              <w:rPr>
                <w:color w:val="auto"/>
                <w:highlight w:val="none"/>
              </w:rPr>
            </w:pPr>
            <w:r>
              <w:rPr>
                <w:color w:val="auto"/>
                <w:highlight w:val="none"/>
              </w:rPr>
              <w:t>风速</w:t>
            </w:r>
          </w:p>
        </w:tc>
        <w:tc>
          <w:tcPr>
            <w:tcW w:w="700" w:type="dxa"/>
            <w:gridSpan w:val="2"/>
            <w:tcBorders>
              <w:bottom w:val="single" w:color="000000" w:sz="12" w:space="0"/>
            </w:tcBorders>
          </w:tcPr>
          <w:p>
            <w:pPr>
              <w:pStyle w:val="22"/>
              <w:bidi w:val="0"/>
              <w:rPr>
                <w:color w:val="auto"/>
                <w:highlight w:val="none"/>
              </w:rPr>
            </w:pPr>
            <w:r>
              <w:rPr>
                <w:color w:val="auto"/>
                <w:highlight w:val="none"/>
              </w:rPr>
              <w:t>1.0</w:t>
            </w:r>
          </w:p>
        </w:tc>
        <w:tc>
          <w:tcPr>
            <w:tcW w:w="699" w:type="dxa"/>
            <w:gridSpan w:val="2"/>
            <w:tcBorders>
              <w:bottom w:val="single" w:color="000000" w:sz="12" w:space="0"/>
            </w:tcBorders>
          </w:tcPr>
          <w:p>
            <w:pPr>
              <w:pStyle w:val="22"/>
              <w:bidi w:val="0"/>
              <w:rPr>
                <w:color w:val="auto"/>
                <w:highlight w:val="none"/>
              </w:rPr>
            </w:pPr>
            <w:r>
              <w:rPr>
                <w:color w:val="auto"/>
                <w:highlight w:val="none"/>
              </w:rPr>
              <w:t>1.0</w:t>
            </w:r>
          </w:p>
        </w:tc>
        <w:tc>
          <w:tcPr>
            <w:tcW w:w="701" w:type="dxa"/>
            <w:gridSpan w:val="2"/>
            <w:tcBorders>
              <w:bottom w:val="single" w:color="000000" w:sz="12" w:space="0"/>
            </w:tcBorders>
          </w:tcPr>
          <w:p>
            <w:pPr>
              <w:pStyle w:val="22"/>
              <w:bidi w:val="0"/>
              <w:rPr>
                <w:color w:val="auto"/>
                <w:highlight w:val="none"/>
              </w:rPr>
            </w:pPr>
            <w:r>
              <w:rPr>
                <w:color w:val="auto"/>
                <w:highlight w:val="none"/>
              </w:rPr>
              <w:t>1.3</w:t>
            </w:r>
          </w:p>
        </w:tc>
        <w:tc>
          <w:tcPr>
            <w:tcW w:w="699" w:type="dxa"/>
            <w:gridSpan w:val="2"/>
            <w:tcBorders>
              <w:bottom w:val="single" w:color="000000" w:sz="12" w:space="0"/>
            </w:tcBorders>
          </w:tcPr>
          <w:p>
            <w:pPr>
              <w:pStyle w:val="22"/>
              <w:bidi w:val="0"/>
              <w:rPr>
                <w:color w:val="auto"/>
                <w:highlight w:val="none"/>
              </w:rPr>
            </w:pPr>
            <w:r>
              <w:rPr>
                <w:color w:val="auto"/>
                <w:highlight w:val="none"/>
              </w:rPr>
              <w:t>1.3</w:t>
            </w:r>
          </w:p>
        </w:tc>
        <w:tc>
          <w:tcPr>
            <w:tcW w:w="701" w:type="dxa"/>
            <w:gridSpan w:val="2"/>
            <w:tcBorders>
              <w:bottom w:val="single" w:color="000000" w:sz="12" w:space="0"/>
            </w:tcBorders>
          </w:tcPr>
          <w:p>
            <w:pPr>
              <w:pStyle w:val="22"/>
              <w:bidi w:val="0"/>
              <w:rPr>
                <w:color w:val="auto"/>
                <w:highlight w:val="none"/>
              </w:rPr>
            </w:pPr>
            <w:r>
              <w:rPr>
                <w:color w:val="auto"/>
                <w:highlight w:val="none"/>
              </w:rPr>
              <w:t>1.4</w:t>
            </w:r>
          </w:p>
        </w:tc>
        <w:tc>
          <w:tcPr>
            <w:tcW w:w="713" w:type="dxa"/>
            <w:gridSpan w:val="2"/>
            <w:tcBorders>
              <w:bottom w:val="single" w:color="000000" w:sz="12" w:space="0"/>
            </w:tcBorders>
          </w:tcPr>
          <w:p>
            <w:pPr>
              <w:pStyle w:val="22"/>
              <w:bidi w:val="0"/>
              <w:rPr>
                <w:color w:val="auto"/>
                <w:highlight w:val="none"/>
              </w:rPr>
            </w:pPr>
            <w:r>
              <w:rPr>
                <w:color w:val="auto"/>
                <w:highlight w:val="none"/>
              </w:rPr>
              <w:t>1.3</w:t>
            </w:r>
          </w:p>
        </w:tc>
        <w:tc>
          <w:tcPr>
            <w:tcW w:w="687" w:type="dxa"/>
            <w:tcBorders>
              <w:bottom w:val="single" w:color="000000" w:sz="12" w:space="0"/>
            </w:tcBorders>
          </w:tcPr>
          <w:p>
            <w:pPr>
              <w:pStyle w:val="22"/>
              <w:bidi w:val="0"/>
              <w:rPr>
                <w:color w:val="auto"/>
                <w:highlight w:val="none"/>
              </w:rPr>
            </w:pPr>
            <w:r>
              <w:rPr>
                <w:color w:val="auto"/>
                <w:highlight w:val="none"/>
              </w:rPr>
              <w:t>1.3</w:t>
            </w:r>
          </w:p>
        </w:tc>
        <w:tc>
          <w:tcPr>
            <w:tcW w:w="699" w:type="dxa"/>
            <w:gridSpan w:val="2"/>
            <w:tcBorders>
              <w:bottom w:val="single" w:color="000000" w:sz="12" w:space="0"/>
            </w:tcBorders>
          </w:tcPr>
          <w:p>
            <w:pPr>
              <w:pStyle w:val="22"/>
              <w:bidi w:val="0"/>
              <w:rPr>
                <w:color w:val="auto"/>
                <w:highlight w:val="none"/>
              </w:rPr>
            </w:pPr>
            <w:r>
              <w:rPr>
                <w:color w:val="auto"/>
                <w:highlight w:val="none"/>
              </w:rPr>
              <w:t>1.6</w:t>
            </w:r>
          </w:p>
        </w:tc>
        <w:tc>
          <w:tcPr>
            <w:tcW w:w="701" w:type="dxa"/>
            <w:gridSpan w:val="2"/>
            <w:tcBorders>
              <w:bottom w:val="single" w:color="000000" w:sz="12" w:space="0"/>
            </w:tcBorders>
          </w:tcPr>
          <w:p>
            <w:pPr>
              <w:pStyle w:val="22"/>
              <w:bidi w:val="0"/>
              <w:rPr>
                <w:color w:val="auto"/>
                <w:highlight w:val="none"/>
              </w:rPr>
            </w:pPr>
            <w:r>
              <w:rPr>
                <w:color w:val="auto"/>
                <w:highlight w:val="none"/>
              </w:rPr>
              <w:t>1.4</w:t>
            </w:r>
          </w:p>
        </w:tc>
        <w:tc>
          <w:tcPr>
            <w:tcW w:w="699" w:type="dxa"/>
            <w:gridSpan w:val="2"/>
            <w:tcBorders>
              <w:bottom w:val="single" w:color="000000" w:sz="12" w:space="0"/>
            </w:tcBorders>
          </w:tcPr>
          <w:p>
            <w:pPr>
              <w:pStyle w:val="22"/>
              <w:bidi w:val="0"/>
              <w:rPr>
                <w:color w:val="auto"/>
                <w:highlight w:val="none"/>
              </w:rPr>
            </w:pPr>
            <w:r>
              <w:rPr>
                <w:color w:val="auto"/>
                <w:highlight w:val="none"/>
              </w:rPr>
              <w:t>1.1</w:t>
            </w:r>
          </w:p>
        </w:tc>
        <w:tc>
          <w:tcPr>
            <w:tcW w:w="700" w:type="dxa"/>
            <w:gridSpan w:val="2"/>
            <w:tcBorders>
              <w:bottom w:val="single" w:color="000000" w:sz="12" w:space="0"/>
            </w:tcBorders>
          </w:tcPr>
          <w:p>
            <w:pPr>
              <w:pStyle w:val="22"/>
              <w:bidi w:val="0"/>
              <w:rPr>
                <w:color w:val="auto"/>
                <w:highlight w:val="none"/>
              </w:rPr>
            </w:pPr>
            <w:r>
              <w:rPr>
                <w:color w:val="auto"/>
                <w:highlight w:val="none"/>
              </w:rPr>
              <w:t>1.3</w:t>
            </w:r>
          </w:p>
        </w:tc>
        <w:tc>
          <w:tcPr>
            <w:tcW w:w="701" w:type="dxa"/>
            <w:gridSpan w:val="2"/>
            <w:tcBorders>
              <w:bottom w:val="single" w:color="000000" w:sz="12" w:space="0"/>
              <w:right w:val="nil"/>
            </w:tcBorders>
          </w:tcPr>
          <w:p>
            <w:pPr>
              <w:pStyle w:val="22"/>
              <w:bidi w:val="0"/>
              <w:rPr>
                <w:color w:val="auto"/>
                <w:highlight w:val="none"/>
              </w:rPr>
            </w:pPr>
            <w:r>
              <w:rPr>
                <w:color w:val="auto"/>
                <w:highlight w:val="none"/>
              </w:rPr>
              <w:t>1.1</w:t>
            </w:r>
          </w:p>
        </w:tc>
      </w:tr>
    </w:tbl>
    <w:p>
      <w:pPr>
        <w:pStyle w:val="10"/>
        <w:spacing w:before="4"/>
        <w:ind w:left="0"/>
        <w:rPr>
          <w:rFonts w:ascii="Times New Roman"/>
          <w:b/>
          <w:color w:val="auto"/>
          <w:sz w:val="6"/>
          <w:highlight w:val="none"/>
        </w:rPr>
      </w:pPr>
    </w:p>
    <w:p>
      <w:pPr>
        <w:pStyle w:val="10"/>
        <w:ind w:left="540"/>
        <w:rPr>
          <w:rFonts w:ascii="Times New Roman"/>
          <w:color w:val="auto"/>
          <w:sz w:val="20"/>
          <w:highlight w:val="none"/>
        </w:rPr>
      </w:pPr>
      <w:r>
        <w:rPr>
          <w:rFonts w:ascii="Times New Roman"/>
          <w:color w:val="auto"/>
          <w:sz w:val="20"/>
          <w:highlight w:val="none"/>
        </w:rPr>
        <w:drawing>
          <wp:inline distT="0" distB="0" distL="0" distR="0">
            <wp:extent cx="5297805" cy="2309495"/>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174" cstate="print"/>
                    <a:stretch>
                      <a:fillRect/>
                    </a:stretch>
                  </pic:blipFill>
                  <pic:spPr>
                    <a:xfrm>
                      <a:off x="0" y="0"/>
                      <a:ext cx="5298157" cy="2310003"/>
                    </a:xfrm>
                    <a:prstGeom prst="rect">
                      <a:avLst/>
                    </a:prstGeom>
                  </pic:spPr>
                </pic:pic>
              </a:graphicData>
            </a:graphic>
          </wp:inline>
        </w:drawing>
      </w:r>
    </w:p>
    <w:p>
      <w:pPr>
        <w:tabs>
          <w:tab w:val="left" w:pos="909"/>
        </w:tabs>
        <w:spacing w:before="53"/>
        <w:ind w:left="0" w:right="2" w:firstLine="0"/>
        <w:jc w:val="center"/>
        <w:rPr>
          <w:b/>
          <w:color w:val="auto"/>
          <w:sz w:val="21"/>
          <w:highlight w:val="none"/>
        </w:rPr>
      </w:pPr>
      <w:r>
        <w:rPr>
          <w:b/>
          <w:color w:val="auto"/>
          <w:sz w:val="21"/>
          <w:highlight w:val="none"/>
        </w:rPr>
        <w:t>图</w:t>
      </w:r>
      <w:r>
        <w:rPr>
          <w:b/>
          <w:color w:val="auto"/>
          <w:spacing w:val="-52"/>
          <w:sz w:val="21"/>
          <w:highlight w:val="none"/>
        </w:rPr>
        <w:t xml:space="preserve"> </w:t>
      </w:r>
      <w:r>
        <w:rPr>
          <w:rFonts w:ascii="Times New Roman" w:eastAsia="Times New Roman"/>
          <w:b/>
          <w:color w:val="auto"/>
          <w:sz w:val="21"/>
          <w:highlight w:val="none"/>
        </w:rPr>
        <w:t>5.3-</w:t>
      </w:r>
      <w:r>
        <w:rPr>
          <w:rFonts w:hint="eastAsia"/>
          <w:b/>
          <w:color w:val="auto"/>
          <w:sz w:val="21"/>
          <w:highlight w:val="none"/>
          <w:lang w:val="en-US" w:eastAsia="zh-CN"/>
        </w:rPr>
        <w:t>1</w:t>
      </w:r>
      <w:r>
        <w:rPr>
          <w:rFonts w:ascii="Times New Roman" w:eastAsia="Times New Roman"/>
          <w:b/>
          <w:color w:val="auto"/>
          <w:sz w:val="21"/>
          <w:highlight w:val="none"/>
        </w:rPr>
        <w:tab/>
      </w:r>
      <w:r>
        <w:rPr>
          <w:b/>
          <w:color w:val="auto"/>
          <w:spacing w:val="-51"/>
          <w:sz w:val="21"/>
          <w:highlight w:val="none"/>
        </w:rPr>
        <w:t xml:space="preserve"> </w:t>
      </w:r>
      <w:r>
        <w:rPr>
          <w:rFonts w:ascii="Times New Roman" w:eastAsia="Times New Roman"/>
          <w:b/>
          <w:color w:val="auto"/>
          <w:sz w:val="21"/>
          <w:highlight w:val="none"/>
        </w:rPr>
        <w:t>2020</w:t>
      </w:r>
      <w:r>
        <w:rPr>
          <w:rFonts w:ascii="Times New Roman" w:eastAsia="Times New Roman"/>
          <w:b/>
          <w:color w:val="auto"/>
          <w:spacing w:val="1"/>
          <w:sz w:val="21"/>
          <w:highlight w:val="none"/>
        </w:rPr>
        <w:t xml:space="preserve"> </w:t>
      </w:r>
      <w:r>
        <w:rPr>
          <w:b/>
          <w:color w:val="auto"/>
          <w:sz w:val="21"/>
          <w:highlight w:val="none"/>
        </w:rPr>
        <w:t>年年平均风速的月变化统计图</w:t>
      </w:r>
    </w:p>
    <w:p>
      <w:pPr>
        <w:bidi w:val="0"/>
        <w:rPr>
          <w:color w:val="auto"/>
          <w:highlight w:val="none"/>
        </w:rPr>
      </w:pPr>
      <w:r>
        <w:rPr>
          <w:color w:val="auto"/>
          <w:highlight w:val="none"/>
        </w:rPr>
        <w:t>由以上图表可见，</w:t>
      </w:r>
      <w:r>
        <w:rPr>
          <w:rFonts w:ascii="Times New Roman" w:eastAsia="Times New Roman"/>
          <w:color w:val="auto"/>
          <w:highlight w:val="none"/>
        </w:rPr>
        <w:t>2020</w:t>
      </w:r>
      <w:r>
        <w:rPr>
          <w:color w:val="auto"/>
          <w:highlight w:val="none"/>
        </w:rPr>
        <w:t>年月平均风速变化不大，在</w:t>
      </w:r>
      <w:r>
        <w:rPr>
          <w:rFonts w:ascii="Times New Roman" w:eastAsia="Times New Roman"/>
          <w:color w:val="auto"/>
          <w:highlight w:val="none"/>
        </w:rPr>
        <w:t>1.0~1.6m/s</w:t>
      </w:r>
      <w:r>
        <w:rPr>
          <w:color w:val="auto"/>
          <w:highlight w:val="none"/>
        </w:rPr>
        <w:t>之间，年平均风速</w:t>
      </w:r>
      <w:r>
        <w:rPr>
          <w:rFonts w:ascii="Times New Roman" w:eastAsia="Times New Roman"/>
          <w:color w:val="auto"/>
          <w:highlight w:val="none"/>
        </w:rPr>
        <w:t>1.</w:t>
      </w:r>
      <w:r>
        <w:rPr>
          <w:rFonts w:hint="eastAsia"/>
          <w:color w:val="auto"/>
          <w:highlight w:val="none"/>
          <w:lang w:val="en-US" w:eastAsia="zh-CN"/>
        </w:rPr>
        <w:t>3</w:t>
      </w:r>
      <w:r>
        <w:rPr>
          <w:rFonts w:ascii="Times New Roman" w:eastAsia="Times New Roman"/>
          <w:color w:val="auto"/>
          <w:highlight w:val="none"/>
        </w:rPr>
        <w:t>m/s</w:t>
      </w:r>
      <w:r>
        <w:rPr>
          <w:color w:val="auto"/>
          <w:highlight w:val="none"/>
        </w:rPr>
        <w:t>；全年</w:t>
      </w:r>
      <w:r>
        <w:rPr>
          <w:rFonts w:ascii="Times New Roman" w:eastAsia="Times New Roman"/>
          <w:color w:val="auto"/>
          <w:highlight w:val="none"/>
        </w:rPr>
        <w:t>5</w:t>
      </w:r>
      <w:r>
        <w:rPr>
          <w:color w:val="auto"/>
          <w:highlight w:val="none"/>
        </w:rPr>
        <w:t>、</w:t>
      </w:r>
      <w:r>
        <w:rPr>
          <w:rFonts w:ascii="Times New Roman" w:eastAsia="Times New Roman"/>
          <w:color w:val="auto"/>
          <w:highlight w:val="none"/>
        </w:rPr>
        <w:t>8</w:t>
      </w:r>
      <w:r>
        <w:rPr>
          <w:color w:val="auto"/>
          <w:highlight w:val="none"/>
        </w:rPr>
        <w:t>、</w:t>
      </w:r>
      <w:r>
        <w:rPr>
          <w:rFonts w:ascii="Times New Roman" w:eastAsia="Times New Roman"/>
          <w:color w:val="auto"/>
          <w:highlight w:val="none"/>
        </w:rPr>
        <w:t>9</w:t>
      </w:r>
      <w:r>
        <w:rPr>
          <w:color w:val="auto"/>
          <w:highlight w:val="none"/>
        </w:rPr>
        <w:t>月风速均大于年平均风速，有利于大气污染物扩散；</w:t>
      </w:r>
      <w:r>
        <w:rPr>
          <w:rFonts w:ascii="Times New Roman" w:eastAsia="Times New Roman"/>
          <w:color w:val="auto"/>
          <w:highlight w:val="none"/>
        </w:rPr>
        <w:t>1</w:t>
      </w:r>
      <w:r>
        <w:rPr>
          <w:color w:val="auto"/>
          <w:highlight w:val="none"/>
        </w:rPr>
        <w:t>、</w:t>
      </w:r>
      <w:r>
        <w:rPr>
          <w:rFonts w:ascii="Times New Roman" w:eastAsia="Times New Roman"/>
          <w:color w:val="auto"/>
          <w:highlight w:val="none"/>
        </w:rPr>
        <w:t>2</w:t>
      </w:r>
      <w:r>
        <w:rPr>
          <w:color w:val="auto"/>
          <w:highlight w:val="none"/>
        </w:rPr>
        <w:t>、</w:t>
      </w:r>
      <w:r>
        <w:rPr>
          <w:rFonts w:ascii="Times New Roman" w:eastAsia="Times New Roman"/>
          <w:color w:val="auto"/>
          <w:highlight w:val="none"/>
        </w:rPr>
        <w:t>10</w:t>
      </w:r>
      <w:r>
        <w:rPr>
          <w:color w:val="auto"/>
          <w:highlight w:val="none"/>
        </w:rPr>
        <w:t>、</w:t>
      </w:r>
      <w:r>
        <w:rPr>
          <w:rFonts w:ascii="Times New Roman" w:eastAsia="Times New Roman"/>
          <w:color w:val="auto"/>
          <w:highlight w:val="none"/>
        </w:rPr>
        <w:t xml:space="preserve">12 </w:t>
      </w:r>
      <w:r>
        <w:rPr>
          <w:color w:val="auto"/>
          <w:highlight w:val="none"/>
        </w:rPr>
        <w:t>月风速均低于年平均风速，不利于大气污染物的扩散。</w:t>
      </w:r>
    </w:p>
    <w:p>
      <w:pPr>
        <w:pStyle w:val="6"/>
        <w:numPr>
          <w:ilvl w:val="2"/>
          <w:numId w:val="10"/>
        </w:numPr>
        <w:bidi w:val="0"/>
        <w:rPr>
          <w:color w:val="auto"/>
          <w:highlight w:val="none"/>
        </w:rPr>
      </w:pPr>
      <w:bookmarkStart w:id="411" w:name="5.3.2 大气污染影响分析"/>
      <w:bookmarkEnd w:id="411"/>
      <w:bookmarkStart w:id="412" w:name="5.3.2 大气污染影响分析"/>
      <w:bookmarkEnd w:id="412"/>
      <w:bookmarkStart w:id="413" w:name="_Toc2184"/>
      <w:bookmarkStart w:id="414" w:name="_Toc30263"/>
      <w:r>
        <w:rPr>
          <w:color w:val="auto"/>
          <w:highlight w:val="none"/>
        </w:rPr>
        <w:t>大气污染影响分析</w:t>
      </w:r>
      <w:bookmarkEnd w:id="413"/>
      <w:bookmarkEnd w:id="414"/>
    </w:p>
    <w:p>
      <w:pPr>
        <w:bidi w:val="0"/>
        <w:rPr>
          <w:color w:val="auto"/>
          <w:highlight w:val="none"/>
        </w:rPr>
      </w:pPr>
      <w:r>
        <w:rPr>
          <w:color w:val="auto"/>
          <w:highlight w:val="none"/>
        </w:rPr>
        <w:t>结合</w:t>
      </w:r>
      <w:r>
        <w:rPr>
          <w:rFonts w:hint="eastAsia"/>
          <w:color w:val="auto"/>
          <w:highlight w:val="none"/>
          <w:lang w:eastAsia="zh-CN"/>
        </w:rPr>
        <w:t>规划</w:t>
      </w:r>
      <w:r>
        <w:rPr>
          <w:color w:val="auto"/>
          <w:highlight w:val="none"/>
        </w:rPr>
        <w:t>矿区各矿井实际情况，大气污染源包括原煤及矸石临时堆场扬尘、运输道路扬尘、井下粉尘等，各矿井</w:t>
      </w:r>
      <w:r>
        <w:rPr>
          <w:rFonts w:hint="eastAsia"/>
          <w:color w:val="auto"/>
          <w:highlight w:val="none"/>
          <w:lang w:eastAsia="zh-CN"/>
        </w:rPr>
        <w:t>投产后</w:t>
      </w:r>
      <w:r>
        <w:rPr>
          <w:color w:val="auto"/>
          <w:highlight w:val="none"/>
        </w:rPr>
        <w:t>无锅炉、点源排放。</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原煤及矸石临时堆场扬尘</w:t>
      </w:r>
    </w:p>
    <w:p>
      <w:pPr>
        <w:bidi w:val="0"/>
        <w:rPr>
          <w:color w:val="auto"/>
          <w:highlight w:val="none"/>
        </w:rPr>
      </w:pPr>
      <w:r>
        <w:rPr>
          <w:color w:val="auto"/>
          <w:highlight w:val="none"/>
        </w:rPr>
        <w:t>矿区各矿井工业场地设置有原煤和矸石临时堆场。原煤在地面中转时经过翻车机、皮带运输机等设施时将产生扬尘。各矿井原煤出井后进入封闭式装卸场地，并采取喷雾洒水措施后，对周围环境影响较小。</w:t>
      </w:r>
    </w:p>
    <w:p>
      <w:pPr>
        <w:bidi w:val="0"/>
        <w:rPr>
          <w:color w:val="auto"/>
          <w:highlight w:val="none"/>
        </w:rPr>
      </w:pPr>
      <w:r>
        <w:rPr>
          <w:color w:val="auto"/>
          <w:highlight w:val="none"/>
        </w:rPr>
        <w:t>根据《煤矸石综合利用管理办法》规定，临时排矸场储存规模不超过</w:t>
      </w:r>
      <w:r>
        <w:rPr>
          <w:rFonts w:ascii="Times New Roman" w:eastAsia="Times New Roman"/>
          <w:color w:val="auto"/>
          <w:highlight w:val="none"/>
        </w:rPr>
        <w:t>3</w:t>
      </w:r>
      <w:r>
        <w:rPr>
          <w:color w:val="auto"/>
          <w:highlight w:val="none"/>
        </w:rPr>
        <w:t>年的排矸量，因此，本次环评要求各矿山不得建设永久性排矸场，临时排矸场服务期满后全部综合利用。且要求临时矸石场应分区堆存，同时压实，堆存区覆盖密目网，降低起尘量；矸石装卸过程采用洒水降尘，且矸石周转场矸石以选煤厂洗选矸石为主，含水率较大，起尘量小，采取洒水措施后，矸石场扬尘量极小，对周围环境影响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产品装车扬尘点</w:t>
      </w:r>
    </w:p>
    <w:p>
      <w:pPr>
        <w:bidi w:val="0"/>
        <w:rPr>
          <w:color w:val="auto"/>
          <w:highlight w:val="none"/>
        </w:rPr>
      </w:pPr>
      <w:r>
        <w:rPr>
          <w:color w:val="auto"/>
          <w:highlight w:val="none"/>
        </w:rPr>
        <w:t>选煤厂产品在封闭式产品仓内装车外运。煤炭在装车过程中由于落差会产生一定量无组织扬尘，由于产品煤表面含水率较高，且装车过程是在棚仓内进行，因此该部分无组织排放量较小，扬尘产生较为集中，仅局限在车厢附近</w:t>
      </w:r>
      <w:r>
        <w:rPr>
          <w:rFonts w:hint="eastAsia"/>
          <w:color w:val="auto"/>
          <w:highlight w:val="none"/>
          <w:lang w:eastAsia="zh-CN"/>
        </w:rPr>
        <w:t>，</w:t>
      </w:r>
      <w:r>
        <w:rPr>
          <w:color w:val="auto"/>
          <w:highlight w:val="none"/>
        </w:rPr>
        <w:t>即只对装车点附近有局部影响。装车点无组织扬尘排放量小，对外环境影响较小。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运输扬尘</w:t>
      </w:r>
    </w:p>
    <w:p>
      <w:pPr>
        <w:bidi w:val="0"/>
        <w:rPr>
          <w:rFonts w:hint="default" w:eastAsia="宋体"/>
          <w:color w:val="auto"/>
          <w:highlight w:val="none"/>
          <w:lang w:val="en-US" w:eastAsia="zh-CN"/>
        </w:rPr>
      </w:pPr>
      <w:r>
        <w:rPr>
          <w:color w:val="auto"/>
          <w:highlight w:val="none"/>
        </w:rPr>
        <w:t>本区矿产资源外运主要采用汽车运输，运输车辆加盖篷布，进场道路采用沥青砼路面。根据国内道路扬尘实测资料结果类比分析，扬尘浓随距离增加衰减，主要影响范围在公路两侧</w:t>
      </w:r>
      <w:r>
        <w:rPr>
          <w:rFonts w:ascii="Times New Roman" w:eastAsia="Times New Roman"/>
          <w:color w:val="auto"/>
          <w:highlight w:val="none"/>
        </w:rPr>
        <w:t>50m</w:t>
      </w:r>
      <w:r>
        <w:rPr>
          <w:color w:val="auto"/>
          <w:highlight w:val="none"/>
        </w:rPr>
        <w:t>范围内，本次评价要求对进出场道路每日定时洒水，采取上述措施后，矿产资源运输粉尘对大气环境影响较小。</w:t>
      </w:r>
      <w:r>
        <w:rPr>
          <w:rFonts w:hint="eastAsia"/>
          <w:color w:val="auto"/>
          <w:highlight w:val="none"/>
          <w:lang w:eastAsia="zh-CN"/>
        </w:rPr>
        <w:t>此外，柏林煤矿原煤外运是采用滑索索道运输到达川区渡市</w:t>
      </w:r>
      <w:r>
        <w:rPr>
          <w:rFonts w:hint="eastAsia"/>
          <w:color w:val="auto"/>
          <w:highlight w:val="none"/>
          <w:lang w:val="en-US" w:eastAsia="zh-CN"/>
        </w:rPr>
        <w:t>镇的川煤集团内的洗选煤厂进行原煤的洗选加工，索道运输距离约9.5km，运输中用煤斗车装运，通过封闭运输（加盖篷布等），扬尘对沿途大气环境影响较小。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井下粉尘影响分析</w:t>
      </w:r>
    </w:p>
    <w:p>
      <w:pPr>
        <w:bidi w:val="0"/>
        <w:rPr>
          <w:color w:val="auto"/>
          <w:highlight w:val="none"/>
        </w:rPr>
      </w:pPr>
      <w:r>
        <w:rPr>
          <w:color w:val="auto"/>
          <w:highlight w:val="none"/>
        </w:rPr>
        <w:t>井下粉尘主要来源于工作面爆破、井下装运时产生。根据国内类似矿山实测统计资料表明：采取湿式凿岩、爆破洒水降尘、井下通风后，井下作业区粉尘浓度可控制在《工作场所有害因素职业接触限值》</w:t>
      </w:r>
      <w:r>
        <w:rPr>
          <w:rFonts w:ascii="Times New Roman" w:hAnsi="Times New Roman" w:eastAsia="Times New Roman"/>
          <w:color w:val="auto"/>
          <w:highlight w:val="none"/>
        </w:rPr>
        <w:t>(GBZ2-2002)</w:t>
      </w:r>
      <w:r>
        <w:rPr>
          <w:color w:val="auto"/>
          <w:highlight w:val="none"/>
        </w:rPr>
        <w:t>中表</w:t>
      </w:r>
      <w:r>
        <w:rPr>
          <w:rFonts w:ascii="Times New Roman" w:hAnsi="Times New Roman" w:eastAsia="Times New Roman"/>
          <w:color w:val="auto"/>
          <w:highlight w:val="none"/>
        </w:rPr>
        <w:t>2</w:t>
      </w:r>
      <w:r>
        <w:rPr>
          <w:color w:val="auto"/>
          <w:highlight w:val="none"/>
        </w:rPr>
        <w:t>“工作场所空气中粉尘容许浓度”规定的时间加权平均容许浓度</w:t>
      </w:r>
      <w:r>
        <w:rPr>
          <w:rFonts w:ascii="Times New Roman" w:hAnsi="Times New Roman" w:eastAsia="Times New Roman"/>
          <w:color w:val="auto"/>
          <w:highlight w:val="none"/>
        </w:rPr>
        <w:t>(4.0mg/m³)</w:t>
      </w:r>
      <w:r>
        <w:rPr>
          <w:color w:val="auto"/>
          <w:highlight w:val="none"/>
        </w:rPr>
        <w:t>以下，井下粉尘通过矿井主要通风机经风井排出井外，属无组织排放，且仅在爆破刚结束的排风阶段浓度较高，正常生产阶段的粉尘及</w:t>
      </w:r>
      <w:r>
        <w:rPr>
          <w:rFonts w:ascii="Times New Roman" w:hAnsi="Times New Roman" w:eastAsia="Times New Roman"/>
          <w:color w:val="auto"/>
          <w:highlight w:val="none"/>
        </w:rPr>
        <w:t>NOx</w:t>
      </w:r>
      <w:r>
        <w:rPr>
          <w:color w:val="auto"/>
          <w:highlight w:val="none"/>
        </w:rPr>
        <w:t>等浓度均不高，在矿界外最高点浓度符合《煤炭工业污染物排放标准》</w:t>
      </w:r>
      <w:r>
        <w:rPr>
          <w:rFonts w:ascii="Times New Roman" w:hAnsi="Times New Roman" w:eastAsia="Times New Roman"/>
          <w:color w:val="auto"/>
          <w:highlight w:val="none"/>
        </w:rPr>
        <w:t>(GB20426-2006)</w:t>
      </w:r>
      <w:r>
        <w:rPr>
          <w:color w:val="auto"/>
          <w:highlight w:val="none"/>
        </w:rPr>
        <w:t>中的表</w:t>
      </w:r>
      <w:r>
        <w:rPr>
          <w:rFonts w:ascii="Times New Roman" w:hAnsi="Times New Roman" w:eastAsia="Times New Roman"/>
          <w:color w:val="auto"/>
          <w:highlight w:val="none"/>
        </w:rPr>
        <w:t>5</w:t>
      </w:r>
      <w:r>
        <w:rPr>
          <w:color w:val="auto"/>
          <w:highlight w:val="none"/>
        </w:rPr>
        <w:t>和《大气污染物综合排放标准》</w:t>
      </w:r>
      <w:r>
        <w:rPr>
          <w:rFonts w:ascii="Times New Roman" w:hAnsi="Times New Roman" w:eastAsia="Times New Roman"/>
          <w:color w:val="auto"/>
          <w:highlight w:val="none"/>
        </w:rPr>
        <w:t>(GB16297-1996)</w:t>
      </w:r>
      <w:r>
        <w:rPr>
          <w:color w:val="auto"/>
          <w:highlight w:val="none"/>
        </w:rPr>
        <w:t>中表</w:t>
      </w:r>
      <w:r>
        <w:rPr>
          <w:rFonts w:ascii="Times New Roman" w:hAnsi="Times New Roman" w:eastAsia="Times New Roman"/>
          <w:color w:val="auto"/>
          <w:highlight w:val="none"/>
        </w:rPr>
        <w:t>2</w:t>
      </w:r>
      <w:r>
        <w:rPr>
          <w:color w:val="auto"/>
          <w:highlight w:val="none"/>
        </w:rPr>
        <w:t>中的相关规定。对于爆破工段的煤尘，本项目主要采用洒水方法进行抑尘，降尘效率约为</w:t>
      </w:r>
      <w:r>
        <w:rPr>
          <w:rFonts w:ascii="Times New Roman" w:eastAsia="Times New Roman"/>
          <w:color w:val="auto"/>
          <w:highlight w:val="none"/>
        </w:rPr>
        <w:t>80%</w:t>
      </w:r>
      <w:r>
        <w:rPr>
          <w:color w:val="auto"/>
          <w:highlight w:val="none"/>
        </w:rPr>
        <w:t>左右。通过采取喷雾洒水等防尘措施后，风硐口的粉尘浓度可降到</w:t>
      </w:r>
      <w:r>
        <w:rPr>
          <w:rFonts w:ascii="Times New Roman" w:eastAsia="Times New Roman"/>
          <w:color w:val="auto"/>
          <w:highlight w:val="none"/>
        </w:rPr>
        <w:t>1.0mg/m</w:t>
      </w:r>
      <w:r>
        <w:rPr>
          <w:rFonts w:ascii="Times New Roman" w:eastAsia="Times New Roman"/>
          <w:color w:val="auto"/>
          <w:position w:val="8"/>
          <w:sz w:val="15"/>
          <w:highlight w:val="none"/>
        </w:rPr>
        <w:t>3</w:t>
      </w:r>
      <w:r>
        <w:rPr>
          <w:color w:val="auto"/>
          <w:highlight w:val="none"/>
        </w:rPr>
        <w:t>以下。井下粉尘对周围环境影响较小。</w:t>
      </w:r>
    </w:p>
    <w:p>
      <w:pPr>
        <w:pStyle w:val="5"/>
        <w:numPr>
          <w:ilvl w:val="1"/>
          <w:numId w:val="10"/>
        </w:numPr>
        <w:bidi w:val="0"/>
        <w:rPr>
          <w:color w:val="auto"/>
          <w:highlight w:val="none"/>
        </w:rPr>
      </w:pPr>
      <w:bookmarkStart w:id="415" w:name="_bookmark29"/>
      <w:bookmarkEnd w:id="415"/>
      <w:bookmarkStart w:id="416" w:name="5.4 地表水环境影响预测与评价"/>
      <w:bookmarkEnd w:id="416"/>
      <w:bookmarkStart w:id="417" w:name="_Toc8518"/>
      <w:bookmarkStart w:id="418" w:name="_Toc24598"/>
      <w:r>
        <w:rPr>
          <w:color w:val="auto"/>
          <w:highlight w:val="none"/>
        </w:rPr>
        <w:t>地表水环境影响预测与评价</w:t>
      </w:r>
      <w:bookmarkEnd w:id="417"/>
      <w:bookmarkEnd w:id="418"/>
    </w:p>
    <w:p>
      <w:pPr>
        <w:pStyle w:val="6"/>
        <w:numPr>
          <w:ilvl w:val="2"/>
          <w:numId w:val="10"/>
        </w:numPr>
        <w:bidi w:val="0"/>
        <w:rPr>
          <w:color w:val="auto"/>
          <w:highlight w:val="none"/>
        </w:rPr>
      </w:pPr>
      <w:bookmarkStart w:id="419" w:name="5.4.1 地表水系"/>
      <w:bookmarkEnd w:id="419"/>
      <w:bookmarkStart w:id="420" w:name="5.4.1 地表水系"/>
      <w:bookmarkEnd w:id="420"/>
      <w:bookmarkStart w:id="421" w:name="_Toc27308"/>
      <w:bookmarkStart w:id="422" w:name="_Toc1075"/>
      <w:r>
        <w:rPr>
          <w:color w:val="auto"/>
          <w:highlight w:val="none"/>
        </w:rPr>
        <w:t>地表水系</w:t>
      </w:r>
      <w:bookmarkEnd w:id="421"/>
      <w:bookmarkEnd w:id="422"/>
    </w:p>
    <w:p>
      <w:pPr>
        <w:bidi w:val="0"/>
        <w:rPr>
          <w:rFonts w:hint="eastAsia" w:eastAsia="宋体"/>
          <w:color w:val="auto"/>
          <w:highlight w:val="none"/>
          <w:lang w:eastAsia="zh-CN"/>
        </w:rPr>
      </w:pPr>
      <w:r>
        <w:rPr>
          <w:rFonts w:hint="eastAsia"/>
          <w:color w:val="auto"/>
          <w:highlight w:val="none"/>
        </w:rPr>
        <w:t>大竹县境内无大江大河，仅有东柳河、铜钵河、东河、黄滩河(西河)四条小河及竹溪河、柳城溪、兴隆河、清水河、八渡</w:t>
      </w:r>
      <w:r>
        <w:rPr>
          <w:rFonts w:hint="eastAsia"/>
          <w:color w:val="auto"/>
          <w:highlight w:val="none"/>
          <w:lang w:eastAsia="zh-CN"/>
        </w:rPr>
        <w:t>河</w:t>
      </w:r>
      <w:r>
        <w:rPr>
          <w:rFonts w:hint="eastAsia"/>
          <w:color w:val="auto"/>
          <w:highlight w:val="none"/>
        </w:rPr>
        <w:t>、上白水河、下白水河七条小溪(40平方公里以上)，全属长江水系，均发源于大竹</w:t>
      </w:r>
      <w:r>
        <w:rPr>
          <w:rFonts w:hint="eastAsia"/>
          <w:color w:val="auto"/>
          <w:highlight w:val="none"/>
          <w:lang w:eastAsia="zh-CN"/>
        </w:rPr>
        <w:t>。东柳河</w:t>
      </w:r>
      <w:r>
        <w:rPr>
          <w:rFonts w:hint="eastAsia"/>
          <w:color w:val="auto"/>
          <w:highlight w:val="none"/>
        </w:rPr>
        <w:t>源于铜锣山黄泥扁西侧朝阳乡境的花土地，北流至庞家咀出县境，注入州河</w:t>
      </w:r>
      <w:r>
        <w:rPr>
          <w:rFonts w:hint="eastAsia"/>
          <w:color w:val="auto"/>
          <w:highlight w:val="none"/>
          <w:lang w:eastAsia="zh-CN"/>
        </w:rPr>
        <w:t>；铜钵河</w:t>
      </w:r>
      <w:r>
        <w:rPr>
          <w:rFonts w:hint="eastAsia"/>
          <w:color w:val="auto"/>
          <w:highlight w:val="none"/>
        </w:rPr>
        <w:t>源于白坝乡百羊坡下遇河沟，北流至安吉乡入达川区</w:t>
      </w:r>
      <w:r>
        <w:rPr>
          <w:rFonts w:hint="eastAsia"/>
          <w:color w:val="auto"/>
          <w:highlight w:val="none"/>
          <w:lang w:eastAsia="zh-CN"/>
        </w:rPr>
        <w:t>；黄滩河</w:t>
      </w:r>
      <w:r>
        <w:rPr>
          <w:rFonts w:hint="eastAsia"/>
          <w:color w:val="auto"/>
          <w:highlight w:val="none"/>
        </w:rPr>
        <w:t>源于西河乡八角庙，南流至高家乡后入邻水县</w:t>
      </w:r>
      <w:r>
        <w:rPr>
          <w:rFonts w:hint="eastAsia"/>
          <w:color w:val="auto"/>
          <w:highlight w:val="none"/>
          <w:lang w:eastAsia="zh-CN"/>
        </w:rPr>
        <w:t>；东河</w:t>
      </w:r>
      <w:r>
        <w:rPr>
          <w:rFonts w:hint="eastAsia"/>
          <w:color w:val="auto"/>
          <w:highlight w:val="none"/>
        </w:rPr>
        <w:t>源于八渡乡华星寨南，向南流至张家乡入邻水县</w:t>
      </w:r>
      <w:r>
        <w:rPr>
          <w:rFonts w:hint="eastAsia"/>
          <w:color w:val="auto"/>
          <w:highlight w:val="none"/>
          <w:lang w:eastAsia="zh-CN"/>
        </w:rPr>
        <w:t>。</w:t>
      </w:r>
    </w:p>
    <w:p>
      <w:pPr>
        <w:pStyle w:val="6"/>
        <w:numPr>
          <w:ilvl w:val="2"/>
          <w:numId w:val="10"/>
        </w:numPr>
        <w:bidi w:val="0"/>
        <w:rPr>
          <w:color w:val="auto"/>
          <w:highlight w:val="none"/>
        </w:rPr>
      </w:pPr>
      <w:bookmarkStart w:id="423" w:name="5.4.2 水环境影响分析"/>
      <w:bookmarkEnd w:id="423"/>
      <w:bookmarkStart w:id="424" w:name="5.4.2 水环境影响分析"/>
      <w:bookmarkEnd w:id="424"/>
      <w:bookmarkStart w:id="425" w:name="_Toc9826"/>
      <w:bookmarkStart w:id="426" w:name="_Toc32134"/>
      <w:r>
        <w:rPr>
          <w:color w:val="auto"/>
          <w:highlight w:val="none"/>
        </w:rPr>
        <w:t>水环境影响分析</w:t>
      </w:r>
      <w:bookmarkEnd w:id="425"/>
      <w:bookmarkEnd w:id="426"/>
    </w:p>
    <w:p>
      <w:pPr>
        <w:bidi w:val="0"/>
        <w:rPr>
          <w:color w:val="auto"/>
          <w:highlight w:val="none"/>
        </w:rPr>
      </w:pPr>
      <w:r>
        <w:rPr>
          <w:color w:val="auto"/>
          <w:highlight w:val="none"/>
        </w:rPr>
        <w:t>矿区废水来源于生产废水、生活污水。生产废水包括井下排水、洗煤废水以及锅炉房排水。</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洗煤废水</w:t>
      </w:r>
    </w:p>
    <w:p>
      <w:pPr>
        <w:bidi w:val="0"/>
        <w:rPr>
          <w:color w:val="auto"/>
          <w:highlight w:val="none"/>
        </w:rPr>
      </w:pPr>
      <w:r>
        <w:rPr>
          <w:color w:val="auto"/>
          <w:position w:val="2"/>
          <w:highlight w:val="none"/>
        </w:rPr>
        <w:t>洗煤废水主要为煤泥水，主要为</w:t>
      </w:r>
      <w:r>
        <w:rPr>
          <w:rFonts w:ascii="Times New Roman" w:eastAsia="Times New Roman"/>
          <w:color w:val="auto"/>
          <w:position w:val="2"/>
          <w:highlight w:val="none"/>
        </w:rPr>
        <w:t>SS</w:t>
      </w:r>
      <w:r>
        <w:rPr>
          <w:color w:val="auto"/>
          <w:position w:val="2"/>
          <w:highlight w:val="none"/>
        </w:rPr>
        <w:t>、</w:t>
      </w:r>
      <w:r>
        <w:rPr>
          <w:rFonts w:ascii="Times New Roman" w:eastAsia="Times New Roman"/>
          <w:color w:val="auto"/>
          <w:position w:val="2"/>
          <w:highlight w:val="none"/>
        </w:rPr>
        <w:t>CODcr</w:t>
      </w:r>
      <w:r>
        <w:rPr>
          <w:color w:val="auto"/>
          <w:position w:val="2"/>
          <w:highlight w:val="none"/>
        </w:rPr>
        <w:t>、</w:t>
      </w:r>
      <w:r>
        <w:rPr>
          <w:rFonts w:ascii="Times New Roman" w:eastAsia="Times New Roman"/>
          <w:color w:val="auto"/>
          <w:position w:val="2"/>
          <w:highlight w:val="none"/>
        </w:rPr>
        <w:t>BOD</w:t>
      </w:r>
      <w:r>
        <w:rPr>
          <w:rFonts w:ascii="Times New Roman" w:eastAsia="Times New Roman"/>
          <w:color w:val="auto"/>
          <w:position w:val="2"/>
          <w:highlight w:val="none"/>
          <w:vertAlign w:val="subscript"/>
        </w:rPr>
        <w:t>5</w:t>
      </w:r>
      <w:r>
        <w:rPr>
          <w:rFonts w:hint="eastAsia"/>
          <w:color w:val="auto"/>
          <w:position w:val="2"/>
          <w:highlight w:val="none"/>
          <w:vertAlign w:val="baseline"/>
          <w:lang w:eastAsia="zh-CN"/>
        </w:rPr>
        <w:t>、</w:t>
      </w:r>
      <w:r>
        <w:rPr>
          <w:color w:val="auto"/>
          <w:position w:val="2"/>
          <w:highlight w:val="none"/>
          <w:vertAlign w:val="baseline"/>
        </w:rPr>
        <w:t>微量的总砷、总镉</w:t>
      </w:r>
      <w:r>
        <w:rPr>
          <w:color w:val="auto"/>
          <w:highlight w:val="none"/>
        </w:rPr>
        <w:t>、总铬、六价铬、总铅、总砷、总锌、氟化物等，煤泥水集中收集经加药装置进入高效浓缩机处理，浓缩机溢流水进入循环水桶，浓缩机底流煤泥送入煤泥压滤系统，洗煤工艺废水为</w:t>
      </w:r>
      <w:r>
        <w:rPr>
          <w:rFonts w:hint="eastAsia"/>
          <w:color w:val="auto"/>
          <w:highlight w:val="none"/>
          <w:lang w:eastAsia="zh-CN"/>
        </w:rPr>
        <w:t>一级</w:t>
      </w:r>
      <w:r>
        <w:rPr>
          <w:color w:val="auto"/>
          <w:highlight w:val="none"/>
        </w:rPr>
        <w:t>闭路循环，全部回用于生产工艺，不外排。</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井下排水</w:t>
      </w:r>
    </w:p>
    <w:p>
      <w:pPr>
        <w:bidi w:val="0"/>
        <w:rPr>
          <w:rFonts w:hint="eastAsia" w:eastAsia="宋体"/>
          <w:color w:val="auto"/>
          <w:highlight w:val="none"/>
          <w:lang w:eastAsia="zh-CN"/>
        </w:rPr>
      </w:pPr>
      <w:r>
        <w:rPr>
          <w:color w:val="auto"/>
          <w:spacing w:val="3"/>
          <w:highlight w:val="none"/>
        </w:rPr>
        <w:t>矿井水中污染物的组成和含量与地质构造、煤层伴生矿物、煤炭相邻岩层</w:t>
      </w:r>
      <w:r>
        <w:rPr>
          <w:color w:val="auto"/>
          <w:highlight w:val="none"/>
        </w:rPr>
        <w:t>的成分、开采强度、采煤方式、采煤深度等多种因素有关，</w:t>
      </w:r>
      <w:r>
        <w:rPr>
          <w:rFonts w:hint="eastAsia"/>
          <w:color w:val="auto"/>
          <w:highlight w:val="none"/>
          <w:lang w:eastAsia="zh-CN"/>
        </w:rPr>
        <w:t>根据监测资料并</w:t>
      </w:r>
      <w:r>
        <w:rPr>
          <w:color w:val="auto"/>
          <w:highlight w:val="none"/>
        </w:rPr>
        <w:t>类比同类行业废水，其主要污染因子为</w:t>
      </w:r>
      <w:r>
        <w:rPr>
          <w:rFonts w:ascii="Times New Roman" w:hAnsi="Times New Roman" w:eastAsia="Times New Roman"/>
          <w:color w:val="auto"/>
          <w:highlight w:val="none"/>
        </w:rPr>
        <w:t>SS</w:t>
      </w:r>
      <w:r>
        <w:rPr>
          <w:color w:val="auto"/>
          <w:spacing w:val="4"/>
          <w:highlight w:val="none"/>
        </w:rPr>
        <w:t>、</w:t>
      </w:r>
      <w:r>
        <w:rPr>
          <w:rFonts w:ascii="Times New Roman" w:hAnsi="Times New Roman" w:eastAsia="Times New Roman"/>
          <w:color w:val="auto"/>
          <w:highlight w:val="none"/>
        </w:rPr>
        <w:t>COD</w:t>
      </w:r>
      <w:r>
        <w:rPr>
          <w:color w:val="auto"/>
          <w:highlight w:val="none"/>
        </w:rPr>
        <w:t>等。矿区各矿井工业场地分别设矿井水处理</w:t>
      </w:r>
      <w:r>
        <w:rPr>
          <w:rFonts w:hint="eastAsia"/>
          <w:color w:val="auto"/>
          <w:highlight w:val="none"/>
          <w:lang w:eastAsia="zh-CN"/>
        </w:rPr>
        <w:t>区</w:t>
      </w:r>
      <w:r>
        <w:rPr>
          <w:color w:val="auto"/>
          <w:highlight w:val="none"/>
        </w:rPr>
        <w:t>对井下排水进行净化处理，规划规模根据井下涌水量确定。采用</w:t>
      </w:r>
      <w:r>
        <w:rPr>
          <w:rFonts w:ascii="Times New Roman" w:hAnsi="Times New Roman" w:eastAsia="Times New Roman"/>
          <w:color w:val="auto"/>
          <w:highlight w:val="none"/>
        </w:rPr>
        <w:t>“</w:t>
      </w:r>
      <w:r>
        <w:rPr>
          <w:color w:val="auto"/>
          <w:highlight w:val="none"/>
        </w:rPr>
        <w:t>计量泵压力投药</w:t>
      </w:r>
      <w:r>
        <w:rPr>
          <w:rFonts w:ascii="Times New Roman" w:hAnsi="Times New Roman" w:eastAsia="Times New Roman"/>
          <w:color w:val="auto"/>
          <w:highlight w:val="none"/>
        </w:rPr>
        <w:t>→</w:t>
      </w:r>
      <w:r>
        <w:rPr>
          <w:color w:val="auto"/>
          <w:highlight w:val="none"/>
        </w:rPr>
        <w:t>混合</w:t>
      </w:r>
      <w:r>
        <w:rPr>
          <w:rFonts w:ascii="Times New Roman" w:hAnsi="Times New Roman" w:eastAsia="Times New Roman"/>
          <w:color w:val="auto"/>
          <w:highlight w:val="none"/>
        </w:rPr>
        <w:t>→</w:t>
      </w:r>
      <w:r>
        <w:rPr>
          <w:color w:val="auto"/>
          <w:highlight w:val="none"/>
        </w:rPr>
        <w:t>絮凝</w:t>
      </w:r>
      <w:r>
        <w:rPr>
          <w:rFonts w:ascii="Times New Roman" w:hAnsi="Times New Roman" w:eastAsia="Times New Roman"/>
          <w:color w:val="auto"/>
          <w:highlight w:val="none"/>
        </w:rPr>
        <w:t>→</w:t>
      </w:r>
      <w:r>
        <w:rPr>
          <w:color w:val="auto"/>
          <w:highlight w:val="none"/>
        </w:rPr>
        <w:t>沉淀</w:t>
      </w:r>
      <w:r>
        <w:rPr>
          <w:rFonts w:ascii="Times New Roman" w:hAnsi="Times New Roman" w:eastAsia="Times New Roman"/>
          <w:color w:val="auto"/>
          <w:highlight w:val="none"/>
        </w:rPr>
        <w:t>→</w:t>
      </w:r>
      <w:r>
        <w:rPr>
          <w:rFonts w:hint="eastAsia"/>
          <w:color w:val="auto"/>
          <w:highlight w:val="none"/>
          <w:lang w:eastAsia="zh-CN"/>
        </w:rPr>
        <w:t>过滤</w:t>
      </w:r>
      <w:r>
        <w:rPr>
          <w:rFonts w:ascii="Times New Roman" w:hAnsi="Times New Roman" w:eastAsia="Times New Roman"/>
          <w:color w:val="auto"/>
          <w:highlight w:val="none"/>
        </w:rPr>
        <w:t>→</w:t>
      </w:r>
      <w:r>
        <w:rPr>
          <w:color w:val="auto"/>
          <w:highlight w:val="none"/>
        </w:rPr>
        <w:t>液氯消毒</w:t>
      </w:r>
      <w:r>
        <w:rPr>
          <w:rFonts w:ascii="Times New Roman" w:hAnsi="Times New Roman" w:eastAsia="Times New Roman"/>
          <w:color w:val="auto"/>
          <w:highlight w:val="none"/>
        </w:rPr>
        <w:t>”</w:t>
      </w:r>
      <w:r>
        <w:rPr>
          <w:color w:val="auto"/>
          <w:highlight w:val="none"/>
        </w:rPr>
        <w:t>水处理工艺处理</w:t>
      </w:r>
      <w:r>
        <w:rPr>
          <w:rFonts w:hint="eastAsia"/>
          <w:color w:val="auto"/>
          <w:highlight w:val="none"/>
          <w:lang w:eastAsia="zh-CN"/>
        </w:rPr>
        <w:t>部分</w:t>
      </w:r>
      <w:r>
        <w:rPr>
          <w:color w:val="auto"/>
          <w:highlight w:val="none"/>
        </w:rPr>
        <w:t>回用于井下洒水和选煤厂生产用水</w:t>
      </w:r>
      <w:r>
        <w:rPr>
          <w:rFonts w:hint="eastAsia"/>
          <w:color w:val="auto"/>
          <w:highlight w:val="none"/>
          <w:lang w:eastAsia="zh-CN"/>
        </w:rPr>
        <w:t>等，多余废水达标排放进入周边受纳水体，本次评价根据环环评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w:t>
      </w:r>
      <w:r>
        <w:rPr>
          <w:color w:val="auto"/>
          <w:highlight w:val="none"/>
        </w:rPr>
        <w:t>。</w:t>
      </w:r>
      <w:r>
        <w:rPr>
          <w:rFonts w:hint="eastAsia"/>
          <w:color w:val="auto"/>
          <w:highlight w:val="none"/>
          <w:lang w:eastAsia="zh-CN"/>
        </w:rPr>
        <w:t>因此，矿井水排入受纳水体对水体水质环境影响极小。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生活污水</w:t>
      </w:r>
    </w:p>
    <w:p>
      <w:pPr>
        <w:bidi w:val="0"/>
        <w:rPr>
          <w:color w:val="auto"/>
          <w:highlight w:val="none"/>
        </w:rPr>
      </w:pPr>
      <w:r>
        <w:rPr>
          <w:color w:val="auto"/>
          <w:position w:val="2"/>
          <w:highlight w:val="none"/>
        </w:rPr>
        <w:t>生活污水主要污染因子为</w:t>
      </w:r>
      <w:r>
        <w:rPr>
          <w:rFonts w:ascii="Times New Roman" w:eastAsia="Times New Roman"/>
          <w:color w:val="auto"/>
          <w:position w:val="2"/>
          <w:highlight w:val="none"/>
        </w:rPr>
        <w:t>COD</w:t>
      </w:r>
      <w:r>
        <w:rPr>
          <w:color w:val="auto"/>
          <w:position w:val="2"/>
          <w:highlight w:val="none"/>
        </w:rPr>
        <w:t>、</w:t>
      </w:r>
      <w:r>
        <w:rPr>
          <w:rFonts w:ascii="Times New Roman" w:eastAsia="Times New Roman"/>
          <w:color w:val="auto"/>
          <w:position w:val="2"/>
          <w:highlight w:val="none"/>
        </w:rPr>
        <w:t>NH</w:t>
      </w:r>
      <w:r>
        <w:rPr>
          <w:rFonts w:ascii="Times New Roman" w:eastAsia="Times New Roman"/>
          <w:color w:val="auto"/>
          <w:position w:val="2"/>
          <w:highlight w:val="none"/>
          <w:vertAlign w:val="subscript"/>
        </w:rPr>
        <w:t>3</w:t>
      </w:r>
      <w:r>
        <w:rPr>
          <w:rFonts w:ascii="Times New Roman" w:eastAsia="Times New Roman"/>
          <w:color w:val="auto"/>
          <w:position w:val="2"/>
          <w:highlight w:val="none"/>
          <w:vertAlign w:val="baseline"/>
        </w:rPr>
        <w:t>-N</w:t>
      </w:r>
      <w:r>
        <w:rPr>
          <w:color w:val="auto"/>
          <w:position w:val="2"/>
          <w:highlight w:val="none"/>
          <w:vertAlign w:val="baseline"/>
        </w:rPr>
        <w:t>、</w:t>
      </w:r>
      <w:r>
        <w:rPr>
          <w:rFonts w:ascii="Times New Roman" w:eastAsia="Times New Roman"/>
          <w:color w:val="auto"/>
          <w:position w:val="2"/>
          <w:highlight w:val="none"/>
          <w:vertAlign w:val="baseline"/>
        </w:rPr>
        <w:t>SS</w:t>
      </w:r>
      <w:r>
        <w:rPr>
          <w:color w:val="auto"/>
          <w:position w:val="2"/>
          <w:highlight w:val="none"/>
          <w:vertAlign w:val="baseline"/>
        </w:rPr>
        <w:t>等，各矿井生活污水进入生活</w:t>
      </w:r>
      <w:r>
        <w:rPr>
          <w:color w:val="auto"/>
          <w:highlight w:val="none"/>
          <w:vertAlign w:val="baseline"/>
        </w:rPr>
        <w:t>污水处理站处理，中水回用，多余部分区域生态用水，不直接排入地表水体。</w:t>
      </w:r>
    </w:p>
    <w:p>
      <w:pPr>
        <w:pStyle w:val="5"/>
        <w:numPr>
          <w:ilvl w:val="1"/>
          <w:numId w:val="10"/>
        </w:numPr>
        <w:bidi w:val="0"/>
        <w:rPr>
          <w:color w:val="auto"/>
          <w:highlight w:val="none"/>
        </w:rPr>
      </w:pPr>
      <w:bookmarkStart w:id="427" w:name="_bookmark30"/>
      <w:bookmarkEnd w:id="427"/>
      <w:bookmarkStart w:id="428" w:name="5.5 声环境影响预测与评价"/>
      <w:bookmarkEnd w:id="428"/>
      <w:bookmarkStart w:id="429" w:name="_Toc14647"/>
      <w:bookmarkStart w:id="430" w:name="_Toc14857"/>
      <w:r>
        <w:rPr>
          <w:color w:val="auto"/>
          <w:highlight w:val="none"/>
        </w:rPr>
        <w:t>声环境影响预测与评价</w:t>
      </w:r>
      <w:bookmarkEnd w:id="429"/>
      <w:bookmarkEnd w:id="430"/>
    </w:p>
    <w:p>
      <w:pPr>
        <w:bidi w:val="0"/>
        <w:rPr>
          <w:color w:val="auto"/>
          <w:highlight w:val="none"/>
        </w:rPr>
      </w:pPr>
      <w:r>
        <w:rPr>
          <w:color w:val="auto"/>
          <w:highlight w:val="none"/>
        </w:rPr>
        <w:t>矿区煤炭资源的开发和利用过程中，产生的噪声主要为工业企业噪声以及交通运输噪声。</w:t>
      </w:r>
    </w:p>
    <w:p>
      <w:pPr>
        <w:pStyle w:val="6"/>
        <w:numPr>
          <w:ilvl w:val="2"/>
          <w:numId w:val="10"/>
        </w:numPr>
        <w:bidi w:val="0"/>
        <w:rPr>
          <w:color w:val="auto"/>
          <w:highlight w:val="none"/>
        </w:rPr>
      </w:pPr>
      <w:bookmarkStart w:id="431" w:name="5.5.1 工业企业噪声影响分析"/>
      <w:bookmarkEnd w:id="431"/>
      <w:bookmarkStart w:id="432" w:name="5.5.1 工业企业噪声影响分析"/>
      <w:bookmarkEnd w:id="432"/>
      <w:bookmarkStart w:id="433" w:name="_Toc26047"/>
      <w:bookmarkStart w:id="434" w:name="_Toc7872"/>
      <w:r>
        <w:rPr>
          <w:color w:val="auto"/>
          <w:highlight w:val="none"/>
        </w:rPr>
        <w:t>工业企业噪声影响分析</w:t>
      </w:r>
      <w:bookmarkEnd w:id="433"/>
      <w:bookmarkEnd w:id="434"/>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噪声源</w:t>
      </w:r>
    </w:p>
    <w:p>
      <w:pPr>
        <w:bidi w:val="0"/>
        <w:rPr>
          <w:color w:val="auto"/>
          <w:highlight w:val="none"/>
        </w:rPr>
      </w:pPr>
      <w:r>
        <w:rPr>
          <w:color w:val="auto"/>
          <w:highlight w:val="none"/>
        </w:rPr>
        <w:t>矿区工业企业噪声主要为各矿井工业场地设备噪声源，主副井提升机房、通风机房、空压机站、机修车间等。另外，还包括破碎筛分、块煤入溜槽、板框压滤机等。根据一般矿井同类设备噪声源的类比，这些设备的噪声源声压级约为</w:t>
      </w:r>
      <w:r>
        <w:rPr>
          <w:rFonts w:ascii="Times New Roman" w:eastAsia="Times New Roman"/>
          <w:color w:val="auto"/>
          <w:highlight w:val="none"/>
        </w:rPr>
        <w:t>82~105dB</w:t>
      </w:r>
      <w:r>
        <w:rPr>
          <w:color w:val="auto"/>
          <w:highlight w:val="none"/>
        </w:rPr>
        <w:t>（</w:t>
      </w:r>
      <w:r>
        <w:rPr>
          <w:rFonts w:ascii="Times New Roman" w:eastAsia="Times New Roman"/>
          <w:color w:val="auto"/>
          <w:highlight w:val="none"/>
        </w:rPr>
        <w:t>A</w:t>
      </w:r>
      <w:r>
        <w:rPr>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预测模式</w:t>
      </w:r>
    </w:p>
    <w:p>
      <w:pPr>
        <w:bidi w:val="0"/>
        <w:rPr>
          <w:color w:val="auto"/>
          <w:highlight w:val="none"/>
        </w:rPr>
      </w:pPr>
      <w:r>
        <w:rPr>
          <w:color w:val="auto"/>
          <w:highlight w:val="none"/>
        </w:rPr>
        <w:t>选择点声源模式预测噪声随距离的衰减变化规律，计算公式为：</w:t>
      </w:r>
    </w:p>
    <w:p>
      <w:pPr>
        <w:pStyle w:val="10"/>
        <w:spacing w:before="2"/>
        <w:ind w:left="0"/>
        <w:jc w:val="center"/>
        <w:rPr>
          <w:color w:val="auto"/>
          <w:highlight w:val="none"/>
        </w:rPr>
      </w:pPr>
      <w:r>
        <w:rPr>
          <w:color w:val="auto"/>
          <w:highlight w:val="none"/>
        </w:rPr>
        <w:drawing>
          <wp:inline distT="0" distB="0" distL="0" distR="0">
            <wp:extent cx="3307080" cy="264795"/>
            <wp:effectExtent l="0" t="0" r="7620" b="1905"/>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a:picLocks noChangeAspect="1"/>
                    </pic:cNvPicPr>
                  </pic:nvPicPr>
                  <pic:blipFill>
                    <a:blip r:embed="rId175" cstate="print"/>
                    <a:stretch>
                      <a:fillRect/>
                    </a:stretch>
                  </pic:blipFill>
                  <pic:spPr>
                    <a:xfrm>
                      <a:off x="0" y="0"/>
                      <a:ext cx="3307080" cy="264795"/>
                    </a:xfrm>
                    <a:prstGeom prst="rect">
                      <a:avLst/>
                    </a:prstGeom>
                  </pic:spPr>
                </pic:pic>
              </a:graphicData>
            </a:graphic>
          </wp:inline>
        </w:drawing>
      </w:r>
    </w:p>
    <w:p>
      <w:pPr>
        <w:bidi w:val="0"/>
        <w:rPr>
          <w:color w:val="auto"/>
          <w:highlight w:val="none"/>
        </w:rPr>
      </w:pPr>
      <w:r>
        <w:rPr>
          <w:color w:val="auto"/>
          <w:highlight w:val="none"/>
        </w:rPr>
        <w:t>式中：</w:t>
      </w:r>
    </w:p>
    <w:p>
      <w:pPr>
        <w:bidi w:val="0"/>
        <w:rPr>
          <w:color w:val="auto"/>
          <w:highlight w:val="none"/>
        </w:rPr>
      </w:pPr>
      <w:r>
        <w:rPr>
          <w:color w:val="auto"/>
          <w:highlight w:val="none"/>
        </w:rPr>
        <w:t xml:space="preserve">Loct（r）——点声源在预测点产生的倍频带声压级，dB（A）； </w:t>
      </w:r>
    </w:p>
    <w:p>
      <w:pPr>
        <w:bidi w:val="0"/>
        <w:rPr>
          <w:color w:val="auto"/>
          <w:highlight w:val="none"/>
        </w:rPr>
      </w:pPr>
      <w:r>
        <w:rPr>
          <w:color w:val="auto"/>
          <w:highlight w:val="none"/>
        </w:rPr>
        <w:t>Loct（r0）——参考位置r0处的倍频带声压级，dB（A）；</w:t>
      </w:r>
    </w:p>
    <w:p>
      <w:pPr>
        <w:bidi w:val="0"/>
        <w:rPr>
          <w:color w:val="auto"/>
          <w:highlight w:val="none"/>
        </w:rPr>
      </w:pPr>
      <w:r>
        <w:rPr>
          <w:color w:val="auto"/>
          <w:highlight w:val="none"/>
        </w:rPr>
        <w:t>r——预测点距声源的距离，m；</w:t>
      </w:r>
    </w:p>
    <w:p>
      <w:pPr>
        <w:bidi w:val="0"/>
        <w:rPr>
          <w:color w:val="auto"/>
          <w:highlight w:val="none"/>
        </w:rPr>
      </w:pPr>
      <w:r>
        <w:rPr>
          <w:color w:val="auto"/>
          <w:highlight w:val="none"/>
        </w:rPr>
        <w:t>r0——参考位置距声源的距离，m；</w:t>
      </w:r>
    </w:p>
    <w:p>
      <w:pPr>
        <w:bidi w:val="0"/>
        <w:rPr>
          <w:color w:val="auto"/>
          <w:highlight w:val="none"/>
        </w:rPr>
      </w:pPr>
      <w:r>
        <w:rPr>
          <w:color w:val="auto"/>
          <w:highlight w:val="none"/>
        </w:rPr>
        <w:t>△Loct（r）——各种因素引起的衰减量（包括声屏障、遮挡物和空气吸收、地面效应引起的衰减量），dB（A）。</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预测结果</w:t>
      </w:r>
    </w:p>
    <w:p>
      <w:pPr>
        <w:bidi w:val="0"/>
        <w:rPr>
          <w:color w:val="auto"/>
          <w:highlight w:val="none"/>
        </w:rPr>
      </w:pPr>
      <w:r>
        <w:rPr>
          <w:color w:val="auto"/>
          <w:highlight w:val="none"/>
        </w:rPr>
        <w:t>根据以上模式，可模拟预测工业企业设备噪声随距离衰减变化规律，具体结果见表5.5-1。</w:t>
      </w:r>
    </w:p>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5.5-1</w:t>
      </w:r>
      <w:r>
        <w:rPr>
          <w:rFonts w:hint="eastAsia"/>
          <w:b/>
          <w:color w:val="auto"/>
          <w:sz w:val="21"/>
          <w:highlight w:val="none"/>
          <w:lang w:val="en-US" w:eastAsia="zh-CN"/>
        </w:rPr>
        <w:t xml:space="preserve">   </w:t>
      </w:r>
      <w:r>
        <w:rPr>
          <w:b/>
          <w:color w:val="auto"/>
          <w:sz w:val="21"/>
          <w:highlight w:val="none"/>
        </w:rPr>
        <w:t>区域环境噪声预测结果</w:t>
      </w: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36"/>
        <w:gridCol w:w="565"/>
        <w:gridCol w:w="767"/>
        <w:gridCol w:w="766"/>
        <w:gridCol w:w="767"/>
        <w:gridCol w:w="766"/>
        <w:gridCol w:w="767"/>
        <w:gridCol w:w="767"/>
        <w:gridCol w:w="766"/>
        <w:gridCol w:w="767"/>
        <w:gridCol w:w="767"/>
        <w:gridCol w:w="77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6" w:hRule="atLeast"/>
        </w:trPr>
        <w:tc>
          <w:tcPr>
            <w:tcW w:w="836" w:type="dxa"/>
            <w:vMerge w:val="restart"/>
            <w:tcBorders>
              <w:left w:val="nil"/>
              <w:bottom w:val="single" w:color="000000" w:sz="4" w:space="0"/>
              <w:right w:val="single" w:color="000000" w:sz="4" w:space="0"/>
            </w:tcBorders>
          </w:tcPr>
          <w:p>
            <w:pPr>
              <w:pStyle w:val="22"/>
              <w:bidi w:val="0"/>
              <w:rPr>
                <w:color w:val="auto"/>
                <w:highlight w:val="none"/>
              </w:rPr>
            </w:pPr>
            <w:r>
              <w:rPr>
                <w:color w:val="auto"/>
                <w:highlight w:val="none"/>
              </w:rPr>
              <w:t>源强</w:t>
            </w:r>
          </w:p>
          <w:p>
            <w:pPr>
              <w:pStyle w:val="22"/>
              <w:bidi w:val="0"/>
              <w:rPr>
                <w:color w:val="auto"/>
                <w:highlight w:val="none"/>
              </w:rPr>
            </w:pPr>
            <w:r>
              <w:rPr>
                <w:color w:val="auto"/>
                <w:highlight w:val="none"/>
              </w:rPr>
              <w:t>dB（A）</w:t>
            </w:r>
          </w:p>
        </w:tc>
        <w:tc>
          <w:tcPr>
            <w:tcW w:w="8244" w:type="dxa"/>
            <w:gridSpan w:val="11"/>
            <w:tcBorders>
              <w:left w:val="single" w:color="000000" w:sz="4" w:space="0"/>
              <w:bottom w:val="single" w:color="000000" w:sz="4" w:space="0"/>
              <w:right w:val="nil"/>
            </w:tcBorders>
          </w:tcPr>
          <w:p>
            <w:pPr>
              <w:pStyle w:val="22"/>
              <w:bidi w:val="0"/>
              <w:rPr>
                <w:color w:val="auto"/>
                <w:highlight w:val="none"/>
              </w:rPr>
            </w:pPr>
            <w:r>
              <w:rPr>
                <w:color w:val="auto"/>
                <w:highlight w:val="none"/>
              </w:rPr>
              <w:t>与声源距离（m）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0" w:hRule="atLeast"/>
        </w:trPr>
        <w:tc>
          <w:tcPr>
            <w:tcW w:w="836"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56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20</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40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60</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80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100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120</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140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160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180</w:t>
            </w:r>
          </w:p>
        </w:tc>
        <w:tc>
          <w:tcPr>
            <w:tcW w:w="7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83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85</w:t>
            </w:r>
          </w:p>
        </w:tc>
        <w:tc>
          <w:tcPr>
            <w:tcW w:w="56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85</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33.02</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27.00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23.48</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20.98</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19.04</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17.46</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16.12</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14.96</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13.94</w:t>
            </w:r>
          </w:p>
        </w:tc>
        <w:tc>
          <w:tcPr>
            <w:tcW w:w="7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13.02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836"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95</w:t>
            </w:r>
          </w:p>
        </w:tc>
        <w:tc>
          <w:tcPr>
            <w:tcW w:w="56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95</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43.02</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37.00</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33.48</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30.98</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29.04</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27.46</w:t>
            </w:r>
          </w:p>
        </w:tc>
        <w:tc>
          <w:tcPr>
            <w:tcW w:w="76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26.12</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24.96</w:t>
            </w:r>
          </w:p>
        </w:tc>
        <w:tc>
          <w:tcPr>
            <w:tcW w:w="76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23.94</w:t>
            </w:r>
          </w:p>
        </w:tc>
        <w:tc>
          <w:tcPr>
            <w:tcW w:w="779"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23.02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5" w:hRule="atLeast"/>
        </w:trPr>
        <w:tc>
          <w:tcPr>
            <w:tcW w:w="836" w:type="dxa"/>
            <w:tcBorders>
              <w:top w:val="single" w:color="000000" w:sz="4" w:space="0"/>
              <w:left w:val="nil"/>
              <w:right w:val="single" w:color="000000" w:sz="4" w:space="0"/>
            </w:tcBorders>
          </w:tcPr>
          <w:p>
            <w:pPr>
              <w:pStyle w:val="22"/>
              <w:bidi w:val="0"/>
              <w:rPr>
                <w:color w:val="auto"/>
                <w:highlight w:val="none"/>
              </w:rPr>
            </w:pPr>
            <w:r>
              <w:rPr>
                <w:color w:val="auto"/>
                <w:highlight w:val="none"/>
              </w:rPr>
              <w:t>105</w:t>
            </w:r>
          </w:p>
        </w:tc>
        <w:tc>
          <w:tcPr>
            <w:tcW w:w="56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105</w:t>
            </w:r>
          </w:p>
        </w:tc>
        <w:tc>
          <w:tcPr>
            <w:tcW w:w="76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53.02</w:t>
            </w:r>
          </w:p>
        </w:tc>
        <w:tc>
          <w:tcPr>
            <w:tcW w:w="76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47.00</w:t>
            </w:r>
          </w:p>
        </w:tc>
        <w:tc>
          <w:tcPr>
            <w:tcW w:w="76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43.48</w:t>
            </w:r>
          </w:p>
        </w:tc>
        <w:tc>
          <w:tcPr>
            <w:tcW w:w="76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40.98</w:t>
            </w:r>
          </w:p>
        </w:tc>
        <w:tc>
          <w:tcPr>
            <w:tcW w:w="76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39.04</w:t>
            </w:r>
          </w:p>
        </w:tc>
        <w:tc>
          <w:tcPr>
            <w:tcW w:w="76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37.46</w:t>
            </w:r>
          </w:p>
        </w:tc>
        <w:tc>
          <w:tcPr>
            <w:tcW w:w="76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36.12</w:t>
            </w:r>
          </w:p>
        </w:tc>
        <w:tc>
          <w:tcPr>
            <w:tcW w:w="76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34.96</w:t>
            </w:r>
          </w:p>
        </w:tc>
        <w:tc>
          <w:tcPr>
            <w:tcW w:w="76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33.94</w:t>
            </w:r>
          </w:p>
        </w:tc>
        <w:tc>
          <w:tcPr>
            <w:tcW w:w="779" w:type="dxa"/>
            <w:tcBorders>
              <w:top w:val="single" w:color="000000" w:sz="4" w:space="0"/>
              <w:left w:val="single" w:color="000000" w:sz="4" w:space="0"/>
              <w:right w:val="nil"/>
            </w:tcBorders>
          </w:tcPr>
          <w:p>
            <w:pPr>
              <w:pStyle w:val="22"/>
              <w:bidi w:val="0"/>
              <w:rPr>
                <w:color w:val="auto"/>
                <w:highlight w:val="none"/>
              </w:rPr>
            </w:pPr>
            <w:r>
              <w:rPr>
                <w:color w:val="auto"/>
                <w:highlight w:val="none"/>
              </w:rPr>
              <w:t>33.02</w:t>
            </w:r>
          </w:p>
        </w:tc>
      </w:tr>
    </w:tbl>
    <w:p>
      <w:pPr>
        <w:bidi w:val="0"/>
        <w:rPr>
          <w:color w:val="auto"/>
          <w:highlight w:val="none"/>
        </w:rPr>
      </w:pPr>
      <w:r>
        <w:rPr>
          <w:color w:val="auto"/>
          <w:highlight w:val="none"/>
        </w:rPr>
        <w:t>由上表可知，设备噪声在20m范围内会超过2类区夜间标准，但实际中还要考虑墙体的隔声，隔声后的设备噪声在厂房外20m处基本上就满足2类区标准要求。应注意的是以上计算结果只计算了单个声源的距离，还要考虑多个声源的相互叠加影响。因此，应对声源采取隔声、消声、减震等措施尽量从声源处对噪声进行消减，同时规划区内各企业在设计和布局时应合理进行规划，以减少对外环境的影响。</w:t>
      </w:r>
    </w:p>
    <w:p>
      <w:pPr>
        <w:pStyle w:val="6"/>
        <w:numPr>
          <w:ilvl w:val="2"/>
          <w:numId w:val="10"/>
        </w:numPr>
        <w:bidi w:val="0"/>
        <w:rPr>
          <w:color w:val="auto"/>
          <w:highlight w:val="none"/>
        </w:rPr>
      </w:pPr>
      <w:bookmarkStart w:id="435" w:name="5.5.2 运输道路交通噪声"/>
      <w:bookmarkEnd w:id="435"/>
      <w:bookmarkStart w:id="436" w:name="5.5.2 运输道路交通噪声"/>
      <w:bookmarkEnd w:id="436"/>
      <w:bookmarkStart w:id="437" w:name="_Toc32127"/>
      <w:bookmarkStart w:id="438" w:name="_Toc30087"/>
      <w:r>
        <w:rPr>
          <w:color w:val="auto"/>
          <w:highlight w:val="none"/>
        </w:rPr>
        <w:t>运输道路交通噪声</w:t>
      </w:r>
      <w:bookmarkEnd w:id="437"/>
      <w:bookmarkEnd w:id="438"/>
    </w:p>
    <w:p>
      <w:pPr>
        <w:bidi w:val="0"/>
        <w:rPr>
          <w:color w:val="auto"/>
          <w:highlight w:val="none"/>
        </w:rPr>
      </w:pPr>
      <w:r>
        <w:rPr>
          <w:color w:val="auto"/>
          <w:highlight w:val="none"/>
        </w:rPr>
        <w:t>运输噪声与运输设备、道路路面状况、载重量大小、运行速度等因素有关。一般情况下，运输车辆状态不佳、道路路面不良、超载、运行速度高、爬坡时的噪声较大，影响范围也较大。根据现有矿井煤炭运输道路类比，矿区公路运输一般影响距离在200m 以内。因此，规划方案实施时应“以避让为主、防治为辅”，将道路两侧200m 作为道路卫生防护距离，合理选择道路经过的线路，尽量减少受影响的人群数量。在无法避绕噪声敏感区时，应通过限制“超载”、维护道路路面，营造道路防护林等降低公路运输噪声。</w:t>
      </w:r>
    </w:p>
    <w:p>
      <w:pPr>
        <w:pStyle w:val="5"/>
        <w:numPr>
          <w:ilvl w:val="1"/>
          <w:numId w:val="10"/>
        </w:numPr>
        <w:bidi w:val="0"/>
        <w:rPr>
          <w:color w:val="auto"/>
          <w:highlight w:val="none"/>
        </w:rPr>
      </w:pPr>
      <w:bookmarkStart w:id="439" w:name="_bookmark31"/>
      <w:bookmarkEnd w:id="439"/>
      <w:bookmarkStart w:id="440" w:name="5.6 固体废物处置环境影响分析"/>
      <w:bookmarkEnd w:id="440"/>
      <w:bookmarkStart w:id="441" w:name="_Toc14570"/>
      <w:bookmarkStart w:id="442" w:name="_Toc10075"/>
      <w:r>
        <w:rPr>
          <w:color w:val="auto"/>
          <w:highlight w:val="none"/>
        </w:rPr>
        <w:t>固体废物处置环境影响分析</w:t>
      </w:r>
      <w:bookmarkEnd w:id="441"/>
      <w:bookmarkEnd w:id="442"/>
    </w:p>
    <w:p>
      <w:pPr>
        <w:bidi w:val="0"/>
        <w:rPr>
          <w:color w:val="auto"/>
          <w:highlight w:val="none"/>
        </w:rPr>
      </w:pPr>
      <w:r>
        <w:rPr>
          <w:color w:val="auto"/>
          <w:highlight w:val="none"/>
        </w:rPr>
        <w:t>从规划层次来考虑，规划环评主要从宏观角度分析矿区固体废物处置方案合理性，提出固体废物处置的优化建议。本报告将首先分析固体服务产生量和分类，然后分析矿区处 置方案的合理性，并在此基础上提出矿区固体废物处置优化建议。</w:t>
      </w:r>
    </w:p>
    <w:p>
      <w:pPr>
        <w:pStyle w:val="6"/>
        <w:numPr>
          <w:ilvl w:val="2"/>
          <w:numId w:val="10"/>
        </w:numPr>
        <w:bidi w:val="0"/>
        <w:rPr>
          <w:color w:val="auto"/>
          <w:highlight w:val="none"/>
        </w:rPr>
      </w:pPr>
      <w:bookmarkStart w:id="443" w:name="5.6.1 固体废物的种类及产生量"/>
      <w:bookmarkEnd w:id="443"/>
      <w:bookmarkStart w:id="444" w:name="5.6.1 固体废物的种类及产生量"/>
      <w:bookmarkEnd w:id="444"/>
      <w:bookmarkStart w:id="445" w:name="_Toc11926"/>
      <w:bookmarkStart w:id="446" w:name="_Toc24720"/>
      <w:r>
        <w:rPr>
          <w:color w:val="auto"/>
          <w:highlight w:val="none"/>
        </w:rPr>
        <w:t>固体废物的种类及产生量</w:t>
      </w:r>
      <w:bookmarkEnd w:id="445"/>
      <w:bookmarkEnd w:id="446"/>
    </w:p>
    <w:p>
      <w:pPr>
        <w:bidi w:val="0"/>
        <w:rPr>
          <w:color w:val="auto"/>
          <w:highlight w:val="none"/>
        </w:rPr>
      </w:pPr>
      <w:r>
        <w:rPr>
          <w:color w:val="auto"/>
          <w:highlight w:val="none"/>
        </w:rPr>
        <w:t>根据前文分析，矿区产生的固体废物包括煤矸石、选煤厂洗选矸石、生活垃圾、矿井废水处理站煤泥、生活污水处理站污泥。</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煤矸石</w:t>
      </w:r>
    </w:p>
    <w:p>
      <w:pPr>
        <w:bidi w:val="0"/>
        <w:rPr>
          <w:color w:val="auto"/>
          <w:highlight w:val="none"/>
        </w:rPr>
      </w:pPr>
      <w:r>
        <w:rPr>
          <w:color w:val="auto"/>
          <w:highlight w:val="none"/>
        </w:rPr>
        <w:t>矿区</w:t>
      </w:r>
      <w:r>
        <w:rPr>
          <w:rFonts w:hint="eastAsia"/>
          <w:color w:val="auto"/>
          <w:highlight w:val="none"/>
          <w:lang w:eastAsia="zh-CN"/>
        </w:rPr>
        <w:t>三个矿段</w:t>
      </w:r>
      <w:r>
        <w:rPr>
          <w:color w:val="auto"/>
          <w:highlight w:val="none"/>
        </w:rPr>
        <w:t>生产规模为</w:t>
      </w:r>
      <w:r>
        <w:rPr>
          <w:rFonts w:hint="eastAsia"/>
          <w:color w:val="auto"/>
          <w:highlight w:val="none"/>
          <w:lang w:val="en-US" w:eastAsia="zh-CN"/>
        </w:rPr>
        <w:t>390</w:t>
      </w:r>
      <w:r>
        <w:rPr>
          <w:color w:val="auto"/>
          <w:highlight w:val="none"/>
        </w:rPr>
        <w:t>万t/年，矿井运行期间产生的固体废弃物主要是井下矸石，开采煤矿矸石含量约占产煤量的1</w:t>
      </w:r>
      <w:r>
        <w:rPr>
          <w:rFonts w:hint="eastAsia"/>
          <w:color w:val="auto"/>
          <w:highlight w:val="none"/>
          <w:lang w:val="en-US" w:eastAsia="zh-CN"/>
        </w:rPr>
        <w:t>5</w:t>
      </w:r>
      <w:r>
        <w:rPr>
          <w:color w:val="auto"/>
          <w:highlight w:val="none"/>
        </w:rPr>
        <w:t>%计，则矸石排量为</w:t>
      </w:r>
      <w:r>
        <w:rPr>
          <w:rFonts w:hint="eastAsia"/>
          <w:color w:val="auto"/>
          <w:highlight w:val="none"/>
          <w:lang w:val="en-US" w:eastAsia="zh-CN"/>
        </w:rPr>
        <w:t>58.5</w:t>
      </w:r>
      <w:r>
        <w:rPr>
          <w:color w:val="auto"/>
          <w:highlight w:val="none"/>
        </w:rPr>
        <w:t>万t/a。</w:t>
      </w:r>
    </w:p>
    <w:p>
      <w:pPr>
        <w:bidi w:val="0"/>
        <w:rPr>
          <w:rFonts w:hint="default" w:eastAsia="宋体"/>
          <w:color w:val="auto"/>
          <w:highlight w:val="none"/>
          <w:lang w:val="en-US" w:eastAsia="zh-CN"/>
        </w:rPr>
      </w:pPr>
      <w:r>
        <w:rPr>
          <w:rFonts w:hint="eastAsia"/>
          <w:color w:val="auto"/>
          <w:highlight w:val="none"/>
          <w:lang w:eastAsia="zh-CN"/>
        </w:rPr>
        <w:t>矿区矿井生产中</w:t>
      </w:r>
      <w:r>
        <w:rPr>
          <w:color w:val="auto"/>
          <w:highlight w:val="none"/>
        </w:rPr>
        <w:t>，由于施工作业和矿井煤炭开采产生的掘进矸石。矸石主要成分为碳、硅、铝、铁、钙等元素，还含有各种痕量的重金属元素，有可能通过淋滤液污染水体，或自燃污染大气。根据矸石</w:t>
      </w:r>
      <w:r>
        <w:rPr>
          <w:rFonts w:hint="eastAsia"/>
          <w:color w:val="auto"/>
          <w:highlight w:val="none"/>
          <w:lang w:eastAsia="zh-CN"/>
        </w:rPr>
        <w:t>浸出毒性</w:t>
      </w:r>
      <w:r>
        <w:rPr>
          <w:color w:val="auto"/>
          <w:highlight w:val="none"/>
        </w:rPr>
        <w:t>试验，对矸石堆场的矸石浸出毒性分析。煤矸石的浸出毒性试验均低于检出限。类比该测试结果，煤矸石属《一般工业固体废物贮存、处置场污染控制标准》（GB18599-2001）中第Ⅰ类一般工业固体废物，临时排矸场按Ⅰ类储存场设计。</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生活垃圾</w:t>
      </w:r>
    </w:p>
    <w:p>
      <w:pPr>
        <w:bidi w:val="0"/>
        <w:rPr>
          <w:color w:val="auto"/>
          <w:highlight w:val="none"/>
        </w:rPr>
      </w:pPr>
      <w:r>
        <w:rPr>
          <w:color w:val="auto"/>
          <w:highlight w:val="none"/>
        </w:rPr>
        <w:t>矿区产生的生活垃圾可以分为有机物和无机物，有机物包括厨余、纸类、橡胶、布类、果皮、金属、碎砖瓦等，其中可回收的废品包含金属、橡胶、塑料、废纸等。有机物的比例较大，厨余类有机物的含量一般为67%~79%，可回收有机物含量一般为14%~26%。生活垃圾经统一收集后运至当地生活垃圾收集点，最终由环卫部门统一运至周边生活垃圾填埋场。生活垃圾要求做到日产日清。</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污泥</w:t>
      </w:r>
    </w:p>
    <w:p>
      <w:pPr>
        <w:bidi w:val="0"/>
        <w:rPr>
          <w:color w:val="auto"/>
          <w:highlight w:val="none"/>
        </w:rPr>
      </w:pPr>
      <w:r>
        <w:rPr>
          <w:color w:val="auto"/>
          <w:highlight w:val="none"/>
        </w:rPr>
        <w:t>矿区产生的污泥主要包含矿井水处理站煤泥以及生活污水处理站污泥。其中，矿井水处理站污泥主要为煤泥，生活污水处理站污泥为有机污泥，污泥产生量主要与污水处理站的工艺有关。根据相关研究，一般情况下，一级处理产生的污泥中罕有3~7%的固态物，其中约含有60~80%的有机物，呈灰色、粘性、粗糙以及散发恶臭味，二级处理产生的污泥主要有微生物（75~90%）和惰性物质组成，呈棕色、絮状、带泥土气味，有机物相对密 度一般为1.01~1.06，无机颗粒物的相对密度为2.5，含有较多的絮状体少量纤维状物质； 三级处理产生的污泥与处理单元的过程有关，处理时产生的化学污泥较难处理，而采用生物消化、反硝化过程中的污泥与剩余活性污泥相类似。矿井水处理站煤泥可作为劣质煤外售，生活污水处理站污泥含水率达到规定要求后，可与生活垃圾一并收集至当地生活垃圾收集点，最终进入生活垃圾填埋场处置。</w:t>
      </w:r>
    </w:p>
    <w:p>
      <w:pPr>
        <w:pStyle w:val="6"/>
        <w:numPr>
          <w:ilvl w:val="2"/>
          <w:numId w:val="10"/>
        </w:numPr>
        <w:bidi w:val="0"/>
        <w:rPr>
          <w:color w:val="auto"/>
          <w:highlight w:val="none"/>
        </w:rPr>
      </w:pPr>
      <w:bookmarkStart w:id="447" w:name="5.6.2 固体废物处置环境影响分析"/>
      <w:bookmarkEnd w:id="447"/>
      <w:bookmarkStart w:id="448" w:name="5.6.2 固体废物处置环境影响分析"/>
      <w:bookmarkEnd w:id="448"/>
      <w:bookmarkStart w:id="449" w:name="_Toc13649"/>
      <w:bookmarkStart w:id="450" w:name="_Toc1529"/>
      <w:r>
        <w:rPr>
          <w:color w:val="auto"/>
          <w:highlight w:val="none"/>
        </w:rPr>
        <w:t>固体废物处置环境影响分析</w:t>
      </w:r>
      <w:bookmarkEnd w:id="449"/>
      <w:bookmarkEnd w:id="450"/>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煤矸石</w:t>
      </w:r>
    </w:p>
    <w:p>
      <w:pPr>
        <w:bidi w:val="0"/>
        <w:rPr>
          <w:color w:val="auto"/>
          <w:highlight w:val="none"/>
        </w:rPr>
      </w:pPr>
      <w:r>
        <w:rPr>
          <w:color w:val="auto"/>
          <w:highlight w:val="none"/>
        </w:rPr>
        <w:t xml:space="preserve">矿区开发产生的煤矸石主要为掘进矸石、选煤洗选矸石。煤矿矸石含碳量较低、质地坚硬、占原煤量的 </w:t>
      </w:r>
      <w:r>
        <w:rPr>
          <w:rFonts w:ascii="Times New Roman" w:eastAsia="Times New Roman"/>
          <w:color w:val="auto"/>
          <w:highlight w:val="none"/>
        </w:rPr>
        <w:t>10%~20%</w:t>
      </w:r>
      <w:r>
        <w:rPr>
          <w:color w:val="auto"/>
          <w:highlight w:val="none"/>
        </w:rPr>
        <w:t>。矸石以综合利用为主，暂未利用的矸石设置临时排矸场。</w:t>
      </w:r>
    </w:p>
    <w:p>
      <w:pPr>
        <w:bidi w:val="0"/>
        <w:rPr>
          <w:color w:val="auto"/>
          <w:highlight w:val="none"/>
        </w:rPr>
      </w:pPr>
      <w:r>
        <w:rPr>
          <w:color w:val="auto"/>
          <w:spacing w:val="7"/>
          <w:highlight w:val="none"/>
        </w:rPr>
        <w:t>根据《煤矸石综合利用管理办法》</w:t>
      </w:r>
      <w:r>
        <w:rPr>
          <w:color w:val="auto"/>
          <w:highlight w:val="none"/>
        </w:rPr>
        <w:t>（</w:t>
      </w:r>
      <w:r>
        <w:rPr>
          <w:rFonts w:ascii="Times New Roman" w:hAnsi="Times New Roman" w:eastAsia="Times New Roman"/>
          <w:color w:val="auto"/>
          <w:highlight w:val="none"/>
        </w:rPr>
        <w:t>2014</w:t>
      </w:r>
      <w:r>
        <w:rPr>
          <w:color w:val="auto"/>
          <w:spacing w:val="7"/>
          <w:highlight w:val="none"/>
        </w:rPr>
        <w:t>年修订）中第十条规定</w:t>
      </w:r>
      <w:r>
        <w:rPr>
          <w:rFonts w:ascii="Times New Roman" w:hAnsi="Times New Roman" w:eastAsia="Times New Roman"/>
          <w:color w:val="auto"/>
          <w:spacing w:val="3"/>
          <w:highlight w:val="none"/>
        </w:rPr>
        <w:t>“…</w:t>
      </w:r>
      <w:r>
        <w:rPr>
          <w:color w:val="auto"/>
          <w:spacing w:val="3"/>
          <w:highlight w:val="none"/>
        </w:rPr>
        <w:t>新建</w:t>
      </w:r>
      <w:r>
        <w:rPr>
          <w:color w:val="auto"/>
          <w:highlight w:val="none"/>
        </w:rPr>
        <w:t>（改扩建）</w:t>
      </w:r>
      <w:r>
        <w:rPr>
          <w:color w:val="auto"/>
          <w:spacing w:val="-3"/>
          <w:highlight w:val="none"/>
        </w:rPr>
        <w:t>煤矿及选煤厂应节约土地、防止环境污染，禁止建设永久性煤矸石</w:t>
      </w:r>
      <w:r>
        <w:rPr>
          <w:color w:val="auto"/>
          <w:spacing w:val="4"/>
          <w:highlight w:val="none"/>
        </w:rPr>
        <w:t>堆放场（库</w:t>
      </w:r>
      <w:r>
        <w:rPr>
          <w:color w:val="auto"/>
          <w:highlight w:val="none"/>
        </w:rPr>
        <w:t>）</w:t>
      </w:r>
      <w:r>
        <w:rPr>
          <w:color w:val="auto"/>
          <w:spacing w:val="3"/>
          <w:highlight w:val="none"/>
        </w:rPr>
        <w:t>。确需建设临时性堆放场</w:t>
      </w:r>
      <w:r>
        <w:rPr>
          <w:color w:val="auto"/>
          <w:spacing w:val="4"/>
          <w:highlight w:val="none"/>
        </w:rPr>
        <w:t>（库）</w:t>
      </w:r>
      <w:r>
        <w:rPr>
          <w:color w:val="auto"/>
          <w:spacing w:val="2"/>
          <w:highlight w:val="none"/>
        </w:rPr>
        <w:t>的，其占地规模应当与煤炭生产</w:t>
      </w:r>
      <w:r>
        <w:rPr>
          <w:color w:val="auto"/>
          <w:spacing w:val="-3"/>
          <w:highlight w:val="none"/>
        </w:rPr>
        <w:t>和洗选加工能力相匹配，原则上占地规模按不超过</w:t>
      </w:r>
      <w:r>
        <w:rPr>
          <w:rFonts w:ascii="Times New Roman" w:hAnsi="Times New Roman" w:eastAsia="Times New Roman"/>
          <w:color w:val="auto"/>
          <w:highlight w:val="none"/>
        </w:rPr>
        <w:t>3</w:t>
      </w:r>
      <w:r>
        <w:rPr>
          <w:color w:val="auto"/>
          <w:spacing w:val="2"/>
          <w:highlight w:val="none"/>
        </w:rPr>
        <w:t>年储矸量设计，且必须有后续综合利用方案。煤矸石临时性堆放场</w:t>
      </w:r>
      <w:r>
        <w:rPr>
          <w:color w:val="auto"/>
          <w:spacing w:val="4"/>
          <w:highlight w:val="none"/>
        </w:rPr>
        <w:t>（库）</w:t>
      </w:r>
      <w:r>
        <w:rPr>
          <w:color w:val="auto"/>
          <w:spacing w:val="2"/>
          <w:highlight w:val="none"/>
        </w:rPr>
        <w:t>选址、设计、建设及运行管理</w:t>
      </w:r>
      <w:r>
        <w:rPr>
          <w:color w:val="auto"/>
          <w:highlight w:val="none"/>
        </w:rPr>
        <w:t>应当符合《一般工业固体废物贮存、处置场污染控制标准》、《煤炭工程项目</w:t>
      </w:r>
      <w:r>
        <w:rPr>
          <w:color w:val="auto"/>
          <w:spacing w:val="6"/>
          <w:highlight w:val="none"/>
        </w:rPr>
        <w:t>建设用地指标》等相关要求</w:t>
      </w:r>
      <w:r>
        <w:rPr>
          <w:rFonts w:ascii="Times New Roman" w:hAnsi="Times New Roman" w:eastAsia="Times New Roman"/>
          <w:color w:val="auto"/>
          <w:spacing w:val="3"/>
          <w:highlight w:val="none"/>
        </w:rPr>
        <w:t>……</w:t>
      </w:r>
      <w:r>
        <w:rPr>
          <w:color w:val="auto"/>
          <w:spacing w:val="7"/>
          <w:highlight w:val="none"/>
        </w:rPr>
        <w:t>。</w:t>
      </w:r>
      <w:r>
        <w:rPr>
          <w:rFonts w:ascii="Times New Roman" w:hAnsi="Times New Roman" w:eastAsia="Times New Roman"/>
          <w:color w:val="auto"/>
          <w:spacing w:val="3"/>
          <w:highlight w:val="none"/>
        </w:rPr>
        <w:t>”</w:t>
      </w:r>
      <w:r>
        <w:rPr>
          <w:color w:val="auto"/>
          <w:spacing w:val="5"/>
          <w:highlight w:val="none"/>
        </w:rPr>
        <w:t>本次评价根据《煤矸石综合利用管理办法</w:t>
      </w:r>
      <w:r>
        <w:rPr>
          <w:color w:val="auto"/>
          <w:highlight w:val="none"/>
        </w:rPr>
        <w:t>》（</w:t>
      </w:r>
      <w:r>
        <w:rPr>
          <w:rFonts w:ascii="Times New Roman" w:eastAsia="Times New Roman"/>
          <w:color w:val="auto"/>
          <w:highlight w:val="none"/>
        </w:rPr>
        <w:t>2014</w:t>
      </w:r>
      <w:r>
        <w:rPr>
          <w:color w:val="auto"/>
          <w:highlight w:val="none"/>
        </w:rPr>
        <w:t>年修订）的规定要求，矿区内各矿井禁止设永久矸石堆放场地，临时排矸场占地规模不超过矿井</w:t>
      </w:r>
      <w:r>
        <w:rPr>
          <w:rFonts w:ascii="Times New Roman" w:eastAsia="Times New Roman"/>
          <w:color w:val="auto"/>
          <w:highlight w:val="none"/>
        </w:rPr>
        <w:t>3a</w:t>
      </w:r>
      <w:r>
        <w:rPr>
          <w:color w:val="auto"/>
          <w:highlight w:val="none"/>
        </w:rPr>
        <w:t>储矸量设计，并配套后续 综合利用方案。</w:t>
      </w:r>
    </w:p>
    <w:p>
      <w:pPr>
        <w:bidi w:val="0"/>
        <w:rPr>
          <w:color w:val="auto"/>
          <w:highlight w:val="none"/>
        </w:rPr>
      </w:pPr>
      <w:r>
        <w:rPr>
          <w:color w:val="auto"/>
          <w:highlight w:val="none"/>
        </w:rPr>
        <w:t>临时排矸场矸石堆放为环境的影响分析如下：</w:t>
      </w:r>
    </w:p>
    <w:p>
      <w:pPr>
        <w:numPr>
          <w:ilvl w:val="0"/>
          <w:numId w:val="0"/>
        </w:numPr>
        <w:bidi w:val="0"/>
        <w:ind w:leftChars="200" w:right="0" w:rightChars="0"/>
        <w:rPr>
          <w:color w:val="auto"/>
          <w:highlight w:val="none"/>
        </w:rPr>
      </w:pPr>
      <w:r>
        <w:rPr>
          <w:rFonts w:hint="eastAsia"/>
          <w:color w:val="auto"/>
          <w:highlight w:val="none"/>
          <w:lang w:eastAsia="zh-CN"/>
        </w:rPr>
        <w:t>①</w:t>
      </w:r>
      <w:r>
        <w:rPr>
          <w:color w:val="auto"/>
          <w:highlight w:val="none"/>
        </w:rPr>
        <w:t>矸石场扬尘</w:t>
      </w:r>
    </w:p>
    <w:p>
      <w:pPr>
        <w:bidi w:val="0"/>
        <w:rPr>
          <w:color w:val="auto"/>
          <w:highlight w:val="none"/>
        </w:rPr>
      </w:pPr>
      <w:r>
        <w:rPr>
          <w:color w:val="auto"/>
          <w:spacing w:val="3"/>
          <w:highlight w:val="none"/>
        </w:rPr>
        <w:t>矸石场风蚀扬尘的环境影响主要表现在区域降尘量以及大气中悬浮颗粒物</w:t>
      </w:r>
      <w:r>
        <w:rPr>
          <w:color w:val="auto"/>
          <w:highlight w:val="none"/>
        </w:rPr>
        <w:t>浓度两个方面，其影响程度取决于堆放地点、地面风速、矸石的含水量等因素</w:t>
      </w:r>
      <w:r>
        <w:rPr>
          <w:rFonts w:hint="eastAsia"/>
          <w:color w:val="auto"/>
          <w:highlight w:val="none"/>
          <w:lang w:eastAsia="zh-CN"/>
        </w:rPr>
        <w:t>。</w:t>
      </w:r>
      <w:r>
        <w:rPr>
          <w:color w:val="auto"/>
          <w:spacing w:val="4"/>
          <w:sz w:val="24"/>
          <w:highlight w:val="none"/>
        </w:rPr>
        <w:t>根据矸石堆扬尘的风洞模拟试验资料，矸石堆的起尘风速为</w:t>
      </w:r>
      <w:r>
        <w:rPr>
          <w:rFonts w:ascii="Times New Roman" w:hAnsi="Times New Roman" w:eastAsia="Times New Roman"/>
          <w:color w:val="auto"/>
          <w:sz w:val="24"/>
          <w:highlight w:val="none"/>
        </w:rPr>
        <w:t>4.8m/s</w:t>
      </w:r>
      <w:r>
        <w:rPr>
          <w:color w:val="auto"/>
          <w:spacing w:val="3"/>
          <w:sz w:val="24"/>
          <w:highlight w:val="none"/>
        </w:rPr>
        <w:t>。该区多</w:t>
      </w:r>
      <w:r>
        <w:rPr>
          <w:color w:val="auto"/>
          <w:spacing w:val="4"/>
          <w:sz w:val="24"/>
          <w:highlight w:val="none"/>
        </w:rPr>
        <w:t>年平均风速为</w:t>
      </w:r>
      <w:r>
        <w:rPr>
          <w:rFonts w:ascii="Times New Roman" w:hAnsi="Times New Roman" w:eastAsia="Times New Roman"/>
          <w:color w:val="auto"/>
          <w:sz w:val="24"/>
          <w:highlight w:val="none"/>
        </w:rPr>
        <w:t>1.7m/s</w:t>
      </w:r>
      <w:r>
        <w:rPr>
          <w:color w:val="auto"/>
          <w:spacing w:val="-10"/>
          <w:sz w:val="24"/>
          <w:highlight w:val="none"/>
        </w:rPr>
        <w:t>，大于</w:t>
      </w:r>
      <w:r>
        <w:rPr>
          <w:rFonts w:ascii="Times New Roman" w:hAnsi="Times New Roman" w:eastAsia="Times New Roman"/>
          <w:color w:val="auto"/>
          <w:sz w:val="24"/>
          <w:highlight w:val="none"/>
        </w:rPr>
        <w:t>4.8m/s</w:t>
      </w:r>
      <w:r>
        <w:rPr>
          <w:color w:val="auto"/>
          <w:spacing w:val="3"/>
          <w:sz w:val="24"/>
          <w:highlight w:val="none"/>
        </w:rPr>
        <w:t>的风速出现的几率相对小，由此可见，矸石</w:t>
      </w:r>
      <w:r>
        <w:rPr>
          <w:color w:val="auto"/>
          <w:sz w:val="24"/>
          <w:highlight w:val="none"/>
        </w:rPr>
        <w:t>堆场能够发生扬尘的机会较少，在大部分时间内，矸石堆不会对周围环境空气产生扬尘污染。在具备起尘风速条件时，矸石堆会对其周围局部地区产生影响</w:t>
      </w:r>
      <w:r>
        <w:rPr>
          <w:color w:val="auto"/>
          <w:highlight w:val="none"/>
        </w:rPr>
        <w:t>，通过向矸石堆洒水，提高煤矸石的含水率、建设相关挡护设施、场内排放的矸石及时碾压平整等措施，最大程度降低矸石场扬尘产生 的环境空气污染。</w:t>
      </w:r>
    </w:p>
    <w:p>
      <w:pPr>
        <w:numPr>
          <w:ilvl w:val="0"/>
          <w:numId w:val="0"/>
        </w:numPr>
        <w:bidi w:val="0"/>
        <w:ind w:leftChars="200" w:right="0" w:rightChars="0"/>
        <w:rPr>
          <w:color w:val="auto"/>
          <w:highlight w:val="none"/>
        </w:rPr>
      </w:pPr>
      <w:r>
        <w:rPr>
          <w:rFonts w:hint="eastAsia"/>
          <w:color w:val="auto"/>
          <w:highlight w:val="none"/>
          <w:lang w:eastAsia="zh-CN"/>
        </w:rPr>
        <w:t>②</w:t>
      </w:r>
      <w:r>
        <w:rPr>
          <w:color w:val="auto"/>
          <w:highlight w:val="none"/>
        </w:rPr>
        <w:t>矸石淋溶水</w:t>
      </w:r>
    </w:p>
    <w:p>
      <w:pPr>
        <w:bidi w:val="0"/>
        <w:rPr>
          <w:color w:val="auto"/>
          <w:highlight w:val="none"/>
        </w:rPr>
      </w:pPr>
      <w:r>
        <w:rPr>
          <w:color w:val="auto"/>
          <w:highlight w:val="none"/>
        </w:rPr>
        <w:t>矸石露天堆存，经过日晒雨淋，部分物质将随着雨水进入周围水体以及土壤，将对土壤、地表水环境、地下水环境造成一定影响，其影响程度取决于淋溶液中污染物排放情况 以及所在地区环境特征。</w:t>
      </w:r>
    </w:p>
    <w:p>
      <w:pPr>
        <w:bidi w:val="0"/>
        <w:rPr>
          <w:color w:val="auto"/>
          <w:highlight w:val="none"/>
        </w:rPr>
      </w:pPr>
      <w:r>
        <w:rPr>
          <w:color w:val="auto"/>
          <w:highlight w:val="none"/>
        </w:rPr>
        <w:t xml:space="preserve">根据前文所述，矿区煤矸石属于 </w:t>
      </w:r>
      <w:r>
        <w:rPr>
          <w:rFonts w:ascii="Times New Roman" w:eastAsia="Times New Roman"/>
          <w:color w:val="auto"/>
          <w:highlight w:val="none"/>
        </w:rPr>
        <w:t xml:space="preserve">I </w:t>
      </w:r>
      <w:r>
        <w:rPr>
          <w:color w:val="auto"/>
          <w:highlight w:val="none"/>
        </w:rPr>
        <w:t>类一般工业固体废物，对土壤及地下水的影响有限。同时，矿区年均降雨量较少，蒸发强烈，矸石自然淋溶达不到充分浸泡状态，各元素在经 过土壤时会被土壤吸附消减，对地下水的影响很小。</w:t>
      </w:r>
    </w:p>
    <w:p>
      <w:pPr>
        <w:numPr>
          <w:ilvl w:val="0"/>
          <w:numId w:val="0"/>
        </w:numPr>
        <w:bidi w:val="0"/>
        <w:ind w:leftChars="200" w:right="0" w:rightChars="0"/>
        <w:rPr>
          <w:color w:val="auto"/>
          <w:highlight w:val="none"/>
        </w:rPr>
      </w:pPr>
      <w:r>
        <w:rPr>
          <w:rFonts w:hint="eastAsia"/>
          <w:color w:val="auto"/>
          <w:highlight w:val="none"/>
          <w:lang w:eastAsia="zh-CN"/>
        </w:rPr>
        <w:t>③</w:t>
      </w:r>
      <w:r>
        <w:rPr>
          <w:color w:val="auto"/>
          <w:highlight w:val="none"/>
        </w:rPr>
        <w:t>矸石堆场自燃</w:t>
      </w:r>
    </w:p>
    <w:p>
      <w:pPr>
        <w:bidi w:val="0"/>
        <w:rPr>
          <w:color w:val="auto"/>
          <w:highlight w:val="none"/>
        </w:rPr>
      </w:pPr>
      <w:r>
        <w:rPr>
          <w:color w:val="auto"/>
          <w:highlight w:val="none"/>
        </w:rPr>
        <w:t>引起煤矸石自燃的因素很多，目前的研究结果表明，煤矸石的自燃主要取决于以下两个因素：一是煤矸石中存在着可燃物</w:t>
      </w:r>
      <w:r>
        <w:rPr>
          <w:rFonts w:ascii="Times New Roman" w:hAnsi="Times New Roman" w:eastAsia="Times New Roman"/>
          <w:color w:val="auto"/>
          <w:highlight w:val="none"/>
        </w:rPr>
        <w:t>——</w:t>
      </w:r>
      <w:r>
        <w:rPr>
          <w:color w:val="auto"/>
          <w:highlight w:val="none"/>
        </w:rPr>
        <w:t>硫铁矿，它是引起自燃的决定性因素，二是有供 氧、储热条件，如果煤矸石在堆放过程中形成空隙，这就为煤矸石自燃提供了供氧条件。</w:t>
      </w:r>
    </w:p>
    <w:p>
      <w:pPr>
        <w:bidi w:val="0"/>
        <w:rPr>
          <w:color w:val="auto"/>
          <w:highlight w:val="none"/>
        </w:rPr>
      </w:pPr>
      <w:r>
        <w:rPr>
          <w:color w:val="auto"/>
          <w:position w:val="2"/>
          <w:highlight w:val="none"/>
        </w:rPr>
        <w:t>矸石自燃对环境的影响是多方面的，矸石排放场自燃时释放大量</w:t>
      </w:r>
      <w:r>
        <w:rPr>
          <w:rFonts w:ascii="Times New Roman" w:eastAsia="Times New Roman"/>
          <w:color w:val="auto"/>
          <w:position w:val="2"/>
          <w:highlight w:val="none"/>
        </w:rPr>
        <w:t>CO</w:t>
      </w:r>
      <w:r>
        <w:rPr>
          <w:color w:val="auto"/>
          <w:position w:val="2"/>
          <w:highlight w:val="none"/>
        </w:rPr>
        <w:t>、</w:t>
      </w:r>
      <w:r>
        <w:rPr>
          <w:rFonts w:ascii="Times New Roman" w:eastAsia="Times New Roman"/>
          <w:color w:val="auto"/>
          <w:position w:val="2"/>
          <w:highlight w:val="none"/>
        </w:rPr>
        <w:t>CO</w:t>
      </w:r>
      <w:r>
        <w:rPr>
          <w:rFonts w:ascii="Times New Roman" w:eastAsia="Times New Roman"/>
          <w:color w:val="auto"/>
          <w:position w:val="2"/>
          <w:highlight w:val="none"/>
          <w:vertAlign w:val="subscript"/>
        </w:rPr>
        <w:t>2</w:t>
      </w:r>
      <w:r>
        <w:rPr>
          <w:color w:val="auto"/>
          <w:position w:val="2"/>
          <w:highlight w:val="none"/>
        </w:rPr>
        <w:t>、</w:t>
      </w:r>
      <w:r>
        <w:rPr>
          <w:rFonts w:ascii="Times New Roman" w:eastAsia="Times New Roman"/>
          <w:color w:val="auto"/>
          <w:position w:val="2"/>
          <w:highlight w:val="none"/>
        </w:rPr>
        <w:t>SO</w:t>
      </w:r>
      <w:r>
        <w:rPr>
          <w:rFonts w:ascii="Times New Roman" w:eastAsia="Times New Roman"/>
          <w:color w:val="auto"/>
          <w:position w:val="2"/>
          <w:highlight w:val="none"/>
          <w:vertAlign w:val="subscript"/>
        </w:rPr>
        <w:t>2</w:t>
      </w:r>
      <w:r>
        <w:rPr>
          <w:color w:val="auto"/>
          <w:position w:val="2"/>
          <w:highlight w:val="none"/>
          <w:vertAlign w:val="baseline"/>
        </w:rPr>
        <w:t>、</w:t>
      </w:r>
      <w:r>
        <w:rPr>
          <w:rFonts w:ascii="Times New Roman" w:eastAsia="Times New Roman"/>
          <w:color w:val="auto"/>
          <w:position w:val="2"/>
          <w:highlight w:val="none"/>
          <w:vertAlign w:val="baseline"/>
        </w:rPr>
        <w:t>H</w:t>
      </w:r>
      <w:r>
        <w:rPr>
          <w:rFonts w:ascii="Times New Roman" w:eastAsia="Times New Roman"/>
          <w:color w:val="auto"/>
          <w:position w:val="2"/>
          <w:highlight w:val="none"/>
          <w:vertAlign w:val="subscript"/>
        </w:rPr>
        <w:t>2</w:t>
      </w:r>
      <w:r>
        <w:rPr>
          <w:rFonts w:ascii="Times New Roman" w:eastAsia="Times New Roman"/>
          <w:color w:val="auto"/>
          <w:position w:val="2"/>
          <w:highlight w:val="none"/>
          <w:vertAlign w:val="baseline"/>
        </w:rPr>
        <w:t>S</w:t>
      </w:r>
      <w:r>
        <w:rPr>
          <w:color w:val="auto"/>
          <w:position w:val="2"/>
          <w:highlight w:val="none"/>
          <w:vertAlign w:val="baseline"/>
        </w:rPr>
        <w:t>、氮氧化物等有害气体，严重影响矸石排放场周围的空气质量，矸</w:t>
      </w:r>
      <w:r>
        <w:rPr>
          <w:color w:val="auto"/>
          <w:highlight w:val="none"/>
          <w:vertAlign w:val="baseline"/>
        </w:rPr>
        <w:t>石自燃还能引起局部范围地表层温度过高，不利于植物生长和植被的恢复，矸石自燃形成的烟雾对当地的景观也会造成不良影响。因此，各矿井临时堆放的矸石应实施分层堆置、压实、覆土等措施，隔绝空气，减轻外因影响因素，防止矸石堆自燃。</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生活垃圾</w:t>
      </w:r>
    </w:p>
    <w:p>
      <w:pPr>
        <w:bidi w:val="0"/>
        <w:rPr>
          <w:color w:val="auto"/>
          <w:highlight w:val="none"/>
        </w:rPr>
      </w:pPr>
      <w:r>
        <w:rPr>
          <w:color w:val="auto"/>
          <w:highlight w:val="none"/>
        </w:rPr>
        <w:t>矿区产生的生活垃圾若处置不当，垃圾中的有机物将腐烂变质，散发臭气，垃圾渗滤液等对周围环境空气、地下水环境、地表水环境造成一定的影响， 同时，生活垃圾堆孳生蚊蝇，传染疾病，影响周围卫生环境以及景观环境。</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污泥</w:t>
      </w:r>
    </w:p>
    <w:p>
      <w:pPr>
        <w:bidi w:val="0"/>
        <w:rPr>
          <w:color w:val="auto"/>
          <w:highlight w:val="none"/>
        </w:rPr>
      </w:pPr>
      <w:r>
        <w:rPr>
          <w:color w:val="auto"/>
          <w:highlight w:val="none"/>
        </w:rPr>
        <w:t xml:space="preserve">污泥主要来自于矿井水处理站、生活污水处理站。其中矿井水处理站产生的污泥主要为煤泥，作为劣质煤外售，全部综合利用。生活污水处理站污泥经压滤处理后，含水率低于 </w:t>
      </w:r>
      <w:r>
        <w:rPr>
          <w:rFonts w:ascii="Times New Roman" w:eastAsia="Times New Roman"/>
          <w:color w:val="auto"/>
          <w:highlight w:val="none"/>
        </w:rPr>
        <w:t>60%</w:t>
      </w:r>
      <w:r>
        <w:rPr>
          <w:color w:val="auto"/>
          <w:highlight w:val="none"/>
        </w:rPr>
        <w:t>， 与生活垃圾一并进入生活垃圾填埋场。</w:t>
      </w:r>
    </w:p>
    <w:p>
      <w:pPr>
        <w:pStyle w:val="5"/>
        <w:numPr>
          <w:ilvl w:val="1"/>
          <w:numId w:val="10"/>
        </w:numPr>
        <w:bidi w:val="0"/>
        <w:rPr>
          <w:color w:val="auto"/>
          <w:highlight w:val="none"/>
        </w:rPr>
      </w:pPr>
      <w:bookmarkStart w:id="451" w:name="5.7 土壤环境影响分析"/>
      <w:bookmarkEnd w:id="451"/>
      <w:bookmarkStart w:id="452" w:name="_bookmark32"/>
      <w:bookmarkEnd w:id="452"/>
      <w:bookmarkStart w:id="453" w:name="_Toc1551"/>
      <w:bookmarkStart w:id="454" w:name="_Toc12450"/>
      <w:r>
        <w:rPr>
          <w:color w:val="auto"/>
          <w:highlight w:val="none"/>
        </w:rPr>
        <w:t>土壤环境影响分析</w:t>
      </w:r>
      <w:bookmarkEnd w:id="453"/>
      <w:bookmarkEnd w:id="454"/>
    </w:p>
    <w:p>
      <w:pPr>
        <w:pStyle w:val="6"/>
        <w:numPr>
          <w:ilvl w:val="2"/>
          <w:numId w:val="10"/>
        </w:numPr>
        <w:bidi w:val="0"/>
        <w:rPr>
          <w:color w:val="auto"/>
          <w:highlight w:val="none"/>
        </w:rPr>
      </w:pPr>
      <w:bookmarkStart w:id="455" w:name="5.7.1 土壤环境盐化综合评分法"/>
      <w:bookmarkEnd w:id="455"/>
      <w:bookmarkStart w:id="456" w:name="5.7.1 土壤环境盐化综合评分法"/>
      <w:bookmarkEnd w:id="456"/>
      <w:bookmarkStart w:id="457" w:name="_Toc9402"/>
      <w:bookmarkStart w:id="458" w:name="_Toc8675"/>
      <w:r>
        <w:rPr>
          <w:color w:val="auto"/>
          <w:highlight w:val="none"/>
        </w:rPr>
        <w:t>土壤环境盐化综合评分法</w:t>
      </w:r>
      <w:bookmarkEnd w:id="457"/>
      <w:bookmarkEnd w:id="458"/>
    </w:p>
    <w:p>
      <w:pPr>
        <w:pStyle w:val="10"/>
        <w:spacing w:before="160" w:line="362" w:lineRule="auto"/>
        <w:ind w:right="556" w:firstLine="480"/>
        <w:jc w:val="center"/>
        <w:rPr>
          <w:color w:val="auto"/>
          <w:highlight w:val="none"/>
        </w:rPr>
      </w:pPr>
      <w:r>
        <w:rPr>
          <w:color w:val="auto"/>
          <w:highlight w:val="none"/>
        </w:rPr>
        <w:drawing>
          <wp:inline distT="0" distB="0" distL="0" distR="0">
            <wp:extent cx="1326515" cy="333375"/>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png"/>
                    <pic:cNvPicPr>
                      <a:picLocks noChangeAspect="1"/>
                    </pic:cNvPicPr>
                  </pic:nvPicPr>
                  <pic:blipFill>
                    <a:blip r:embed="rId176" cstate="print"/>
                    <a:stretch>
                      <a:fillRect/>
                    </a:stretch>
                  </pic:blipFill>
                  <pic:spPr>
                    <a:xfrm>
                      <a:off x="0" y="0"/>
                      <a:ext cx="1326501" cy="333375"/>
                    </a:xfrm>
                    <a:prstGeom prst="rect">
                      <a:avLst/>
                    </a:prstGeom>
                  </pic:spPr>
                </pic:pic>
              </a:graphicData>
            </a:graphic>
          </wp:inline>
        </w:drawing>
      </w:r>
    </w:p>
    <w:p>
      <w:pPr>
        <w:bidi w:val="0"/>
        <w:rPr>
          <w:color w:val="auto"/>
          <w:highlight w:val="none"/>
        </w:rPr>
      </w:pPr>
      <w:r>
        <w:rPr>
          <w:color w:val="auto"/>
          <w:spacing w:val="-15"/>
          <w:highlight w:val="none"/>
        </w:rPr>
        <w:t>根据表</w:t>
      </w:r>
      <w:r>
        <w:rPr>
          <w:rFonts w:ascii="Times New Roman" w:eastAsia="Times New Roman"/>
          <w:color w:val="auto"/>
          <w:highlight w:val="none"/>
        </w:rPr>
        <w:t>5.7-1</w:t>
      </w:r>
      <w:r>
        <w:rPr>
          <w:color w:val="auto"/>
          <w:spacing w:val="-1"/>
          <w:highlight w:val="none"/>
        </w:rPr>
        <w:t>选取各项影响因素的分值与权重，采用下列公式计算土壤盐化</w:t>
      </w:r>
      <w:r>
        <w:rPr>
          <w:color w:val="auto"/>
          <w:spacing w:val="-10"/>
          <w:highlight w:val="none"/>
        </w:rPr>
        <w:t>综合评分值</w:t>
      </w:r>
      <w:r>
        <w:rPr>
          <w:color w:val="auto"/>
          <w:highlight w:val="none"/>
        </w:rPr>
        <w:t>（</w:t>
      </w:r>
      <w:r>
        <w:rPr>
          <w:rFonts w:ascii="Times New Roman" w:eastAsia="Times New Roman"/>
          <w:color w:val="auto"/>
          <w:highlight w:val="none"/>
        </w:rPr>
        <w:t>Sa</w:t>
      </w:r>
      <w:r>
        <w:rPr>
          <w:color w:val="auto"/>
          <w:highlight w:val="none"/>
        </w:rPr>
        <w:t>）。</w:t>
      </w:r>
    </w:p>
    <w:p>
      <w:pPr>
        <w:bidi w:val="0"/>
        <w:rPr>
          <w:color w:val="auto"/>
          <w:highlight w:val="none"/>
        </w:rPr>
      </w:pPr>
      <w:r>
        <w:rPr>
          <w:color w:val="auto"/>
          <w:highlight w:val="none"/>
        </w:rPr>
        <w:t>式中：</w:t>
      </w:r>
    </w:p>
    <w:p>
      <w:pPr>
        <w:bidi w:val="0"/>
        <w:rPr>
          <w:color w:val="auto"/>
          <w:highlight w:val="none"/>
        </w:rPr>
      </w:pPr>
      <w:r>
        <w:rPr>
          <w:rFonts w:ascii="Times New Roman" w:hAnsi="Times New Roman" w:eastAsia="Times New Roman"/>
          <w:color w:val="auto"/>
          <w:highlight w:val="none"/>
        </w:rPr>
        <w:t>n—</w:t>
      </w:r>
      <w:r>
        <w:rPr>
          <w:color w:val="auto"/>
          <w:highlight w:val="none"/>
        </w:rPr>
        <w:t>影响因素指标数目；</w:t>
      </w:r>
    </w:p>
    <w:p>
      <w:pPr>
        <w:bidi w:val="0"/>
        <w:rPr>
          <w:color w:val="auto"/>
          <w:highlight w:val="none"/>
        </w:rPr>
      </w:pPr>
      <w:r>
        <w:rPr>
          <w:rFonts w:ascii="Times New Roman" w:hAnsi="Times New Roman" w:eastAsia="Times New Roman"/>
          <w:color w:val="auto"/>
          <w:highlight w:val="none"/>
        </w:rPr>
        <w:t>Ix</w:t>
      </w:r>
      <w:r>
        <w:rPr>
          <w:rFonts w:ascii="Times New Roman" w:hAnsi="Times New Roman" w:eastAsia="Times New Roman"/>
          <w:color w:val="auto"/>
          <w:highlight w:val="none"/>
          <w:vertAlign w:val="subscript"/>
        </w:rPr>
        <w:t>i</w:t>
      </w:r>
      <w:r>
        <w:rPr>
          <w:rFonts w:ascii="Times New Roman" w:hAnsi="Times New Roman" w:eastAsia="Times New Roman"/>
          <w:color w:val="auto"/>
          <w:highlight w:val="none"/>
        </w:rPr>
        <w:t>——</w:t>
      </w:r>
      <w:r>
        <w:rPr>
          <w:color w:val="auto"/>
          <w:highlight w:val="none"/>
        </w:rPr>
        <w:t>影响因素</w:t>
      </w:r>
      <w:r>
        <w:rPr>
          <w:rFonts w:ascii="Times New Roman" w:hAnsi="Times New Roman" w:eastAsia="Times New Roman"/>
          <w:color w:val="auto"/>
          <w:highlight w:val="none"/>
        </w:rPr>
        <w:t>i</w:t>
      </w:r>
      <w:r>
        <w:rPr>
          <w:color w:val="auto"/>
          <w:highlight w:val="none"/>
        </w:rPr>
        <w:t>指标评分；</w:t>
      </w:r>
    </w:p>
    <w:p>
      <w:pPr>
        <w:bidi w:val="0"/>
        <w:rPr>
          <w:color w:val="auto"/>
          <w:highlight w:val="none"/>
        </w:rPr>
      </w:pPr>
      <w:r>
        <w:rPr>
          <w:rFonts w:ascii="Times New Roman" w:hAnsi="Times New Roman" w:eastAsia="Times New Roman"/>
          <w:color w:val="auto"/>
          <w:highlight w:val="none"/>
        </w:rPr>
        <w:t>Wx</w:t>
      </w:r>
      <w:r>
        <w:rPr>
          <w:rFonts w:ascii="Times New Roman" w:hAnsi="Times New Roman" w:eastAsia="Times New Roman"/>
          <w:color w:val="auto"/>
          <w:highlight w:val="none"/>
          <w:vertAlign w:val="subscript"/>
        </w:rPr>
        <w:t>i</w:t>
      </w:r>
      <w:r>
        <w:rPr>
          <w:rFonts w:ascii="Times New Roman" w:hAnsi="Times New Roman" w:eastAsia="Times New Roman"/>
          <w:color w:val="auto"/>
          <w:highlight w:val="none"/>
        </w:rPr>
        <w:t>——</w:t>
      </w:r>
      <w:r>
        <w:rPr>
          <w:color w:val="auto"/>
          <w:highlight w:val="none"/>
        </w:rPr>
        <w:t>影响因素</w:t>
      </w:r>
      <w:r>
        <w:rPr>
          <w:rFonts w:ascii="Times New Roman" w:eastAsia="Times New Roman"/>
          <w:color w:val="auto"/>
          <w:highlight w:val="none"/>
        </w:rPr>
        <w:t>i</w:t>
      </w:r>
      <w:r>
        <w:rPr>
          <w:color w:val="auto"/>
          <w:highlight w:val="none"/>
        </w:rPr>
        <w:t>指标权重。</w:t>
      </w:r>
    </w:p>
    <w:p>
      <w:pPr>
        <w:bidi w:val="0"/>
        <w:rPr>
          <w:color w:val="auto"/>
          <w:highlight w:val="none"/>
        </w:rPr>
      </w:pPr>
      <w:r>
        <w:rPr>
          <w:color w:val="auto"/>
          <w:highlight w:val="none"/>
        </w:rPr>
        <w:t>对照表</w:t>
      </w:r>
      <w:r>
        <w:rPr>
          <w:rFonts w:ascii="Times New Roman" w:eastAsia="Times New Roman"/>
          <w:color w:val="auto"/>
          <w:highlight w:val="none"/>
        </w:rPr>
        <w:t>5.7-2</w:t>
      </w:r>
      <w:r>
        <w:rPr>
          <w:color w:val="auto"/>
          <w:highlight w:val="none"/>
        </w:rPr>
        <w:t>得出土壤盐化综合评分预测结果。</w:t>
      </w:r>
    </w:p>
    <w:p>
      <w:pPr>
        <w:pStyle w:val="22"/>
        <w:bidi w:val="0"/>
        <w:rPr>
          <w:b/>
          <w:color w:val="auto"/>
          <w:sz w:val="21"/>
          <w:highlight w:val="none"/>
        </w:rPr>
      </w:pPr>
      <w:r>
        <w:rPr>
          <w:b/>
          <w:color w:val="auto"/>
          <w:sz w:val="21"/>
          <w:highlight w:val="none"/>
        </w:rPr>
        <w:t>表</w:t>
      </w:r>
      <w:r>
        <w:rPr>
          <w:b/>
          <w:color w:val="auto"/>
          <w:spacing w:val="-53"/>
          <w:sz w:val="21"/>
          <w:highlight w:val="none"/>
        </w:rPr>
        <w:t xml:space="preserve"> </w:t>
      </w:r>
      <w:r>
        <w:rPr>
          <w:rFonts w:ascii="Times New Roman" w:eastAsia="Times New Roman"/>
          <w:b/>
          <w:color w:val="auto"/>
          <w:sz w:val="21"/>
          <w:highlight w:val="none"/>
        </w:rPr>
        <w:t>5.7-1</w:t>
      </w:r>
      <w:r>
        <w:rPr>
          <w:rFonts w:ascii="Times New Roman" w:eastAsia="Times New Roman"/>
          <w:b/>
          <w:color w:val="auto"/>
          <w:sz w:val="21"/>
          <w:highlight w:val="none"/>
        </w:rPr>
        <w:tab/>
      </w:r>
      <w:r>
        <w:rPr>
          <w:b/>
          <w:color w:val="auto"/>
          <w:sz w:val="21"/>
          <w:highlight w:val="none"/>
        </w:rPr>
        <w:t>土壤影响因素赋值表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55"/>
        <w:gridCol w:w="1153"/>
        <w:gridCol w:w="1513"/>
        <w:gridCol w:w="1500"/>
        <w:gridCol w:w="1321"/>
        <w:gridCol w:w="8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2755" w:type="dxa"/>
            <w:vMerge w:val="restart"/>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影响因素</w:t>
            </w:r>
          </w:p>
        </w:tc>
        <w:tc>
          <w:tcPr>
            <w:tcW w:w="5487" w:type="dxa"/>
            <w:gridSpan w:val="4"/>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分值</w:t>
            </w:r>
          </w:p>
        </w:tc>
        <w:tc>
          <w:tcPr>
            <w:tcW w:w="838" w:type="dxa"/>
            <w:vMerge w:val="restart"/>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权重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jc w:val="center"/>
        </w:trPr>
        <w:tc>
          <w:tcPr>
            <w:tcW w:w="2755"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0分</w:t>
            </w:r>
          </w:p>
        </w:tc>
        <w:tc>
          <w:tcPr>
            <w:tcW w:w="151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2分</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4分</w:t>
            </w:r>
          </w:p>
        </w:tc>
        <w:tc>
          <w:tcPr>
            <w:tcW w:w="132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6分</w:t>
            </w:r>
          </w:p>
        </w:tc>
        <w:tc>
          <w:tcPr>
            <w:tcW w:w="838"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2755"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地下水位埋深（GWD）/m</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GWD≥2.5</w:t>
            </w:r>
          </w:p>
        </w:tc>
        <w:tc>
          <w:tcPr>
            <w:tcW w:w="151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1.5≤GWD&lt;2.5</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1.0≤GWD&lt;1.5</w:t>
            </w:r>
          </w:p>
        </w:tc>
        <w:tc>
          <w:tcPr>
            <w:tcW w:w="132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EPR&lt;1.0</w:t>
            </w:r>
          </w:p>
        </w:tc>
        <w:tc>
          <w:tcPr>
            <w:tcW w:w="838"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0.35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755"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干燥度（蒸降比值）EPR</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EPR&lt;1.2</w:t>
            </w:r>
          </w:p>
        </w:tc>
        <w:tc>
          <w:tcPr>
            <w:tcW w:w="151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1.2≤EPR&lt;2.5</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2.5≤EPR&lt;6</w:t>
            </w:r>
          </w:p>
        </w:tc>
        <w:tc>
          <w:tcPr>
            <w:tcW w:w="132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EPR≥6</w:t>
            </w:r>
          </w:p>
        </w:tc>
        <w:tc>
          <w:tcPr>
            <w:tcW w:w="838"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0.25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755"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土壤本底含盐量SSC/（g/kg）</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SSC&lt;1</w:t>
            </w:r>
          </w:p>
        </w:tc>
        <w:tc>
          <w:tcPr>
            <w:tcW w:w="151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1≤SSC&lt;2</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2≤SSC&lt;4</w:t>
            </w:r>
          </w:p>
        </w:tc>
        <w:tc>
          <w:tcPr>
            <w:tcW w:w="132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SSC≥4</w:t>
            </w:r>
          </w:p>
        </w:tc>
        <w:tc>
          <w:tcPr>
            <w:tcW w:w="838"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0.15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2755"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地下水溶解性总固体 TDS/</w:t>
            </w:r>
          </w:p>
          <w:p>
            <w:pPr>
              <w:pStyle w:val="22"/>
              <w:bidi w:val="0"/>
              <w:rPr>
                <w:color w:val="auto"/>
                <w:highlight w:val="none"/>
              </w:rPr>
            </w:pPr>
            <w:r>
              <w:rPr>
                <w:color w:val="auto"/>
                <w:highlight w:val="none"/>
              </w:rPr>
              <w:t>（g/L）</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TDS&lt;1</w:t>
            </w:r>
          </w:p>
        </w:tc>
        <w:tc>
          <w:tcPr>
            <w:tcW w:w="151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1≤TDS&lt;2</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2≤TDS&lt;5</w:t>
            </w:r>
          </w:p>
        </w:tc>
        <w:tc>
          <w:tcPr>
            <w:tcW w:w="132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TDS≥5</w:t>
            </w:r>
          </w:p>
        </w:tc>
        <w:tc>
          <w:tcPr>
            <w:tcW w:w="838"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0.15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7" w:hRule="atLeast"/>
          <w:jc w:val="center"/>
        </w:trPr>
        <w:tc>
          <w:tcPr>
            <w:tcW w:w="2755" w:type="dxa"/>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土壤质地</w:t>
            </w:r>
          </w:p>
        </w:tc>
        <w:tc>
          <w:tcPr>
            <w:tcW w:w="1153"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黏土</w:t>
            </w:r>
          </w:p>
        </w:tc>
        <w:tc>
          <w:tcPr>
            <w:tcW w:w="1513"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砂土</w:t>
            </w:r>
          </w:p>
        </w:tc>
        <w:tc>
          <w:tcPr>
            <w:tcW w:w="1500"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壤土</w:t>
            </w:r>
          </w:p>
        </w:tc>
        <w:tc>
          <w:tcPr>
            <w:tcW w:w="1321"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砂壤土、粉</w:t>
            </w:r>
          </w:p>
          <w:p>
            <w:pPr>
              <w:pStyle w:val="22"/>
              <w:bidi w:val="0"/>
              <w:rPr>
                <w:color w:val="auto"/>
                <w:highlight w:val="none"/>
              </w:rPr>
            </w:pPr>
            <w:r>
              <w:rPr>
                <w:color w:val="auto"/>
                <w:highlight w:val="none"/>
              </w:rPr>
              <w:t>土、砂粉土</w:t>
            </w:r>
          </w:p>
        </w:tc>
        <w:tc>
          <w:tcPr>
            <w:tcW w:w="838" w:type="dxa"/>
            <w:tcBorders>
              <w:top w:val="single" w:color="000000" w:sz="4" w:space="0"/>
              <w:left w:val="single" w:color="000000" w:sz="4" w:space="0"/>
              <w:right w:val="nil"/>
            </w:tcBorders>
            <w:vAlign w:val="center"/>
          </w:tcPr>
          <w:p>
            <w:pPr>
              <w:pStyle w:val="22"/>
              <w:bidi w:val="0"/>
              <w:rPr>
                <w:color w:val="auto"/>
                <w:highlight w:val="none"/>
              </w:rPr>
            </w:pPr>
            <w:r>
              <w:rPr>
                <w:color w:val="auto"/>
                <w:highlight w:val="none"/>
              </w:rPr>
              <w:t>0.10</w:t>
            </w:r>
          </w:p>
        </w:tc>
      </w:tr>
    </w:tbl>
    <w:p>
      <w:pPr>
        <w:pStyle w:val="22"/>
        <w:bidi w:val="0"/>
        <w:rPr>
          <w:color w:val="auto"/>
          <w:sz w:val="24"/>
          <w:highlight w:val="none"/>
        </w:rPr>
      </w:pPr>
      <w:r>
        <w:rPr>
          <w:color w:val="auto"/>
          <w:sz w:val="24"/>
          <w:highlight w:val="none"/>
        </w:rPr>
        <w:t>表</w:t>
      </w:r>
      <w:r>
        <w:rPr>
          <w:color w:val="auto"/>
          <w:spacing w:val="-62"/>
          <w:sz w:val="24"/>
          <w:highlight w:val="none"/>
        </w:rPr>
        <w:t xml:space="preserve"> </w:t>
      </w:r>
      <w:r>
        <w:rPr>
          <w:rFonts w:ascii="Times New Roman" w:eastAsia="Times New Roman"/>
          <w:b/>
          <w:color w:val="auto"/>
          <w:sz w:val="24"/>
          <w:highlight w:val="none"/>
        </w:rPr>
        <w:t>7.5-2</w:t>
      </w:r>
      <w:r>
        <w:rPr>
          <w:rFonts w:ascii="Times New Roman" w:eastAsia="Times New Roman"/>
          <w:b/>
          <w:color w:val="auto"/>
          <w:sz w:val="24"/>
          <w:highlight w:val="none"/>
        </w:rPr>
        <w:tab/>
      </w:r>
      <w:r>
        <w:rPr>
          <w:color w:val="auto"/>
          <w:sz w:val="24"/>
          <w:highlight w:val="none"/>
        </w:rPr>
        <w:t>土壤盐化预测表</w:t>
      </w:r>
    </w:p>
    <w:tbl>
      <w:tblPr>
        <w:tblStyle w:val="17"/>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92"/>
        <w:gridCol w:w="1233"/>
        <w:gridCol w:w="1400"/>
        <w:gridCol w:w="1268"/>
        <w:gridCol w:w="1075"/>
        <w:gridCol w:w="131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792" w:type="dxa"/>
            <w:tcBorders>
              <w:left w:val="nil"/>
              <w:bottom w:val="single" w:color="000000" w:sz="4" w:space="0"/>
              <w:right w:val="single" w:color="000000" w:sz="4" w:space="0"/>
            </w:tcBorders>
          </w:tcPr>
          <w:p>
            <w:pPr>
              <w:pStyle w:val="22"/>
              <w:bidi w:val="0"/>
              <w:rPr>
                <w:color w:val="auto"/>
                <w:highlight w:val="none"/>
              </w:rPr>
            </w:pPr>
            <w:r>
              <w:rPr>
                <w:color w:val="auto"/>
                <w:highlight w:val="none"/>
              </w:rPr>
              <w:t>土壤盐化综合评分值（Sa）</w:t>
            </w:r>
          </w:p>
        </w:tc>
        <w:tc>
          <w:tcPr>
            <w:tcW w:w="1233"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Sa&lt;1</w:t>
            </w:r>
          </w:p>
        </w:tc>
        <w:tc>
          <w:tcPr>
            <w:tcW w:w="140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1≤Sa&lt;2</w:t>
            </w:r>
          </w:p>
        </w:tc>
        <w:tc>
          <w:tcPr>
            <w:tcW w:w="1268"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2≤Sa &lt;3</w:t>
            </w:r>
          </w:p>
        </w:tc>
        <w:tc>
          <w:tcPr>
            <w:tcW w:w="1075"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3≤Sa &lt;4.5</w:t>
            </w:r>
          </w:p>
        </w:tc>
        <w:tc>
          <w:tcPr>
            <w:tcW w:w="1312" w:type="dxa"/>
            <w:tcBorders>
              <w:left w:val="single" w:color="000000" w:sz="4" w:space="0"/>
              <w:bottom w:val="single" w:color="000000" w:sz="4" w:space="0"/>
              <w:right w:val="nil"/>
            </w:tcBorders>
          </w:tcPr>
          <w:p>
            <w:pPr>
              <w:pStyle w:val="22"/>
              <w:bidi w:val="0"/>
              <w:rPr>
                <w:color w:val="auto"/>
                <w:highlight w:val="none"/>
              </w:rPr>
            </w:pPr>
            <w:r>
              <w:rPr>
                <w:color w:val="auto"/>
                <w:highlight w:val="none"/>
              </w:rPr>
              <w:t>Sa≥4.5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792" w:type="dxa"/>
            <w:tcBorders>
              <w:top w:val="single" w:color="000000" w:sz="4" w:space="0"/>
              <w:left w:val="nil"/>
              <w:right w:val="single" w:color="000000" w:sz="4" w:space="0"/>
            </w:tcBorders>
          </w:tcPr>
          <w:p>
            <w:pPr>
              <w:pStyle w:val="22"/>
              <w:bidi w:val="0"/>
              <w:rPr>
                <w:color w:val="auto"/>
                <w:highlight w:val="none"/>
              </w:rPr>
            </w:pPr>
            <w:r>
              <w:rPr>
                <w:color w:val="auto"/>
                <w:highlight w:val="none"/>
              </w:rPr>
              <w:t>土壤盐化综合评分预测结果</w:t>
            </w:r>
          </w:p>
        </w:tc>
        <w:tc>
          <w:tcPr>
            <w:tcW w:w="1233"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未盐化</w:t>
            </w:r>
          </w:p>
        </w:tc>
        <w:tc>
          <w:tcPr>
            <w:tcW w:w="140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轻度盐化</w:t>
            </w:r>
          </w:p>
        </w:tc>
        <w:tc>
          <w:tcPr>
            <w:tcW w:w="1268"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中度盐化</w:t>
            </w:r>
          </w:p>
        </w:tc>
        <w:tc>
          <w:tcPr>
            <w:tcW w:w="107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重度盐化</w:t>
            </w:r>
          </w:p>
        </w:tc>
        <w:tc>
          <w:tcPr>
            <w:tcW w:w="1312" w:type="dxa"/>
            <w:tcBorders>
              <w:top w:val="single" w:color="000000" w:sz="4" w:space="0"/>
              <w:left w:val="single" w:color="000000" w:sz="4" w:space="0"/>
              <w:right w:val="nil"/>
            </w:tcBorders>
          </w:tcPr>
          <w:p>
            <w:pPr>
              <w:pStyle w:val="22"/>
              <w:bidi w:val="0"/>
              <w:rPr>
                <w:color w:val="auto"/>
                <w:highlight w:val="none"/>
              </w:rPr>
            </w:pPr>
            <w:r>
              <w:rPr>
                <w:color w:val="auto"/>
                <w:highlight w:val="none"/>
              </w:rPr>
              <w:t>极重度盐化</w:t>
            </w:r>
          </w:p>
        </w:tc>
      </w:tr>
    </w:tbl>
    <w:p>
      <w:pPr>
        <w:pStyle w:val="6"/>
        <w:numPr>
          <w:ilvl w:val="2"/>
          <w:numId w:val="10"/>
        </w:numPr>
        <w:bidi w:val="0"/>
        <w:rPr>
          <w:color w:val="auto"/>
          <w:highlight w:val="none"/>
        </w:rPr>
      </w:pPr>
      <w:bookmarkStart w:id="459" w:name="5.7.2 土壤盐化预测结果分析"/>
      <w:bookmarkEnd w:id="459"/>
      <w:bookmarkStart w:id="460" w:name="5.7.2 土壤盐化预测结果分析"/>
      <w:bookmarkEnd w:id="460"/>
      <w:bookmarkStart w:id="461" w:name="_Toc29870"/>
      <w:bookmarkStart w:id="462" w:name="_Toc5857"/>
      <w:r>
        <w:rPr>
          <w:color w:val="auto"/>
          <w:highlight w:val="none"/>
        </w:rPr>
        <w:t>土壤盐化预测结果分析</w:t>
      </w:r>
      <w:bookmarkEnd w:id="461"/>
      <w:bookmarkEnd w:id="462"/>
    </w:p>
    <w:p>
      <w:pPr>
        <w:rPr>
          <w:rFonts w:hint="eastAsia" w:eastAsia="宋体"/>
          <w:color w:val="auto"/>
          <w:highlight w:val="none"/>
          <w:lang w:eastAsia="zh-CN"/>
        </w:rPr>
      </w:pPr>
      <w:r>
        <w:rPr>
          <w:rFonts w:hint="eastAsia"/>
          <w:color w:val="auto"/>
          <w:highlight w:val="none"/>
          <w:lang w:eastAsia="zh-CN"/>
        </w:rPr>
        <w:t>根据调查结果，</w:t>
      </w:r>
    </w:p>
    <w:p>
      <w:pPr>
        <w:pStyle w:val="5"/>
        <w:numPr>
          <w:ilvl w:val="1"/>
          <w:numId w:val="10"/>
        </w:numPr>
        <w:bidi w:val="0"/>
        <w:rPr>
          <w:color w:val="auto"/>
          <w:highlight w:val="none"/>
        </w:rPr>
      </w:pPr>
      <w:bookmarkStart w:id="463" w:name="_bookmark33"/>
      <w:bookmarkEnd w:id="463"/>
      <w:bookmarkStart w:id="464" w:name="5.8 社会经济环境影响分析"/>
      <w:bookmarkEnd w:id="464"/>
      <w:bookmarkStart w:id="465" w:name="_Toc22550"/>
      <w:bookmarkStart w:id="466" w:name="_Toc5418"/>
      <w:r>
        <w:rPr>
          <w:color w:val="auto"/>
          <w:highlight w:val="none"/>
        </w:rPr>
        <w:t>社会经济环境影响分析</w:t>
      </w:r>
      <w:bookmarkEnd w:id="465"/>
      <w:bookmarkEnd w:id="466"/>
    </w:p>
    <w:p>
      <w:pPr>
        <w:bidi w:val="0"/>
        <w:rPr>
          <w:color w:val="auto"/>
          <w:highlight w:val="none"/>
        </w:rPr>
      </w:pPr>
      <w:r>
        <w:rPr>
          <w:color w:val="auto"/>
          <w:highlight w:val="none"/>
        </w:rPr>
        <w:t>矿区规划方案实施对当地社会经济的影响利弊并存。有利影响主要表现在促进当地经济发展，改善区域基础设施，增加区域经济收入；增加当地群众就业机会，促进国家矿产资源有序开发等；由于矿区内及周边分布有大量的基本农田，矿区开发对社会经济的不利影响主要表现为对当地农业生产的影响，表现为耕地减产减收。</w:t>
      </w:r>
    </w:p>
    <w:p>
      <w:pPr>
        <w:pStyle w:val="5"/>
        <w:numPr>
          <w:ilvl w:val="1"/>
          <w:numId w:val="10"/>
        </w:numPr>
        <w:bidi w:val="0"/>
        <w:rPr>
          <w:color w:val="auto"/>
          <w:highlight w:val="none"/>
        </w:rPr>
      </w:pPr>
      <w:bookmarkStart w:id="467" w:name="_bookmark34"/>
      <w:bookmarkEnd w:id="467"/>
      <w:bookmarkStart w:id="468" w:name="5.9 人群健康影响分析"/>
      <w:bookmarkEnd w:id="468"/>
      <w:bookmarkStart w:id="469" w:name="_Toc7813"/>
      <w:bookmarkStart w:id="470" w:name="_Toc27702"/>
      <w:r>
        <w:rPr>
          <w:color w:val="auto"/>
          <w:highlight w:val="none"/>
        </w:rPr>
        <w:t>人群健康影响分析</w:t>
      </w:r>
      <w:bookmarkEnd w:id="469"/>
      <w:bookmarkEnd w:id="470"/>
    </w:p>
    <w:p>
      <w:pPr>
        <w:bidi w:val="0"/>
        <w:rPr>
          <w:color w:val="auto"/>
          <w:highlight w:val="none"/>
        </w:rPr>
      </w:pPr>
      <w:r>
        <w:rPr>
          <w:color w:val="auto"/>
          <w:spacing w:val="3"/>
          <w:highlight w:val="none"/>
        </w:rPr>
        <w:t>粉尘是煤矿生产中的主要职业危害，表面活性很强，可以让吞噬了灰尘的</w:t>
      </w:r>
      <w:r>
        <w:rPr>
          <w:color w:val="auto"/>
          <w:highlight w:val="none"/>
        </w:rPr>
        <w:t>吞噬细胞崩解死亡。矿井工人连续长时间在粉尘浓度</w:t>
      </w:r>
      <w:r>
        <w:rPr>
          <w:rFonts w:hint="eastAsia"/>
          <w:color w:val="auto"/>
          <w:highlight w:val="none"/>
          <w:lang w:eastAsia="zh-CN"/>
        </w:rPr>
        <w:t>较高</w:t>
      </w:r>
      <w:r>
        <w:rPr>
          <w:color w:val="auto"/>
          <w:highlight w:val="none"/>
        </w:rPr>
        <w:t>的作业环境中工作，他们的肺脏防卫功能就会受到破坏，造成大量肺部细胞死亡以及含尘细胞的堆积，在肺部形成伤痕组织，也就是矽肺。过量的粉尘在肺内各部位聚集、堆积，形成粉尘病灶，随着时间的推移，网状纤维增生，并可能伴有胶原纤维增生，最后形成粉尘纤维化，即尘肺病。</w:t>
      </w:r>
    </w:p>
    <w:p>
      <w:pPr>
        <w:bidi w:val="0"/>
        <w:rPr>
          <w:color w:val="auto"/>
          <w:highlight w:val="none"/>
        </w:rPr>
      </w:pPr>
      <w:r>
        <w:rPr>
          <w:color w:val="auto"/>
          <w:highlight w:val="none"/>
        </w:rPr>
        <w:t>因此，规划区开发过程中必须采取严格的污染控制措施，</w:t>
      </w:r>
      <w:r>
        <w:rPr>
          <w:rFonts w:hint="eastAsia"/>
          <w:color w:val="auto"/>
          <w:highlight w:val="none"/>
          <w:lang w:eastAsia="zh-CN"/>
        </w:rPr>
        <w:t>作业中落实洒水降尘等湿法作业方式、做好作业人员个人防护、保证作业井通风等可有效控制作业粉尘的危害。同时，保持</w:t>
      </w:r>
      <w:r>
        <w:rPr>
          <w:color w:val="auto"/>
          <w:highlight w:val="none"/>
        </w:rPr>
        <w:t>按照国家颁布的有关环境标准执行，使各项污染物得到有效控制、达标排放，就不至于给周围人群健康造成危害。通过采取有效的废气、废水、噪声和固废治理措施，可有效保护区内人的身体健康，降低尘肺发病率。</w:t>
      </w:r>
    </w:p>
    <w:p>
      <w:pPr>
        <w:pStyle w:val="5"/>
        <w:numPr>
          <w:ilvl w:val="1"/>
          <w:numId w:val="10"/>
        </w:numPr>
        <w:bidi w:val="0"/>
        <w:rPr>
          <w:color w:val="auto"/>
          <w:highlight w:val="none"/>
        </w:rPr>
      </w:pPr>
      <w:bookmarkStart w:id="471" w:name="5.10 环境风险分析"/>
      <w:bookmarkEnd w:id="471"/>
      <w:bookmarkStart w:id="472" w:name="_bookmark35"/>
      <w:bookmarkEnd w:id="472"/>
      <w:bookmarkStart w:id="473" w:name="_Toc16323"/>
      <w:bookmarkStart w:id="474" w:name="_Toc11903"/>
      <w:r>
        <w:rPr>
          <w:color w:val="auto"/>
          <w:highlight w:val="none"/>
        </w:rPr>
        <w:t>环境风险分析</w:t>
      </w:r>
      <w:bookmarkEnd w:id="473"/>
      <w:bookmarkEnd w:id="474"/>
    </w:p>
    <w:p>
      <w:pPr>
        <w:bidi w:val="0"/>
        <w:rPr>
          <w:color w:val="auto"/>
          <w:highlight w:val="none"/>
        </w:rPr>
      </w:pPr>
      <w:r>
        <w:rPr>
          <w:color w:val="auto"/>
          <w:highlight w:val="none"/>
        </w:rPr>
        <w:t>环境风险评价是以突发性环境事故导致的危险物质环境急性损害防控为目标，对建设项目的环境风险进行分析、预测和评估，提出环境风险预防、控制、减缓措施，明确环境风险监控及应急建议要求，为建设项目环境风险防控提供科学依据。</w:t>
      </w:r>
    </w:p>
    <w:p>
      <w:pPr>
        <w:bidi w:val="0"/>
        <w:rPr>
          <w:color w:val="auto"/>
          <w:highlight w:val="none"/>
        </w:rPr>
      </w:pPr>
      <w:r>
        <w:rPr>
          <w:color w:val="auto"/>
          <w:highlight w:val="none"/>
        </w:rPr>
        <w:t>根据导则，地面崩塌、陷落、泥石流等均属于生产安全风险和矿山地质灾害，需做专项评价，本次不再进行评价。</w:t>
      </w:r>
    </w:p>
    <w:p>
      <w:pPr>
        <w:bidi w:val="0"/>
        <w:rPr>
          <w:color w:val="auto"/>
          <w:highlight w:val="none"/>
        </w:rPr>
      </w:pPr>
      <w:r>
        <w:rPr>
          <w:rFonts w:hint="eastAsia"/>
          <w:color w:val="auto"/>
          <w:highlight w:val="none"/>
          <w:lang w:eastAsia="zh-CN"/>
        </w:rPr>
        <w:t>参考</w:t>
      </w:r>
      <w:r>
        <w:rPr>
          <w:color w:val="auto"/>
          <w:highlight w:val="none"/>
        </w:rPr>
        <w:t>《建设项目环境风险评价技术导则》（HJ169-2018）并结合矿产资源开发自身的特点，本次规划环评仅对普遍存在的环境风险进行分析、预测和评估，提出环境风险预防、控制与减缓措施。</w:t>
      </w:r>
    </w:p>
    <w:p>
      <w:pPr>
        <w:pStyle w:val="6"/>
        <w:numPr>
          <w:ilvl w:val="2"/>
          <w:numId w:val="10"/>
        </w:numPr>
        <w:bidi w:val="0"/>
        <w:rPr>
          <w:color w:val="auto"/>
          <w:highlight w:val="none"/>
        </w:rPr>
      </w:pPr>
      <w:bookmarkStart w:id="475" w:name="5.10.1 风险潜势"/>
      <w:bookmarkEnd w:id="475"/>
      <w:bookmarkStart w:id="476" w:name="5.10.1 风险潜势"/>
      <w:bookmarkEnd w:id="476"/>
      <w:bookmarkStart w:id="477" w:name="_Toc4188"/>
      <w:bookmarkStart w:id="478" w:name="_Toc29825"/>
      <w:r>
        <w:rPr>
          <w:color w:val="auto"/>
          <w:highlight w:val="none"/>
        </w:rPr>
        <w:t>风险潜势</w:t>
      </w:r>
      <w:bookmarkEnd w:id="477"/>
      <w:bookmarkEnd w:id="478"/>
    </w:p>
    <w:p>
      <w:pPr>
        <w:bidi w:val="0"/>
        <w:rPr>
          <w:color w:val="auto"/>
          <w:highlight w:val="none"/>
        </w:rPr>
      </w:pPr>
      <w:r>
        <w:rPr>
          <w:color w:val="auto"/>
          <w:highlight w:val="none"/>
        </w:rPr>
        <w:t>根据《建设项目环境风险评价技术导则》（HJ169-2018）附录B.1中规定的突发环境事件风险物质，矿区涉及的风险物质主要为硝酸铵炸药，另外还有炸药库发生火灾、爆炸后的伴生/次生产物SO</w:t>
      </w:r>
      <w:r>
        <w:rPr>
          <w:color w:val="auto"/>
          <w:highlight w:val="none"/>
          <w:vertAlign w:val="subscript"/>
        </w:rPr>
        <w:t>2</w:t>
      </w:r>
      <w:r>
        <w:rPr>
          <w:color w:val="auto"/>
          <w:highlight w:val="none"/>
        </w:rPr>
        <w:t>和CO。据调查，各矿硝酸铵炸药日常最大总储存量约</w:t>
      </w:r>
      <w:r>
        <w:rPr>
          <w:rFonts w:hint="eastAsia"/>
          <w:color w:val="auto"/>
          <w:highlight w:val="none"/>
          <w:lang w:val="en-US" w:eastAsia="zh-CN"/>
        </w:rPr>
        <w:t>28</w:t>
      </w:r>
      <w:r>
        <w:rPr>
          <w:color w:val="auto"/>
          <w:highlight w:val="none"/>
        </w:rPr>
        <w:t>t，对照《建设项目环境风险评价技术导则》（HJ169-2018），其临界量为50t，则危险物质数量与临界量的比值（Q）计算如下：</w:t>
      </w:r>
    </w:p>
    <w:p>
      <w:pPr>
        <w:bidi w:val="0"/>
        <w:jc w:val="center"/>
        <w:rPr>
          <w:rFonts w:hint="default" w:eastAsia="宋体"/>
          <w:color w:val="auto"/>
          <w:highlight w:val="none"/>
          <w:lang w:val="en-US" w:eastAsia="zh-CN"/>
        </w:rPr>
      </w:pPr>
      <w:r>
        <w:rPr>
          <w:color w:val="auto"/>
          <w:highlight w:val="none"/>
        </w:rPr>
        <w:t>Q=</w:t>
      </w:r>
      <w:r>
        <w:rPr>
          <w:rFonts w:hint="eastAsia"/>
          <w:color w:val="auto"/>
          <w:highlight w:val="none"/>
          <w:lang w:val="en-US" w:eastAsia="zh-CN"/>
        </w:rPr>
        <w:t>28</w:t>
      </w:r>
      <w:r>
        <w:rPr>
          <w:color w:val="auto"/>
          <w:highlight w:val="none"/>
        </w:rPr>
        <w:t>/50=</w:t>
      </w:r>
      <w:r>
        <w:rPr>
          <w:rFonts w:hint="eastAsia"/>
          <w:color w:val="auto"/>
          <w:highlight w:val="none"/>
          <w:lang w:val="en-US" w:eastAsia="zh-CN"/>
        </w:rPr>
        <w:t>0.56</w:t>
      </w:r>
    </w:p>
    <w:p>
      <w:pPr>
        <w:bidi w:val="0"/>
        <w:rPr>
          <w:color w:val="auto"/>
          <w:highlight w:val="none"/>
        </w:rPr>
      </w:pPr>
      <w:r>
        <w:rPr>
          <w:color w:val="auto"/>
          <w:highlight w:val="none"/>
        </w:rPr>
        <w:t>经计算，Q&lt;1，根据《建设项目环境风险评价技术导则》（HJ169-2018）附录C.1的规定，确定矿区环境风险潜势为Ⅰ。</w:t>
      </w:r>
    </w:p>
    <w:p>
      <w:pPr>
        <w:bidi w:val="0"/>
        <w:rPr>
          <w:color w:val="auto"/>
          <w:highlight w:val="none"/>
        </w:rPr>
      </w:pPr>
      <w:r>
        <w:rPr>
          <w:color w:val="auto"/>
          <w:highlight w:val="none"/>
        </w:rPr>
        <w:t>根据《建设项目环境风险评价技术导则》（HJ169-2018）附录D.1的规定，矿区地表水功能敏感性和敏感目标分级分别为F2和S1，地表水环境敏感度分级为E3；地下水功能敏感性分区为G3，矿井水处理站处于一般防渗区域，因此岩土防渗性能为D3，地下水环境敏感程度为E3。结合《建设项目环境风险评价技术导则》（HJ169-2018）表2中建设项目环境风险潜势划分依据，矿区水环境风险潜势为为Ⅰ。</w:t>
      </w:r>
    </w:p>
    <w:p>
      <w:pPr>
        <w:pStyle w:val="6"/>
        <w:numPr>
          <w:ilvl w:val="2"/>
          <w:numId w:val="10"/>
        </w:numPr>
        <w:bidi w:val="0"/>
        <w:rPr>
          <w:color w:val="auto"/>
          <w:highlight w:val="none"/>
        </w:rPr>
      </w:pPr>
      <w:bookmarkStart w:id="479" w:name="5.10.2 环境风险识别"/>
      <w:bookmarkEnd w:id="479"/>
      <w:bookmarkStart w:id="480" w:name="5.10.2 环境风险识别"/>
      <w:bookmarkEnd w:id="480"/>
      <w:bookmarkStart w:id="481" w:name="_Toc13207"/>
      <w:bookmarkStart w:id="482" w:name="_Toc27271"/>
      <w:r>
        <w:rPr>
          <w:color w:val="auto"/>
          <w:highlight w:val="none"/>
        </w:rPr>
        <w:t>环境风险识别</w:t>
      </w:r>
      <w:bookmarkEnd w:id="481"/>
      <w:bookmarkEnd w:id="482"/>
    </w:p>
    <w:p>
      <w:pPr>
        <w:bidi w:val="0"/>
        <w:rPr>
          <w:color w:val="auto"/>
          <w:highlight w:val="none"/>
        </w:rPr>
      </w:pPr>
      <w:r>
        <w:rPr>
          <w:color w:val="auto"/>
          <w:highlight w:val="none"/>
        </w:rPr>
        <w:t>环境风险识别包括物质风险性识别、生产系统危险性识别以及危险物质向环境转移的途径识别。</w:t>
      </w:r>
    </w:p>
    <w:p>
      <w:pPr>
        <w:pStyle w:val="7"/>
        <w:numPr>
          <w:ilvl w:val="3"/>
          <w:numId w:val="10"/>
        </w:numPr>
        <w:bidi w:val="0"/>
        <w:rPr>
          <w:color w:val="auto"/>
          <w:highlight w:val="none"/>
        </w:rPr>
      </w:pPr>
      <w:r>
        <w:rPr>
          <w:color w:val="auto"/>
          <w:highlight w:val="none"/>
        </w:rPr>
        <w:t>物质风险性识别</w:t>
      </w:r>
    </w:p>
    <w:p>
      <w:pPr>
        <w:bidi w:val="0"/>
        <w:rPr>
          <w:color w:val="auto"/>
          <w:highlight w:val="none"/>
        </w:rPr>
      </w:pPr>
      <w:r>
        <w:rPr>
          <w:color w:val="auto"/>
          <w:highlight w:val="none"/>
        </w:rPr>
        <w:t>物质风险性识别，主要识别主要原辅材料、燃料、中间产品、副产品、最终产品、污染物、火灾和爆炸伴生/次生物等。</w:t>
      </w:r>
    </w:p>
    <w:p>
      <w:pPr>
        <w:bidi w:val="0"/>
        <w:rPr>
          <w:color w:val="auto"/>
          <w:highlight w:val="none"/>
        </w:rPr>
      </w:pPr>
      <w:r>
        <w:rPr>
          <w:color w:val="auto"/>
          <w:highlight w:val="none"/>
        </w:rPr>
        <w:t>矿区涉及的风险物质为硝酸铵炸药、SO</w:t>
      </w:r>
      <w:r>
        <w:rPr>
          <w:color w:val="auto"/>
          <w:highlight w:val="none"/>
          <w:vertAlign w:val="subscript"/>
        </w:rPr>
        <w:t>2</w:t>
      </w:r>
      <w:r>
        <w:rPr>
          <w:color w:val="auto"/>
          <w:highlight w:val="none"/>
        </w:rPr>
        <w:t>和CO、选煤厂浓缩池废水</w:t>
      </w:r>
      <w:r>
        <w:rPr>
          <w:rFonts w:hint="eastAsia"/>
          <w:color w:val="auto"/>
          <w:highlight w:val="none"/>
          <w:lang w:eastAsia="zh-CN"/>
        </w:rPr>
        <w:t>、瓦斯气体</w:t>
      </w:r>
      <w:r>
        <w:rPr>
          <w:color w:val="auto"/>
          <w:highlight w:val="none"/>
        </w:rPr>
        <w:t>等。其中 SO2和CO来源于火灾和爆炸伴生/次生物，硝酸铵炸药储存在炸药库中。</w:t>
      </w:r>
    </w:p>
    <w:p>
      <w:pPr>
        <w:bidi w:val="0"/>
        <w:rPr>
          <w:color w:val="auto"/>
          <w:highlight w:val="none"/>
        </w:rPr>
      </w:pPr>
      <w:r>
        <w:rPr>
          <w:color w:val="auto"/>
          <w:highlight w:val="none"/>
        </w:rPr>
        <w:t>风险特性见表 5.10-1、5.10-2、表 5.10-3。</w:t>
      </w:r>
    </w:p>
    <w:p>
      <w:pPr>
        <w:pStyle w:val="22"/>
        <w:bidi w:val="0"/>
        <w:rPr>
          <w:b/>
          <w:color w:val="auto"/>
          <w:sz w:val="21"/>
          <w:highlight w:val="none"/>
        </w:rPr>
      </w:pPr>
      <w:r>
        <w:rPr>
          <w:b/>
          <w:color w:val="auto"/>
          <w:position w:val="2"/>
          <w:sz w:val="21"/>
          <w:highlight w:val="none"/>
        </w:rPr>
        <w:t>表</w:t>
      </w:r>
      <w:r>
        <w:rPr>
          <w:b/>
          <w:color w:val="auto"/>
          <w:spacing w:val="-55"/>
          <w:position w:val="2"/>
          <w:sz w:val="21"/>
          <w:highlight w:val="none"/>
        </w:rPr>
        <w:t xml:space="preserve"> </w:t>
      </w:r>
      <w:r>
        <w:rPr>
          <w:rFonts w:ascii="Times New Roman" w:eastAsia="Times New Roman"/>
          <w:b/>
          <w:color w:val="auto"/>
          <w:position w:val="2"/>
          <w:sz w:val="21"/>
          <w:highlight w:val="none"/>
        </w:rPr>
        <w:t>5.10-1</w:t>
      </w:r>
      <w:r>
        <w:rPr>
          <w:rFonts w:hint="eastAsia"/>
          <w:b/>
          <w:color w:val="auto"/>
          <w:position w:val="2"/>
          <w:sz w:val="21"/>
          <w:highlight w:val="none"/>
          <w:lang w:val="en-US" w:eastAsia="zh-CN"/>
        </w:rPr>
        <w:t xml:space="preserve">   </w:t>
      </w:r>
      <w:r>
        <w:rPr>
          <w:rFonts w:ascii="Times New Roman" w:eastAsia="Times New Roman"/>
          <w:b/>
          <w:color w:val="auto"/>
          <w:w w:val="95"/>
          <w:position w:val="2"/>
          <w:sz w:val="21"/>
          <w:highlight w:val="none"/>
        </w:rPr>
        <w:t>SO</w:t>
      </w:r>
      <w:r>
        <w:rPr>
          <w:rFonts w:ascii="Times New Roman" w:eastAsia="Times New Roman"/>
          <w:b/>
          <w:color w:val="auto"/>
          <w:w w:val="95"/>
          <w:position w:val="2"/>
          <w:sz w:val="21"/>
          <w:highlight w:val="none"/>
          <w:vertAlign w:val="subscript"/>
        </w:rPr>
        <w:t>2</w:t>
      </w:r>
      <w:r>
        <w:rPr>
          <w:b/>
          <w:color w:val="auto"/>
          <w:w w:val="95"/>
          <w:position w:val="2"/>
          <w:sz w:val="21"/>
          <w:highlight w:val="none"/>
          <w:vertAlign w:val="baseline"/>
        </w:rPr>
        <w:t>风险特性一览表</w:t>
      </w:r>
    </w:p>
    <w:tbl>
      <w:tblPr>
        <w:tblStyle w:val="17"/>
        <w:tblW w:w="0" w:type="auto"/>
        <w:tblInd w:w="1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67"/>
        <w:gridCol w:w="4108"/>
        <w:gridCol w:w="372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267" w:type="dxa"/>
            <w:vMerge w:val="restart"/>
            <w:tcBorders>
              <w:left w:val="nil"/>
              <w:bottom w:val="single" w:color="000000" w:sz="4" w:space="0"/>
              <w:right w:val="single" w:color="000000" w:sz="4" w:space="0"/>
            </w:tcBorders>
          </w:tcPr>
          <w:p>
            <w:pPr>
              <w:pStyle w:val="22"/>
              <w:bidi w:val="0"/>
              <w:rPr>
                <w:color w:val="auto"/>
                <w:highlight w:val="none"/>
              </w:rPr>
            </w:pPr>
            <w:r>
              <w:rPr>
                <w:color w:val="auto"/>
                <w:highlight w:val="none"/>
              </w:rPr>
              <w:t>标识</w:t>
            </w:r>
          </w:p>
        </w:tc>
        <w:tc>
          <w:tcPr>
            <w:tcW w:w="4108"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英文名</w:t>
            </w:r>
          </w:p>
        </w:tc>
        <w:tc>
          <w:tcPr>
            <w:tcW w:w="3725" w:type="dxa"/>
            <w:tcBorders>
              <w:left w:val="single" w:color="000000" w:sz="4" w:space="0"/>
              <w:bottom w:val="single" w:color="000000" w:sz="4" w:space="0"/>
              <w:right w:val="nil"/>
            </w:tcBorders>
          </w:tcPr>
          <w:p>
            <w:pPr>
              <w:pStyle w:val="22"/>
              <w:bidi w:val="0"/>
              <w:rPr>
                <w:color w:val="auto"/>
                <w:highlight w:val="none"/>
              </w:rPr>
            </w:pPr>
            <w:r>
              <w:rPr>
                <w:color w:val="auto"/>
                <w:highlight w:val="none"/>
              </w:rPr>
              <w:t>sulfur dioxide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trPr>
        <w:tc>
          <w:tcPr>
            <w:tcW w:w="126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410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CAS</w:t>
            </w:r>
          </w:p>
        </w:tc>
        <w:tc>
          <w:tcPr>
            <w:tcW w:w="3725"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7446-09-5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1" w:hRule="atLeast"/>
        </w:trPr>
        <w:tc>
          <w:tcPr>
            <w:tcW w:w="126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二氧化硫，分子式：SO</w:t>
            </w:r>
            <w:r>
              <w:rPr>
                <w:color w:val="auto"/>
                <w:highlight w:val="none"/>
                <w:vertAlign w:val="subscript"/>
              </w:rPr>
              <w:t>2</w:t>
            </w:r>
            <w:r>
              <w:rPr>
                <w:color w:val="auto"/>
                <w:highlight w:val="none"/>
              </w:rPr>
              <w:t>，分子量：64.06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外观与性状</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无色，有刺激性气味的有毒气体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熔点和沸点</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熔点-72.4℃；沸点-10℃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溶解性</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易溶于水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侵入途径</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吸入、皮肤接触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0"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健康危害</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急性中毒：轻度中毒时，发生流泪、畏光、咳嗽，咽、喉灼痛等；严重中毒可在数小时内发生肺水肿；极高浓度吸入可引起反射性声门痉挛而致窒息。皮肤或眼接触发生 炎症或灼伤。慢性影响：长期低浓度接触，可有头痛、头昏、乏力等全身症状以及慢性鼻炎、咽喉炎、支气管炎、嗅觉及味觉减退等。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267" w:type="dxa"/>
            <w:tcBorders>
              <w:top w:val="single" w:color="000000" w:sz="4" w:space="0"/>
              <w:left w:val="nil"/>
              <w:right w:val="single" w:color="000000" w:sz="4" w:space="0"/>
            </w:tcBorders>
          </w:tcPr>
          <w:p>
            <w:pPr>
              <w:pStyle w:val="22"/>
              <w:bidi w:val="0"/>
              <w:rPr>
                <w:color w:val="auto"/>
                <w:highlight w:val="none"/>
              </w:rPr>
            </w:pPr>
            <w:r>
              <w:rPr>
                <w:color w:val="auto"/>
                <w:highlight w:val="none"/>
              </w:rPr>
              <w:t>环境危害</w:t>
            </w:r>
          </w:p>
        </w:tc>
        <w:tc>
          <w:tcPr>
            <w:tcW w:w="7833" w:type="dxa"/>
            <w:gridSpan w:val="2"/>
            <w:tcBorders>
              <w:top w:val="single" w:color="000000" w:sz="4" w:space="0"/>
              <w:left w:val="single" w:color="000000" w:sz="4" w:space="0"/>
              <w:right w:val="nil"/>
            </w:tcBorders>
          </w:tcPr>
          <w:p>
            <w:pPr>
              <w:pStyle w:val="22"/>
              <w:bidi w:val="0"/>
              <w:rPr>
                <w:color w:val="auto"/>
                <w:highlight w:val="none"/>
              </w:rPr>
            </w:pPr>
            <w:r>
              <w:rPr>
                <w:color w:val="auto"/>
                <w:highlight w:val="none"/>
              </w:rPr>
              <w:t>造成大气污染</w:t>
            </w:r>
          </w:p>
        </w:tc>
      </w:tr>
    </w:tbl>
    <w:p>
      <w:pPr>
        <w:pStyle w:val="22"/>
        <w:bidi w:val="0"/>
        <w:rPr>
          <w:b/>
          <w:color w:val="auto"/>
          <w:sz w:val="21"/>
          <w:highlight w:val="none"/>
        </w:rPr>
      </w:pPr>
      <w:r>
        <w:rPr>
          <w:b/>
          <w:color w:val="auto"/>
          <w:sz w:val="21"/>
          <w:highlight w:val="none"/>
        </w:rPr>
        <w:t>表</w:t>
      </w:r>
      <w:r>
        <w:rPr>
          <w:b/>
          <w:color w:val="auto"/>
          <w:spacing w:val="-61"/>
          <w:sz w:val="21"/>
          <w:highlight w:val="none"/>
        </w:rPr>
        <w:t xml:space="preserve"> </w:t>
      </w:r>
      <w:r>
        <w:rPr>
          <w:rFonts w:ascii="Times New Roman" w:eastAsia="Times New Roman"/>
          <w:b/>
          <w:color w:val="auto"/>
          <w:sz w:val="21"/>
          <w:highlight w:val="none"/>
        </w:rPr>
        <w:t>5.10-2</w:t>
      </w:r>
      <w:r>
        <w:rPr>
          <w:rFonts w:hint="eastAsia"/>
          <w:b/>
          <w:color w:val="auto"/>
          <w:sz w:val="21"/>
          <w:highlight w:val="none"/>
          <w:lang w:val="en-US" w:eastAsia="zh-CN"/>
        </w:rPr>
        <w:t xml:space="preserve">   </w:t>
      </w:r>
      <w:r>
        <w:rPr>
          <w:rFonts w:ascii="Times New Roman" w:eastAsia="Times New Roman"/>
          <w:b/>
          <w:color w:val="auto"/>
          <w:sz w:val="21"/>
          <w:highlight w:val="none"/>
        </w:rPr>
        <w:t>CO</w:t>
      </w:r>
      <w:r>
        <w:rPr>
          <w:rFonts w:ascii="Times New Roman" w:eastAsia="Times New Roman"/>
          <w:b/>
          <w:color w:val="auto"/>
          <w:spacing w:val="-11"/>
          <w:sz w:val="21"/>
          <w:highlight w:val="none"/>
        </w:rPr>
        <w:t xml:space="preserve"> </w:t>
      </w:r>
      <w:r>
        <w:rPr>
          <w:b/>
          <w:color w:val="auto"/>
          <w:sz w:val="21"/>
          <w:highlight w:val="none"/>
        </w:rPr>
        <w:t>风</w:t>
      </w:r>
      <w:r>
        <w:rPr>
          <w:b/>
          <w:color w:val="auto"/>
          <w:spacing w:val="4"/>
          <w:sz w:val="21"/>
          <w:highlight w:val="none"/>
        </w:rPr>
        <w:t>险</w:t>
      </w:r>
      <w:r>
        <w:rPr>
          <w:b/>
          <w:color w:val="auto"/>
          <w:sz w:val="21"/>
          <w:highlight w:val="none"/>
        </w:rPr>
        <w:t>特</w:t>
      </w:r>
      <w:r>
        <w:rPr>
          <w:b/>
          <w:color w:val="auto"/>
          <w:spacing w:val="4"/>
          <w:sz w:val="21"/>
          <w:highlight w:val="none"/>
        </w:rPr>
        <w:t>性</w:t>
      </w:r>
      <w:r>
        <w:rPr>
          <w:b/>
          <w:color w:val="auto"/>
          <w:sz w:val="21"/>
          <w:highlight w:val="none"/>
        </w:rPr>
        <w:t>一览表</w:t>
      </w:r>
    </w:p>
    <w:tbl>
      <w:tblPr>
        <w:tblStyle w:val="17"/>
        <w:tblW w:w="0" w:type="auto"/>
        <w:tblInd w:w="1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67"/>
        <w:gridCol w:w="3366"/>
        <w:gridCol w:w="44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267" w:type="dxa"/>
            <w:vMerge w:val="restart"/>
            <w:tcBorders>
              <w:left w:val="nil"/>
              <w:bottom w:val="single" w:color="000000" w:sz="4" w:space="0"/>
              <w:right w:val="single" w:color="000000" w:sz="4" w:space="0"/>
            </w:tcBorders>
          </w:tcPr>
          <w:p>
            <w:pPr>
              <w:pStyle w:val="22"/>
              <w:bidi w:val="0"/>
              <w:rPr>
                <w:color w:val="auto"/>
                <w:highlight w:val="none"/>
              </w:rPr>
            </w:pPr>
            <w:r>
              <w:rPr>
                <w:color w:val="auto"/>
                <w:highlight w:val="none"/>
              </w:rPr>
              <w:t>标识</w:t>
            </w:r>
          </w:p>
        </w:tc>
        <w:tc>
          <w:tcPr>
            <w:tcW w:w="3366"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英文名</w:t>
            </w:r>
          </w:p>
        </w:tc>
        <w:tc>
          <w:tcPr>
            <w:tcW w:w="4467" w:type="dxa"/>
            <w:tcBorders>
              <w:left w:val="single" w:color="000000" w:sz="4" w:space="0"/>
              <w:bottom w:val="single" w:color="000000" w:sz="4" w:space="0"/>
              <w:right w:val="nil"/>
            </w:tcBorders>
          </w:tcPr>
          <w:p>
            <w:pPr>
              <w:pStyle w:val="22"/>
              <w:bidi w:val="0"/>
              <w:rPr>
                <w:color w:val="auto"/>
                <w:highlight w:val="none"/>
              </w:rPr>
            </w:pPr>
            <w:r>
              <w:rPr>
                <w:color w:val="auto"/>
                <w:highlight w:val="none"/>
              </w:rPr>
              <w:t>carbon monoxide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26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336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CAS</w:t>
            </w:r>
          </w:p>
        </w:tc>
        <w:tc>
          <w:tcPr>
            <w:tcW w:w="4467" w:type="dxa"/>
            <w:tcBorders>
              <w:top w:val="single" w:color="000000" w:sz="4" w:space="0"/>
              <w:left w:val="single" w:color="000000" w:sz="4" w:space="0"/>
              <w:right w:val="nil"/>
            </w:tcBorders>
          </w:tcPr>
          <w:p>
            <w:pPr>
              <w:pStyle w:val="22"/>
              <w:bidi w:val="0"/>
              <w:rPr>
                <w:color w:val="auto"/>
                <w:highlight w:val="none"/>
              </w:rPr>
            </w:pPr>
            <w:r>
              <w:rPr>
                <w:color w:val="auto"/>
                <w:highlight w:val="none"/>
              </w:rPr>
              <w:t>630-08-0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26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3366"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别名</w:t>
            </w:r>
          </w:p>
        </w:tc>
        <w:tc>
          <w:tcPr>
            <w:tcW w:w="4467" w:type="dxa"/>
            <w:tcBorders>
              <w:left w:val="single" w:color="000000" w:sz="4" w:space="0"/>
              <w:bottom w:val="single" w:color="000000" w:sz="4" w:space="0"/>
              <w:right w:val="nil"/>
            </w:tcBorders>
          </w:tcPr>
          <w:p>
            <w:pPr>
              <w:pStyle w:val="22"/>
              <w:bidi w:val="0"/>
              <w:rPr>
                <w:color w:val="auto"/>
                <w:highlight w:val="none"/>
              </w:rPr>
            </w:pPr>
            <w:r>
              <w:rPr>
                <w:color w:val="auto"/>
                <w:highlight w:val="none"/>
              </w:rPr>
              <w:t>煤气（注：CO 只是煤气成份之一）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一氧化碳，分子式：CO，分子量：28.01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外观与性状</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无色无味气味有毒气体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熔点和沸点</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熔点-205℃；沸点-191.5℃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溶解性</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微溶于水，溶于乙醇、苯、氯仿等多数有机溶剂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侵入途径</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吸入、皮肤接触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67"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急性毒性</w:t>
            </w:r>
          </w:p>
        </w:tc>
        <w:tc>
          <w:tcPr>
            <w:tcW w:w="7833" w:type="dxa"/>
            <w:gridSpan w:val="2"/>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LC50：1807ppm（大鼠吸入，4h）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97" w:hRule="atLeast"/>
        </w:trPr>
        <w:tc>
          <w:tcPr>
            <w:tcW w:w="1267" w:type="dxa"/>
            <w:tcBorders>
              <w:top w:val="single" w:color="000000" w:sz="4" w:space="0"/>
              <w:left w:val="nil"/>
              <w:right w:val="single" w:color="000000" w:sz="4" w:space="0"/>
            </w:tcBorders>
          </w:tcPr>
          <w:p>
            <w:pPr>
              <w:pStyle w:val="22"/>
              <w:bidi w:val="0"/>
              <w:rPr>
                <w:color w:val="auto"/>
                <w:highlight w:val="none"/>
              </w:rPr>
            </w:pPr>
            <w:r>
              <w:rPr>
                <w:color w:val="auto"/>
                <w:highlight w:val="none"/>
              </w:rPr>
              <w:t>中毒症状</w:t>
            </w:r>
          </w:p>
        </w:tc>
        <w:tc>
          <w:tcPr>
            <w:tcW w:w="7833" w:type="dxa"/>
            <w:gridSpan w:val="2"/>
            <w:tcBorders>
              <w:top w:val="single" w:color="000000" w:sz="4" w:space="0"/>
              <w:left w:val="single" w:color="000000" w:sz="4" w:space="0"/>
              <w:right w:val="nil"/>
            </w:tcBorders>
          </w:tcPr>
          <w:p>
            <w:pPr>
              <w:pStyle w:val="22"/>
              <w:bidi w:val="0"/>
              <w:rPr>
                <w:color w:val="auto"/>
                <w:highlight w:val="none"/>
              </w:rPr>
            </w:pPr>
            <w:r>
              <w:rPr>
                <w:color w:val="auto"/>
                <w:highlight w:val="none"/>
              </w:rPr>
              <w:t>一是轻度中毒。患者可出现头痛、头晕、失眠、视 物模糊、耳鸣、恶心、呕吐、全身乏力、心动过速、短 暂昏厥。血中碳氧血红蛋白含量达 10%～20%。</w:t>
            </w:r>
          </w:p>
          <w:p>
            <w:pPr>
              <w:pStyle w:val="22"/>
              <w:bidi w:val="0"/>
              <w:rPr>
                <w:color w:val="auto"/>
                <w:highlight w:val="none"/>
              </w:rPr>
            </w:pPr>
            <w:r>
              <w:rPr>
                <w:color w:val="auto"/>
                <w:highlight w:val="none"/>
              </w:rPr>
              <w:t>二是中度中毒。除上述症状加重外，口唇、指甲、皮肤粘膜出现樱桃红色，多汗，血压先升高后降低，心率加速，心律失常，烦躁，一时性感觉和运动分离（即尚有思维，但不能行动）。症状继续加重，可出现嗜睡、昏迷。血中碳氧血红蛋白约在30%～40%。经及时抢救，可较快清醒，一般无并发症和后遗症。</w:t>
            </w:r>
          </w:p>
          <w:p>
            <w:pPr>
              <w:pStyle w:val="22"/>
              <w:bidi w:val="0"/>
              <w:rPr>
                <w:color w:val="auto"/>
                <w:sz w:val="21"/>
                <w:highlight w:val="none"/>
              </w:rPr>
            </w:pPr>
            <w:r>
              <w:rPr>
                <w:color w:val="auto"/>
                <w:highlight w:val="none"/>
              </w:rPr>
              <w:t>三是重度中毒。患者迅速进入昏迷状态。初期四肢肌张力增加，或有阵发性强直</w:t>
            </w:r>
            <w:r>
              <w:rPr>
                <w:color w:val="auto"/>
                <w:spacing w:val="-8"/>
                <w:sz w:val="21"/>
                <w:highlight w:val="none"/>
              </w:rPr>
              <w:t>性痉挛；晚 期肌张力显著降低，患者面色苍白或青紫，血压下降，瞳孔散大，最后因呼吸麻痹而死亡。经抢救存活者可有严重合并症及后遗症。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267" w:type="dxa"/>
            <w:tcBorders>
              <w:left w:val="nil"/>
              <w:bottom w:val="single" w:color="000000" w:sz="12" w:space="0"/>
            </w:tcBorders>
          </w:tcPr>
          <w:p>
            <w:pPr>
              <w:pStyle w:val="25"/>
              <w:spacing w:before="78"/>
              <w:ind w:left="225"/>
              <w:jc w:val="left"/>
              <w:rPr>
                <w:color w:val="auto"/>
                <w:sz w:val="21"/>
                <w:highlight w:val="none"/>
              </w:rPr>
            </w:pPr>
            <w:r>
              <w:rPr>
                <w:color w:val="auto"/>
                <w:sz w:val="21"/>
                <w:highlight w:val="none"/>
              </w:rPr>
              <w:t>环境危害</w:t>
            </w:r>
          </w:p>
        </w:tc>
        <w:tc>
          <w:tcPr>
            <w:tcW w:w="7833" w:type="dxa"/>
            <w:gridSpan w:val="2"/>
            <w:tcBorders>
              <w:bottom w:val="single" w:color="000000" w:sz="12" w:space="0"/>
              <w:right w:val="nil"/>
            </w:tcBorders>
          </w:tcPr>
          <w:p>
            <w:pPr>
              <w:pStyle w:val="25"/>
              <w:spacing w:before="78"/>
              <w:ind w:left="112" w:right="98"/>
              <w:rPr>
                <w:color w:val="auto"/>
                <w:sz w:val="21"/>
                <w:highlight w:val="none"/>
              </w:rPr>
            </w:pPr>
            <w:r>
              <w:rPr>
                <w:color w:val="auto"/>
                <w:sz w:val="21"/>
                <w:highlight w:val="none"/>
              </w:rPr>
              <w:t>造成大气污染</w:t>
            </w:r>
          </w:p>
        </w:tc>
      </w:tr>
    </w:tbl>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5.10-3</w:t>
      </w:r>
      <w:r>
        <w:rPr>
          <w:rFonts w:ascii="Times New Roman" w:eastAsia="Times New Roman"/>
          <w:b/>
          <w:color w:val="auto"/>
          <w:sz w:val="21"/>
          <w:highlight w:val="none"/>
        </w:rPr>
        <w:tab/>
      </w:r>
      <w:r>
        <w:rPr>
          <w:b/>
          <w:color w:val="auto"/>
          <w:sz w:val="21"/>
          <w:highlight w:val="none"/>
        </w:rPr>
        <w:t>物质危险识别一览表</w:t>
      </w:r>
    </w:p>
    <w:tbl>
      <w:tblPr>
        <w:tblStyle w:val="17"/>
        <w:tblW w:w="0" w:type="auto"/>
        <w:tblInd w:w="1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5"/>
        <w:gridCol w:w="1428"/>
        <w:gridCol w:w="930"/>
        <w:gridCol w:w="4350"/>
        <w:gridCol w:w="15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825" w:type="dxa"/>
            <w:tcBorders>
              <w:left w:val="nil"/>
              <w:bottom w:val="single" w:color="000000" w:sz="4" w:space="0"/>
              <w:right w:val="single" w:color="000000" w:sz="4" w:space="0"/>
            </w:tcBorders>
          </w:tcPr>
          <w:p>
            <w:pPr>
              <w:pStyle w:val="22"/>
              <w:bidi w:val="0"/>
              <w:rPr>
                <w:color w:val="auto"/>
                <w:highlight w:val="none"/>
              </w:rPr>
            </w:pPr>
            <w:r>
              <w:rPr>
                <w:color w:val="auto"/>
                <w:highlight w:val="none"/>
              </w:rPr>
              <w:t>序号</w:t>
            </w:r>
          </w:p>
        </w:tc>
        <w:tc>
          <w:tcPr>
            <w:tcW w:w="1428"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名称</w:t>
            </w:r>
          </w:p>
        </w:tc>
        <w:tc>
          <w:tcPr>
            <w:tcW w:w="93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形态</w:t>
            </w:r>
          </w:p>
        </w:tc>
        <w:tc>
          <w:tcPr>
            <w:tcW w:w="435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危险因素</w:t>
            </w:r>
          </w:p>
        </w:tc>
        <w:tc>
          <w:tcPr>
            <w:tcW w:w="1567" w:type="dxa"/>
            <w:tcBorders>
              <w:left w:val="single" w:color="000000" w:sz="4" w:space="0"/>
              <w:bottom w:val="single" w:color="000000" w:sz="4" w:space="0"/>
              <w:right w:val="nil"/>
            </w:tcBorders>
          </w:tcPr>
          <w:p>
            <w:pPr>
              <w:pStyle w:val="22"/>
              <w:bidi w:val="0"/>
              <w:rPr>
                <w:color w:val="auto"/>
                <w:highlight w:val="none"/>
              </w:rPr>
            </w:pPr>
            <w:r>
              <w:rPr>
                <w:color w:val="auto"/>
                <w:highlight w:val="none"/>
              </w:rPr>
              <w:t>危险源级别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825"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1</w:t>
            </w:r>
          </w:p>
        </w:tc>
        <w:tc>
          <w:tcPr>
            <w:tcW w:w="14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废水</w:t>
            </w:r>
          </w:p>
        </w:tc>
        <w:tc>
          <w:tcPr>
            <w:tcW w:w="93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液态</w:t>
            </w:r>
          </w:p>
        </w:tc>
        <w:tc>
          <w:tcPr>
            <w:tcW w:w="435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有害</w:t>
            </w:r>
          </w:p>
        </w:tc>
        <w:tc>
          <w:tcPr>
            <w:tcW w:w="156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非重大危险源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97" w:hRule="atLeast"/>
        </w:trPr>
        <w:tc>
          <w:tcPr>
            <w:tcW w:w="825"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2</w:t>
            </w:r>
          </w:p>
        </w:tc>
        <w:tc>
          <w:tcPr>
            <w:tcW w:w="1428"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硝酸铵炸药</w:t>
            </w:r>
          </w:p>
        </w:tc>
        <w:tc>
          <w:tcPr>
            <w:tcW w:w="93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固态</w:t>
            </w:r>
          </w:p>
        </w:tc>
        <w:tc>
          <w:tcPr>
            <w:tcW w:w="435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强氧化剂。遇可燃物着火时，能助长火势。与可燃物粉末混合能发生激烈反应而爆炸。受强烈震动也会起爆。急剧加热时可发生爆炸。与还原剂、有机物、易燃物如硫、磷或金属粉末等混合可形成爆炸性混合物。</w:t>
            </w:r>
          </w:p>
        </w:tc>
        <w:tc>
          <w:tcPr>
            <w:tcW w:w="156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非重大危险源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97" w:hRule="atLeast"/>
        </w:trPr>
        <w:tc>
          <w:tcPr>
            <w:tcW w:w="825" w:type="dxa"/>
            <w:tcBorders>
              <w:top w:val="single" w:color="000000" w:sz="4" w:space="0"/>
              <w:left w:val="nil"/>
              <w:right w:val="single" w:color="000000" w:sz="4" w:space="0"/>
            </w:tcBorders>
          </w:tcPr>
          <w:p>
            <w:pPr>
              <w:pStyle w:val="22"/>
              <w:bidi w:val="0"/>
              <w:rPr>
                <w:rFonts w:hint="eastAsia" w:eastAsia="宋体"/>
                <w:color w:val="auto"/>
                <w:highlight w:val="none"/>
                <w:lang w:val="en-US" w:eastAsia="zh-CN"/>
              </w:rPr>
            </w:pPr>
            <w:r>
              <w:rPr>
                <w:rFonts w:hint="eastAsia"/>
                <w:color w:val="auto"/>
                <w:highlight w:val="none"/>
                <w:lang w:val="en-US" w:eastAsia="zh-CN"/>
              </w:rPr>
              <w:t>3</w:t>
            </w:r>
          </w:p>
        </w:tc>
        <w:tc>
          <w:tcPr>
            <w:tcW w:w="1428" w:type="dxa"/>
            <w:tcBorders>
              <w:top w:val="single" w:color="000000" w:sz="4" w:space="0"/>
              <w:left w:val="single" w:color="000000" w:sz="4" w:space="0"/>
              <w:right w:val="single" w:color="000000" w:sz="4" w:space="0"/>
            </w:tcBorders>
          </w:tcPr>
          <w:p>
            <w:pPr>
              <w:pStyle w:val="22"/>
              <w:bidi w:val="0"/>
              <w:rPr>
                <w:rFonts w:hint="eastAsia" w:eastAsia="宋体"/>
                <w:color w:val="auto"/>
                <w:highlight w:val="none"/>
                <w:lang w:eastAsia="zh-CN"/>
              </w:rPr>
            </w:pPr>
            <w:r>
              <w:rPr>
                <w:rFonts w:hint="eastAsia"/>
                <w:color w:val="auto"/>
                <w:highlight w:val="none"/>
                <w:lang w:eastAsia="zh-CN"/>
              </w:rPr>
              <w:t>瓦斯</w:t>
            </w:r>
          </w:p>
        </w:tc>
        <w:tc>
          <w:tcPr>
            <w:tcW w:w="930" w:type="dxa"/>
            <w:tcBorders>
              <w:top w:val="single" w:color="000000" w:sz="4" w:space="0"/>
              <w:left w:val="single" w:color="000000" w:sz="4" w:space="0"/>
              <w:right w:val="single" w:color="000000" w:sz="4" w:space="0"/>
            </w:tcBorders>
          </w:tcPr>
          <w:p>
            <w:pPr>
              <w:pStyle w:val="22"/>
              <w:bidi w:val="0"/>
              <w:rPr>
                <w:rFonts w:hint="eastAsia" w:eastAsia="宋体"/>
                <w:color w:val="auto"/>
                <w:highlight w:val="none"/>
                <w:lang w:eastAsia="zh-CN"/>
              </w:rPr>
            </w:pPr>
            <w:r>
              <w:rPr>
                <w:rFonts w:hint="eastAsia"/>
                <w:color w:val="auto"/>
                <w:highlight w:val="none"/>
                <w:lang w:eastAsia="zh-CN"/>
              </w:rPr>
              <w:t>气态</w:t>
            </w:r>
          </w:p>
        </w:tc>
        <w:tc>
          <w:tcPr>
            <w:tcW w:w="4350" w:type="dxa"/>
            <w:tcBorders>
              <w:top w:val="single" w:color="000000" w:sz="4" w:space="0"/>
              <w:left w:val="single" w:color="000000" w:sz="4" w:space="0"/>
              <w:right w:val="single" w:color="000000" w:sz="4" w:space="0"/>
            </w:tcBorders>
          </w:tcPr>
          <w:p>
            <w:pPr>
              <w:pStyle w:val="22"/>
              <w:bidi w:val="0"/>
              <w:rPr>
                <w:color w:val="auto"/>
                <w:highlight w:val="none"/>
              </w:rPr>
            </w:pPr>
            <w:r>
              <w:rPr>
                <w:rFonts w:hint="eastAsia"/>
                <w:color w:val="auto"/>
                <w:highlight w:val="none"/>
              </w:rPr>
              <w:t>浓度过高时，使人窒息。当空气中瓦斯达25%~30%时，可引起头痛、头晕、乏力、注意力不集中、呼吸和心跳加速、共济失调。若不及时脱离，可致窒息。皮肤接触液化本品，可至冻伤</w:t>
            </w:r>
            <w:r>
              <w:rPr>
                <w:rFonts w:hint="eastAsia"/>
                <w:color w:val="auto"/>
                <w:highlight w:val="none"/>
                <w:lang w:eastAsia="zh-CN"/>
              </w:rPr>
              <w:t>。</w:t>
            </w:r>
            <w:r>
              <w:rPr>
                <w:rFonts w:hint="eastAsia"/>
                <w:color w:val="auto"/>
                <w:highlight w:val="none"/>
              </w:rPr>
              <w:t>对环境有危害，应特别注意对水体的污染。易燃，具窒息性。</w:t>
            </w:r>
          </w:p>
        </w:tc>
        <w:tc>
          <w:tcPr>
            <w:tcW w:w="1567" w:type="dxa"/>
            <w:tcBorders>
              <w:top w:val="single" w:color="000000" w:sz="4" w:space="0"/>
              <w:left w:val="single" w:color="000000" w:sz="4" w:space="0"/>
              <w:right w:val="nil"/>
            </w:tcBorders>
          </w:tcPr>
          <w:p>
            <w:pPr>
              <w:pStyle w:val="22"/>
              <w:bidi w:val="0"/>
              <w:rPr>
                <w:color w:val="auto"/>
                <w:highlight w:val="none"/>
              </w:rPr>
            </w:pPr>
            <w:r>
              <w:rPr>
                <w:color w:val="auto"/>
                <w:highlight w:val="none"/>
              </w:rPr>
              <w:t>非重大危险源</w:t>
            </w:r>
          </w:p>
        </w:tc>
      </w:tr>
    </w:tbl>
    <w:p>
      <w:pPr>
        <w:pStyle w:val="6"/>
        <w:numPr>
          <w:ilvl w:val="3"/>
          <w:numId w:val="10"/>
        </w:numPr>
        <w:bidi w:val="0"/>
        <w:rPr>
          <w:color w:val="auto"/>
          <w:highlight w:val="none"/>
        </w:rPr>
      </w:pPr>
      <w:bookmarkStart w:id="483" w:name="_Toc13536"/>
      <w:bookmarkStart w:id="484" w:name="_Toc9320"/>
      <w:r>
        <w:rPr>
          <w:color w:val="auto"/>
          <w:highlight w:val="none"/>
        </w:rPr>
        <w:t>生产系统危险性识别</w:t>
      </w:r>
      <w:bookmarkEnd w:id="483"/>
      <w:bookmarkEnd w:id="484"/>
    </w:p>
    <w:p>
      <w:pPr>
        <w:bidi w:val="0"/>
        <w:rPr>
          <w:color w:val="auto"/>
          <w:highlight w:val="none"/>
        </w:rPr>
      </w:pPr>
      <w:r>
        <w:rPr>
          <w:color w:val="auto"/>
          <w:highlight w:val="none"/>
        </w:rPr>
        <w:t>生产系统危险性识别，包括主要生产装置、储运设施、公用工程和辅助生产设施，以及环境保护设施等。矿区涉及的危险性生产设施为炸药库、矸石场、选煤厂浓缩池、污水处理站等。井下瓦斯爆炸属于矿井安全生产范畴，本次评价不作分析。</w:t>
      </w:r>
    </w:p>
    <w:p>
      <w:pPr>
        <w:pStyle w:val="6"/>
        <w:numPr>
          <w:ilvl w:val="2"/>
          <w:numId w:val="10"/>
        </w:numPr>
        <w:bidi w:val="0"/>
        <w:rPr>
          <w:color w:val="auto"/>
          <w:highlight w:val="none"/>
        </w:rPr>
      </w:pPr>
      <w:bookmarkStart w:id="485" w:name="5.10.3 风险事故情形分析"/>
      <w:bookmarkEnd w:id="485"/>
      <w:bookmarkStart w:id="486" w:name="5.10.3 风险事故情形分析"/>
      <w:bookmarkEnd w:id="486"/>
      <w:bookmarkStart w:id="487" w:name="_Toc24523"/>
      <w:bookmarkStart w:id="488" w:name="_Toc22743"/>
      <w:r>
        <w:rPr>
          <w:color w:val="auto"/>
          <w:highlight w:val="none"/>
        </w:rPr>
        <w:t>风险事故情形分析</w:t>
      </w:r>
      <w:bookmarkEnd w:id="487"/>
      <w:bookmarkEnd w:id="488"/>
    </w:p>
    <w:p>
      <w:pPr>
        <w:pStyle w:val="7"/>
        <w:numPr>
          <w:ilvl w:val="3"/>
          <w:numId w:val="10"/>
        </w:numPr>
        <w:bidi w:val="0"/>
        <w:rPr>
          <w:color w:val="auto"/>
          <w:highlight w:val="none"/>
        </w:rPr>
      </w:pPr>
      <w:r>
        <w:rPr>
          <w:color w:val="auto"/>
          <w:highlight w:val="none"/>
        </w:rPr>
        <w:t>风险事故情形设定</w:t>
      </w:r>
    </w:p>
    <w:p>
      <w:pPr>
        <w:bidi w:val="0"/>
        <w:rPr>
          <w:color w:val="auto"/>
          <w:highlight w:val="none"/>
        </w:rPr>
      </w:pPr>
      <w:r>
        <w:rPr>
          <w:color w:val="auto"/>
          <w:highlight w:val="none"/>
        </w:rPr>
        <w:t>根据前述分析，矿区涉及的危险性物质包括炸药、SO</w:t>
      </w:r>
      <w:r>
        <w:rPr>
          <w:color w:val="auto"/>
          <w:highlight w:val="none"/>
          <w:vertAlign w:val="subscript"/>
        </w:rPr>
        <w:t>2</w:t>
      </w:r>
      <w:r>
        <w:rPr>
          <w:color w:val="auto"/>
          <w:highlight w:val="none"/>
        </w:rPr>
        <w:t>、CO、废水</w:t>
      </w:r>
      <w:r>
        <w:rPr>
          <w:rFonts w:hint="eastAsia"/>
          <w:color w:val="auto"/>
          <w:highlight w:val="none"/>
          <w:lang w:eastAsia="zh-CN"/>
        </w:rPr>
        <w:t>、瓦斯</w:t>
      </w:r>
      <w:r>
        <w:rPr>
          <w:color w:val="auto"/>
          <w:highlight w:val="none"/>
        </w:rPr>
        <w:t>。其中SO</w:t>
      </w:r>
      <w:r>
        <w:rPr>
          <w:color w:val="auto"/>
          <w:highlight w:val="none"/>
          <w:vertAlign w:val="subscript"/>
        </w:rPr>
        <w:t>2</w:t>
      </w:r>
      <w:r>
        <w:rPr>
          <w:color w:val="auto"/>
          <w:highlight w:val="none"/>
        </w:rPr>
        <w:t>、CO来源于火灾、炸药爆炸伴生/次生产物。结合《建设项目环境风险评价技术导则》（HJ169-2018），对于火灾、爆炸事故，需将事故中未完全燃烧的危险物质在高温下迅速挥发释放至大气，以及燃烧过程中产生的伴生/次生污染物对环境的影响作为风险事故情形设定的内容。因此，本次评价将发生火灾、炸药事故状态下爆炸后次生污染物CO、SO</w:t>
      </w:r>
      <w:r>
        <w:rPr>
          <w:color w:val="auto"/>
          <w:highlight w:val="none"/>
          <w:vertAlign w:val="subscript"/>
        </w:rPr>
        <w:t>2</w:t>
      </w:r>
      <w:r>
        <w:rPr>
          <w:color w:val="auto"/>
          <w:highlight w:val="none"/>
        </w:rPr>
        <w:t>纳入风险事故情形设定的内容。</w:t>
      </w:r>
    </w:p>
    <w:p>
      <w:pPr>
        <w:bidi w:val="0"/>
        <w:rPr>
          <w:color w:val="auto"/>
          <w:highlight w:val="none"/>
        </w:rPr>
      </w:pPr>
      <w:r>
        <w:rPr>
          <w:color w:val="auto"/>
          <w:highlight w:val="none"/>
        </w:rPr>
        <w:t>考虑到设定事故轻型具有危险物质、环境危害、影响途径等方面的代表性，本次风险事故情形设定主要考虑炸药、CO、SO</w:t>
      </w:r>
      <w:r>
        <w:rPr>
          <w:color w:val="auto"/>
          <w:highlight w:val="none"/>
          <w:vertAlign w:val="subscript"/>
        </w:rPr>
        <w:t>2</w:t>
      </w:r>
      <w:r>
        <w:rPr>
          <w:color w:val="auto"/>
          <w:highlight w:val="none"/>
        </w:rPr>
        <w:t>、废水</w:t>
      </w:r>
      <w:r>
        <w:rPr>
          <w:rFonts w:hint="eastAsia"/>
          <w:color w:val="auto"/>
          <w:highlight w:val="none"/>
          <w:lang w:eastAsia="zh-CN"/>
        </w:rPr>
        <w:t>、瓦斯</w:t>
      </w:r>
      <w:r>
        <w:rPr>
          <w:color w:val="auto"/>
          <w:highlight w:val="none"/>
        </w:rPr>
        <w:t>。</w:t>
      </w:r>
    </w:p>
    <w:p>
      <w:pPr>
        <w:bidi w:val="0"/>
        <w:rPr>
          <w:rFonts w:hint="eastAsia" w:eastAsia="宋体"/>
          <w:color w:val="auto"/>
          <w:highlight w:val="none"/>
          <w:lang w:eastAsia="zh-CN"/>
        </w:rPr>
      </w:pPr>
      <w:r>
        <w:rPr>
          <w:color w:val="auto"/>
          <w:highlight w:val="none"/>
        </w:rPr>
        <w:t>环境风险类型</w:t>
      </w:r>
      <w:r>
        <w:rPr>
          <w:rFonts w:hint="eastAsia"/>
          <w:color w:val="auto"/>
          <w:highlight w:val="none"/>
          <w:lang w:eastAsia="zh-CN"/>
        </w:rPr>
        <w:t>：</w:t>
      </w:r>
    </w:p>
    <w:p>
      <w:pPr>
        <w:bidi w:val="0"/>
        <w:rPr>
          <w:color w:val="auto"/>
          <w:highlight w:val="none"/>
        </w:rPr>
      </w:pPr>
      <w:r>
        <w:rPr>
          <w:color w:val="auto"/>
          <w:highlight w:val="none"/>
        </w:rPr>
        <w:t>环境风险类型包括炸药库火灾、爆炸，以及火灾爆炸后次生污染物CO、SO</w:t>
      </w:r>
      <w:r>
        <w:rPr>
          <w:color w:val="auto"/>
          <w:highlight w:val="none"/>
          <w:vertAlign w:val="subscript"/>
        </w:rPr>
        <w:t>2</w:t>
      </w:r>
      <w:r>
        <w:rPr>
          <w:color w:val="auto"/>
          <w:highlight w:val="none"/>
        </w:rPr>
        <w:t>的释放、矸石场垮塌及废水事故泄漏。</w:t>
      </w:r>
    </w:p>
    <w:p>
      <w:pPr>
        <w:bidi w:val="0"/>
        <w:rPr>
          <w:rFonts w:hint="eastAsia" w:eastAsia="宋体"/>
          <w:color w:val="auto"/>
          <w:highlight w:val="none"/>
          <w:lang w:eastAsia="zh-CN"/>
        </w:rPr>
      </w:pPr>
      <w:r>
        <w:rPr>
          <w:color w:val="auto"/>
          <w:highlight w:val="none"/>
        </w:rPr>
        <w:t>风险源</w:t>
      </w:r>
      <w:r>
        <w:rPr>
          <w:rFonts w:hint="eastAsia"/>
          <w:color w:val="auto"/>
          <w:highlight w:val="none"/>
          <w:lang w:eastAsia="zh-CN"/>
        </w:rPr>
        <w:t>：</w:t>
      </w:r>
    </w:p>
    <w:p>
      <w:pPr>
        <w:bidi w:val="0"/>
        <w:rPr>
          <w:color w:val="auto"/>
          <w:highlight w:val="none"/>
        </w:rPr>
      </w:pPr>
      <w:r>
        <w:rPr>
          <w:color w:val="auto"/>
          <w:highlight w:val="none"/>
        </w:rPr>
        <w:t>风险源为炸药库、矸石场、废水收集处置设施等。</w:t>
      </w:r>
    </w:p>
    <w:p>
      <w:pPr>
        <w:bidi w:val="0"/>
        <w:rPr>
          <w:rFonts w:hint="eastAsia" w:eastAsia="宋体"/>
          <w:color w:val="auto"/>
          <w:highlight w:val="none"/>
          <w:lang w:eastAsia="zh-CN"/>
        </w:rPr>
      </w:pPr>
      <w:r>
        <w:rPr>
          <w:color w:val="auto"/>
          <w:highlight w:val="none"/>
        </w:rPr>
        <w:t>危险单元</w:t>
      </w:r>
      <w:r>
        <w:rPr>
          <w:rFonts w:hint="eastAsia"/>
          <w:color w:val="auto"/>
          <w:highlight w:val="none"/>
          <w:lang w:eastAsia="zh-CN"/>
        </w:rPr>
        <w:t>：</w:t>
      </w:r>
    </w:p>
    <w:p>
      <w:pPr>
        <w:bidi w:val="0"/>
        <w:rPr>
          <w:color w:val="auto"/>
          <w:highlight w:val="none"/>
        </w:rPr>
      </w:pPr>
      <w:r>
        <w:rPr>
          <w:color w:val="auto"/>
          <w:highlight w:val="none"/>
        </w:rPr>
        <w:t>涉及的危险单元为废水处理站、炸药库、矸石场。</w:t>
      </w:r>
    </w:p>
    <w:p>
      <w:pPr>
        <w:bidi w:val="0"/>
        <w:rPr>
          <w:rFonts w:hint="eastAsia" w:eastAsia="宋体"/>
          <w:color w:val="auto"/>
          <w:highlight w:val="none"/>
          <w:lang w:eastAsia="zh-CN"/>
        </w:rPr>
      </w:pPr>
      <w:r>
        <w:rPr>
          <w:color w:val="auto"/>
          <w:highlight w:val="none"/>
        </w:rPr>
        <w:t>危险物质及影响途径</w:t>
      </w:r>
      <w:r>
        <w:rPr>
          <w:rFonts w:hint="eastAsia"/>
          <w:color w:val="auto"/>
          <w:highlight w:val="none"/>
          <w:lang w:eastAsia="zh-CN"/>
        </w:rPr>
        <w:t>：</w:t>
      </w:r>
    </w:p>
    <w:p>
      <w:pPr>
        <w:bidi w:val="0"/>
        <w:rPr>
          <w:color w:val="auto"/>
          <w:highlight w:val="none"/>
        </w:rPr>
      </w:pPr>
      <w:r>
        <w:rPr>
          <w:color w:val="auto"/>
          <w:highlight w:val="none"/>
        </w:rPr>
        <w:t>涉及的危险物质为炸药和废水。因此，本次设计定的风险事故情形为：</w:t>
      </w:r>
    </w:p>
    <w:p>
      <w:pPr>
        <w:bidi w:val="0"/>
        <w:rPr>
          <w:color w:val="auto"/>
          <w:highlight w:val="none"/>
        </w:rPr>
      </w:pPr>
      <w:r>
        <w:rPr>
          <w:color w:val="auto"/>
          <w:highlight w:val="none"/>
        </w:rPr>
        <w:t>①废水泄漏风险分析；</w:t>
      </w:r>
    </w:p>
    <w:p>
      <w:pPr>
        <w:bidi w:val="0"/>
        <w:rPr>
          <w:color w:val="auto"/>
          <w:highlight w:val="none"/>
        </w:rPr>
      </w:pPr>
      <w:r>
        <w:rPr>
          <w:color w:val="auto"/>
          <w:highlight w:val="none"/>
        </w:rPr>
        <w:t>②矸石场垮塌风险分析；</w:t>
      </w:r>
    </w:p>
    <w:p>
      <w:pPr>
        <w:bidi w:val="0"/>
        <w:rPr>
          <w:color w:val="auto"/>
          <w:highlight w:val="none"/>
        </w:rPr>
      </w:pPr>
      <w:r>
        <w:rPr>
          <w:color w:val="auto"/>
          <w:highlight w:val="none"/>
        </w:rPr>
        <w:t>③事故状态下炸药爆炸后伴生/次生产物CO、SO</w:t>
      </w:r>
      <w:r>
        <w:rPr>
          <w:color w:val="auto"/>
          <w:highlight w:val="none"/>
          <w:vertAlign w:val="subscript"/>
        </w:rPr>
        <w:t>2</w:t>
      </w:r>
      <w:r>
        <w:rPr>
          <w:color w:val="auto"/>
          <w:highlight w:val="none"/>
        </w:rPr>
        <w:t>风险分析。</w:t>
      </w:r>
    </w:p>
    <w:p>
      <w:pPr>
        <w:pStyle w:val="7"/>
        <w:numPr>
          <w:ilvl w:val="3"/>
          <w:numId w:val="10"/>
        </w:numPr>
        <w:bidi w:val="0"/>
        <w:rPr>
          <w:color w:val="auto"/>
          <w:highlight w:val="none"/>
        </w:rPr>
      </w:pPr>
      <w:r>
        <w:rPr>
          <w:color w:val="auto"/>
          <w:highlight w:val="none"/>
        </w:rPr>
        <w:t>源项分析</w:t>
      </w:r>
    </w:p>
    <w:p>
      <w:pPr>
        <w:bidi w:val="0"/>
        <w:rPr>
          <w:color w:val="auto"/>
          <w:highlight w:val="none"/>
        </w:rPr>
      </w:pPr>
      <w:r>
        <w:rPr>
          <w:color w:val="auto"/>
          <w:highlight w:val="none"/>
        </w:rPr>
        <w:t>项目可能发生的环境风险事故主要有操作不当、设备损坏、运输交通事故等原因造成环境污染，矿区可能发生的事故类型概率见下表</w:t>
      </w:r>
      <w:r>
        <w:rPr>
          <w:rFonts w:ascii="Times New Roman" w:eastAsia="Times New Roman"/>
          <w:color w:val="auto"/>
          <w:highlight w:val="none"/>
        </w:rPr>
        <w:t>5.</w:t>
      </w:r>
      <w:r>
        <w:rPr>
          <w:rFonts w:hint="eastAsia"/>
          <w:color w:val="auto"/>
          <w:highlight w:val="none"/>
          <w:lang w:val="en-US" w:eastAsia="zh-CN"/>
        </w:rPr>
        <w:t>10</w:t>
      </w:r>
      <w:r>
        <w:rPr>
          <w:rFonts w:ascii="Times New Roman" w:eastAsia="Times New Roman"/>
          <w:color w:val="auto"/>
          <w:highlight w:val="none"/>
        </w:rPr>
        <w:t>-</w:t>
      </w:r>
      <w:r>
        <w:rPr>
          <w:rFonts w:hint="eastAsia"/>
          <w:color w:val="auto"/>
          <w:highlight w:val="none"/>
          <w:lang w:val="en-US" w:eastAsia="zh-CN"/>
        </w:rPr>
        <w:t>4</w:t>
      </w:r>
      <w:r>
        <w:rPr>
          <w:color w:val="auto"/>
          <w:highlight w:val="none"/>
        </w:rPr>
        <w:t>。</w:t>
      </w:r>
    </w:p>
    <w:p>
      <w:pPr>
        <w:pStyle w:val="22"/>
        <w:bidi w:val="0"/>
        <w:rPr>
          <w:b/>
          <w:color w:val="auto"/>
          <w:sz w:val="21"/>
          <w:highlight w:val="none"/>
        </w:rPr>
      </w:pPr>
      <w:r>
        <w:rPr>
          <w:b/>
          <w:color w:val="auto"/>
          <w:sz w:val="21"/>
          <w:highlight w:val="none"/>
        </w:rPr>
        <w:t>表</w:t>
      </w:r>
      <w:r>
        <w:rPr>
          <w:rFonts w:ascii="Times New Roman" w:eastAsia="Times New Roman"/>
          <w:b/>
          <w:color w:val="auto"/>
          <w:sz w:val="21"/>
          <w:highlight w:val="none"/>
        </w:rPr>
        <w:t>5.</w:t>
      </w:r>
      <w:r>
        <w:rPr>
          <w:rFonts w:hint="eastAsia"/>
          <w:b/>
          <w:color w:val="auto"/>
          <w:sz w:val="21"/>
          <w:highlight w:val="none"/>
          <w:lang w:val="en-US" w:eastAsia="zh-CN"/>
        </w:rPr>
        <w:t xml:space="preserve">10-4   </w:t>
      </w:r>
      <w:r>
        <w:rPr>
          <w:b/>
          <w:color w:val="auto"/>
          <w:sz w:val="21"/>
          <w:highlight w:val="none"/>
        </w:rPr>
        <w:t>项目事故发生概率统计</w:t>
      </w:r>
    </w:p>
    <w:tbl>
      <w:tblPr>
        <w:tblStyle w:val="17"/>
        <w:tblW w:w="0" w:type="auto"/>
        <w:tblInd w:w="18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8"/>
        <w:gridCol w:w="1515"/>
        <w:gridCol w:w="4332"/>
        <w:gridCol w:w="1367"/>
        <w:gridCol w:w="10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trPr>
        <w:tc>
          <w:tcPr>
            <w:tcW w:w="688" w:type="dxa"/>
            <w:tcBorders>
              <w:left w:val="nil"/>
              <w:bottom w:val="single" w:color="000000" w:sz="6" w:space="0"/>
              <w:right w:val="single" w:color="000000" w:sz="6" w:space="0"/>
            </w:tcBorders>
          </w:tcPr>
          <w:p>
            <w:pPr>
              <w:pStyle w:val="22"/>
              <w:bidi w:val="0"/>
              <w:rPr>
                <w:color w:val="auto"/>
                <w:highlight w:val="none"/>
              </w:rPr>
            </w:pPr>
            <w:r>
              <w:rPr>
                <w:color w:val="auto"/>
                <w:highlight w:val="none"/>
              </w:rPr>
              <w:t>序号</w:t>
            </w:r>
          </w:p>
        </w:tc>
        <w:tc>
          <w:tcPr>
            <w:tcW w:w="1515" w:type="dxa"/>
            <w:tcBorders>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事故名称</w:t>
            </w:r>
          </w:p>
        </w:tc>
        <w:tc>
          <w:tcPr>
            <w:tcW w:w="4332" w:type="dxa"/>
            <w:tcBorders>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事故原因</w:t>
            </w:r>
          </w:p>
        </w:tc>
        <w:tc>
          <w:tcPr>
            <w:tcW w:w="1367" w:type="dxa"/>
            <w:tcBorders>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发生概率</w:t>
            </w:r>
          </w:p>
          <w:p>
            <w:pPr>
              <w:pStyle w:val="22"/>
              <w:bidi w:val="0"/>
              <w:rPr>
                <w:color w:val="auto"/>
                <w:highlight w:val="none"/>
              </w:rPr>
            </w:pPr>
            <w:r>
              <w:rPr>
                <w:color w:val="auto"/>
                <w:highlight w:val="none"/>
              </w:rPr>
              <w:t>（次/年）</w:t>
            </w:r>
          </w:p>
        </w:tc>
        <w:tc>
          <w:tcPr>
            <w:tcW w:w="1098" w:type="dxa"/>
            <w:tcBorders>
              <w:left w:val="single" w:color="000000" w:sz="6" w:space="0"/>
              <w:bottom w:val="single" w:color="000000" w:sz="6" w:space="0"/>
              <w:right w:val="nil"/>
            </w:tcBorders>
          </w:tcPr>
          <w:p>
            <w:pPr>
              <w:pStyle w:val="22"/>
              <w:bidi w:val="0"/>
              <w:rPr>
                <w:color w:val="auto"/>
                <w:highlight w:val="none"/>
              </w:rPr>
            </w:pPr>
            <w:r>
              <w:rPr>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6" w:hRule="atLeast"/>
        </w:trPr>
        <w:tc>
          <w:tcPr>
            <w:tcW w:w="688" w:type="dxa"/>
            <w:tcBorders>
              <w:top w:val="single" w:color="000000" w:sz="6" w:space="0"/>
              <w:left w:val="nil"/>
              <w:bottom w:val="single" w:color="000000" w:sz="6" w:space="0"/>
              <w:right w:val="single" w:color="000000" w:sz="6" w:space="0"/>
            </w:tcBorders>
          </w:tcPr>
          <w:p>
            <w:pPr>
              <w:pStyle w:val="22"/>
              <w:bidi w:val="0"/>
              <w:rPr>
                <w:color w:val="auto"/>
                <w:highlight w:val="none"/>
              </w:rPr>
            </w:pPr>
            <w:r>
              <w:rPr>
                <w:color w:val="auto"/>
                <w:highlight w:val="none"/>
              </w:rPr>
              <w:t>1</w:t>
            </w:r>
          </w:p>
        </w:tc>
        <w:tc>
          <w:tcPr>
            <w:tcW w:w="1515" w:type="dxa"/>
            <w:tcBorders>
              <w:top w:val="single" w:color="000000" w:sz="6" w:space="0"/>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污水直排事故</w:t>
            </w:r>
          </w:p>
        </w:tc>
        <w:tc>
          <w:tcPr>
            <w:tcW w:w="4332" w:type="dxa"/>
            <w:tcBorders>
              <w:top w:val="single" w:color="000000" w:sz="6" w:space="0"/>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污水处理站出现故障，废水不经处理直接排放</w:t>
            </w:r>
          </w:p>
        </w:tc>
        <w:tc>
          <w:tcPr>
            <w:tcW w:w="1367" w:type="dxa"/>
            <w:tcBorders>
              <w:top w:val="single" w:color="000000" w:sz="6" w:space="0"/>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10</w:t>
            </w:r>
            <w:r>
              <w:rPr>
                <w:color w:val="auto"/>
                <w:highlight w:val="none"/>
                <w:vertAlign w:val="superscript"/>
              </w:rPr>
              <w:t>-4</w:t>
            </w:r>
          </w:p>
        </w:tc>
        <w:tc>
          <w:tcPr>
            <w:tcW w:w="1098" w:type="dxa"/>
            <w:tcBorders>
              <w:top w:val="single" w:color="000000" w:sz="6" w:space="0"/>
              <w:left w:val="single" w:color="000000" w:sz="6" w:space="0"/>
              <w:bottom w:val="single" w:color="000000" w:sz="6" w:space="0"/>
              <w:right w:val="nil"/>
            </w:tcBorders>
          </w:tcPr>
          <w:p>
            <w:pPr>
              <w:pStyle w:val="22"/>
              <w:bidi w:val="0"/>
              <w:rPr>
                <w:color w:val="auto"/>
                <w:highlight w:val="none"/>
              </w:rPr>
            </w:pPr>
            <w:r>
              <w:rPr>
                <w:color w:val="auto"/>
                <w:highlight w:val="none"/>
              </w:rPr>
              <w:t>极少发生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0" w:hRule="atLeast"/>
        </w:trPr>
        <w:tc>
          <w:tcPr>
            <w:tcW w:w="688" w:type="dxa"/>
            <w:tcBorders>
              <w:top w:val="single" w:color="000000" w:sz="6" w:space="0"/>
              <w:left w:val="nil"/>
              <w:bottom w:val="single" w:color="000000" w:sz="6" w:space="0"/>
              <w:right w:val="single" w:color="000000" w:sz="6" w:space="0"/>
            </w:tcBorders>
          </w:tcPr>
          <w:p>
            <w:pPr>
              <w:pStyle w:val="22"/>
              <w:bidi w:val="0"/>
              <w:rPr>
                <w:color w:val="auto"/>
                <w:highlight w:val="none"/>
              </w:rPr>
            </w:pPr>
            <w:r>
              <w:rPr>
                <w:color w:val="auto"/>
                <w:highlight w:val="none"/>
              </w:rPr>
              <w:t>2</w:t>
            </w:r>
          </w:p>
        </w:tc>
        <w:tc>
          <w:tcPr>
            <w:tcW w:w="1515" w:type="dxa"/>
            <w:tcBorders>
              <w:top w:val="single" w:color="000000" w:sz="6" w:space="0"/>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地表水地下水或土壤污染事</w:t>
            </w:r>
          </w:p>
          <w:p>
            <w:pPr>
              <w:pStyle w:val="22"/>
              <w:bidi w:val="0"/>
              <w:rPr>
                <w:color w:val="auto"/>
                <w:highlight w:val="none"/>
              </w:rPr>
            </w:pPr>
            <w:r>
              <w:rPr>
                <w:color w:val="auto"/>
                <w:highlight w:val="none"/>
              </w:rPr>
              <w:t>故</w:t>
            </w:r>
          </w:p>
        </w:tc>
        <w:tc>
          <w:tcPr>
            <w:tcW w:w="4332" w:type="dxa"/>
            <w:tcBorders>
              <w:top w:val="single" w:color="000000" w:sz="6" w:space="0"/>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矸石场垮塌或防渗设施损坏，或受雨水冲刷</w:t>
            </w:r>
          </w:p>
        </w:tc>
        <w:tc>
          <w:tcPr>
            <w:tcW w:w="1367" w:type="dxa"/>
            <w:tcBorders>
              <w:top w:val="single" w:color="000000" w:sz="6" w:space="0"/>
              <w:left w:val="single" w:color="000000" w:sz="6" w:space="0"/>
              <w:bottom w:val="single" w:color="000000" w:sz="6" w:space="0"/>
              <w:right w:val="single" w:color="000000" w:sz="6" w:space="0"/>
            </w:tcBorders>
          </w:tcPr>
          <w:p>
            <w:pPr>
              <w:pStyle w:val="22"/>
              <w:bidi w:val="0"/>
              <w:rPr>
                <w:color w:val="auto"/>
                <w:highlight w:val="none"/>
              </w:rPr>
            </w:pPr>
            <w:r>
              <w:rPr>
                <w:color w:val="auto"/>
                <w:highlight w:val="none"/>
              </w:rPr>
              <w:t>10</w:t>
            </w:r>
            <w:r>
              <w:rPr>
                <w:color w:val="auto"/>
                <w:highlight w:val="none"/>
                <w:vertAlign w:val="superscript"/>
              </w:rPr>
              <w:t>-4</w:t>
            </w:r>
          </w:p>
        </w:tc>
        <w:tc>
          <w:tcPr>
            <w:tcW w:w="1098" w:type="dxa"/>
            <w:tcBorders>
              <w:top w:val="single" w:color="000000" w:sz="6" w:space="0"/>
              <w:left w:val="single" w:color="000000" w:sz="6" w:space="0"/>
              <w:bottom w:val="single" w:color="000000" w:sz="6" w:space="0"/>
              <w:right w:val="nil"/>
            </w:tcBorders>
          </w:tcPr>
          <w:p>
            <w:pPr>
              <w:pStyle w:val="22"/>
              <w:bidi w:val="0"/>
              <w:rPr>
                <w:color w:val="auto"/>
                <w:highlight w:val="none"/>
              </w:rPr>
            </w:pPr>
            <w:r>
              <w:rPr>
                <w:color w:val="auto"/>
                <w:highlight w:val="none"/>
              </w:rPr>
              <w:t>极少发生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trPr>
        <w:tc>
          <w:tcPr>
            <w:tcW w:w="688" w:type="dxa"/>
            <w:tcBorders>
              <w:top w:val="single" w:color="000000" w:sz="6" w:space="0"/>
              <w:left w:val="nil"/>
              <w:right w:val="single" w:color="000000" w:sz="6" w:space="0"/>
            </w:tcBorders>
          </w:tcPr>
          <w:p>
            <w:pPr>
              <w:pStyle w:val="22"/>
              <w:bidi w:val="0"/>
              <w:rPr>
                <w:color w:val="auto"/>
                <w:highlight w:val="none"/>
              </w:rPr>
            </w:pPr>
            <w:r>
              <w:rPr>
                <w:color w:val="auto"/>
                <w:highlight w:val="none"/>
              </w:rPr>
              <w:t>3</w:t>
            </w:r>
          </w:p>
        </w:tc>
        <w:tc>
          <w:tcPr>
            <w:tcW w:w="1515" w:type="dxa"/>
            <w:tcBorders>
              <w:top w:val="single" w:color="000000" w:sz="6" w:space="0"/>
              <w:left w:val="single" w:color="000000" w:sz="6" w:space="0"/>
              <w:right w:val="single" w:color="000000" w:sz="6" w:space="0"/>
            </w:tcBorders>
          </w:tcPr>
          <w:p>
            <w:pPr>
              <w:pStyle w:val="22"/>
              <w:bidi w:val="0"/>
              <w:rPr>
                <w:color w:val="auto"/>
                <w:highlight w:val="none"/>
              </w:rPr>
            </w:pPr>
            <w:r>
              <w:rPr>
                <w:color w:val="auto"/>
                <w:highlight w:val="none"/>
              </w:rPr>
              <w:t>燃爆事故</w:t>
            </w:r>
          </w:p>
        </w:tc>
        <w:tc>
          <w:tcPr>
            <w:tcW w:w="4332" w:type="dxa"/>
            <w:tcBorders>
              <w:top w:val="single" w:color="000000" w:sz="6" w:space="0"/>
              <w:left w:val="single" w:color="000000" w:sz="6" w:space="0"/>
              <w:right w:val="single" w:color="000000" w:sz="6" w:space="0"/>
            </w:tcBorders>
          </w:tcPr>
          <w:p>
            <w:pPr>
              <w:pStyle w:val="22"/>
              <w:bidi w:val="0"/>
              <w:rPr>
                <w:color w:val="auto"/>
                <w:highlight w:val="none"/>
              </w:rPr>
            </w:pPr>
            <w:r>
              <w:rPr>
                <w:color w:val="auto"/>
                <w:highlight w:val="none"/>
              </w:rPr>
              <w:t>未按相关规范进行操作。操作中产生明火或</w:t>
            </w:r>
          </w:p>
          <w:p>
            <w:pPr>
              <w:pStyle w:val="22"/>
              <w:bidi w:val="0"/>
              <w:rPr>
                <w:color w:val="auto"/>
                <w:highlight w:val="none"/>
              </w:rPr>
            </w:pPr>
            <w:r>
              <w:rPr>
                <w:color w:val="auto"/>
                <w:highlight w:val="none"/>
              </w:rPr>
              <w:t>火花引起炸药燃爆</w:t>
            </w:r>
          </w:p>
        </w:tc>
        <w:tc>
          <w:tcPr>
            <w:tcW w:w="1367" w:type="dxa"/>
            <w:tcBorders>
              <w:top w:val="single" w:color="000000" w:sz="6" w:space="0"/>
              <w:left w:val="single" w:color="000000" w:sz="6" w:space="0"/>
              <w:right w:val="single" w:color="000000" w:sz="6" w:space="0"/>
            </w:tcBorders>
          </w:tcPr>
          <w:p>
            <w:pPr>
              <w:pStyle w:val="22"/>
              <w:bidi w:val="0"/>
              <w:rPr>
                <w:color w:val="auto"/>
                <w:highlight w:val="none"/>
              </w:rPr>
            </w:pPr>
            <w:r>
              <w:rPr>
                <w:color w:val="auto"/>
                <w:highlight w:val="none"/>
              </w:rPr>
              <w:t>10</w:t>
            </w:r>
            <w:r>
              <w:rPr>
                <w:color w:val="auto"/>
                <w:highlight w:val="none"/>
                <w:vertAlign w:val="superscript"/>
              </w:rPr>
              <w:t>-4</w:t>
            </w:r>
          </w:p>
        </w:tc>
        <w:tc>
          <w:tcPr>
            <w:tcW w:w="1098" w:type="dxa"/>
            <w:tcBorders>
              <w:top w:val="single" w:color="000000" w:sz="6" w:space="0"/>
              <w:left w:val="single" w:color="000000" w:sz="6" w:space="0"/>
              <w:right w:val="nil"/>
            </w:tcBorders>
          </w:tcPr>
          <w:p>
            <w:pPr>
              <w:pStyle w:val="22"/>
              <w:bidi w:val="0"/>
              <w:rPr>
                <w:color w:val="auto"/>
                <w:highlight w:val="none"/>
              </w:rPr>
            </w:pPr>
            <w:r>
              <w:rPr>
                <w:color w:val="auto"/>
                <w:highlight w:val="none"/>
              </w:rPr>
              <w:t>极少发生</w:t>
            </w:r>
          </w:p>
        </w:tc>
      </w:tr>
    </w:tbl>
    <w:p>
      <w:pPr>
        <w:pStyle w:val="7"/>
        <w:numPr>
          <w:ilvl w:val="3"/>
          <w:numId w:val="10"/>
        </w:numPr>
        <w:bidi w:val="0"/>
        <w:rPr>
          <w:color w:val="auto"/>
          <w:highlight w:val="none"/>
        </w:rPr>
      </w:pPr>
      <w:r>
        <w:rPr>
          <w:color w:val="auto"/>
          <w:highlight w:val="none"/>
        </w:rPr>
        <w:t>最大可信事故</w:t>
      </w:r>
    </w:p>
    <w:p>
      <w:pPr>
        <w:bidi w:val="0"/>
        <w:rPr>
          <w:color w:val="auto"/>
          <w:highlight w:val="none"/>
        </w:rPr>
      </w:pPr>
      <w:r>
        <w:rPr>
          <w:color w:val="auto"/>
          <w:highlight w:val="none"/>
        </w:rPr>
        <w:t>按照《建设项目环境风险评价技术导则》中的定义，最大可信事故为在所有预测的概率不为零的事故中，对环境（或健康）危害最严重的重大事故。</w:t>
      </w:r>
    </w:p>
    <w:p>
      <w:pPr>
        <w:bidi w:val="0"/>
        <w:rPr>
          <w:color w:val="auto"/>
          <w:highlight w:val="none"/>
        </w:rPr>
      </w:pPr>
      <w:r>
        <w:rPr>
          <w:color w:val="auto"/>
          <w:highlight w:val="none"/>
        </w:rPr>
        <w:t>根据风险识别和潜在事故分析，矸石场溃坝事故，污水处理站出现故障废水完全不经处理直接排放，炸药库管理未按相关规范进行操作；操作中产生明火或火花引起炸药燃爆等事故的发生概率均不为零。本评价把矸石场溃坝定义为最大可信事故。</w:t>
      </w:r>
    </w:p>
    <w:p>
      <w:pPr>
        <w:pStyle w:val="6"/>
        <w:numPr>
          <w:ilvl w:val="2"/>
          <w:numId w:val="10"/>
        </w:numPr>
        <w:bidi w:val="0"/>
        <w:rPr>
          <w:color w:val="auto"/>
          <w:highlight w:val="none"/>
        </w:rPr>
      </w:pPr>
      <w:bookmarkStart w:id="489" w:name="5.10.4 矸石坝垮塌风险事故影响分析及措施"/>
      <w:bookmarkEnd w:id="489"/>
      <w:bookmarkStart w:id="490" w:name="5.10.4 矸石坝垮塌风险事故影响分析及措施"/>
      <w:bookmarkEnd w:id="490"/>
      <w:bookmarkStart w:id="491" w:name="_Toc13188"/>
      <w:bookmarkStart w:id="492" w:name="_Toc17317"/>
      <w:r>
        <w:rPr>
          <w:color w:val="auto"/>
          <w:highlight w:val="none"/>
        </w:rPr>
        <w:t>矸石坝垮塌风险事故影响分析及措施</w:t>
      </w:r>
      <w:bookmarkEnd w:id="491"/>
      <w:bookmarkEnd w:id="492"/>
    </w:p>
    <w:p>
      <w:pPr>
        <w:pStyle w:val="7"/>
        <w:numPr>
          <w:ilvl w:val="3"/>
          <w:numId w:val="10"/>
        </w:numPr>
        <w:bidi w:val="0"/>
        <w:rPr>
          <w:color w:val="auto"/>
          <w:highlight w:val="none"/>
        </w:rPr>
      </w:pPr>
      <w:r>
        <w:rPr>
          <w:color w:val="auto"/>
          <w:highlight w:val="none"/>
        </w:rPr>
        <w:t>风险事故影响分析</w:t>
      </w:r>
    </w:p>
    <w:p>
      <w:pPr>
        <w:bidi w:val="0"/>
        <w:rPr>
          <w:color w:val="auto"/>
          <w:highlight w:val="none"/>
        </w:rPr>
      </w:pPr>
      <w:r>
        <w:rPr>
          <w:color w:val="auto"/>
          <w:highlight w:val="none"/>
        </w:rPr>
        <w:t>排矸场坝体事故主要指由于区域汇流面积过大，流量强，造成排矸场拦渣坝溃解，进而引起弃渣泥石流发生，产生新的水土流失，影响正常的生产，甚至会威胁人群安全。</w:t>
      </w:r>
    </w:p>
    <w:p>
      <w:pPr>
        <w:bidi w:val="0"/>
        <w:rPr>
          <w:color w:val="auto"/>
          <w:highlight w:val="none"/>
        </w:rPr>
      </w:pPr>
      <w:r>
        <w:rPr>
          <w:color w:val="auto"/>
          <w:highlight w:val="none"/>
        </w:rPr>
        <w:t>各矿井拟在排矸场的水流下方构筑挡矸坝，并在排矸场四周修筑截水沟。只要外围截水沟等排水设施排水通畅，挡矸坝不会因暴雨而溃坝，临时排矸场地平地起堆，不会形成大的泥石流。</w:t>
      </w:r>
    </w:p>
    <w:p>
      <w:pPr>
        <w:pStyle w:val="7"/>
        <w:numPr>
          <w:ilvl w:val="3"/>
          <w:numId w:val="10"/>
        </w:numPr>
        <w:bidi w:val="0"/>
        <w:rPr>
          <w:color w:val="auto"/>
          <w:highlight w:val="none"/>
        </w:rPr>
      </w:pPr>
      <w:r>
        <w:rPr>
          <w:color w:val="auto"/>
          <w:highlight w:val="none"/>
        </w:rPr>
        <w:t>风险防范措施</w:t>
      </w:r>
    </w:p>
    <w:p>
      <w:pPr>
        <w:bidi w:val="0"/>
        <w:rPr>
          <w:color w:val="auto"/>
          <w:highlight w:val="none"/>
        </w:rPr>
      </w:pPr>
      <w:r>
        <w:rPr>
          <w:color w:val="auto"/>
          <w:highlight w:val="none"/>
        </w:rPr>
        <w:t>排矸场垮塌风险源项主要是暴雨，因此，其风险减缓措施首先应是修筑排矸场挡矸坝和防洪截排水沟，并在营运期保证排水沟畅通，以减少暴雨对矸石堆的冲刷，提高挡矸坝的抗冲刷能力，防止垮塌风险发生。</w:t>
      </w:r>
    </w:p>
    <w:p>
      <w:pPr>
        <w:bidi w:val="0"/>
        <w:rPr>
          <w:color w:val="auto"/>
          <w:highlight w:val="none"/>
        </w:rPr>
      </w:pPr>
      <w:r>
        <w:rPr>
          <w:color w:val="auto"/>
          <w:highlight w:val="none"/>
        </w:rPr>
        <w:t>挡矸坝必须严格按照设计规范要求进行设计，并保证施工质量。此外，各矿井业主应及时将煤矸石运走制砖综合利用，减少煤矸石堆存量来降低溃坝风险。</w:t>
      </w:r>
    </w:p>
    <w:p>
      <w:pPr>
        <w:pStyle w:val="7"/>
        <w:numPr>
          <w:ilvl w:val="3"/>
          <w:numId w:val="10"/>
        </w:numPr>
        <w:bidi w:val="0"/>
        <w:rPr>
          <w:color w:val="auto"/>
          <w:highlight w:val="none"/>
        </w:rPr>
      </w:pPr>
      <w:r>
        <w:rPr>
          <w:color w:val="auto"/>
          <w:highlight w:val="none"/>
        </w:rPr>
        <w:t>其他源项风险事故影响分析及措施</w:t>
      </w:r>
    </w:p>
    <w:p>
      <w:pPr>
        <w:bidi w:val="0"/>
        <w:rPr>
          <w:color w:val="auto"/>
          <w:highlight w:val="none"/>
        </w:rPr>
      </w:pPr>
      <w:r>
        <w:rPr>
          <w:color w:val="auto"/>
          <w:highlight w:val="none"/>
        </w:rPr>
        <w:t>根据“《环境影响评价技术导则 煤炭采选工程》（HJ 619-2011），煤尘爆炸、井下瓦斯爆炸、井下突水、井下透水、地面崩塌、陷落、泥石流、地面爆破器材库爆炸等均属于生产安全风险和矿山地质灾害，评价要求各矿井应按照有关要求进行专项评价，本评价不再进行环境风险评价，必要时可以引用有关评价结论”，</w:t>
      </w:r>
      <w:r>
        <w:rPr>
          <w:b/>
          <w:bCs/>
          <w:color w:val="auto"/>
          <w:highlight w:val="none"/>
        </w:rPr>
        <w:t>本章节仅简单分析并引用相关评价结论，以上专项风险分析及防范措施均以各矿井相关专项评价要求为准。</w:t>
      </w:r>
    </w:p>
    <w:p>
      <w:pPr>
        <w:pStyle w:val="5"/>
        <w:numPr>
          <w:ilvl w:val="1"/>
          <w:numId w:val="10"/>
        </w:numPr>
        <w:bidi w:val="0"/>
        <w:rPr>
          <w:color w:val="auto"/>
          <w:highlight w:val="none"/>
        </w:rPr>
      </w:pPr>
      <w:bookmarkStart w:id="493" w:name="_bookmark36"/>
      <w:bookmarkEnd w:id="493"/>
      <w:bookmarkStart w:id="494" w:name="5.11 清洁生产"/>
      <w:bookmarkEnd w:id="494"/>
      <w:bookmarkStart w:id="495" w:name="_Toc22393"/>
      <w:bookmarkStart w:id="496" w:name="_Toc8445"/>
      <w:r>
        <w:rPr>
          <w:color w:val="auto"/>
          <w:highlight w:val="none"/>
        </w:rPr>
        <w:t>清洁生产</w:t>
      </w:r>
      <w:bookmarkEnd w:id="495"/>
      <w:bookmarkEnd w:id="496"/>
    </w:p>
    <w:p>
      <w:pPr>
        <w:pStyle w:val="6"/>
        <w:numPr>
          <w:ilvl w:val="2"/>
          <w:numId w:val="10"/>
        </w:numPr>
        <w:bidi w:val="0"/>
        <w:rPr>
          <w:color w:val="auto"/>
          <w:highlight w:val="none"/>
        </w:rPr>
      </w:pPr>
      <w:bookmarkStart w:id="497" w:name="5.11.1 清洁生产分析"/>
      <w:bookmarkEnd w:id="497"/>
      <w:bookmarkStart w:id="498" w:name="5.11.1 清洁生产分析"/>
      <w:bookmarkEnd w:id="498"/>
      <w:bookmarkStart w:id="499" w:name="_Toc28610"/>
      <w:bookmarkStart w:id="500" w:name="_Toc22083"/>
      <w:r>
        <w:rPr>
          <w:color w:val="auto"/>
          <w:highlight w:val="none"/>
        </w:rPr>
        <w:t>清洁生产分析</w:t>
      </w:r>
      <w:bookmarkEnd w:id="499"/>
      <w:bookmarkEnd w:id="500"/>
    </w:p>
    <w:p>
      <w:pPr>
        <w:bidi w:val="0"/>
        <w:rPr>
          <w:color w:val="auto"/>
          <w:highlight w:val="none"/>
        </w:rPr>
      </w:pPr>
      <w:r>
        <w:rPr>
          <w:color w:val="auto"/>
          <w:highlight w:val="none"/>
        </w:rPr>
        <w:t>清洁生产是指采取改进设计、使用清洁的能源和原料、采用先进的工艺技术与设备、改善管理、综合利用等措施。从源头削减污染，提高资源利用效率，减少或者避免生产、服务和生产使用过程中污染物的产生和排放，以减轻或者消除对人类健康和环境的危害，其实质是一种物料和能源最少化的人类生产活动的规划和管理，将废物减量化、资源化和无害化，或消灭于生产过程中。以科学管理、技术进步为手段，通过节能、降耗减污，提高污染防治效果，降低污染防治费用，消除和减少工业生产对人体健康和环境的影响。</w:t>
      </w:r>
    </w:p>
    <w:p>
      <w:pPr>
        <w:pStyle w:val="6"/>
        <w:numPr>
          <w:ilvl w:val="2"/>
          <w:numId w:val="10"/>
        </w:numPr>
        <w:bidi w:val="0"/>
        <w:rPr>
          <w:color w:val="auto"/>
          <w:highlight w:val="none"/>
        </w:rPr>
      </w:pPr>
      <w:bookmarkStart w:id="501" w:name="5.11.2 清洁生产指标"/>
      <w:bookmarkEnd w:id="501"/>
      <w:bookmarkStart w:id="502" w:name="5.11.2 清洁生产指标"/>
      <w:bookmarkEnd w:id="502"/>
      <w:bookmarkStart w:id="503" w:name="_Toc452"/>
      <w:bookmarkStart w:id="504" w:name="_Toc20180"/>
      <w:r>
        <w:rPr>
          <w:color w:val="auto"/>
          <w:highlight w:val="none"/>
        </w:rPr>
        <w:t>清洁生产指标</w:t>
      </w:r>
      <w:bookmarkEnd w:id="503"/>
      <w:bookmarkEnd w:id="504"/>
    </w:p>
    <w:p>
      <w:pPr>
        <w:bidi w:val="0"/>
        <w:rPr>
          <w:color w:val="auto"/>
          <w:highlight w:val="none"/>
        </w:rPr>
      </w:pPr>
      <w:r>
        <w:rPr>
          <w:color w:val="auto"/>
          <w:highlight w:val="none"/>
        </w:rPr>
        <w:t>本评价按照《规划环境影响评价技术导则 煤炭工业矿区总体规划》的要求，参考环境保护部2008年11月21日颁布的《清洁生产标准—煤炭采选业（HJ 446-2008）》指标体系，从生产工艺、资源能源利用指标、产品指标、污染物产生指标、废物回收利用及矿山生态保护指标等六个方面进行评价。该标准给出了煤炭采选行业生产过程清洁生产水平的三级指标，具体如下：</w:t>
      </w:r>
    </w:p>
    <w:p>
      <w:pPr>
        <w:bidi w:val="0"/>
        <w:rPr>
          <w:color w:val="auto"/>
          <w:highlight w:val="none"/>
        </w:rPr>
      </w:pPr>
      <w:r>
        <w:rPr>
          <w:color w:val="auto"/>
          <w:highlight w:val="none"/>
        </w:rPr>
        <w:t>一级：国际清洁生产先进水平；</w:t>
      </w:r>
    </w:p>
    <w:p>
      <w:pPr>
        <w:bidi w:val="0"/>
        <w:rPr>
          <w:color w:val="auto"/>
          <w:highlight w:val="none"/>
        </w:rPr>
      </w:pPr>
      <w:r>
        <w:rPr>
          <w:color w:val="auto"/>
          <w:highlight w:val="none"/>
        </w:rPr>
        <w:t>二级：国内清洁生产先进水平；</w:t>
      </w:r>
    </w:p>
    <w:p>
      <w:pPr>
        <w:bidi w:val="0"/>
        <w:rPr>
          <w:color w:val="auto"/>
          <w:highlight w:val="none"/>
        </w:rPr>
      </w:pPr>
      <w:r>
        <w:rPr>
          <w:color w:val="auto"/>
          <w:highlight w:val="none"/>
        </w:rPr>
        <w:t>三级：国内清洁生产基本水平。</w:t>
      </w:r>
    </w:p>
    <w:p>
      <w:pPr>
        <w:bidi w:val="0"/>
        <w:rPr>
          <w:color w:val="auto"/>
          <w:highlight w:val="none"/>
        </w:rPr>
      </w:pPr>
      <w:r>
        <w:rPr>
          <w:rFonts w:hint="eastAsia"/>
          <w:color w:val="auto"/>
          <w:highlight w:val="none"/>
          <w:lang w:eastAsia="zh-CN"/>
        </w:rPr>
        <w:t>规划矿区要求达到二级（即国内清洁生产先进水平），</w:t>
      </w:r>
      <w:r>
        <w:rPr>
          <w:color w:val="auto"/>
          <w:highlight w:val="none"/>
        </w:rPr>
        <w:t>各项清洁生产指标评价见表5.11-1：</w:t>
      </w:r>
    </w:p>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5.11-1</w:t>
      </w:r>
      <w:r>
        <w:rPr>
          <w:rFonts w:hint="eastAsia"/>
          <w:b/>
          <w:color w:val="auto"/>
          <w:sz w:val="21"/>
          <w:highlight w:val="none"/>
          <w:lang w:val="en-US" w:eastAsia="zh-CN"/>
        </w:rPr>
        <w:t xml:space="preserve">   </w:t>
      </w:r>
      <w:r>
        <w:rPr>
          <w:b/>
          <w:color w:val="auto"/>
          <w:sz w:val="21"/>
          <w:highlight w:val="none"/>
        </w:rPr>
        <w:t>矿区各项清洁生产指标评价表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125"/>
        <w:gridCol w:w="2137"/>
        <w:gridCol w:w="4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color w:val="auto"/>
                <w:highlight w:val="none"/>
              </w:rPr>
              <w:t>清洁生产控制等级及指标控制内容</w:t>
            </w:r>
          </w:p>
        </w:tc>
        <w:tc>
          <w:tcPr>
            <w:tcW w:w="4907" w:type="dxa"/>
            <w:vAlign w:val="center"/>
          </w:tcPr>
          <w:p>
            <w:pPr>
              <w:pStyle w:val="22"/>
              <w:bidi w:val="0"/>
              <w:rPr>
                <w:rFonts w:hint="eastAsia"/>
                <w:color w:val="auto"/>
                <w:highlight w:val="none"/>
                <w:vertAlign w:val="baseline"/>
                <w:lang w:eastAsia="zh-CN"/>
              </w:rPr>
            </w:pPr>
            <w:r>
              <w:rPr>
                <w:color w:val="auto"/>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一、生产工艺与装备要求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（一）采煤工艺与装备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①</w:t>
            </w:r>
            <w:r>
              <w:rPr>
                <w:color w:val="auto"/>
                <w:highlight w:val="none"/>
              </w:rPr>
              <w:t>总体要求</w:t>
            </w:r>
          </w:p>
        </w:tc>
        <w:tc>
          <w:tcPr>
            <w:tcW w:w="4907" w:type="dxa"/>
            <w:vAlign w:val="center"/>
          </w:tcPr>
          <w:p>
            <w:pPr>
              <w:pStyle w:val="22"/>
              <w:bidi w:val="0"/>
              <w:rPr>
                <w:rFonts w:hint="eastAsia"/>
                <w:color w:val="auto"/>
                <w:highlight w:val="none"/>
                <w:vertAlign w:val="baseline"/>
                <w:lang w:eastAsia="zh-CN"/>
              </w:rPr>
            </w:pPr>
            <w:r>
              <w:rPr>
                <w:color w:val="auto"/>
                <w:highlight w:val="none"/>
              </w:rPr>
              <w:t>符合国家环保、产业政策要求，采用国内外先进 的煤炭采掘、煤矿安全、煤炭贮运生产工艺和技术设备。有降低开采沉陷和矿山生态恢复措施及提高煤炭回采率的技术措施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rPr>
                <w:rFonts w:hint="eastAsia"/>
                <w:color w:val="auto"/>
                <w:highlight w:val="none"/>
                <w:vertAlign w:val="baseline"/>
                <w:lang w:eastAsia="zh-CN"/>
              </w:rPr>
            </w:pPr>
            <w:r>
              <w:rPr>
                <w:rFonts w:hint="eastAsia"/>
                <w:color w:val="auto"/>
                <w:highlight w:val="none"/>
                <w:lang w:eastAsia="zh-CN"/>
              </w:rPr>
              <w:t>②</w:t>
            </w:r>
            <w:r>
              <w:rPr>
                <w:color w:val="auto"/>
                <w:highlight w:val="none"/>
              </w:rPr>
              <w:t>井工煤矿工艺与装备</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煤矿机械化掘进比例（%）</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煤矿综合机械化采煤比例（%）</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井下煤炭输送工艺及装备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采区采用带式输送机，井下大巷采用机车牵引矿车运输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井巷支护工艺及装备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大部分井筒岩巷采用光爆锚喷、锚杆、锚索等支 护技术，煤巷采用锚网喷或锚网支护，部分井筒及大巷采用砌壁支护，采区巷道金属棚支护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rPr>
                <w:rFonts w:hint="eastAsia"/>
                <w:color w:val="auto"/>
                <w:highlight w:val="none"/>
                <w:vertAlign w:val="baseline"/>
                <w:lang w:eastAsia="zh-CN"/>
              </w:rPr>
            </w:pPr>
            <w:r>
              <w:rPr>
                <w:rFonts w:hint="eastAsia"/>
                <w:color w:val="auto"/>
                <w:highlight w:val="none"/>
                <w:lang w:eastAsia="zh-CN"/>
              </w:rPr>
              <w:t>③</w:t>
            </w:r>
            <w:r>
              <w:rPr>
                <w:color w:val="auto"/>
                <w:highlight w:val="none"/>
              </w:rPr>
              <w:t>贮煤装运系统</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贮煤设施工艺及装备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原煤进筒仓或全封闭的贮煤场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煤炭装运</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有铁路专用线，铁路一般装车系统，汽车公路外运采用全封闭车厢，矿山到公路运输线必须硬化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④</w:t>
            </w:r>
            <w:r>
              <w:rPr>
                <w:color w:val="auto"/>
                <w:highlight w:val="none"/>
              </w:rPr>
              <w:t>原煤入选率（%）</w:t>
            </w:r>
          </w:p>
        </w:tc>
        <w:tc>
          <w:tcPr>
            <w:tcW w:w="4907" w:type="dxa"/>
            <w:vAlign w:val="center"/>
          </w:tcPr>
          <w:p>
            <w:pPr>
              <w:pStyle w:val="22"/>
              <w:bidi w:val="0"/>
              <w:rPr>
                <w:rFonts w:hint="default"/>
                <w:color w:val="auto"/>
                <w:highlight w:val="none"/>
                <w:vertAlign w:val="baseline"/>
                <w:lang w:val="en-US" w:eastAsia="zh-CN"/>
              </w:rPr>
            </w:pPr>
            <w:r>
              <w:rPr>
                <w:rFonts w:hint="eastAsia"/>
                <w:color w:val="auto"/>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（二）选煤生产工艺与装备要求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①</w:t>
            </w:r>
            <w:r>
              <w:rPr>
                <w:color w:val="auto"/>
                <w:highlight w:val="none"/>
              </w:rPr>
              <w:t>总体要求</w:t>
            </w:r>
          </w:p>
        </w:tc>
        <w:tc>
          <w:tcPr>
            <w:tcW w:w="4907" w:type="dxa"/>
            <w:vAlign w:val="center"/>
          </w:tcPr>
          <w:p>
            <w:pPr>
              <w:pStyle w:val="22"/>
              <w:bidi w:val="0"/>
              <w:rPr>
                <w:rFonts w:hint="eastAsia"/>
                <w:color w:val="auto"/>
                <w:highlight w:val="none"/>
                <w:vertAlign w:val="baseline"/>
                <w:lang w:eastAsia="zh-CN"/>
              </w:rPr>
            </w:pPr>
            <w:r>
              <w:rPr>
                <w:color w:val="auto"/>
                <w:highlight w:val="none"/>
              </w:rPr>
              <w:t>符合国家环保、产业政策要求，采用国内先进的 煤炭洗选、选煤水闭路循环、煤炭贮运生产工艺和技术装备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rPr>
                <w:rFonts w:hint="eastAsia"/>
                <w:color w:val="auto"/>
                <w:highlight w:val="none"/>
                <w:vertAlign w:val="baseline"/>
                <w:lang w:eastAsia="zh-CN"/>
              </w:rPr>
            </w:pPr>
            <w:r>
              <w:rPr>
                <w:rFonts w:hint="eastAsia"/>
                <w:color w:val="auto"/>
                <w:highlight w:val="none"/>
                <w:lang w:eastAsia="zh-CN"/>
              </w:rPr>
              <w:t>②</w:t>
            </w:r>
            <w:r>
              <w:rPr>
                <w:color w:val="auto"/>
                <w:highlight w:val="none"/>
              </w:rPr>
              <w:t>备煤工艺及装备</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原煤运输</w:t>
            </w:r>
          </w:p>
        </w:tc>
        <w:tc>
          <w:tcPr>
            <w:tcW w:w="4907" w:type="dxa"/>
            <w:vAlign w:val="center"/>
          </w:tcPr>
          <w:p>
            <w:pPr>
              <w:pStyle w:val="22"/>
              <w:bidi w:val="0"/>
              <w:ind w:left="0" w:leftChars="0" w:right="0" w:rightChars="0" w:firstLine="0" w:firstLineChars="0"/>
              <w:rPr>
                <w:rFonts w:hint="eastAsia"/>
                <w:color w:val="auto"/>
                <w:highlight w:val="none"/>
                <w:vertAlign w:val="baseline"/>
                <w:lang w:eastAsia="zh-CN"/>
              </w:rPr>
            </w:pPr>
            <w:r>
              <w:rPr>
                <w:color w:val="auto"/>
                <w:highlight w:val="none"/>
              </w:rPr>
              <w:t>由封闭皮带运输机将原煤直接运进矿井选煤厂的贮煤设施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原煤贮存</w:t>
            </w:r>
          </w:p>
        </w:tc>
        <w:tc>
          <w:tcPr>
            <w:tcW w:w="4907" w:type="dxa"/>
            <w:vAlign w:val="center"/>
          </w:tcPr>
          <w:p>
            <w:pPr>
              <w:pStyle w:val="22"/>
              <w:bidi w:val="0"/>
              <w:rPr>
                <w:rFonts w:hint="eastAsia"/>
                <w:color w:val="auto"/>
                <w:highlight w:val="none"/>
                <w:vertAlign w:val="baseline"/>
                <w:lang w:eastAsia="zh-CN"/>
              </w:rPr>
            </w:pPr>
            <w:r>
              <w:rPr>
                <w:color w:val="auto"/>
                <w:highlight w:val="none"/>
              </w:rPr>
              <w:t>部分进筒仓或全封闭的贮煤场。其他进设有挡风抑尘措施和洒水喷淋装置的贮煤场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1125" w:type="dxa"/>
            <w:vMerge w:val="restart"/>
            <w:vAlign w:val="center"/>
          </w:tcPr>
          <w:p>
            <w:pPr>
              <w:pStyle w:val="22"/>
              <w:bidi w:val="0"/>
              <w:rPr>
                <w:rFonts w:hint="eastAsia"/>
                <w:color w:val="auto"/>
                <w:highlight w:val="none"/>
                <w:vertAlign w:val="baseline"/>
                <w:lang w:eastAsia="zh-CN"/>
              </w:rPr>
            </w:pPr>
            <w:r>
              <w:rPr>
                <w:color w:val="auto"/>
                <w:highlight w:val="none"/>
              </w:rPr>
              <w:t>原煤破碎筛分分级</w:t>
            </w:r>
          </w:p>
        </w:tc>
        <w:tc>
          <w:tcPr>
            <w:tcW w:w="213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防噪措施</w:t>
            </w:r>
          </w:p>
        </w:tc>
        <w:tc>
          <w:tcPr>
            <w:tcW w:w="4907" w:type="dxa"/>
            <w:vAlign w:val="center"/>
          </w:tcPr>
          <w:p>
            <w:pPr>
              <w:pStyle w:val="22"/>
              <w:bidi w:val="0"/>
              <w:rPr>
                <w:rFonts w:hint="eastAsia"/>
                <w:color w:val="auto"/>
                <w:highlight w:val="none"/>
                <w:vertAlign w:val="baseline"/>
                <w:lang w:eastAsia="zh-CN"/>
              </w:rPr>
            </w:pPr>
            <w:r>
              <w:rPr>
                <w:color w:val="auto"/>
                <w:highlight w:val="none"/>
              </w:rPr>
              <w:t>破碎机、筛分机采用先进的减振技术，橡胶筛板溜槽转载部位采用橡胶铺垫，设立隔音操作间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1125" w:type="dxa"/>
            <w:vMerge w:val="continue"/>
            <w:vAlign w:val="center"/>
          </w:tcPr>
          <w:p>
            <w:pPr>
              <w:pStyle w:val="22"/>
              <w:bidi w:val="0"/>
              <w:rPr>
                <w:rFonts w:hint="eastAsia"/>
                <w:color w:val="auto"/>
                <w:highlight w:val="none"/>
                <w:vertAlign w:val="baseline"/>
                <w:lang w:eastAsia="zh-CN"/>
              </w:rPr>
            </w:pPr>
          </w:p>
        </w:tc>
        <w:tc>
          <w:tcPr>
            <w:tcW w:w="213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除尘措施</w:t>
            </w:r>
          </w:p>
        </w:tc>
        <w:tc>
          <w:tcPr>
            <w:tcW w:w="4907" w:type="dxa"/>
            <w:vAlign w:val="center"/>
          </w:tcPr>
          <w:p>
            <w:pPr>
              <w:pStyle w:val="22"/>
              <w:bidi w:val="0"/>
              <w:rPr>
                <w:rFonts w:hint="eastAsia"/>
                <w:color w:val="auto"/>
                <w:highlight w:val="none"/>
                <w:vertAlign w:val="baseline"/>
                <w:lang w:eastAsia="zh-CN"/>
              </w:rPr>
            </w:pPr>
            <w:r>
              <w:rPr>
                <w:color w:val="auto"/>
                <w:highlight w:val="none"/>
              </w:rPr>
              <w:t>破碎机、筛分机加集尘罩设有除尘机组、带式运输机、转载点设喷雾降尘系统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③</w:t>
            </w:r>
            <w:r>
              <w:rPr>
                <w:color w:val="auto"/>
                <w:highlight w:val="none"/>
              </w:rPr>
              <w:t>精煤、中煤、矸石、煤泥贮存</w:t>
            </w:r>
          </w:p>
        </w:tc>
        <w:tc>
          <w:tcPr>
            <w:tcW w:w="4907" w:type="dxa"/>
            <w:vAlign w:val="center"/>
          </w:tcPr>
          <w:p>
            <w:pPr>
              <w:pStyle w:val="22"/>
              <w:bidi w:val="0"/>
              <w:rPr>
                <w:rFonts w:hint="eastAsia"/>
                <w:color w:val="auto"/>
                <w:highlight w:val="none"/>
                <w:vertAlign w:val="baseline"/>
                <w:lang w:eastAsia="zh-CN"/>
              </w:rPr>
            </w:pPr>
            <w:r>
              <w:rPr>
                <w:color w:val="auto"/>
                <w:highlight w:val="none"/>
              </w:rPr>
              <w:t>精煤、中煤、矸石分别进入封闭的精煤仓、中煤仓、矸石仓或封闭的贮场，多余矸石进入排矸场处置，煤泥经压滤处理后进入封闭的煤泥贮存场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④</w:t>
            </w:r>
            <w:r>
              <w:rPr>
                <w:color w:val="auto"/>
                <w:highlight w:val="none"/>
              </w:rPr>
              <w:t>选煤工艺装备</w:t>
            </w:r>
          </w:p>
        </w:tc>
        <w:tc>
          <w:tcPr>
            <w:tcW w:w="4907" w:type="dxa"/>
            <w:vAlign w:val="center"/>
          </w:tcPr>
          <w:p>
            <w:pPr>
              <w:pStyle w:val="22"/>
              <w:bidi w:val="0"/>
              <w:rPr>
                <w:rFonts w:hint="eastAsia"/>
                <w:color w:val="auto"/>
                <w:highlight w:val="none"/>
                <w:vertAlign w:val="baseline"/>
                <w:lang w:eastAsia="zh-CN"/>
              </w:rPr>
            </w:pPr>
            <w:r>
              <w:rPr>
                <w:color w:val="auto"/>
                <w:highlight w:val="none"/>
              </w:rPr>
              <w:t>全过程均实现数量、质量自动监测控制，并设有自动机械采样系统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⑤</w:t>
            </w:r>
            <w:r>
              <w:rPr>
                <w:color w:val="auto"/>
                <w:highlight w:val="none"/>
              </w:rPr>
              <w:t>选煤水处理</w:t>
            </w:r>
          </w:p>
        </w:tc>
        <w:tc>
          <w:tcPr>
            <w:tcW w:w="4907" w:type="dxa"/>
            <w:vAlign w:val="center"/>
          </w:tcPr>
          <w:p>
            <w:pPr>
              <w:pStyle w:val="22"/>
              <w:bidi w:val="0"/>
              <w:rPr>
                <w:color w:val="auto"/>
                <w:highlight w:val="none"/>
              </w:rPr>
            </w:pPr>
            <w:r>
              <w:rPr>
                <w:color w:val="auto"/>
                <w:highlight w:val="none"/>
              </w:rPr>
              <w:t>选煤水处理系统采用高效浓缩机、并添加絮凝剂</w:t>
            </w:r>
          </w:p>
          <w:p>
            <w:pPr>
              <w:pStyle w:val="22"/>
              <w:bidi w:val="0"/>
              <w:rPr>
                <w:rFonts w:hint="eastAsia"/>
                <w:color w:val="auto"/>
                <w:highlight w:val="none"/>
                <w:vertAlign w:val="baseline"/>
                <w:lang w:eastAsia="zh-CN"/>
              </w:rPr>
            </w:pPr>
            <w:r>
              <w:rPr>
                <w:color w:val="auto"/>
                <w:highlight w:val="none"/>
              </w:rPr>
              <w:t>，尾煤采用压滤机回收，并设有相同型号的事故浓缩池，吨入洗原煤补充水量＜0.10m</w:t>
            </w:r>
            <w:r>
              <w:rPr>
                <w:color w:val="auto"/>
                <w:highlight w:val="none"/>
                <w:vertAlign w:val="superscript"/>
              </w:rPr>
              <w:t>3</w:t>
            </w:r>
            <w:r>
              <w:rPr>
                <w:color w:val="auto"/>
                <w:highlight w:val="none"/>
              </w:rPr>
              <w:t>煤泥水达到闭路循环，不外排。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二、资源能源利用指标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①</w:t>
            </w:r>
            <w:r>
              <w:rPr>
                <w:color w:val="auto"/>
                <w:highlight w:val="none"/>
              </w:rPr>
              <w:t>原煤生产电耗/（kWh/t）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②</w:t>
            </w:r>
            <w:r>
              <w:rPr>
                <w:color w:val="auto"/>
                <w:highlight w:val="none"/>
              </w:rPr>
              <w:t>原煤生产坑木消耗/（m</w:t>
            </w:r>
            <w:r>
              <w:rPr>
                <w:color w:val="auto"/>
                <w:highlight w:val="none"/>
                <w:vertAlign w:val="superscript"/>
              </w:rPr>
              <w:t>3</w:t>
            </w:r>
            <w:r>
              <w:rPr>
                <w:color w:val="auto"/>
                <w:highlight w:val="none"/>
              </w:rPr>
              <w:t>/万t）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③</w:t>
            </w:r>
            <w:r>
              <w:rPr>
                <w:color w:val="auto"/>
                <w:highlight w:val="none"/>
              </w:rPr>
              <w:t>选煤补充水量/（m</w:t>
            </w:r>
            <w:r>
              <w:rPr>
                <w:color w:val="auto"/>
                <w:highlight w:val="none"/>
                <w:vertAlign w:val="superscript"/>
              </w:rPr>
              <w:t>3</w:t>
            </w:r>
            <w:r>
              <w:rPr>
                <w:color w:val="auto"/>
                <w:highlight w:val="none"/>
              </w:rPr>
              <w:t>/t）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④</w:t>
            </w:r>
            <w:r>
              <w:rPr>
                <w:color w:val="auto"/>
                <w:highlight w:val="none"/>
              </w:rPr>
              <w:t>选煤电耗/（kWh/t）（洗动力煤）</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⑤</w:t>
            </w:r>
            <w:r>
              <w:rPr>
                <w:color w:val="auto"/>
                <w:highlight w:val="none"/>
              </w:rPr>
              <w:t>选煤浮选药剂消耗/（kg/t）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color w:val="auto"/>
                <w:highlight w:val="none"/>
                <w:vertAlign w:val="baseline"/>
                <w:lang w:eastAsia="zh-CN"/>
              </w:rPr>
            </w:pPr>
            <w:r>
              <w:rPr>
                <w:rFonts w:hint="eastAsia"/>
                <w:color w:val="auto"/>
                <w:highlight w:val="none"/>
                <w:lang w:eastAsia="zh-CN"/>
              </w:rPr>
              <w:t>⑥</w:t>
            </w:r>
            <w:r>
              <w:rPr>
                <w:color w:val="auto"/>
                <w:highlight w:val="none"/>
              </w:rPr>
              <w:t>选煤重介质消耗/（kg/t）</w:t>
            </w:r>
          </w:p>
        </w:tc>
        <w:tc>
          <w:tcPr>
            <w:tcW w:w="4907" w:type="dxa"/>
            <w:vAlign w:val="center"/>
          </w:tcPr>
          <w:p>
            <w:pPr>
              <w:pStyle w:val="22"/>
              <w:bidi w:val="0"/>
              <w:rPr>
                <w:rFonts w:hint="eastAsia"/>
                <w:color w:val="auto"/>
                <w:highlight w:val="none"/>
                <w:vertAlign w:val="baseline"/>
                <w:lang w:eastAsia="zh-CN"/>
              </w:rPr>
            </w:pPr>
            <w:r>
              <w:rPr>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ind w:left="0" w:leftChars="0" w:right="0" w:rightChars="0" w:firstLine="0" w:firstLineChars="0"/>
              <w:rPr>
                <w:rFonts w:hint="eastAsia"/>
                <w:color w:val="auto"/>
                <w:highlight w:val="none"/>
                <w:vertAlign w:val="baseline"/>
                <w:lang w:eastAsia="zh-CN"/>
              </w:rPr>
            </w:pPr>
            <w:r>
              <w:rPr>
                <w:rFonts w:hint="eastAsia"/>
                <w:color w:val="auto"/>
                <w:highlight w:val="none"/>
                <w:lang w:eastAsia="zh-CN"/>
              </w:rPr>
              <w:t>⑦</w:t>
            </w:r>
            <w:r>
              <w:rPr>
                <w:color w:val="auto"/>
                <w:highlight w:val="none"/>
              </w:rPr>
              <w:t>采区回采率/%</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厚煤层</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中厚煤层</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薄煤层</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⑧</w:t>
            </w:r>
            <w:r>
              <w:rPr>
                <w:color w:val="auto"/>
                <w:highlight w:val="none"/>
              </w:rPr>
              <w:t>工作面回采率</w:t>
            </w:r>
            <w:r>
              <w:rPr>
                <w:rFonts w:hint="eastAsia"/>
                <w:color w:val="auto"/>
                <w:highlight w:val="none"/>
                <w:lang w:val="en-US" w:eastAsia="zh-CN"/>
              </w:rPr>
              <w:t>/</w:t>
            </w:r>
            <w:r>
              <w:rPr>
                <w:color w:val="auto"/>
                <w:highlight w:val="none"/>
              </w:rPr>
              <w:t>%</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厚煤层</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中厚煤层</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薄煤层</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color w:val="auto"/>
                <w:highlight w:val="none"/>
                <w:vertAlign w:val="baseline"/>
                <w:lang w:eastAsia="zh-CN"/>
              </w:rPr>
            </w:pPr>
            <w:r>
              <w:rPr>
                <w:rFonts w:hint="eastAsia"/>
                <w:color w:val="auto"/>
                <w:highlight w:val="none"/>
                <w:lang w:eastAsia="zh-CN"/>
              </w:rPr>
              <w:t>⑨</w:t>
            </w:r>
            <w:r>
              <w:rPr>
                <w:color w:val="auto"/>
                <w:highlight w:val="none"/>
              </w:rPr>
              <w:t>土地资源占用hm</w:t>
            </w:r>
            <w:r>
              <w:rPr>
                <w:color w:val="auto"/>
                <w:highlight w:val="none"/>
                <w:vertAlign w:val="superscript"/>
              </w:rPr>
              <w:t>2</w:t>
            </w:r>
            <w:r>
              <w:rPr>
                <w:color w:val="auto"/>
                <w:highlight w:val="none"/>
              </w:rPr>
              <w:t>/Mt（有选煤厂）</w:t>
            </w:r>
          </w:p>
        </w:tc>
        <w:tc>
          <w:tcPr>
            <w:tcW w:w="4907" w:type="dxa"/>
            <w:vAlign w:val="center"/>
          </w:tcPr>
          <w:p>
            <w:pPr>
              <w:pStyle w:val="22"/>
              <w:bidi w:val="0"/>
              <w:ind w:left="0" w:leftChars="0" w:right="0" w:rightChars="0" w:firstLine="0" w:firstLineChars="0"/>
              <w:rPr>
                <w:rFonts w:hint="eastAsia"/>
                <w:color w:val="auto"/>
                <w:highlight w:val="none"/>
                <w:vertAlign w:val="baseline"/>
                <w:lang w:eastAsia="zh-CN"/>
              </w:rPr>
            </w:pPr>
            <w:r>
              <w:rPr>
                <w:color w:val="auto"/>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三、产品指标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ind w:left="0" w:leftChars="0" w:right="0" w:rightChars="0" w:firstLine="0" w:firstLineChars="0"/>
              <w:rPr>
                <w:rFonts w:hint="eastAsia"/>
                <w:color w:val="auto"/>
                <w:highlight w:val="none"/>
                <w:vertAlign w:val="baseline"/>
                <w:lang w:eastAsia="zh-CN"/>
              </w:rPr>
            </w:pPr>
            <w:r>
              <w:rPr>
                <w:rFonts w:hint="eastAsia"/>
                <w:color w:val="auto"/>
                <w:highlight w:val="none"/>
                <w:lang w:eastAsia="zh-CN"/>
              </w:rPr>
              <w:t>①</w:t>
            </w:r>
            <w:r>
              <w:rPr>
                <w:color w:val="auto"/>
                <w:highlight w:val="none"/>
              </w:rPr>
              <w:t>选动力煤</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硫分%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灰分%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四、污染物产生指标（末端处理前）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①</w:t>
            </w:r>
            <w:r>
              <w:rPr>
                <w:color w:val="auto"/>
                <w:highlight w:val="none"/>
              </w:rPr>
              <w:t>矿井废水化学需氧量产生量(g/t)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②</w:t>
            </w:r>
            <w:r>
              <w:rPr>
                <w:color w:val="auto"/>
                <w:highlight w:val="none"/>
              </w:rPr>
              <w:t>矿井废水石油类产生量(g/t)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3.</w:t>
            </w:r>
            <w:r>
              <w:rPr>
                <w:rFonts w:hint="eastAsia"/>
                <w:color w:val="auto"/>
                <w:highlight w:val="none"/>
                <w:lang w:eastAsia="zh-CN"/>
              </w:rPr>
              <w:t>③</w:t>
            </w:r>
            <w:r>
              <w:rPr>
                <w:color w:val="auto"/>
                <w:highlight w:val="none"/>
              </w:rPr>
              <w:t>选煤废水化学需氧量产生量（g/t）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④</w:t>
            </w:r>
            <w:r>
              <w:rPr>
                <w:color w:val="auto"/>
                <w:highlight w:val="none"/>
              </w:rPr>
              <w:t>选煤废水石油类产衡量（g/t）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⑤</w:t>
            </w:r>
            <w:r>
              <w:rPr>
                <w:color w:val="auto"/>
                <w:highlight w:val="none"/>
              </w:rPr>
              <w:t>采煤煤矸石产生量（t/t）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⑥</w:t>
            </w:r>
            <w:r>
              <w:rPr>
                <w:color w:val="auto"/>
                <w:highlight w:val="none"/>
              </w:rPr>
              <w:t>原煤筛分、破碎、转载点前含尘浓度（mg/m</w:t>
            </w:r>
            <w:r>
              <w:rPr>
                <w:color w:val="auto"/>
                <w:highlight w:val="none"/>
                <w:vertAlign w:val="superscript"/>
              </w:rPr>
              <w:t>3</w:t>
            </w:r>
            <w:r>
              <w:rPr>
                <w:color w:val="auto"/>
                <w:highlight w:val="none"/>
              </w:rPr>
              <w: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⑦</w:t>
            </w:r>
            <w:r>
              <w:rPr>
                <w:color w:val="auto"/>
                <w:highlight w:val="none"/>
              </w:rPr>
              <w:t>煤炭风选设备通风管道、筛面、转载点等除尘设备前的含尘浓度（mg/m</w:t>
            </w:r>
            <w:r>
              <w:rPr>
                <w:color w:val="auto"/>
                <w:highlight w:val="none"/>
                <w:vertAlign w:val="superscript"/>
              </w:rPr>
              <w:t>3</w:t>
            </w:r>
            <w:r>
              <w:rPr>
                <w:color w:val="auto"/>
                <w:highlight w:val="none"/>
              </w:rPr>
              <w:t>）</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五、废物回收指标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①</w:t>
            </w:r>
            <w:r>
              <w:rPr>
                <w:color w:val="auto"/>
                <w:highlight w:val="none"/>
              </w:rPr>
              <w:t>当年抽采瓦斯利用率/%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②</w:t>
            </w:r>
            <w:r>
              <w:rPr>
                <w:color w:val="auto"/>
                <w:highlight w:val="none"/>
              </w:rPr>
              <w:t>当年产生的煤矸石综合利用率/%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③</w:t>
            </w:r>
            <w:r>
              <w:rPr>
                <w:color w:val="auto"/>
                <w:highlight w:val="none"/>
              </w:rPr>
              <w:t>矿井水利用率%（水资源短缺矿区）</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六、矿山生态环境保护指标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①</w:t>
            </w:r>
            <w:r>
              <w:rPr>
                <w:color w:val="auto"/>
                <w:highlight w:val="none"/>
              </w:rPr>
              <w:t>塌陷土地治理率/%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②</w:t>
            </w:r>
            <w:r>
              <w:rPr>
                <w:color w:val="auto"/>
                <w:highlight w:val="none"/>
              </w:rPr>
              <w:t>排矸场覆土绿化率/%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③</w:t>
            </w:r>
            <w:r>
              <w:rPr>
                <w:color w:val="auto"/>
                <w:highlight w:val="none"/>
              </w:rPr>
              <w:t>矿区工业广场绿化率/%</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6" w:type="dxa"/>
            <w:gridSpan w:val="4"/>
            <w:vAlign w:val="center"/>
          </w:tcPr>
          <w:p>
            <w:pPr>
              <w:pStyle w:val="22"/>
              <w:bidi w:val="0"/>
              <w:rPr>
                <w:rFonts w:hint="eastAsia"/>
                <w:color w:val="auto"/>
                <w:highlight w:val="none"/>
                <w:vertAlign w:val="baseline"/>
                <w:lang w:eastAsia="zh-CN"/>
              </w:rPr>
            </w:pPr>
            <w:r>
              <w:rPr>
                <w:color w:val="auto"/>
                <w:highlight w:val="none"/>
              </w:rPr>
              <w:t>七、环境管理要求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①</w:t>
            </w:r>
            <w:r>
              <w:rPr>
                <w:color w:val="auto"/>
                <w:highlight w:val="none"/>
              </w:rPr>
              <w:t>环境法律法规标准</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符合国家、地方和行业有关法律、法规、规范、产业政策、技术标准要求，污染物排放达到国家、地方和行业排放标准，满足污染物总量控制和排污许可证管理要求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②</w:t>
            </w:r>
            <w:r>
              <w:rPr>
                <w:color w:val="auto"/>
                <w:highlight w:val="none"/>
              </w:rPr>
              <w:t>环境管理审核</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按照GB/T24001建立并运行环境管理体系，环境管理手册、程序文件及作业文件齐全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rPr>
                <w:rFonts w:hint="eastAsia"/>
                <w:color w:val="auto"/>
                <w:highlight w:val="none"/>
                <w:vertAlign w:val="baseline"/>
                <w:lang w:eastAsia="zh-CN"/>
              </w:rPr>
            </w:pPr>
            <w:r>
              <w:rPr>
                <w:rFonts w:hint="eastAsia"/>
                <w:color w:val="auto"/>
                <w:highlight w:val="none"/>
                <w:lang w:eastAsia="zh-CN"/>
              </w:rPr>
              <w:t>③</w:t>
            </w:r>
            <w:r>
              <w:rPr>
                <w:color w:val="auto"/>
                <w:highlight w:val="none"/>
              </w:rPr>
              <w:t>生产过程环境管理</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岗位培训</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主要岗位人员进行过岗前培训，取得本岗位资质证书，有岗位培训记录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原辅材料、产品、能源、资源消耗管理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采用清洁原料和能源，有原材料质检制度和原材料消耗定额管理制度，对能耗、物耗有严格定量考核，对产品质量有考核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资料管理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生产管理资料完整、记录齐全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生产管理</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有完善的岗位操作规程和考核制度，实行全过程管理，有量化指标的项目实施定量管理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设备管理</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主要设备有具体的管理制度，并严格执行，定期对主要设备由技术检测部门进行检测，并限期改造，对国家明令淘汰的高耗能、低效率的设备进行淘汰，采用节能设备和技术设备无故障率达98%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生产工艺用水、用电管理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对主要用水、用电环节进行计量，并制定定量考核制度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煤矿事故应急处理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有具体的矿井冒顶、塌方、通风不畅、透水、煤尘爆炸、瓦斯气中毒等事故状况下的应急预案并通过环境风险评价，建立健全应急体制、机制、法制（三制一案），并定期进行演练。有安全设施“三同时”审查、验收、审查合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color w:val="auto"/>
                <w:highlight w:val="none"/>
                <w:vertAlign w:val="baseline"/>
                <w:lang w:eastAsia="zh-CN"/>
              </w:rPr>
            </w:pPr>
            <w:r>
              <w:rPr>
                <w:rFonts w:hint="eastAsia"/>
                <w:color w:val="auto"/>
                <w:highlight w:val="none"/>
                <w:lang w:eastAsia="zh-CN"/>
              </w:rPr>
              <w:t>④</w:t>
            </w:r>
            <w:r>
              <w:rPr>
                <w:color w:val="auto"/>
                <w:highlight w:val="none"/>
              </w:rPr>
              <w:t>废物处理处置</w:t>
            </w:r>
          </w:p>
        </w:tc>
        <w:tc>
          <w:tcPr>
            <w:tcW w:w="4907" w:type="dxa"/>
            <w:vAlign w:val="center"/>
          </w:tcPr>
          <w:p>
            <w:pPr>
              <w:pStyle w:val="22"/>
              <w:bidi w:val="0"/>
              <w:rPr>
                <w:rFonts w:hint="eastAsia"/>
                <w:color w:val="auto"/>
                <w:highlight w:val="none"/>
                <w:vertAlign w:val="baseline"/>
                <w:lang w:eastAsia="zh-CN"/>
              </w:rPr>
            </w:pPr>
            <w:r>
              <w:rPr>
                <w:color w:val="auto"/>
                <w:highlight w:val="none"/>
              </w:rPr>
              <w:t>设有矿井水、疏干水处理设施，并达到回用要求。对不能综合利用的煤矸石设专门的煤矸石处置场所，并按GB20426、GB18599的要求进行处置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restart"/>
            <w:vAlign w:val="center"/>
          </w:tcPr>
          <w:p>
            <w:pPr>
              <w:pStyle w:val="22"/>
              <w:bidi w:val="0"/>
              <w:rPr>
                <w:rFonts w:hint="eastAsia"/>
                <w:color w:val="auto"/>
                <w:highlight w:val="none"/>
                <w:vertAlign w:val="baseline"/>
                <w:lang w:eastAsia="zh-CN"/>
              </w:rPr>
            </w:pPr>
            <w:r>
              <w:rPr>
                <w:rFonts w:hint="eastAsia"/>
                <w:color w:val="auto"/>
                <w:highlight w:val="none"/>
                <w:lang w:eastAsia="zh-CN"/>
              </w:rPr>
              <w:t>⑤</w:t>
            </w:r>
            <w:r>
              <w:rPr>
                <w:color w:val="auto"/>
                <w:highlight w:val="none"/>
              </w:rPr>
              <w:t>环境管理</w:t>
            </w: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环境保护管理机构</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有专门环保管理机构配备专职管理人员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环境管理制度</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环境管理制度健全、完善，并纳入日常管理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环境管理计划</w:t>
            </w:r>
          </w:p>
        </w:tc>
        <w:tc>
          <w:tcPr>
            <w:tcW w:w="4907" w:type="dxa"/>
            <w:vAlign w:val="center"/>
          </w:tcPr>
          <w:p>
            <w:pPr>
              <w:pStyle w:val="22"/>
              <w:bidi w:val="0"/>
              <w:rPr>
                <w:rFonts w:hint="eastAsia" w:ascii="Times New Roman" w:hAnsi="Times New Roman" w:eastAsia="宋体" w:cs="宋体"/>
                <w:color w:val="auto"/>
                <w:sz w:val="21"/>
                <w:szCs w:val="21"/>
                <w:highlight w:val="none"/>
                <w:lang w:val="en-US" w:eastAsia="zh-CN" w:bidi="ar-SA"/>
              </w:rPr>
            </w:pPr>
            <w:r>
              <w:rPr>
                <w:color w:val="auto"/>
                <w:highlight w:val="none"/>
              </w:rPr>
              <w:t>制定近、远期计划，包括煤矸石、煤泥、矿井水、瓦斯气处置及综合利用、矿山生态恢复及闭矿后的恢复措施计划，具备环境影响评价文件的批复和环境保护设施“三同时”验收合格文件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环保设施的运行管理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记录运行数据并建立环保档案和运行监管机制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环境监测机构</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有专门环境监测机构，对废水、废气、噪声主要污染源、污染物具备部分监测手段，其余委托有资质的监测部门进行监测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vMerge w:val="continue"/>
            <w:vAlign w:val="center"/>
          </w:tcPr>
          <w:p>
            <w:pPr>
              <w:pStyle w:val="22"/>
              <w:bidi w:val="0"/>
              <w:rPr>
                <w:rFonts w:hint="eastAsia"/>
                <w:color w:val="auto"/>
                <w:highlight w:val="none"/>
                <w:vertAlign w:val="baseline"/>
                <w:lang w:eastAsia="zh-CN"/>
              </w:rPr>
            </w:pPr>
          </w:p>
        </w:tc>
        <w:tc>
          <w:tcPr>
            <w:tcW w:w="3262" w:type="dxa"/>
            <w:gridSpan w:val="2"/>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相关方环境管理</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服务协议中应明确原辅材料的供应方、协作方、服务方的环境管理要求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gridSpan w:val="3"/>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rFonts w:hint="eastAsia"/>
                <w:color w:val="auto"/>
                <w:highlight w:val="none"/>
                <w:lang w:eastAsia="zh-CN"/>
              </w:rPr>
              <w:t>⑥</w:t>
            </w:r>
            <w:r>
              <w:rPr>
                <w:color w:val="auto"/>
                <w:highlight w:val="none"/>
              </w:rPr>
              <w:t>矿山生态恢复管理措施</w:t>
            </w:r>
          </w:p>
        </w:tc>
        <w:tc>
          <w:tcPr>
            <w:tcW w:w="4907" w:type="dxa"/>
            <w:vAlign w:val="center"/>
          </w:tcPr>
          <w:p>
            <w:pPr>
              <w:pStyle w:val="22"/>
              <w:bidi w:val="0"/>
              <w:ind w:left="0" w:leftChars="0" w:right="0" w:rightChars="0" w:firstLine="0" w:firstLineChars="0"/>
              <w:rPr>
                <w:rFonts w:hint="eastAsia" w:ascii="Times New Roman" w:hAnsi="Times New Roman" w:eastAsia="宋体" w:cs="宋体"/>
                <w:color w:val="auto"/>
                <w:sz w:val="21"/>
                <w:szCs w:val="21"/>
                <w:highlight w:val="none"/>
                <w:lang w:val="en-US" w:eastAsia="zh-CN" w:bidi="ar-SA"/>
              </w:rPr>
            </w:pPr>
            <w:r>
              <w:rPr>
                <w:color w:val="auto"/>
                <w:highlight w:val="none"/>
              </w:rPr>
              <w:t>具有完整的矿区生产期和服务期满时的矿山生态恢复计划，并纳入日常生产管理，且付诸实施</w:t>
            </w:r>
          </w:p>
        </w:tc>
      </w:tr>
    </w:tbl>
    <w:p>
      <w:pPr>
        <w:pStyle w:val="22"/>
        <w:bidi w:val="0"/>
        <w:rPr>
          <w:rFonts w:hint="eastAsia"/>
          <w:color w:val="auto"/>
          <w:highlight w:val="none"/>
          <w:lang w:eastAsia="zh-CN"/>
        </w:rPr>
      </w:pPr>
    </w:p>
    <w:p>
      <w:pPr>
        <w:pStyle w:val="6"/>
        <w:numPr>
          <w:ilvl w:val="2"/>
          <w:numId w:val="10"/>
        </w:numPr>
        <w:bidi w:val="0"/>
        <w:rPr>
          <w:color w:val="auto"/>
          <w:highlight w:val="none"/>
        </w:rPr>
      </w:pPr>
      <w:bookmarkStart w:id="505" w:name="5.11.3 清洁生产组织与实施"/>
      <w:bookmarkEnd w:id="505"/>
      <w:bookmarkStart w:id="506" w:name="5.11.3 清洁生产组织与实施"/>
      <w:bookmarkEnd w:id="506"/>
      <w:bookmarkStart w:id="507" w:name="_Toc17301"/>
      <w:bookmarkStart w:id="508" w:name="_Toc23723"/>
      <w:r>
        <w:rPr>
          <w:color w:val="auto"/>
          <w:highlight w:val="none"/>
        </w:rPr>
        <w:t>清洁生产组织与实施</w:t>
      </w:r>
      <w:bookmarkEnd w:id="507"/>
      <w:bookmarkEnd w:id="508"/>
    </w:p>
    <w:p>
      <w:pPr>
        <w:bidi w:val="0"/>
        <w:rPr>
          <w:color w:val="auto"/>
          <w:highlight w:val="none"/>
        </w:rPr>
      </w:pPr>
      <w:r>
        <w:rPr>
          <w:color w:val="auto"/>
          <w:highlight w:val="none"/>
        </w:rPr>
        <w:t>矿区开发建设要重视清洁生产工作，做好清洁生产的组织与实施。矿区清洁生产的组织与实施的执行者，应是矿区的开发主体。</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清洁生产组织要求</w:t>
      </w:r>
    </w:p>
    <w:p>
      <w:pPr>
        <w:bidi w:val="0"/>
        <w:rPr>
          <w:color w:val="auto"/>
          <w:highlight w:val="none"/>
        </w:rPr>
      </w:pPr>
      <w:r>
        <w:rPr>
          <w:color w:val="auto"/>
          <w:highlight w:val="none"/>
        </w:rPr>
        <w:t>矿区开发主体应成立清洁成产领导小组来具体组织实施清洁生产工作，清洁生产领导小组由各矿井主管技术和环保的负责人负责，由各相关部门人员组成。清洁生产领导小组具体职责如下：</w:t>
      </w:r>
    </w:p>
    <w:p>
      <w:pPr>
        <w:bidi w:val="0"/>
        <w:rPr>
          <w:color w:val="auto"/>
          <w:highlight w:val="none"/>
        </w:rPr>
      </w:pPr>
      <w:r>
        <w:rPr>
          <w:color w:val="auto"/>
          <w:highlight w:val="none"/>
        </w:rPr>
        <w:t>宣传清洁生产知识，提高各矿职工对清洁生产的认识，转化传统观念，使各级领导认识到推行清洁生产的重要性，使各矿职工认识到环境污染危害的严重性及污染的实质和来源。</w:t>
      </w:r>
    </w:p>
    <w:p>
      <w:pPr>
        <w:bidi w:val="0"/>
        <w:rPr>
          <w:color w:val="auto"/>
          <w:highlight w:val="none"/>
        </w:rPr>
      </w:pPr>
      <w:r>
        <w:rPr>
          <w:color w:val="auto"/>
          <w:highlight w:val="none"/>
        </w:rPr>
        <w:t>制定清洁生产管理制度，促进企业管理制度的完善与可操作性的提高。</w:t>
      </w:r>
    </w:p>
    <w:p>
      <w:pPr>
        <w:bidi w:val="0"/>
        <w:rPr>
          <w:color w:val="auto"/>
          <w:highlight w:val="none"/>
        </w:rPr>
      </w:pPr>
      <w:r>
        <w:rPr>
          <w:color w:val="auto"/>
          <w:highlight w:val="none"/>
        </w:rPr>
        <w:t>制定各矿及各生产车间的清洁生产目标，研究生产工艺，提出过程控制的改进措施、岗位操作改进措施。</w:t>
      </w:r>
    </w:p>
    <w:p>
      <w:pPr>
        <w:bidi w:val="0"/>
        <w:rPr>
          <w:color w:val="auto"/>
          <w:highlight w:val="none"/>
        </w:rPr>
      </w:pPr>
      <w:r>
        <w:rPr>
          <w:color w:val="auto"/>
          <w:highlight w:val="none"/>
        </w:rPr>
        <w:t>制定清洁生产方案，组织协调并监督其实施；组织各矿职工的清洁生产教育和培训；编写清洁生产报告，建立清洁生产档案；制定持续开展清洁生产的工作计划。</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清洁生产实施要求</w:t>
      </w:r>
    </w:p>
    <w:p>
      <w:pPr>
        <w:bidi w:val="0"/>
        <w:rPr>
          <w:color w:val="auto"/>
          <w:highlight w:val="none"/>
        </w:rPr>
      </w:pPr>
      <w:r>
        <w:rPr>
          <w:color w:val="auto"/>
          <w:highlight w:val="none"/>
        </w:rPr>
        <w:t>矿区开发主体应根据自身实际情况，按照源头削减、过程控制及综合利用的原则，在整个运行期将清洁生产的思想贯彻始终。可按以下步骤具体实施：</w:t>
      </w:r>
    </w:p>
    <w:p>
      <w:pPr>
        <w:bidi w:val="0"/>
        <w:rPr>
          <w:color w:val="auto"/>
          <w:highlight w:val="none"/>
        </w:rPr>
      </w:pPr>
      <w:r>
        <w:rPr>
          <w:rFonts w:hint="eastAsia"/>
          <w:color w:val="auto"/>
          <w:highlight w:val="none"/>
          <w:lang w:eastAsia="zh-CN"/>
        </w:rPr>
        <w:t>①</w:t>
      </w:r>
      <w:r>
        <w:rPr>
          <w:color w:val="auto"/>
          <w:highlight w:val="none"/>
        </w:rPr>
        <w:t>准备阶段</w:t>
      </w:r>
    </w:p>
    <w:p>
      <w:pPr>
        <w:bidi w:val="0"/>
        <w:rPr>
          <w:color w:val="auto"/>
          <w:highlight w:val="none"/>
        </w:rPr>
      </w:pPr>
      <w:r>
        <w:rPr>
          <w:color w:val="auto"/>
          <w:highlight w:val="none"/>
        </w:rPr>
        <w:t>领导决策：推行清洁生产是企业领导不可推卸的责任，领导应根据各车间、班组存在的问题，找准开展清洁生产的切入点，落实组织机构、人员、设备、经费安排，监督各部门的工作进度和任务完成情况。</w:t>
      </w:r>
    </w:p>
    <w:p>
      <w:pPr>
        <w:bidi w:val="0"/>
        <w:rPr>
          <w:color w:val="auto"/>
          <w:highlight w:val="none"/>
        </w:rPr>
      </w:pPr>
      <w:r>
        <w:rPr>
          <w:color w:val="auto"/>
          <w:highlight w:val="none"/>
        </w:rPr>
        <w:t>组织工作小组：组建一个强有力的实施清洁生产工作小组。制定工作计划：制定一个详细的清洁生产工作计划，是清洁生产工作按一定程序和步骤进行。</w:t>
      </w:r>
    </w:p>
    <w:p>
      <w:pPr>
        <w:bidi w:val="0"/>
        <w:rPr>
          <w:color w:val="auto"/>
          <w:highlight w:val="none"/>
        </w:rPr>
      </w:pPr>
      <w:r>
        <w:rPr>
          <w:color w:val="auto"/>
          <w:highlight w:val="none"/>
        </w:rPr>
        <w:t>宣传和人员培训：进行宣传、动员和人员培训。物质准备：清洁生产工作应在企业正常生产进行过程中进行，所以要做好人员、仪器、设备、动力、原辅料等调配和保障工作。</w:t>
      </w:r>
    </w:p>
    <w:p>
      <w:pPr>
        <w:bidi w:val="0"/>
        <w:rPr>
          <w:color w:val="auto"/>
          <w:highlight w:val="none"/>
        </w:rPr>
      </w:pPr>
      <w:r>
        <w:rPr>
          <w:rFonts w:hint="eastAsia"/>
          <w:color w:val="auto"/>
          <w:highlight w:val="none"/>
          <w:lang w:eastAsia="zh-CN"/>
        </w:rPr>
        <w:t>②</w:t>
      </w:r>
      <w:r>
        <w:rPr>
          <w:color w:val="auto"/>
          <w:highlight w:val="none"/>
        </w:rPr>
        <w:t>审计阶段</w:t>
      </w:r>
    </w:p>
    <w:p>
      <w:pPr>
        <w:bidi w:val="0"/>
        <w:rPr>
          <w:color w:val="auto"/>
          <w:highlight w:val="none"/>
        </w:rPr>
      </w:pPr>
      <w:r>
        <w:rPr>
          <w:color w:val="auto"/>
          <w:highlight w:val="none"/>
        </w:rPr>
        <w:t>现状分析：对各矿生产工艺、能耗、水耗、物耗、物料管理状况、废物产生部位和排放方式特点，污染物形态、性质、组分和数量，污染治理现状，废物综合利用现状等进行调查，在分类汇总的基础上，广泛收集国内外同行业先进技术，组织有关专家进行咨询，找出工艺中废物产生点和废物流失点及耗能耗水最多的环节和数量等。</w:t>
      </w:r>
    </w:p>
    <w:p>
      <w:pPr>
        <w:bidi w:val="0"/>
        <w:rPr>
          <w:color w:val="auto"/>
          <w:highlight w:val="none"/>
        </w:rPr>
      </w:pPr>
      <w:r>
        <w:rPr>
          <w:color w:val="auto"/>
          <w:highlight w:val="none"/>
        </w:rPr>
        <w:t>确定审计对象：在备选的几个拟开展清洁生产的项目中，确定一个问题突出、投资小、见效快的项目作为审计对象。</w:t>
      </w:r>
    </w:p>
    <w:p>
      <w:pPr>
        <w:bidi w:val="0"/>
        <w:rPr>
          <w:color w:val="auto"/>
          <w:highlight w:val="none"/>
        </w:rPr>
      </w:pPr>
      <w:r>
        <w:rPr>
          <w:color w:val="auto"/>
          <w:highlight w:val="none"/>
        </w:rPr>
        <w:t>设置清洁生产目标：对审计对象设置既切实可行，又富有挑战性的清洁生产目标。</w:t>
      </w:r>
    </w:p>
    <w:p>
      <w:pPr>
        <w:bidi w:val="0"/>
        <w:rPr>
          <w:color w:val="auto"/>
          <w:highlight w:val="none"/>
        </w:rPr>
      </w:pPr>
      <w:r>
        <w:rPr>
          <w:color w:val="auto"/>
          <w:highlight w:val="none"/>
        </w:rPr>
        <w:t>生产过程分析：绘制审计对象的工艺流程图，进行燃煤、用水及排放的空气污染物、水污染物等物料平衡计算，结合监测资料，分析资源回采率、设备运行效率，分析资源、物料、能量损失原因，通过水量平衡计算，及时发现问题，节约和合理调度水资源。</w:t>
      </w:r>
    </w:p>
    <w:p>
      <w:pPr>
        <w:bidi w:val="0"/>
        <w:rPr>
          <w:color w:val="auto"/>
          <w:highlight w:val="none"/>
        </w:rPr>
      </w:pPr>
      <w:r>
        <w:rPr>
          <w:rFonts w:hint="eastAsia"/>
          <w:color w:val="auto"/>
          <w:highlight w:val="none"/>
          <w:lang w:eastAsia="zh-CN"/>
        </w:rPr>
        <w:t>③</w:t>
      </w:r>
      <w:r>
        <w:rPr>
          <w:color w:val="auto"/>
          <w:highlight w:val="none"/>
        </w:rPr>
        <w:t>实施方案</w:t>
      </w:r>
    </w:p>
    <w:p>
      <w:pPr>
        <w:bidi w:val="0"/>
        <w:rPr>
          <w:color w:val="auto"/>
          <w:highlight w:val="none"/>
        </w:rPr>
      </w:pPr>
      <w:r>
        <w:rPr>
          <w:color w:val="auto"/>
          <w:highlight w:val="none"/>
        </w:rPr>
        <w:t>建议在生产运行期每隔3年针对企业运行提出无/低费方案，每隔5年提出一些投资较多的清洁生产方案，不断提高生产水平。</w:t>
      </w:r>
    </w:p>
    <w:p>
      <w:pPr>
        <w:bidi w:val="0"/>
        <w:rPr>
          <w:color w:val="auto"/>
          <w:highlight w:val="none"/>
        </w:rPr>
      </w:pPr>
      <w:r>
        <w:rPr>
          <w:color w:val="auto"/>
          <w:highlight w:val="none"/>
        </w:rPr>
        <w:t>提出清洁生产方案：提出降低原辅料消耗、提高资源回采率方案针对煤、水在运输过程中存在的跑、冒、滴、漏现象提出必要的改进措施；在保证系统稳定、可靠的前提下，分析改进工艺、提高设备生产效率的措施；分析岗位管理和操作规程的改进办法；开拓煤矸石综合利用和废水重复利用途径，并对方案进行优化。</w:t>
      </w:r>
    </w:p>
    <w:p>
      <w:pPr>
        <w:bidi w:val="0"/>
        <w:rPr>
          <w:color w:val="auto"/>
          <w:highlight w:val="none"/>
        </w:rPr>
      </w:pPr>
      <w:r>
        <w:rPr>
          <w:color w:val="auto"/>
          <w:highlight w:val="none"/>
        </w:rPr>
        <w:t>方案的可行性分析：从技术、环境、经济方面对方案进行综合分析，以便确定可实施的清洁生产方案。</w:t>
      </w:r>
    </w:p>
    <w:p>
      <w:pPr>
        <w:bidi w:val="0"/>
        <w:rPr>
          <w:color w:val="auto"/>
          <w:highlight w:val="none"/>
        </w:rPr>
      </w:pPr>
      <w:r>
        <w:rPr>
          <w:rFonts w:hint="eastAsia"/>
          <w:color w:val="auto"/>
          <w:highlight w:val="none"/>
          <w:lang w:eastAsia="zh-CN"/>
        </w:rPr>
        <w:t>④</w:t>
      </w:r>
      <w:r>
        <w:rPr>
          <w:color w:val="auto"/>
          <w:highlight w:val="none"/>
        </w:rPr>
        <w:t>实施计划</w:t>
      </w:r>
    </w:p>
    <w:p>
      <w:pPr>
        <w:bidi w:val="0"/>
        <w:rPr>
          <w:color w:val="auto"/>
          <w:highlight w:val="none"/>
        </w:rPr>
      </w:pPr>
      <w:r>
        <w:rPr>
          <w:color w:val="auto"/>
          <w:highlight w:val="none"/>
        </w:rPr>
        <w:t>制定实施计划、组织实施：针对确定的清洁生产方案，制定出实施的时间和进度安排，并按计划认真严格实施。</w:t>
      </w:r>
    </w:p>
    <w:p>
      <w:pPr>
        <w:bidi w:val="0"/>
        <w:rPr>
          <w:color w:val="auto"/>
          <w:highlight w:val="none"/>
        </w:rPr>
      </w:pPr>
      <w:r>
        <w:rPr>
          <w:color w:val="auto"/>
          <w:highlight w:val="none"/>
        </w:rPr>
        <w:t>评估实施效果：方案实施后，要全面跟踪、评估、统计实施后的技术情况和经济、环境效率，为调整和制定后续方案积累经验。编制清洁生产报告：对上述四个阶段的工作成果进行总结，并制定出持续开展清洁生产的后续行动计划。</w:t>
      </w:r>
    </w:p>
    <w:p>
      <w:pPr>
        <w:pStyle w:val="5"/>
        <w:numPr>
          <w:ilvl w:val="1"/>
          <w:numId w:val="10"/>
        </w:numPr>
        <w:bidi w:val="0"/>
        <w:rPr>
          <w:color w:val="auto"/>
          <w:highlight w:val="none"/>
        </w:rPr>
      </w:pPr>
      <w:bookmarkStart w:id="509" w:name="_bookmark37"/>
      <w:bookmarkEnd w:id="509"/>
      <w:bookmarkStart w:id="510" w:name="5.12 累积环境影响分析"/>
      <w:bookmarkEnd w:id="510"/>
      <w:bookmarkStart w:id="511" w:name="_Toc15700"/>
      <w:bookmarkStart w:id="512" w:name="_Toc19058"/>
      <w:r>
        <w:rPr>
          <w:color w:val="auto"/>
          <w:highlight w:val="none"/>
        </w:rPr>
        <w:t>累积环境影响分析</w:t>
      </w:r>
      <w:bookmarkEnd w:id="511"/>
      <w:bookmarkEnd w:id="512"/>
    </w:p>
    <w:p>
      <w:pPr>
        <w:bidi w:val="0"/>
        <w:rPr>
          <w:color w:val="auto"/>
          <w:highlight w:val="none"/>
        </w:rPr>
      </w:pPr>
      <w:r>
        <w:rPr>
          <w:color w:val="auto"/>
          <w:highlight w:val="none"/>
        </w:rPr>
        <w:t>规划实施累积环境影响可分为时间和空间两个方面，根据规划特点，本次环评主要从大气环境、水环境、声环境、土壤及生态环境等几个方面来体现，本环评对规划实施带来的累积环境影响主要通过以下几个方面分析。</w:t>
      </w:r>
    </w:p>
    <w:p>
      <w:pPr>
        <w:pStyle w:val="6"/>
        <w:numPr>
          <w:ilvl w:val="2"/>
          <w:numId w:val="10"/>
        </w:numPr>
        <w:bidi w:val="0"/>
        <w:rPr>
          <w:color w:val="auto"/>
          <w:highlight w:val="none"/>
        </w:rPr>
      </w:pPr>
      <w:bookmarkStart w:id="513" w:name="5.12.1 生态环境累积环境影响"/>
      <w:bookmarkEnd w:id="513"/>
      <w:bookmarkStart w:id="514" w:name="5.12.1 生态环境累积环境影响"/>
      <w:bookmarkEnd w:id="514"/>
      <w:bookmarkStart w:id="515" w:name="_Toc12772"/>
      <w:bookmarkStart w:id="516" w:name="_Toc11767"/>
      <w:r>
        <w:rPr>
          <w:color w:val="auto"/>
          <w:highlight w:val="none"/>
        </w:rPr>
        <w:t>生态环境累积环境影响</w:t>
      </w:r>
      <w:bookmarkEnd w:id="515"/>
      <w:bookmarkEnd w:id="516"/>
    </w:p>
    <w:p>
      <w:pPr>
        <w:bidi w:val="0"/>
        <w:rPr>
          <w:color w:val="auto"/>
          <w:highlight w:val="none"/>
        </w:rPr>
      </w:pPr>
      <w:r>
        <w:rPr>
          <w:color w:val="auto"/>
          <w:highlight w:val="none"/>
        </w:rPr>
        <w:t>矿产资源开发建设随着时间的增加和空间规模的增大，将对周边生态环境的影响越来越大，主要体现在植被破坏、水土流失和区域气候变化等方面，规划区域生态环境比较脆弱，这种累积环境影响会显得越来越突出，规划实施过程中应通过合理规划、植被绿化及水土保持来对生态环境的累积影响进行减缓。</w:t>
      </w:r>
    </w:p>
    <w:p>
      <w:pPr>
        <w:pStyle w:val="6"/>
        <w:numPr>
          <w:ilvl w:val="2"/>
          <w:numId w:val="10"/>
        </w:numPr>
        <w:bidi w:val="0"/>
        <w:rPr>
          <w:color w:val="auto"/>
          <w:highlight w:val="none"/>
        </w:rPr>
      </w:pPr>
      <w:bookmarkStart w:id="517" w:name="5.12.2 大气环境累积环境影响"/>
      <w:bookmarkEnd w:id="517"/>
      <w:bookmarkStart w:id="518" w:name="5.12.2 大气环境累积环境影响"/>
      <w:bookmarkEnd w:id="518"/>
      <w:bookmarkStart w:id="519" w:name="_Toc12318"/>
      <w:bookmarkStart w:id="520" w:name="_Toc17707"/>
      <w:r>
        <w:rPr>
          <w:color w:val="auto"/>
          <w:highlight w:val="none"/>
        </w:rPr>
        <w:t>大气环境累积环境影响</w:t>
      </w:r>
      <w:bookmarkEnd w:id="519"/>
      <w:bookmarkEnd w:id="520"/>
    </w:p>
    <w:p>
      <w:pPr>
        <w:bidi w:val="0"/>
        <w:rPr>
          <w:color w:val="auto"/>
          <w:highlight w:val="none"/>
        </w:rPr>
      </w:pPr>
      <w:r>
        <w:rPr>
          <w:color w:val="auto"/>
          <w:highlight w:val="none"/>
        </w:rPr>
        <w:t>根据前文可知，</w:t>
      </w:r>
      <w:r>
        <w:rPr>
          <w:rFonts w:hint="eastAsia"/>
          <w:color w:val="auto"/>
          <w:highlight w:val="none"/>
          <w:lang w:eastAsia="zh-CN"/>
        </w:rPr>
        <w:t>规划矿区</w:t>
      </w:r>
      <w:r>
        <w:rPr>
          <w:color w:val="auto"/>
          <w:highlight w:val="none"/>
        </w:rPr>
        <w:t>各矿井大气污染源为颗粒物无组织排放，无锅炉及其他点源污染。根据前述预测，规划实施后各污染因子叠加背景值后均能达到功能区环境质量标准要求。</w:t>
      </w:r>
    </w:p>
    <w:p>
      <w:pPr>
        <w:bidi w:val="0"/>
        <w:rPr>
          <w:color w:val="auto"/>
          <w:highlight w:val="none"/>
        </w:rPr>
      </w:pPr>
      <w:r>
        <w:rPr>
          <w:color w:val="auto"/>
          <w:highlight w:val="none"/>
        </w:rPr>
        <w:t>综上，根据环境质量公报、环境空气监测结果可知，区域内环境空气质量较好，在供暖期，颗粒物浓度增加较明。随着矿区的开发，土地利用及生产和生活设施大气污染源的增加将导致区域环境空气质量一定程度的下降，但在采取各种有效的大气污染物防治措施并且污染物有效地扩散后，环境空气质量中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浓度增加不大，但由于颗粒物在采暖季本底值较高，颗粒物在矿区开发后仍将是大气中的首要污染物。</w:t>
      </w:r>
    </w:p>
    <w:p>
      <w:pPr>
        <w:pStyle w:val="6"/>
        <w:numPr>
          <w:ilvl w:val="2"/>
          <w:numId w:val="10"/>
        </w:numPr>
        <w:bidi w:val="0"/>
        <w:rPr>
          <w:color w:val="auto"/>
          <w:highlight w:val="none"/>
        </w:rPr>
      </w:pPr>
      <w:bookmarkStart w:id="521" w:name="5.12.3 水环境累积环境影响"/>
      <w:bookmarkEnd w:id="521"/>
      <w:bookmarkStart w:id="522" w:name="5.12.3 水环境累积环境影响"/>
      <w:bookmarkEnd w:id="522"/>
      <w:bookmarkStart w:id="523" w:name="_Toc9319"/>
      <w:bookmarkStart w:id="524" w:name="_Toc23216"/>
      <w:r>
        <w:rPr>
          <w:color w:val="auto"/>
          <w:highlight w:val="none"/>
        </w:rPr>
        <w:t>水环境累积环境影响</w:t>
      </w:r>
      <w:bookmarkEnd w:id="523"/>
      <w:bookmarkEnd w:id="524"/>
    </w:p>
    <w:p>
      <w:pPr>
        <w:bidi w:val="0"/>
        <w:rPr>
          <w:color w:val="auto"/>
          <w:highlight w:val="none"/>
        </w:rPr>
      </w:pPr>
      <w:r>
        <w:rPr>
          <w:color w:val="auto"/>
          <w:highlight w:val="none"/>
        </w:rPr>
        <w:t>规划区内各矿井配套建设废、污水处理站，生产废水及生活污水全部处理达标后</w:t>
      </w:r>
      <w:r>
        <w:rPr>
          <w:rFonts w:hint="eastAsia"/>
          <w:color w:val="auto"/>
          <w:highlight w:val="none"/>
          <w:lang w:eastAsia="zh-CN"/>
        </w:rPr>
        <w:t>最大程度</w:t>
      </w:r>
      <w:r>
        <w:rPr>
          <w:color w:val="auto"/>
          <w:highlight w:val="none"/>
        </w:rPr>
        <w:t>资源化利用，回用于生产、周边绿化或生态用水</w:t>
      </w:r>
      <w:r>
        <w:rPr>
          <w:rFonts w:hint="eastAsia"/>
          <w:color w:val="auto"/>
          <w:highlight w:val="none"/>
          <w:lang w:eastAsia="zh-CN"/>
        </w:rPr>
        <w:t>，多余废水再达标排放</w:t>
      </w:r>
      <w:r>
        <w:rPr>
          <w:color w:val="auto"/>
          <w:highlight w:val="none"/>
        </w:rPr>
        <w:t>。</w:t>
      </w:r>
    </w:p>
    <w:p>
      <w:pPr>
        <w:bidi w:val="0"/>
        <w:rPr>
          <w:color w:val="auto"/>
          <w:highlight w:val="none"/>
        </w:rPr>
      </w:pPr>
      <w:r>
        <w:rPr>
          <w:color w:val="auto"/>
          <w:highlight w:val="none"/>
        </w:rPr>
        <w:t>因此，本次规划实施后水环境累积影响不大。</w:t>
      </w:r>
    </w:p>
    <w:p>
      <w:pPr>
        <w:pStyle w:val="6"/>
        <w:numPr>
          <w:ilvl w:val="2"/>
          <w:numId w:val="10"/>
        </w:numPr>
        <w:bidi w:val="0"/>
        <w:rPr>
          <w:color w:val="auto"/>
          <w:highlight w:val="none"/>
        </w:rPr>
      </w:pPr>
      <w:bookmarkStart w:id="525" w:name="5.12.4 地下水环境累积环境影响"/>
      <w:bookmarkEnd w:id="525"/>
      <w:bookmarkStart w:id="526" w:name="5.12.4 地下水环境累积环境影响"/>
      <w:bookmarkEnd w:id="526"/>
      <w:bookmarkStart w:id="527" w:name="_Toc26504"/>
      <w:bookmarkStart w:id="528" w:name="_Toc12932"/>
      <w:r>
        <w:rPr>
          <w:color w:val="auto"/>
          <w:highlight w:val="none"/>
        </w:rPr>
        <w:t>地下水环境累积环境影响</w:t>
      </w:r>
      <w:bookmarkEnd w:id="527"/>
      <w:bookmarkEnd w:id="528"/>
    </w:p>
    <w:p>
      <w:pPr>
        <w:bidi w:val="0"/>
        <w:rPr>
          <w:color w:val="auto"/>
          <w:highlight w:val="none"/>
        </w:rPr>
      </w:pPr>
      <w:r>
        <w:rPr>
          <w:color w:val="auto"/>
          <w:highlight w:val="none"/>
        </w:rPr>
        <w:t>根据前述分析，矿区煤层开采后导水裂隙带所能沟通的只有煤层顶板以上的部分承压含水层，但未能直接导通第四系含水层，对第四系含水层影响甚微。煤层开采后由于顶板冒落、导水裂隙带发育而使采空区上覆含水层遭到破坏，使原来储存于含水层中的水在短时间内疏干而造成地下水水量的损失，通过从矿井开采充水水源来看，煤炭开采将导致矿井涌水来源于孔隙裂隙承压含水层水位不断下降。矿区开发加强矿井废水处理站建设，将矿井废水处理后回用于井下生产或地面生产生活，不会对地下水水质造成影响。采煤沉陷对沉陷范围内村民水井可能造成损坏，影响村民生活饮用水。根据导水裂缝带计算矿区开采不会对当地村民饮用水造成影响。</w:t>
      </w:r>
    </w:p>
    <w:p>
      <w:pPr>
        <w:pStyle w:val="6"/>
        <w:numPr>
          <w:ilvl w:val="2"/>
          <w:numId w:val="10"/>
        </w:numPr>
        <w:bidi w:val="0"/>
        <w:rPr>
          <w:color w:val="auto"/>
          <w:highlight w:val="none"/>
        </w:rPr>
      </w:pPr>
      <w:bookmarkStart w:id="529" w:name="5.12.5 土壤累积环境影响"/>
      <w:bookmarkEnd w:id="529"/>
      <w:bookmarkStart w:id="530" w:name="5.12.5 土壤累积环境影响"/>
      <w:bookmarkEnd w:id="530"/>
      <w:bookmarkStart w:id="531" w:name="_Toc26231"/>
      <w:bookmarkStart w:id="532" w:name="_Toc30130"/>
      <w:r>
        <w:rPr>
          <w:color w:val="auto"/>
          <w:highlight w:val="none"/>
        </w:rPr>
        <w:t>土壤累积环境影响</w:t>
      </w:r>
      <w:bookmarkEnd w:id="531"/>
      <w:bookmarkEnd w:id="532"/>
    </w:p>
    <w:p>
      <w:pPr>
        <w:bidi w:val="0"/>
        <w:rPr>
          <w:color w:val="auto"/>
          <w:highlight w:val="none"/>
        </w:rPr>
      </w:pPr>
      <w:r>
        <w:rPr>
          <w:color w:val="auto"/>
          <w:highlight w:val="none"/>
        </w:rPr>
        <w:t>煤矿污染物在土壤中的沉积主要分为两部分，一是煤矿中的重金属元素随煤尘在沉降在土壤中，造成土壤重金属累积，累积影响同上述金属矿分析内容；二是煤尘自身的累积影响，主要为煤尘通过自降、降水淋溶等途径进入土壤环境，从而导致表层土壤盐分逐渐积累，导致交换性钠离子饱和度逐渐增高。同时，土壤有机质含量与土壤表层含水量及土壤粘粒含量呈正相关关系，与土壤 pH 值呈负相关关系，pH 值越高，土壤有机质含量越低，土壤养分越低。因此，煤炭的开采将导致土壤碱化、有机质及养分含量降低，进而使土壤粗粒化、贫瘠化。</w:t>
      </w:r>
    </w:p>
    <w:p>
      <w:pPr>
        <w:bidi w:val="0"/>
        <w:rPr>
          <w:color w:val="auto"/>
          <w:highlight w:val="none"/>
        </w:rPr>
      </w:pPr>
      <w:r>
        <w:rPr>
          <w:color w:val="auto"/>
          <w:highlight w:val="none"/>
        </w:rPr>
        <w:t>根据相关研究表明，当煤尘含量达到每年每1kg土壤接纳2kg煤尘的条件下，经过20年的累积，将对土壤产生显著影响。类比</w:t>
      </w:r>
      <w:r>
        <w:rPr>
          <w:rFonts w:hint="eastAsia"/>
          <w:color w:val="auto"/>
          <w:highlight w:val="none"/>
          <w:lang w:eastAsia="zh-CN"/>
        </w:rPr>
        <w:t>四川省、</w:t>
      </w:r>
      <w:r>
        <w:rPr>
          <w:color w:val="auto"/>
          <w:highlight w:val="none"/>
        </w:rPr>
        <w:t>达州市其他煤矿，均已运行数十年，土壤未发生明显理化性质的改变，因此，在做好煤尘防治工作的情况下，煤尘含量较少，对土壤理化性质 的改变十分有限。</w:t>
      </w:r>
    </w:p>
    <w:p>
      <w:pPr>
        <w:spacing w:after="0" w:line="364" w:lineRule="auto"/>
        <w:jc w:val="both"/>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533" w:name="6 矿区资源、环境承载力分析"/>
      <w:bookmarkEnd w:id="533"/>
      <w:bookmarkStart w:id="534" w:name="_bookmark38"/>
      <w:bookmarkEnd w:id="534"/>
      <w:bookmarkStart w:id="535" w:name="_Toc4144"/>
      <w:bookmarkStart w:id="536" w:name="_Toc6214"/>
      <w:r>
        <w:rPr>
          <w:color w:val="auto"/>
          <w:highlight w:val="none"/>
        </w:rPr>
        <w:t>矿区资源、环境承载力分析</w:t>
      </w:r>
      <w:bookmarkEnd w:id="535"/>
      <w:bookmarkEnd w:id="536"/>
    </w:p>
    <w:p>
      <w:pPr>
        <w:pStyle w:val="5"/>
        <w:numPr>
          <w:ilvl w:val="1"/>
          <w:numId w:val="5"/>
        </w:numPr>
        <w:bidi w:val="0"/>
        <w:rPr>
          <w:color w:val="auto"/>
          <w:highlight w:val="none"/>
        </w:rPr>
      </w:pPr>
      <w:bookmarkStart w:id="537" w:name="_bookmark39"/>
      <w:bookmarkEnd w:id="537"/>
      <w:bookmarkStart w:id="538" w:name="6.1 资源承载力分析"/>
      <w:bookmarkEnd w:id="538"/>
      <w:bookmarkStart w:id="539" w:name="_Toc6823"/>
      <w:bookmarkStart w:id="540" w:name="_Toc3612"/>
      <w:r>
        <w:rPr>
          <w:color w:val="auto"/>
          <w:highlight w:val="none"/>
        </w:rPr>
        <w:t>资源承载力分析</w:t>
      </w:r>
      <w:bookmarkEnd w:id="539"/>
      <w:bookmarkEnd w:id="540"/>
    </w:p>
    <w:p>
      <w:pPr>
        <w:pStyle w:val="6"/>
        <w:numPr>
          <w:ilvl w:val="2"/>
          <w:numId w:val="5"/>
        </w:numPr>
        <w:bidi w:val="0"/>
        <w:rPr>
          <w:color w:val="auto"/>
          <w:highlight w:val="none"/>
        </w:rPr>
      </w:pPr>
      <w:bookmarkStart w:id="541" w:name="6.1.1 承载力分析的意义和方法"/>
      <w:bookmarkEnd w:id="541"/>
      <w:bookmarkStart w:id="542" w:name="6.1.1 承载力分析的意义和方法"/>
      <w:bookmarkEnd w:id="542"/>
      <w:bookmarkStart w:id="543" w:name="_Toc28184"/>
      <w:bookmarkStart w:id="544" w:name="_Toc13005"/>
      <w:r>
        <w:rPr>
          <w:color w:val="auto"/>
          <w:highlight w:val="none"/>
        </w:rPr>
        <w:t>承载力分析的意义和方法</w:t>
      </w:r>
      <w:bookmarkEnd w:id="543"/>
      <w:bookmarkEnd w:id="544"/>
    </w:p>
    <w:p>
      <w:pPr>
        <w:bidi w:val="0"/>
        <w:rPr>
          <w:color w:val="auto"/>
          <w:highlight w:val="none"/>
        </w:rPr>
      </w:pPr>
      <w:r>
        <w:rPr>
          <w:color w:val="auto"/>
          <w:highlight w:val="none"/>
        </w:rPr>
        <w:t>环境承载力指在某一时期某种状态或条件下，某地区的环境所能承受的人类活动的阈值，其中“某种状态或条件”指维持环境结构不发生向不利于人类生存发展方向的转变，“能承受”指不影响环境功能的正常发挥。本次资源环境承载力分析主要从土地资源、水资源、能源等方面分析。</w:t>
      </w:r>
    </w:p>
    <w:p>
      <w:pPr>
        <w:bidi w:val="0"/>
        <w:rPr>
          <w:color w:val="auto"/>
          <w:highlight w:val="none"/>
        </w:rPr>
      </w:pPr>
      <w:r>
        <w:rPr>
          <w:color w:val="auto"/>
          <w:highlight w:val="none"/>
        </w:rPr>
        <w:t>承载力是指生态系统所提供的资源和环境对人类社会系统良性发展的一种支持能力。承载力(Carrying capacity)原为物理力学中的一个指标，后来成为描述发展限制程度的最常用概念。最早该词被引用在群落生态学，随着资源短缺与人类社会发展的矛盾不断加剧，承载能力概念有了进一步发展，并应用于社会-经济-自然复合系统中。目前资源承载力、环境承载力等概念应运而生，并受到世界各国的普遍重视与广泛应用。承载力作为一种描述人与环境之间的关系的度量工具，在长期的争论中，已经对唤醒人类环境意识起到了突出的作用。</w:t>
      </w:r>
    </w:p>
    <w:p>
      <w:pPr>
        <w:bidi w:val="0"/>
        <w:rPr>
          <w:color w:val="auto"/>
          <w:highlight w:val="none"/>
        </w:rPr>
      </w:pPr>
      <w:r>
        <w:rPr>
          <w:color w:val="auto"/>
          <w:highlight w:val="none"/>
        </w:rPr>
        <w:t>本次评价从方法的成熟性和可操作性两方面综合考虑，选用水资源、土地资源、水环境、大气环境、生态等方面分别进行矿产资源开发的承载力评价，最后使用专家评分的方法进行承载力的综合评价。具体评价方法见表6.1-1。</w:t>
      </w:r>
    </w:p>
    <w:p>
      <w:pPr>
        <w:pStyle w:val="22"/>
        <w:bidi w:val="0"/>
        <w:rPr>
          <w:b/>
          <w:color w:val="auto"/>
          <w:sz w:val="21"/>
          <w:highlight w:val="none"/>
        </w:rPr>
      </w:pPr>
      <w:r>
        <w:rPr>
          <w:b/>
          <w:color w:val="auto"/>
          <w:spacing w:val="-26"/>
          <w:sz w:val="21"/>
          <w:highlight w:val="none"/>
        </w:rPr>
        <w:t xml:space="preserve">表 </w:t>
      </w:r>
      <w:r>
        <w:rPr>
          <w:rFonts w:ascii="Times New Roman" w:eastAsia="Times New Roman"/>
          <w:b/>
          <w:color w:val="auto"/>
          <w:sz w:val="21"/>
          <w:highlight w:val="none"/>
        </w:rPr>
        <w:t>6.1-1</w:t>
      </w:r>
      <w:r>
        <w:rPr>
          <w:rFonts w:ascii="Times New Roman" w:eastAsia="Times New Roman"/>
          <w:b/>
          <w:color w:val="auto"/>
          <w:spacing w:val="51"/>
          <w:sz w:val="21"/>
          <w:highlight w:val="none"/>
        </w:rPr>
        <w:t xml:space="preserve"> </w:t>
      </w:r>
      <w:r>
        <w:rPr>
          <w:rFonts w:hint="eastAsia"/>
          <w:b/>
          <w:color w:val="auto"/>
          <w:spacing w:val="51"/>
          <w:sz w:val="21"/>
          <w:highlight w:val="none"/>
          <w:lang w:val="en-US" w:eastAsia="zh-CN"/>
        </w:rPr>
        <w:t xml:space="preserve">  </w:t>
      </w:r>
      <w:r>
        <w:rPr>
          <w:b/>
          <w:color w:val="auto"/>
          <w:sz w:val="21"/>
          <w:highlight w:val="none"/>
        </w:rPr>
        <w:t>资源、环境及生态承载力分析方法汇总</w:t>
      </w:r>
    </w:p>
    <w:tbl>
      <w:tblPr>
        <w:tblStyle w:val="17"/>
        <w:tblW w:w="0" w:type="auto"/>
        <w:tblInd w:w="20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29"/>
        <w:gridCol w:w="453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4429" w:type="dxa"/>
            <w:tcBorders>
              <w:left w:val="nil"/>
              <w:bottom w:val="single" w:color="000000" w:sz="4" w:space="0"/>
              <w:right w:val="single" w:color="000000" w:sz="4" w:space="0"/>
            </w:tcBorders>
          </w:tcPr>
          <w:p>
            <w:pPr>
              <w:pStyle w:val="22"/>
              <w:bidi w:val="0"/>
              <w:rPr>
                <w:color w:val="auto"/>
                <w:highlight w:val="none"/>
              </w:rPr>
            </w:pPr>
            <w:r>
              <w:rPr>
                <w:color w:val="auto"/>
                <w:highlight w:val="none"/>
              </w:rPr>
              <w:t>评价内容</w:t>
            </w:r>
          </w:p>
        </w:tc>
        <w:tc>
          <w:tcPr>
            <w:tcW w:w="4531" w:type="dxa"/>
            <w:tcBorders>
              <w:left w:val="single" w:color="000000" w:sz="4" w:space="0"/>
              <w:bottom w:val="single" w:color="000000" w:sz="4" w:space="0"/>
              <w:right w:val="nil"/>
            </w:tcBorders>
          </w:tcPr>
          <w:p>
            <w:pPr>
              <w:pStyle w:val="22"/>
              <w:bidi w:val="0"/>
              <w:rPr>
                <w:color w:val="auto"/>
                <w:highlight w:val="none"/>
              </w:rPr>
            </w:pPr>
            <w:r>
              <w:rPr>
                <w:color w:val="auto"/>
                <w:highlight w:val="none"/>
              </w:rPr>
              <w:t>使用方法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4429"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水资源承载力分析</w:t>
            </w:r>
          </w:p>
        </w:tc>
        <w:tc>
          <w:tcPr>
            <w:tcW w:w="4531"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水资源供需平衡分析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4429"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土地资源承载力分析</w:t>
            </w:r>
          </w:p>
        </w:tc>
        <w:tc>
          <w:tcPr>
            <w:tcW w:w="4531"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土地等级判定法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4429"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水环境容量分析</w:t>
            </w:r>
          </w:p>
        </w:tc>
        <w:tc>
          <w:tcPr>
            <w:tcW w:w="4531"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水质水量综合分析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4429"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大气环境容量分析</w:t>
            </w:r>
          </w:p>
        </w:tc>
        <w:tc>
          <w:tcPr>
            <w:tcW w:w="4531"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大气环境容量A值法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4429" w:type="dxa"/>
            <w:tcBorders>
              <w:top w:val="single" w:color="000000" w:sz="4" w:space="0"/>
              <w:left w:val="nil"/>
              <w:right w:val="single" w:color="000000" w:sz="4" w:space="0"/>
            </w:tcBorders>
          </w:tcPr>
          <w:p>
            <w:pPr>
              <w:pStyle w:val="22"/>
              <w:bidi w:val="0"/>
              <w:rPr>
                <w:color w:val="auto"/>
                <w:highlight w:val="none"/>
              </w:rPr>
            </w:pPr>
            <w:r>
              <w:rPr>
                <w:color w:val="auto"/>
                <w:highlight w:val="none"/>
              </w:rPr>
              <w:t>生态承载力分析</w:t>
            </w:r>
          </w:p>
        </w:tc>
        <w:tc>
          <w:tcPr>
            <w:tcW w:w="4531" w:type="dxa"/>
            <w:tcBorders>
              <w:top w:val="single" w:color="000000" w:sz="4" w:space="0"/>
              <w:left w:val="single" w:color="000000" w:sz="4" w:space="0"/>
              <w:right w:val="nil"/>
            </w:tcBorders>
          </w:tcPr>
          <w:p>
            <w:pPr>
              <w:pStyle w:val="22"/>
              <w:bidi w:val="0"/>
              <w:rPr>
                <w:color w:val="auto"/>
                <w:highlight w:val="none"/>
              </w:rPr>
            </w:pPr>
            <w:r>
              <w:rPr>
                <w:color w:val="auto"/>
                <w:highlight w:val="none"/>
              </w:rPr>
              <w:t>生态足迹法</w:t>
            </w:r>
          </w:p>
        </w:tc>
      </w:tr>
    </w:tbl>
    <w:p>
      <w:pPr>
        <w:pStyle w:val="6"/>
        <w:numPr>
          <w:ilvl w:val="2"/>
          <w:numId w:val="5"/>
        </w:numPr>
        <w:bidi w:val="0"/>
        <w:rPr>
          <w:color w:val="auto"/>
          <w:highlight w:val="none"/>
        </w:rPr>
      </w:pPr>
      <w:bookmarkStart w:id="545" w:name="6.1.2 水资源承载力分析"/>
      <w:bookmarkEnd w:id="545"/>
      <w:bookmarkStart w:id="546" w:name="6.1.2 水资源承载力分析"/>
      <w:bookmarkEnd w:id="546"/>
      <w:bookmarkStart w:id="547" w:name="_Toc15130"/>
      <w:bookmarkStart w:id="548" w:name="_Toc6243"/>
      <w:r>
        <w:rPr>
          <w:color w:val="auto"/>
          <w:highlight w:val="none"/>
        </w:rPr>
        <w:t>水资源承载力分析</w:t>
      </w:r>
      <w:bookmarkEnd w:id="547"/>
      <w:bookmarkEnd w:id="548"/>
    </w:p>
    <w:p>
      <w:pPr>
        <w:bidi w:val="0"/>
        <w:rPr>
          <w:color w:val="auto"/>
          <w:highlight w:val="none"/>
        </w:rPr>
      </w:pPr>
      <w:r>
        <w:rPr>
          <w:color w:val="auto"/>
          <w:highlight w:val="none"/>
        </w:rPr>
        <w:t>水是基础性的自然资源，也是战略性的经济资源，是生命延续的必备条件，决定着人类社会的可持续发展。分析矿区开发的水资源承载力，主要是针对区域地下水可用于生产和生活的水量，在确保当地水生态系统以及自然环境质量及社会经济条件不发生有害变化的前提下，某一时间能够支撑的活动规模。</w:t>
      </w:r>
    </w:p>
    <w:p>
      <w:pPr>
        <w:bidi w:val="0"/>
        <w:rPr>
          <w:color w:val="auto"/>
          <w:highlight w:val="none"/>
        </w:rPr>
      </w:pPr>
      <w:r>
        <w:rPr>
          <w:color w:val="auto"/>
          <w:highlight w:val="none"/>
        </w:rPr>
        <w:t>由</w:t>
      </w:r>
      <w:r>
        <w:rPr>
          <w:rFonts w:hint="eastAsia"/>
          <w:color w:val="auto"/>
          <w:highlight w:val="none"/>
          <w:lang w:eastAsia="zh-CN"/>
        </w:rPr>
        <w:t>调查</w:t>
      </w:r>
      <w:r>
        <w:rPr>
          <w:color w:val="auto"/>
          <w:highlight w:val="none"/>
        </w:rPr>
        <w:t>可知，</w:t>
      </w:r>
      <w:r>
        <w:rPr>
          <w:rFonts w:hint="eastAsia"/>
          <w:color w:val="auto"/>
          <w:highlight w:val="none"/>
          <w:lang w:eastAsia="zh-CN"/>
        </w:rPr>
        <w:t>现状</w:t>
      </w:r>
      <w:r>
        <w:rPr>
          <w:color w:val="auto"/>
          <w:highlight w:val="none"/>
        </w:rPr>
        <w:t>煤矿生产用水</w:t>
      </w:r>
      <w:r>
        <w:rPr>
          <w:rFonts w:hint="eastAsia"/>
          <w:color w:val="auto"/>
          <w:highlight w:val="none"/>
          <w:lang w:eastAsia="zh-CN"/>
        </w:rPr>
        <w:t>优先</w:t>
      </w:r>
      <w:r>
        <w:rPr>
          <w:color w:val="auto"/>
          <w:highlight w:val="none"/>
        </w:rPr>
        <w:t>采用矿井涌水</w:t>
      </w:r>
      <w:r>
        <w:rPr>
          <w:rFonts w:hint="eastAsia"/>
          <w:color w:val="auto"/>
          <w:highlight w:val="none"/>
          <w:lang w:eastAsia="zh-CN"/>
        </w:rPr>
        <w:t>，不足的部分再由山泉水补充，也有个别煤矿仅采用山泉水；</w:t>
      </w:r>
      <w:r>
        <w:rPr>
          <w:color w:val="auto"/>
          <w:highlight w:val="none"/>
        </w:rPr>
        <w:t>生活用水主要为矿井工业场地附近山泉水</w:t>
      </w:r>
      <w:r>
        <w:rPr>
          <w:rFonts w:hint="eastAsia"/>
          <w:color w:val="auto"/>
          <w:highlight w:val="none"/>
          <w:lang w:eastAsia="zh-CN"/>
        </w:rPr>
        <w:t>、地下水，也有个别煤矿采用乡镇自来水</w:t>
      </w:r>
      <w:r>
        <w:rPr>
          <w:rFonts w:hint="eastAsia"/>
          <w:color w:val="auto"/>
          <w:highlight w:val="none"/>
          <w:lang w:val="en-US" w:eastAsia="zh-CN"/>
        </w:rPr>
        <w:t>+山泉水</w:t>
      </w:r>
      <w:r>
        <w:rPr>
          <w:rFonts w:hint="eastAsia"/>
          <w:color w:val="auto"/>
          <w:highlight w:val="none"/>
          <w:lang w:eastAsia="zh-CN"/>
        </w:rPr>
        <w:t>供给</w:t>
      </w:r>
      <w:r>
        <w:rPr>
          <w:color w:val="auto"/>
          <w:highlight w:val="none"/>
        </w:rPr>
        <w:t>。综上，本次水资源承载力着重分析矿产资源开发实际需水量与供水量的承载能力分析。</w:t>
      </w:r>
    </w:p>
    <w:p>
      <w:pPr>
        <w:pStyle w:val="7"/>
        <w:numPr>
          <w:ilvl w:val="3"/>
          <w:numId w:val="11"/>
        </w:numPr>
        <w:bidi w:val="0"/>
        <w:ind w:left="0" w:leftChars="0" w:firstLine="0" w:firstLineChars="0"/>
        <w:rPr>
          <w:color w:val="auto"/>
          <w:highlight w:val="none"/>
        </w:rPr>
      </w:pPr>
      <w:r>
        <w:rPr>
          <w:color w:val="auto"/>
          <w:highlight w:val="none"/>
        </w:rPr>
        <w:t>区域水资源对规划矿区用水支撑性分析</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矿区水资源供需平衡表</w:t>
      </w:r>
    </w:p>
    <w:p>
      <w:pPr>
        <w:pStyle w:val="22"/>
        <w:bidi w:val="0"/>
        <w:rPr>
          <w:rFonts w:ascii="Times New Roman" w:eastAsia="Times New Roman"/>
          <w:b/>
          <w:color w:val="auto"/>
          <w:sz w:val="21"/>
          <w:highlight w:val="none"/>
        </w:rPr>
      </w:pPr>
      <w:r>
        <w:rPr>
          <w:b/>
          <w:color w:val="auto"/>
          <w:sz w:val="21"/>
          <w:highlight w:val="none"/>
        </w:rPr>
        <w:t>表</w:t>
      </w:r>
      <w:r>
        <w:rPr>
          <w:rFonts w:ascii="Times New Roman" w:eastAsia="Times New Roman"/>
          <w:b/>
          <w:color w:val="auto"/>
          <w:sz w:val="21"/>
          <w:highlight w:val="none"/>
        </w:rPr>
        <w:t>6.1-2</w:t>
      </w:r>
      <w:r>
        <w:rPr>
          <w:rFonts w:hint="eastAsia"/>
          <w:b/>
          <w:color w:val="auto"/>
          <w:sz w:val="21"/>
          <w:highlight w:val="none"/>
          <w:lang w:val="en-US" w:eastAsia="zh-CN"/>
        </w:rPr>
        <w:t xml:space="preserve">   </w:t>
      </w:r>
      <w:r>
        <w:rPr>
          <w:b/>
          <w:color w:val="auto"/>
          <w:sz w:val="21"/>
          <w:highlight w:val="none"/>
        </w:rPr>
        <w:t>矿区水资源供需平衡表</w:t>
      </w:r>
      <w:r>
        <w:rPr>
          <w:rFonts w:hint="eastAsia"/>
          <w:b/>
          <w:color w:val="auto"/>
          <w:sz w:val="21"/>
          <w:highlight w:val="none"/>
          <w:lang w:val="en-US" w:eastAsia="zh-CN"/>
        </w:rPr>
        <w:t xml:space="preserve">  </w:t>
      </w:r>
      <w:r>
        <w:rPr>
          <w:b/>
          <w:color w:val="auto"/>
          <w:sz w:val="21"/>
          <w:highlight w:val="none"/>
        </w:rPr>
        <w:t>单位：万</w:t>
      </w:r>
      <w:r>
        <w:rPr>
          <w:rFonts w:ascii="Times New Roman" w:eastAsia="Times New Roman"/>
          <w:b/>
          <w:color w:val="auto"/>
          <w:sz w:val="21"/>
          <w:highlight w:val="none"/>
        </w:rPr>
        <w:t>m</w:t>
      </w:r>
      <w:r>
        <w:rPr>
          <w:rFonts w:ascii="Times New Roman" w:eastAsia="Times New Roman"/>
          <w:b/>
          <w:color w:val="auto"/>
          <w:position w:val="7"/>
          <w:sz w:val="13"/>
          <w:highlight w:val="none"/>
        </w:rPr>
        <w:t>3</w:t>
      </w:r>
      <w:r>
        <w:rPr>
          <w:rFonts w:ascii="Times New Roman" w:eastAsia="Times New Roman"/>
          <w:b/>
          <w:color w:val="auto"/>
          <w:sz w:val="21"/>
          <w:highlight w:val="none"/>
        </w:rPr>
        <w:t>/a</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4"/>
        <w:gridCol w:w="2080"/>
        <w:gridCol w:w="1566"/>
        <w:gridCol w:w="1282"/>
        <w:gridCol w:w="1542"/>
        <w:gridCol w:w="1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04"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规划期</w:t>
            </w:r>
          </w:p>
        </w:tc>
        <w:tc>
          <w:tcPr>
            <w:tcW w:w="3646" w:type="dxa"/>
            <w:gridSpan w:val="2"/>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用水量</w:t>
            </w:r>
          </w:p>
        </w:tc>
        <w:tc>
          <w:tcPr>
            <w:tcW w:w="1282"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矿井水回用量</w:t>
            </w:r>
          </w:p>
        </w:tc>
        <w:tc>
          <w:tcPr>
            <w:tcW w:w="1542"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矿区剩余水量</w:t>
            </w:r>
          </w:p>
        </w:tc>
        <w:tc>
          <w:tcPr>
            <w:tcW w:w="1406" w:type="dxa"/>
            <w:vMerge w:val="restart"/>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供需平衡分析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04"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20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生产用水</w:t>
            </w:r>
          </w:p>
        </w:tc>
        <w:tc>
          <w:tcPr>
            <w:tcW w:w="1566"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生活用水</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542"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1406"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04" w:type="dxa"/>
            <w:vMerge w:val="continue"/>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p>
        </w:tc>
        <w:tc>
          <w:tcPr>
            <w:tcW w:w="2080"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120.0045</w:t>
            </w:r>
          </w:p>
        </w:tc>
        <w:tc>
          <w:tcPr>
            <w:tcW w:w="1566"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12.6258</w:t>
            </w:r>
          </w:p>
        </w:tc>
        <w:tc>
          <w:tcPr>
            <w:tcW w:w="1282"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248.9421</w:t>
            </w:r>
          </w:p>
        </w:tc>
        <w:tc>
          <w:tcPr>
            <w:tcW w:w="1542"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116.3118</w:t>
            </w:r>
          </w:p>
        </w:tc>
        <w:tc>
          <w:tcPr>
            <w:tcW w:w="1406" w:type="dxa"/>
            <w:tcBorders>
              <w:top w:val="single" w:color="auto" w:sz="4" w:space="0"/>
              <w:left w:val="single" w:color="auto" w:sz="4" w:space="0"/>
              <w:bottom w:val="single" w:color="auto" w:sz="4" w:space="0"/>
              <w:right w:val="single" w:color="auto" w:sz="4" w:space="0"/>
            </w:tcBorders>
            <w:vAlign w:val="center"/>
          </w:tcPr>
          <w:p>
            <w:pPr>
              <w:pStyle w:val="22"/>
              <w:bidi w:val="0"/>
              <w:rPr>
                <w:color w:val="auto"/>
                <w:highlight w:val="none"/>
              </w:rPr>
            </w:pPr>
            <w:r>
              <w:rPr>
                <w:color w:val="auto"/>
                <w:highlight w:val="none"/>
              </w:rPr>
              <w:t>-116.3118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080" w:type="dxa"/>
            <w:gridSpan w:val="6"/>
            <w:tcBorders>
              <w:top w:val="single" w:color="auto" w:sz="4" w:space="0"/>
              <w:left w:val="single" w:color="auto" w:sz="4" w:space="0"/>
              <w:bottom w:val="single" w:color="auto" w:sz="4" w:space="0"/>
              <w:right w:val="single" w:color="auto" w:sz="4" w:space="0"/>
            </w:tcBorders>
            <w:vAlign w:val="center"/>
          </w:tcPr>
          <w:p>
            <w:pPr>
              <w:pStyle w:val="22"/>
              <w:bidi w:val="0"/>
              <w:jc w:val="left"/>
              <w:rPr>
                <w:color w:val="auto"/>
                <w:highlight w:val="none"/>
              </w:rPr>
            </w:pPr>
            <w:r>
              <w:rPr>
                <w:b/>
                <w:color w:val="auto"/>
                <w:sz w:val="21"/>
                <w:highlight w:val="none"/>
              </w:rPr>
              <w:t>备注：“</w:t>
            </w:r>
            <w:r>
              <w:rPr>
                <w:rFonts w:hint="eastAsia"/>
                <w:b/>
                <w:color w:val="auto"/>
                <w:sz w:val="21"/>
                <w:highlight w:val="none"/>
                <w:lang w:val="en-US" w:eastAsia="zh-CN"/>
              </w:rPr>
              <w:t>-</w:t>
            </w:r>
            <w:r>
              <w:rPr>
                <w:b/>
                <w:color w:val="auto"/>
                <w:sz w:val="21"/>
                <w:highlight w:val="none"/>
              </w:rPr>
              <w:t>”表示富余水量。</w:t>
            </w:r>
          </w:p>
        </w:tc>
      </w:tr>
    </w:tbl>
    <w:p>
      <w:pPr>
        <w:spacing w:before="77"/>
        <w:ind w:left="261" w:right="0" w:firstLine="0"/>
        <w:jc w:val="left"/>
        <w:rPr>
          <w:b/>
          <w:color w:val="auto"/>
          <w:sz w:val="21"/>
          <w:highlight w:val="none"/>
        </w:rPr>
      </w:pP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规划期矿区用水量支撑性分析</w:t>
      </w:r>
    </w:p>
    <w:p>
      <w:pPr>
        <w:bidi w:val="0"/>
        <w:rPr>
          <w:rFonts w:hint="default" w:eastAsia="宋体"/>
          <w:color w:val="auto"/>
          <w:highlight w:val="none"/>
          <w:lang w:val="en-US" w:eastAsia="zh-CN"/>
        </w:rPr>
      </w:pPr>
      <w:r>
        <w:rPr>
          <w:rFonts w:hint="eastAsia"/>
          <w:color w:val="auto"/>
          <w:highlight w:val="none"/>
          <w:lang w:eastAsia="zh-CN"/>
        </w:rPr>
        <w:t>根据《</w:t>
      </w:r>
      <w:r>
        <w:rPr>
          <w:rFonts w:hint="eastAsia"/>
          <w:color w:val="auto"/>
          <w:highlight w:val="none"/>
          <w:lang w:val="en-US" w:eastAsia="zh-CN"/>
        </w:rPr>
        <w:t>2020</w:t>
      </w:r>
      <w:r>
        <w:rPr>
          <w:rFonts w:hint="eastAsia"/>
          <w:color w:val="auto"/>
          <w:highlight w:val="none"/>
          <w:lang w:eastAsia="zh-CN"/>
        </w:rPr>
        <w:t>达州市</w:t>
      </w:r>
      <w:r>
        <w:rPr>
          <w:rFonts w:hint="eastAsia"/>
          <w:color w:val="auto"/>
          <w:highlight w:val="none"/>
          <w:lang w:val="en-US" w:eastAsia="zh-CN"/>
        </w:rPr>
        <w:t>水资源公报</w:t>
      </w:r>
      <w:r>
        <w:rPr>
          <w:rFonts w:hint="eastAsia"/>
          <w:color w:val="auto"/>
          <w:highlight w:val="none"/>
          <w:lang w:eastAsia="zh-CN"/>
        </w:rPr>
        <w:t>》及大竹县水务局提供的</w:t>
      </w:r>
      <w:r>
        <w:rPr>
          <w:rFonts w:hint="eastAsia"/>
          <w:color w:val="auto"/>
          <w:highlight w:val="none"/>
          <w:lang w:val="en-US" w:eastAsia="zh-CN"/>
        </w:rPr>
        <w:t>2020年</w:t>
      </w:r>
      <w:r>
        <w:rPr>
          <w:rFonts w:hint="eastAsia"/>
          <w:color w:val="auto"/>
          <w:highlight w:val="none"/>
          <w:lang w:eastAsia="zh-CN"/>
        </w:rPr>
        <w:t>大竹县水资源情况资料。</w:t>
      </w:r>
      <w:r>
        <w:rPr>
          <w:rFonts w:hint="eastAsia"/>
          <w:color w:val="auto"/>
          <w:highlight w:val="none"/>
          <w:lang w:val="en-US" w:eastAsia="zh-CN"/>
        </w:rPr>
        <w:t>2020年大竹县年降雨总量26.11亿立方米，地表水资源量13.80亿立方米，地下水资源量2.30亿立方米，地下水与地表水资源不重复量2.30亿立方米，水资源总量13.80亿立方米，人均水资源量1639立方米，低于我国的人均水平水资源量，属于中度缺水区域。在2020年，大竹县地表水供水量16644万立方米、地下水供水量1207万立方米，总供水量17851万立方米。而全县全年生产用水量13599万立方米、生活用水量3734万立方米、生态用水量518万立方米，总用水量17851万立方米，其中农田灌溉耗水量7218.3万立方米、工业耗水量692.3万立方米、城镇公共耗水量307.9万立方米、居民生活耗水量2396.8万立方米、人工生活环境耗水量414.4万立方米，总耗水量11029.65万立方米。</w:t>
      </w:r>
    </w:p>
    <w:p>
      <w:pPr>
        <w:bidi w:val="0"/>
        <w:rPr>
          <w:color w:val="auto"/>
          <w:highlight w:val="none"/>
        </w:rPr>
      </w:pPr>
      <w:r>
        <w:rPr>
          <w:color w:val="auto"/>
          <w:highlight w:val="none"/>
        </w:rPr>
        <w:t>根据《</w:t>
      </w:r>
      <w:r>
        <w:rPr>
          <w:rFonts w:hint="eastAsia"/>
          <w:color w:val="auto"/>
          <w:highlight w:val="none"/>
          <w:lang w:eastAsia="zh-CN"/>
        </w:rPr>
        <w:t>四川省达州市大竹县</w:t>
      </w:r>
      <w:r>
        <w:rPr>
          <w:color w:val="auto"/>
          <w:highlight w:val="none"/>
        </w:rPr>
        <w:t>煤炭矿区总体规划》</w:t>
      </w:r>
      <w:r>
        <w:rPr>
          <w:rFonts w:hint="eastAsia"/>
          <w:color w:val="auto"/>
          <w:highlight w:val="none"/>
          <w:lang w:eastAsia="zh-CN"/>
        </w:rPr>
        <w:t>：</w:t>
      </w:r>
      <w:r>
        <w:rPr>
          <w:color w:val="auto"/>
          <w:highlight w:val="none"/>
        </w:rPr>
        <w:t>矿区矿井水</w:t>
      </w:r>
      <w:r>
        <w:rPr>
          <w:rFonts w:hint="eastAsia"/>
          <w:color w:val="auto"/>
          <w:highlight w:val="none"/>
        </w:rPr>
        <w:t>经过处理达标后作矿井</w:t>
      </w:r>
      <w:r>
        <w:rPr>
          <w:rFonts w:hint="eastAsia"/>
          <w:color w:val="auto"/>
          <w:highlight w:val="none"/>
          <w:lang w:eastAsia="zh-CN"/>
        </w:rPr>
        <w:t>生产</w:t>
      </w:r>
      <w:r>
        <w:rPr>
          <w:rFonts w:hint="eastAsia"/>
          <w:color w:val="auto"/>
          <w:highlight w:val="none"/>
        </w:rPr>
        <w:t>、</w:t>
      </w:r>
      <w:r>
        <w:rPr>
          <w:rFonts w:hint="eastAsia"/>
          <w:color w:val="auto"/>
          <w:highlight w:val="none"/>
          <w:lang w:eastAsia="zh-CN"/>
        </w:rPr>
        <w:t>绿化、消防用水，多余的再排放（尽量回用不外排）；</w:t>
      </w:r>
      <w:r>
        <w:rPr>
          <w:color w:val="auto"/>
          <w:highlight w:val="none"/>
        </w:rPr>
        <w:t>生活污水处理</w:t>
      </w:r>
      <w:r>
        <w:rPr>
          <w:rFonts w:hint="eastAsia"/>
          <w:color w:val="auto"/>
          <w:highlight w:val="none"/>
          <w:lang w:eastAsia="zh-CN"/>
        </w:rPr>
        <w:t>达标</w:t>
      </w:r>
      <w:r>
        <w:rPr>
          <w:color w:val="auto"/>
          <w:highlight w:val="none"/>
        </w:rPr>
        <w:t>后</w:t>
      </w:r>
      <w:r>
        <w:rPr>
          <w:rFonts w:hint="eastAsia"/>
          <w:color w:val="auto"/>
          <w:highlight w:val="none"/>
          <w:lang w:eastAsia="zh-CN"/>
        </w:rPr>
        <w:t>优先</w:t>
      </w:r>
      <w:r>
        <w:rPr>
          <w:color w:val="auto"/>
          <w:highlight w:val="none"/>
        </w:rPr>
        <w:t>回用</w:t>
      </w:r>
      <w:r>
        <w:rPr>
          <w:rFonts w:hint="eastAsia"/>
          <w:color w:val="auto"/>
          <w:highlight w:val="none"/>
          <w:lang w:eastAsia="zh-CN"/>
        </w:rPr>
        <w:t>于防尘、绿化，多余的再排放；机修及洗车废水统一收集定期外运处置，不外排</w:t>
      </w:r>
      <w:r>
        <w:rPr>
          <w:color w:val="auto"/>
          <w:highlight w:val="none"/>
        </w:rPr>
        <w:t>。规划期矿区最大用水量为132.6303万m</w:t>
      </w:r>
      <w:r>
        <w:rPr>
          <w:color w:val="auto"/>
          <w:highlight w:val="none"/>
          <w:vertAlign w:val="superscript"/>
        </w:rPr>
        <w:t>3</w:t>
      </w:r>
      <w:r>
        <w:rPr>
          <w:color w:val="auto"/>
          <w:highlight w:val="none"/>
        </w:rPr>
        <w:t>/a，可回用矿井水量为248.9421万m</w:t>
      </w:r>
      <w:r>
        <w:rPr>
          <w:color w:val="auto"/>
          <w:highlight w:val="none"/>
          <w:vertAlign w:val="superscript"/>
        </w:rPr>
        <w:t>3</w:t>
      </w:r>
      <w:r>
        <w:rPr>
          <w:color w:val="auto"/>
          <w:highlight w:val="none"/>
        </w:rPr>
        <w:t>/a，煤炭开采中产生的矿井水就可满足矿区用水需求，且有116.3118万m</w:t>
      </w:r>
      <w:r>
        <w:rPr>
          <w:color w:val="auto"/>
          <w:highlight w:val="none"/>
          <w:vertAlign w:val="superscript"/>
        </w:rPr>
        <w:t>3</w:t>
      </w:r>
      <w:r>
        <w:rPr>
          <w:color w:val="auto"/>
          <w:highlight w:val="none"/>
        </w:rPr>
        <w:t>/a矿井水富余。因此，规划期区域水资源可满足</w:t>
      </w:r>
      <w:r>
        <w:rPr>
          <w:rFonts w:hint="eastAsia"/>
          <w:color w:val="auto"/>
          <w:highlight w:val="none"/>
          <w:lang w:eastAsia="zh-CN"/>
        </w:rPr>
        <w:t>规划矿区</w:t>
      </w:r>
      <w:r>
        <w:rPr>
          <w:color w:val="auto"/>
          <w:highlight w:val="none"/>
        </w:rPr>
        <w:t>开发建设要求。</w:t>
      </w:r>
    </w:p>
    <w:p>
      <w:pPr>
        <w:bidi w:val="0"/>
        <w:rPr>
          <w:color w:val="auto"/>
          <w:highlight w:val="none"/>
        </w:rPr>
      </w:pPr>
      <w:r>
        <w:rPr>
          <w:rFonts w:hint="eastAsia"/>
          <w:color w:val="auto"/>
          <w:highlight w:val="none"/>
          <w:lang w:eastAsia="zh-CN"/>
        </w:rPr>
        <w:t>综合前文分析</w:t>
      </w:r>
      <w:r>
        <w:rPr>
          <w:color w:val="auto"/>
          <w:highlight w:val="none"/>
        </w:rPr>
        <w:t>，</w:t>
      </w:r>
      <w:r>
        <w:rPr>
          <w:rFonts w:hint="eastAsia"/>
          <w:color w:val="auto"/>
          <w:highlight w:val="none"/>
          <w:lang w:eastAsia="zh-CN"/>
        </w:rPr>
        <w:t>规划</w:t>
      </w:r>
      <w:r>
        <w:rPr>
          <w:color w:val="auto"/>
          <w:highlight w:val="none"/>
        </w:rPr>
        <w:t>矿区</w:t>
      </w:r>
      <w:r>
        <w:rPr>
          <w:rFonts w:hint="eastAsia"/>
          <w:color w:val="auto"/>
          <w:highlight w:val="none"/>
          <w:lang w:eastAsia="zh-CN"/>
        </w:rPr>
        <w:t>实施后</w:t>
      </w:r>
      <w:r>
        <w:rPr>
          <w:color w:val="auto"/>
          <w:highlight w:val="none"/>
        </w:rPr>
        <w:t>取用的水源为各矿井回用水</w:t>
      </w:r>
      <w:r>
        <w:rPr>
          <w:rFonts w:hint="eastAsia"/>
          <w:color w:val="auto"/>
          <w:highlight w:val="none"/>
          <w:lang w:eastAsia="zh-CN"/>
        </w:rPr>
        <w:t>、山泉水、地下水</w:t>
      </w:r>
      <w:r>
        <w:rPr>
          <w:color w:val="auto"/>
          <w:highlight w:val="none"/>
        </w:rPr>
        <w:t>，不会和当地居民、政府、以及规划区内的其他企业产生冲突，不会对其他用水户产生影响。</w:t>
      </w:r>
    </w:p>
    <w:p>
      <w:pPr>
        <w:bidi w:val="0"/>
        <w:rPr>
          <w:color w:val="auto"/>
          <w:highlight w:val="none"/>
        </w:rPr>
      </w:pPr>
      <w:r>
        <w:rPr>
          <w:color w:val="auto"/>
          <w:highlight w:val="none"/>
        </w:rPr>
        <w:t>另外，矿区的生态环境用水，主要包括土地复垦、林草浇灌等用水量，主要以矿区矿井涌水、生活污水处理后回用作为来源，因此矿区的开发不会导致现状生态环境用水量的增加。</w:t>
      </w:r>
    </w:p>
    <w:p>
      <w:pPr>
        <w:bidi w:val="0"/>
        <w:rPr>
          <w:color w:val="auto"/>
          <w:highlight w:val="none"/>
        </w:rPr>
      </w:pPr>
      <w:r>
        <w:rPr>
          <w:color w:val="auto"/>
          <w:highlight w:val="none"/>
        </w:rPr>
        <w:t>综上所述，水资源承载力较好，</w:t>
      </w:r>
      <w:r>
        <w:rPr>
          <w:rFonts w:hint="eastAsia"/>
          <w:color w:val="auto"/>
          <w:highlight w:val="none"/>
          <w:lang w:eastAsia="zh-CN"/>
        </w:rPr>
        <w:t>规划矿区</w:t>
      </w:r>
      <w:r>
        <w:rPr>
          <w:color w:val="auto"/>
          <w:highlight w:val="none"/>
        </w:rPr>
        <w:t>开发用水对其他项目的用水不会产生直接影响。</w:t>
      </w:r>
    </w:p>
    <w:p>
      <w:pPr>
        <w:pStyle w:val="7"/>
        <w:numPr>
          <w:ilvl w:val="3"/>
          <w:numId w:val="11"/>
        </w:numPr>
        <w:bidi w:val="0"/>
        <w:rPr>
          <w:color w:val="auto"/>
          <w:highlight w:val="none"/>
        </w:rPr>
      </w:pPr>
      <w:r>
        <w:rPr>
          <w:color w:val="auto"/>
          <w:highlight w:val="none"/>
        </w:rPr>
        <w:t>水资源利用的要求和建议</w:t>
      </w:r>
    </w:p>
    <w:p>
      <w:pPr>
        <w:bidi w:val="0"/>
        <w:rPr>
          <w:color w:val="auto"/>
          <w:highlight w:val="none"/>
        </w:rPr>
      </w:pPr>
      <w:r>
        <w:rPr>
          <w:color w:val="auto"/>
          <w:highlight w:val="none"/>
        </w:rPr>
        <w:t>矿区开发在不影响生态用水的前提下，根据规划矿井及矿区周边产业布局，在水资源分配过程中应以规划矿井及选煤厂→生活用水→附近</w:t>
      </w:r>
      <w:r>
        <w:rPr>
          <w:rFonts w:hint="eastAsia"/>
          <w:color w:val="auto"/>
          <w:highlight w:val="none"/>
          <w:lang w:eastAsia="zh-CN"/>
        </w:rPr>
        <w:t>区域</w:t>
      </w:r>
      <w:r>
        <w:rPr>
          <w:color w:val="auto"/>
          <w:highlight w:val="none"/>
        </w:rPr>
        <w:t>为顺序，合理安排水资源。</w:t>
      </w:r>
    </w:p>
    <w:p>
      <w:pPr>
        <w:bidi w:val="0"/>
        <w:rPr>
          <w:color w:val="auto"/>
          <w:highlight w:val="none"/>
        </w:rPr>
      </w:pPr>
      <w:r>
        <w:rPr>
          <w:color w:val="auto"/>
          <w:highlight w:val="none"/>
        </w:rPr>
        <w:t>根据当地水资源利用现状及相关的水利规划，为使规划矿区及区域下游产业和当地的社会经济发展用水相协调，环评对规划项目的建设提出以下要求：</w:t>
      </w:r>
    </w:p>
    <w:p>
      <w:pPr>
        <w:bidi w:val="0"/>
        <w:rPr>
          <w:color w:val="auto"/>
          <w:highlight w:val="none"/>
        </w:rPr>
      </w:pPr>
      <w:r>
        <w:rPr>
          <w:color w:val="auto"/>
          <w:highlight w:val="none"/>
        </w:rPr>
        <w:t>改进生产工艺，增大矿井水资源的综合利用率，尽可能的节约水资源，减少新鲜水的补充量；</w:t>
      </w:r>
    </w:p>
    <w:p>
      <w:pPr>
        <w:bidi w:val="0"/>
        <w:rPr>
          <w:color w:val="auto"/>
          <w:highlight w:val="none"/>
        </w:rPr>
      </w:pPr>
      <w:r>
        <w:rPr>
          <w:color w:val="auto"/>
          <w:highlight w:val="none"/>
        </w:rPr>
        <w:t>规划矿井开发应“量水而行”，充分考虑当地的水资源供给能力，不应影响正常的社会经济用水和河道生态用水等，不能过度开采水资源。在规划矿井施工建设前，应做好水资源论证，进一步细化规划矿井用水量及用水指标，并取得水利部门的用水许可。</w:t>
      </w:r>
    </w:p>
    <w:p>
      <w:pPr>
        <w:pStyle w:val="6"/>
        <w:numPr>
          <w:ilvl w:val="2"/>
          <w:numId w:val="5"/>
        </w:numPr>
        <w:bidi w:val="0"/>
        <w:rPr>
          <w:color w:val="auto"/>
          <w:highlight w:val="none"/>
        </w:rPr>
      </w:pPr>
      <w:bookmarkStart w:id="549" w:name="6.1.3 土地资源承载力分析"/>
      <w:bookmarkEnd w:id="549"/>
      <w:bookmarkStart w:id="550" w:name="6.1.3 土地资源承载力分析"/>
      <w:bookmarkEnd w:id="550"/>
      <w:bookmarkStart w:id="551" w:name="_Toc8059"/>
      <w:bookmarkStart w:id="552" w:name="_Toc14560"/>
      <w:r>
        <w:rPr>
          <w:color w:val="auto"/>
          <w:highlight w:val="none"/>
        </w:rPr>
        <w:t>土地资源承载力分析</w:t>
      </w:r>
      <w:bookmarkEnd w:id="551"/>
      <w:bookmarkEnd w:id="552"/>
    </w:p>
    <w:p>
      <w:pPr>
        <w:pStyle w:val="7"/>
        <w:numPr>
          <w:ilvl w:val="3"/>
          <w:numId w:val="12"/>
        </w:numPr>
        <w:bidi w:val="0"/>
        <w:ind w:left="0" w:leftChars="0" w:firstLine="0" w:firstLineChars="0"/>
        <w:rPr>
          <w:color w:val="auto"/>
          <w:highlight w:val="none"/>
        </w:rPr>
      </w:pPr>
      <w:r>
        <w:rPr>
          <w:color w:val="auto"/>
          <w:highlight w:val="none"/>
        </w:rPr>
        <w:t>土地承载力的景观生态学分析</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指标体系</w:t>
      </w:r>
    </w:p>
    <w:p>
      <w:pPr>
        <w:bidi w:val="0"/>
        <w:rPr>
          <w:color w:val="auto"/>
          <w:highlight w:val="none"/>
        </w:rPr>
      </w:pPr>
      <w:r>
        <w:rPr>
          <w:color w:val="auto"/>
          <w:highlight w:val="none"/>
        </w:rPr>
        <w:t>景观生态学对景观结构、功能、变化和稳定性方面的指标与土地利用总体规划关系密切，可作为土地利用总体规划环境影响评价过程中利用现状、影响分析、保护措施、可持续发展的评价指标。因此拟借用其方法对</w:t>
      </w:r>
      <w:r>
        <w:rPr>
          <w:rFonts w:hint="eastAsia"/>
          <w:color w:val="auto"/>
          <w:highlight w:val="none"/>
          <w:lang w:eastAsia="zh-CN"/>
        </w:rPr>
        <w:t>规划矿区</w:t>
      </w:r>
      <w:r>
        <w:rPr>
          <w:color w:val="auto"/>
          <w:highlight w:val="none"/>
        </w:rPr>
        <w:t>开发活动土地承载力进行分析。</w:t>
      </w:r>
    </w:p>
    <w:p>
      <w:pPr>
        <w:bidi w:val="0"/>
        <w:rPr>
          <w:color w:val="auto"/>
          <w:highlight w:val="none"/>
        </w:rPr>
      </w:pPr>
      <w:r>
        <w:rPr>
          <w:color w:val="auto"/>
          <w:highlight w:val="none"/>
        </w:rPr>
        <w:t>根据评价的可操作性评价采用三级指标体系。一级指标为4个，即结构指标、功能指标、变化指标和稳定性指标。二级指标7个，其中景观单元、空间镶嵌体两项属结构指标，功能流、干扰与循环三项属功能指标，变化指标和稳定性指标的二级指标不再细分。三级指标共18项。本次评价的景观生态学评价指标体系见表6.1-3。</w:t>
      </w:r>
    </w:p>
    <w:p>
      <w:pPr>
        <w:pStyle w:val="22"/>
        <w:bidi w:val="0"/>
        <w:rPr>
          <w:b/>
          <w:color w:val="auto"/>
          <w:sz w:val="21"/>
          <w:highlight w:val="none"/>
        </w:rPr>
      </w:pPr>
      <w:r>
        <w:rPr>
          <w:b/>
          <w:color w:val="auto"/>
          <w:spacing w:val="-28"/>
          <w:sz w:val="21"/>
          <w:highlight w:val="none"/>
        </w:rPr>
        <w:t xml:space="preserve">表 </w:t>
      </w:r>
      <w:r>
        <w:rPr>
          <w:rFonts w:ascii="Times New Roman" w:eastAsia="Times New Roman"/>
          <w:b/>
          <w:color w:val="auto"/>
          <w:sz w:val="21"/>
          <w:highlight w:val="none"/>
        </w:rPr>
        <w:t>6.1-3</w:t>
      </w:r>
      <w:r>
        <w:rPr>
          <w:rFonts w:hint="eastAsia"/>
          <w:b/>
          <w:color w:val="auto"/>
          <w:sz w:val="21"/>
          <w:highlight w:val="none"/>
          <w:lang w:val="en-US" w:eastAsia="zh-CN"/>
        </w:rPr>
        <w:t xml:space="preserve">   </w:t>
      </w:r>
      <w:r>
        <w:rPr>
          <w:b/>
          <w:color w:val="auto"/>
          <w:sz w:val="21"/>
          <w:highlight w:val="none"/>
        </w:rPr>
        <w:t>土地承载力景观生态学综合评价指标体系</w:t>
      </w:r>
    </w:p>
    <w:tbl>
      <w:tblPr>
        <w:tblStyle w:val="17"/>
        <w:tblW w:w="4977"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05"/>
        <w:gridCol w:w="1716"/>
        <w:gridCol w:w="1755"/>
        <w:gridCol w:w="897"/>
        <w:gridCol w:w="897"/>
        <w:gridCol w:w="897"/>
        <w:gridCol w:w="897"/>
        <w:gridCol w:w="90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4875" w:type="dxa"/>
            <w:gridSpan w:val="3"/>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指标/权重</w:t>
            </w:r>
          </w:p>
        </w:tc>
        <w:tc>
          <w:tcPr>
            <w:tcW w:w="4492" w:type="dxa"/>
            <w:gridSpan w:val="5"/>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评价类别/评分（百分制）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1407"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一级</w:t>
            </w:r>
          </w:p>
        </w:tc>
        <w:tc>
          <w:tcPr>
            <w:tcW w:w="171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二级</w:t>
            </w: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单位</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A</w:t>
            </w:r>
          </w:p>
          <w:p>
            <w:pPr>
              <w:pStyle w:val="22"/>
              <w:bidi w:val="0"/>
              <w:rPr>
                <w:color w:val="auto"/>
                <w:highlight w:val="none"/>
              </w:rPr>
            </w:pPr>
            <w:r>
              <w:rPr>
                <w:color w:val="auto"/>
                <w:highlight w:val="none"/>
              </w:rPr>
              <w:t>100</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B</w:t>
            </w:r>
          </w:p>
          <w:p>
            <w:pPr>
              <w:pStyle w:val="22"/>
              <w:bidi w:val="0"/>
              <w:rPr>
                <w:color w:val="auto"/>
                <w:highlight w:val="none"/>
              </w:rPr>
            </w:pPr>
            <w:r>
              <w:rPr>
                <w:color w:val="auto"/>
                <w:highlight w:val="none"/>
              </w:rPr>
              <w:t>75</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w:t>
            </w:r>
          </w:p>
          <w:p>
            <w:pPr>
              <w:pStyle w:val="22"/>
              <w:bidi w:val="0"/>
              <w:rPr>
                <w:color w:val="auto"/>
                <w:highlight w:val="none"/>
              </w:rPr>
            </w:pPr>
            <w:r>
              <w:rPr>
                <w:color w:val="auto"/>
                <w:highlight w:val="none"/>
              </w:rPr>
              <w:t>50</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D</w:t>
            </w:r>
          </w:p>
          <w:p>
            <w:pPr>
              <w:pStyle w:val="22"/>
              <w:bidi w:val="0"/>
              <w:rPr>
                <w:color w:val="auto"/>
                <w:highlight w:val="none"/>
              </w:rPr>
            </w:pPr>
            <w:r>
              <w:rPr>
                <w:color w:val="auto"/>
                <w:highlight w:val="none"/>
              </w:rPr>
              <w:t>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407" w:type="dxa"/>
            <w:vMerge w:val="restart"/>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结构指标</w:t>
            </w:r>
          </w:p>
          <w:p>
            <w:pPr>
              <w:pStyle w:val="22"/>
              <w:bidi w:val="0"/>
              <w:rPr>
                <w:color w:val="auto"/>
                <w:highlight w:val="none"/>
              </w:rPr>
            </w:pPr>
            <w:r>
              <w:rPr>
                <w:color w:val="auto"/>
                <w:highlight w:val="none"/>
              </w:rPr>
              <w:t>0.3</w:t>
            </w:r>
          </w:p>
        </w:tc>
        <w:tc>
          <w:tcPr>
            <w:tcW w:w="1714"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景观单元/0.6</w:t>
            </w: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类型/0.6</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丰富</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较丰富</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较少</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07"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1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密度/0.4</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高</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较高</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较低</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07"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14"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空间镶嵌体/0.4</w:t>
            </w: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景观异质性/0.4</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丰富</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较丰富</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较少</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07"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1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景观多样性/0.3</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丰富</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较丰富</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较少</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407"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1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连通性/0.3</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优良</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较好</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较差</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407" w:type="dxa"/>
            <w:vMerge w:val="restart"/>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功能指标0.3</w:t>
            </w:r>
          </w:p>
        </w:tc>
        <w:tc>
          <w:tcPr>
            <w:tcW w:w="1714"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功能流/0.4</w:t>
            </w: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流量/0.6</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高</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较高</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较低</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07" w:type="dxa"/>
            <w:vMerge w:val="continue"/>
            <w:tcBorders>
              <w:left w:val="nil"/>
              <w:right w:val="single" w:color="000000" w:sz="4" w:space="0"/>
            </w:tcBorders>
            <w:vAlign w:val="center"/>
          </w:tcPr>
          <w:p>
            <w:pPr>
              <w:pStyle w:val="22"/>
              <w:bidi w:val="0"/>
              <w:rPr>
                <w:color w:val="auto"/>
                <w:highlight w:val="none"/>
              </w:rPr>
            </w:pPr>
          </w:p>
        </w:tc>
        <w:tc>
          <w:tcPr>
            <w:tcW w:w="171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速度/0.4</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快</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较快</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较慢</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很慢</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07" w:type="dxa"/>
            <w:vMerge w:val="continue"/>
            <w:tcBorders>
              <w:left w:val="nil"/>
              <w:right w:val="single" w:color="000000" w:sz="4" w:space="0"/>
            </w:tcBorders>
            <w:vAlign w:val="center"/>
          </w:tcPr>
          <w:p>
            <w:pPr>
              <w:pStyle w:val="22"/>
              <w:bidi w:val="0"/>
              <w:rPr>
                <w:color w:val="auto"/>
                <w:highlight w:val="none"/>
              </w:rPr>
            </w:pPr>
          </w:p>
        </w:tc>
        <w:tc>
          <w:tcPr>
            <w:tcW w:w="1714"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干扰/0.3</w:t>
            </w: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强度/0.4</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弱</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较弱</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较强</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07" w:type="dxa"/>
            <w:vMerge w:val="continue"/>
            <w:tcBorders>
              <w:left w:val="nil"/>
              <w:right w:val="single" w:color="000000" w:sz="4" w:space="0"/>
            </w:tcBorders>
            <w:vAlign w:val="center"/>
          </w:tcPr>
          <w:p>
            <w:pPr>
              <w:pStyle w:val="22"/>
              <w:bidi w:val="0"/>
              <w:rPr>
                <w:color w:val="auto"/>
                <w:highlight w:val="none"/>
              </w:rPr>
            </w:pPr>
          </w:p>
        </w:tc>
        <w:tc>
          <w:tcPr>
            <w:tcW w:w="171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范围/0.3</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小</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较小</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较大</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5" w:hRule="atLeast"/>
          <w:jc w:val="center"/>
        </w:trPr>
        <w:tc>
          <w:tcPr>
            <w:tcW w:w="1407" w:type="dxa"/>
            <w:vMerge w:val="continue"/>
            <w:tcBorders>
              <w:left w:val="nil"/>
              <w:right w:val="single" w:color="000000" w:sz="4" w:space="0"/>
            </w:tcBorders>
            <w:vAlign w:val="center"/>
          </w:tcPr>
          <w:p>
            <w:pPr>
              <w:pStyle w:val="22"/>
              <w:bidi w:val="0"/>
              <w:rPr>
                <w:color w:val="auto"/>
                <w:highlight w:val="none"/>
              </w:rPr>
            </w:pPr>
          </w:p>
        </w:tc>
        <w:tc>
          <w:tcPr>
            <w:tcW w:w="1714"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频度/0.3</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低</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较低</w:t>
            </w:r>
          </w:p>
        </w:tc>
        <w:tc>
          <w:tcPr>
            <w:tcW w:w="898"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较高</w:t>
            </w:r>
          </w:p>
        </w:tc>
        <w:tc>
          <w:tcPr>
            <w:tcW w:w="900"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很高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7" w:type="dxa"/>
            <w:vMerge w:val="continue"/>
            <w:tcBorders>
              <w:left w:val="nil"/>
              <w:right w:val="single" w:color="000000" w:sz="4" w:space="0"/>
            </w:tcBorders>
            <w:vAlign w:val="center"/>
          </w:tcPr>
          <w:p>
            <w:pPr>
              <w:pStyle w:val="22"/>
              <w:bidi w:val="0"/>
              <w:jc w:val="both"/>
              <w:rPr>
                <w:color w:val="auto"/>
                <w:highlight w:val="none"/>
              </w:rPr>
            </w:pPr>
          </w:p>
        </w:tc>
        <w:tc>
          <w:tcPr>
            <w:tcW w:w="1714" w:type="dxa"/>
            <w:vMerge w:val="restart"/>
            <w:vAlign w:val="center"/>
          </w:tcPr>
          <w:p>
            <w:pPr>
              <w:pStyle w:val="22"/>
              <w:bidi w:val="0"/>
              <w:rPr>
                <w:color w:val="auto"/>
                <w:highlight w:val="none"/>
              </w:rPr>
            </w:pPr>
            <w:r>
              <w:rPr>
                <w:color w:val="auto"/>
                <w:highlight w:val="none"/>
              </w:rPr>
              <w:t>循环/0.3</w:t>
            </w:r>
          </w:p>
        </w:tc>
        <w:tc>
          <w:tcPr>
            <w:tcW w:w="1754" w:type="dxa"/>
            <w:vAlign w:val="center"/>
          </w:tcPr>
          <w:p>
            <w:pPr>
              <w:pStyle w:val="22"/>
              <w:bidi w:val="0"/>
              <w:rPr>
                <w:color w:val="auto"/>
                <w:highlight w:val="none"/>
              </w:rPr>
            </w:pPr>
            <w:r>
              <w:rPr>
                <w:color w:val="auto"/>
                <w:highlight w:val="none"/>
              </w:rPr>
              <w:t>流量/0.4</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高</w:t>
            </w:r>
          </w:p>
        </w:tc>
        <w:tc>
          <w:tcPr>
            <w:tcW w:w="898" w:type="dxa"/>
            <w:vAlign w:val="center"/>
          </w:tcPr>
          <w:p>
            <w:pPr>
              <w:pStyle w:val="22"/>
              <w:bidi w:val="0"/>
              <w:rPr>
                <w:color w:val="auto"/>
                <w:highlight w:val="none"/>
              </w:rPr>
            </w:pPr>
            <w:r>
              <w:rPr>
                <w:color w:val="auto"/>
                <w:highlight w:val="none"/>
              </w:rPr>
              <w:t>较高</w:t>
            </w:r>
          </w:p>
        </w:tc>
        <w:tc>
          <w:tcPr>
            <w:tcW w:w="898" w:type="dxa"/>
            <w:vAlign w:val="center"/>
          </w:tcPr>
          <w:p>
            <w:pPr>
              <w:pStyle w:val="22"/>
              <w:bidi w:val="0"/>
              <w:rPr>
                <w:color w:val="auto"/>
                <w:highlight w:val="none"/>
              </w:rPr>
            </w:pPr>
            <w:r>
              <w:rPr>
                <w:color w:val="auto"/>
                <w:highlight w:val="none"/>
              </w:rPr>
              <w:t>较低</w:t>
            </w:r>
          </w:p>
        </w:tc>
        <w:tc>
          <w:tcPr>
            <w:tcW w:w="900" w:type="dxa"/>
            <w:tcBorders>
              <w:right w:val="nil"/>
            </w:tcBorders>
            <w:vAlign w:val="center"/>
          </w:tcPr>
          <w:p>
            <w:pPr>
              <w:pStyle w:val="22"/>
              <w:bidi w:val="0"/>
              <w:rPr>
                <w:color w:val="auto"/>
                <w:highlight w:val="none"/>
              </w:rPr>
            </w:pPr>
            <w:r>
              <w:rPr>
                <w:color w:val="auto"/>
                <w:highlight w:val="none"/>
              </w:rPr>
              <w:t>很低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407" w:type="dxa"/>
            <w:vMerge w:val="continue"/>
            <w:tcBorders>
              <w:left w:val="nil"/>
              <w:right w:val="single" w:color="000000" w:sz="4" w:space="0"/>
            </w:tcBorders>
            <w:vAlign w:val="center"/>
          </w:tcPr>
          <w:p>
            <w:pPr>
              <w:pStyle w:val="22"/>
              <w:bidi w:val="0"/>
              <w:rPr>
                <w:color w:val="auto"/>
                <w:highlight w:val="none"/>
              </w:rPr>
            </w:pPr>
          </w:p>
        </w:tc>
        <w:tc>
          <w:tcPr>
            <w:tcW w:w="1714" w:type="dxa"/>
            <w:vMerge w:val="continue"/>
            <w:tcBorders>
              <w:top w:val="nil"/>
            </w:tcBorders>
            <w:vAlign w:val="center"/>
          </w:tcPr>
          <w:p>
            <w:pPr>
              <w:pStyle w:val="22"/>
              <w:bidi w:val="0"/>
              <w:rPr>
                <w:color w:val="auto"/>
                <w:highlight w:val="none"/>
              </w:rPr>
            </w:pPr>
          </w:p>
        </w:tc>
        <w:tc>
          <w:tcPr>
            <w:tcW w:w="1754" w:type="dxa"/>
            <w:vAlign w:val="center"/>
          </w:tcPr>
          <w:p>
            <w:pPr>
              <w:pStyle w:val="22"/>
              <w:bidi w:val="0"/>
              <w:rPr>
                <w:color w:val="auto"/>
                <w:highlight w:val="none"/>
              </w:rPr>
            </w:pPr>
            <w:r>
              <w:rPr>
                <w:color w:val="auto"/>
                <w:highlight w:val="none"/>
              </w:rPr>
              <w:t>速度/0.3</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快</w:t>
            </w:r>
          </w:p>
        </w:tc>
        <w:tc>
          <w:tcPr>
            <w:tcW w:w="898" w:type="dxa"/>
            <w:vAlign w:val="center"/>
          </w:tcPr>
          <w:p>
            <w:pPr>
              <w:pStyle w:val="22"/>
              <w:bidi w:val="0"/>
              <w:rPr>
                <w:color w:val="auto"/>
                <w:highlight w:val="none"/>
              </w:rPr>
            </w:pPr>
            <w:r>
              <w:rPr>
                <w:color w:val="auto"/>
                <w:highlight w:val="none"/>
              </w:rPr>
              <w:t>较快</w:t>
            </w:r>
          </w:p>
        </w:tc>
        <w:tc>
          <w:tcPr>
            <w:tcW w:w="898" w:type="dxa"/>
            <w:vAlign w:val="center"/>
          </w:tcPr>
          <w:p>
            <w:pPr>
              <w:pStyle w:val="22"/>
              <w:bidi w:val="0"/>
              <w:rPr>
                <w:color w:val="auto"/>
                <w:highlight w:val="none"/>
              </w:rPr>
            </w:pPr>
            <w:r>
              <w:rPr>
                <w:color w:val="auto"/>
                <w:highlight w:val="none"/>
              </w:rPr>
              <w:t>较慢</w:t>
            </w:r>
          </w:p>
        </w:tc>
        <w:tc>
          <w:tcPr>
            <w:tcW w:w="900" w:type="dxa"/>
            <w:tcBorders>
              <w:right w:val="nil"/>
            </w:tcBorders>
            <w:vAlign w:val="center"/>
          </w:tcPr>
          <w:p>
            <w:pPr>
              <w:pStyle w:val="22"/>
              <w:bidi w:val="0"/>
              <w:rPr>
                <w:color w:val="auto"/>
                <w:highlight w:val="none"/>
              </w:rPr>
            </w:pPr>
            <w:r>
              <w:rPr>
                <w:color w:val="auto"/>
                <w:highlight w:val="none"/>
              </w:rPr>
              <w:t>很慢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7" w:type="dxa"/>
            <w:vMerge w:val="continue"/>
            <w:tcBorders>
              <w:left w:val="nil"/>
              <w:right w:val="single" w:color="000000" w:sz="4" w:space="0"/>
            </w:tcBorders>
            <w:vAlign w:val="center"/>
          </w:tcPr>
          <w:p>
            <w:pPr>
              <w:pStyle w:val="22"/>
              <w:bidi w:val="0"/>
              <w:rPr>
                <w:color w:val="auto"/>
                <w:highlight w:val="none"/>
              </w:rPr>
            </w:pPr>
          </w:p>
        </w:tc>
        <w:tc>
          <w:tcPr>
            <w:tcW w:w="1714" w:type="dxa"/>
            <w:vMerge w:val="continue"/>
            <w:tcBorders>
              <w:top w:val="nil"/>
            </w:tcBorders>
            <w:vAlign w:val="center"/>
          </w:tcPr>
          <w:p>
            <w:pPr>
              <w:pStyle w:val="22"/>
              <w:bidi w:val="0"/>
              <w:rPr>
                <w:color w:val="auto"/>
                <w:highlight w:val="none"/>
              </w:rPr>
            </w:pPr>
          </w:p>
        </w:tc>
        <w:tc>
          <w:tcPr>
            <w:tcW w:w="1754" w:type="dxa"/>
            <w:vAlign w:val="center"/>
          </w:tcPr>
          <w:p>
            <w:pPr>
              <w:pStyle w:val="22"/>
              <w:bidi w:val="0"/>
              <w:rPr>
                <w:color w:val="auto"/>
                <w:highlight w:val="none"/>
              </w:rPr>
            </w:pPr>
            <w:r>
              <w:rPr>
                <w:color w:val="auto"/>
                <w:highlight w:val="none"/>
              </w:rPr>
              <w:t>周期/0.3</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短</w:t>
            </w:r>
          </w:p>
        </w:tc>
        <w:tc>
          <w:tcPr>
            <w:tcW w:w="898" w:type="dxa"/>
            <w:vAlign w:val="center"/>
          </w:tcPr>
          <w:p>
            <w:pPr>
              <w:pStyle w:val="22"/>
              <w:bidi w:val="0"/>
              <w:rPr>
                <w:color w:val="auto"/>
                <w:highlight w:val="none"/>
              </w:rPr>
            </w:pPr>
            <w:r>
              <w:rPr>
                <w:color w:val="auto"/>
                <w:highlight w:val="none"/>
              </w:rPr>
              <w:t>较短</w:t>
            </w:r>
          </w:p>
        </w:tc>
        <w:tc>
          <w:tcPr>
            <w:tcW w:w="898" w:type="dxa"/>
            <w:vAlign w:val="center"/>
          </w:tcPr>
          <w:p>
            <w:pPr>
              <w:pStyle w:val="22"/>
              <w:bidi w:val="0"/>
              <w:rPr>
                <w:color w:val="auto"/>
                <w:highlight w:val="none"/>
              </w:rPr>
            </w:pPr>
            <w:r>
              <w:rPr>
                <w:color w:val="auto"/>
                <w:highlight w:val="none"/>
              </w:rPr>
              <w:t>较长</w:t>
            </w:r>
          </w:p>
        </w:tc>
        <w:tc>
          <w:tcPr>
            <w:tcW w:w="900" w:type="dxa"/>
            <w:tcBorders>
              <w:right w:val="nil"/>
            </w:tcBorders>
            <w:vAlign w:val="center"/>
          </w:tcPr>
          <w:p>
            <w:pPr>
              <w:pStyle w:val="22"/>
              <w:bidi w:val="0"/>
              <w:rPr>
                <w:color w:val="auto"/>
                <w:highlight w:val="none"/>
              </w:rPr>
            </w:pPr>
            <w:r>
              <w:rPr>
                <w:color w:val="auto"/>
                <w:highlight w:val="none"/>
              </w:rPr>
              <w:t>很长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7" w:type="dxa"/>
            <w:vMerge w:val="restart"/>
            <w:tcBorders>
              <w:left w:val="nil"/>
            </w:tcBorders>
            <w:vAlign w:val="center"/>
          </w:tcPr>
          <w:p>
            <w:pPr>
              <w:pStyle w:val="22"/>
              <w:bidi w:val="0"/>
              <w:rPr>
                <w:color w:val="auto"/>
                <w:highlight w:val="none"/>
              </w:rPr>
            </w:pPr>
            <w:r>
              <w:rPr>
                <w:color w:val="auto"/>
                <w:highlight w:val="none"/>
              </w:rPr>
              <w:t>变化指标</w:t>
            </w:r>
          </w:p>
          <w:p>
            <w:pPr>
              <w:pStyle w:val="22"/>
              <w:bidi w:val="0"/>
              <w:rPr>
                <w:color w:val="auto"/>
                <w:highlight w:val="none"/>
              </w:rPr>
            </w:pPr>
            <w:r>
              <w:rPr>
                <w:color w:val="auto"/>
                <w:highlight w:val="none"/>
              </w:rPr>
              <w:t>0.2</w:t>
            </w:r>
          </w:p>
        </w:tc>
        <w:tc>
          <w:tcPr>
            <w:tcW w:w="1714" w:type="dxa"/>
            <w:vMerge w:val="restart"/>
            <w:vAlign w:val="center"/>
          </w:tcPr>
          <w:p>
            <w:pPr>
              <w:pStyle w:val="22"/>
              <w:bidi w:val="0"/>
              <w:rPr>
                <w:color w:val="auto"/>
                <w:highlight w:val="none"/>
              </w:rPr>
            </w:pPr>
            <w:r>
              <w:rPr>
                <w:color w:val="auto"/>
                <w:highlight w:val="none"/>
              </w:rPr>
              <w:t>变化/1</w:t>
            </w:r>
          </w:p>
        </w:tc>
        <w:tc>
          <w:tcPr>
            <w:tcW w:w="1754" w:type="dxa"/>
            <w:vAlign w:val="center"/>
          </w:tcPr>
          <w:p>
            <w:pPr>
              <w:pStyle w:val="22"/>
              <w:bidi w:val="0"/>
              <w:rPr>
                <w:color w:val="auto"/>
                <w:highlight w:val="none"/>
              </w:rPr>
            </w:pPr>
            <w:r>
              <w:rPr>
                <w:color w:val="auto"/>
                <w:highlight w:val="none"/>
              </w:rPr>
              <w:t>趋势/0.5</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良性</w:t>
            </w:r>
          </w:p>
        </w:tc>
        <w:tc>
          <w:tcPr>
            <w:tcW w:w="898" w:type="dxa"/>
            <w:vAlign w:val="center"/>
          </w:tcPr>
          <w:p>
            <w:pPr>
              <w:pStyle w:val="22"/>
              <w:bidi w:val="0"/>
              <w:rPr>
                <w:color w:val="auto"/>
                <w:highlight w:val="none"/>
              </w:rPr>
            </w:pPr>
            <w:r>
              <w:rPr>
                <w:color w:val="auto"/>
                <w:highlight w:val="none"/>
              </w:rPr>
              <w:t>较好</w:t>
            </w:r>
          </w:p>
        </w:tc>
        <w:tc>
          <w:tcPr>
            <w:tcW w:w="898" w:type="dxa"/>
            <w:vAlign w:val="center"/>
          </w:tcPr>
          <w:p>
            <w:pPr>
              <w:pStyle w:val="22"/>
              <w:bidi w:val="0"/>
              <w:rPr>
                <w:color w:val="auto"/>
                <w:highlight w:val="none"/>
              </w:rPr>
            </w:pPr>
            <w:r>
              <w:rPr>
                <w:color w:val="auto"/>
                <w:highlight w:val="none"/>
              </w:rPr>
              <w:t>不良</w:t>
            </w:r>
          </w:p>
        </w:tc>
        <w:tc>
          <w:tcPr>
            <w:tcW w:w="900" w:type="dxa"/>
            <w:tcBorders>
              <w:right w:val="nil"/>
            </w:tcBorders>
            <w:vAlign w:val="center"/>
          </w:tcPr>
          <w:p>
            <w:pPr>
              <w:pStyle w:val="22"/>
              <w:bidi w:val="0"/>
              <w:rPr>
                <w:color w:val="auto"/>
                <w:highlight w:val="none"/>
              </w:rPr>
            </w:pPr>
            <w:r>
              <w:rPr>
                <w:color w:val="auto"/>
                <w:highlight w:val="none"/>
              </w:rPr>
              <w:t>不良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7" w:type="dxa"/>
            <w:vMerge w:val="continue"/>
            <w:tcBorders>
              <w:top w:val="nil"/>
              <w:left w:val="nil"/>
            </w:tcBorders>
            <w:vAlign w:val="center"/>
          </w:tcPr>
          <w:p>
            <w:pPr>
              <w:pStyle w:val="22"/>
              <w:bidi w:val="0"/>
              <w:rPr>
                <w:color w:val="auto"/>
                <w:highlight w:val="none"/>
              </w:rPr>
            </w:pPr>
          </w:p>
        </w:tc>
        <w:tc>
          <w:tcPr>
            <w:tcW w:w="1714" w:type="dxa"/>
            <w:vMerge w:val="continue"/>
            <w:tcBorders>
              <w:top w:val="nil"/>
            </w:tcBorders>
            <w:vAlign w:val="center"/>
          </w:tcPr>
          <w:p>
            <w:pPr>
              <w:pStyle w:val="22"/>
              <w:bidi w:val="0"/>
              <w:rPr>
                <w:color w:val="auto"/>
                <w:highlight w:val="none"/>
              </w:rPr>
            </w:pPr>
          </w:p>
        </w:tc>
        <w:tc>
          <w:tcPr>
            <w:tcW w:w="1754" w:type="dxa"/>
            <w:vAlign w:val="center"/>
          </w:tcPr>
          <w:p>
            <w:pPr>
              <w:pStyle w:val="22"/>
              <w:bidi w:val="0"/>
              <w:rPr>
                <w:color w:val="auto"/>
                <w:highlight w:val="none"/>
              </w:rPr>
            </w:pPr>
            <w:r>
              <w:rPr>
                <w:color w:val="auto"/>
                <w:highlight w:val="none"/>
              </w:rPr>
              <w:t>幅度/0.3</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小</w:t>
            </w:r>
          </w:p>
        </w:tc>
        <w:tc>
          <w:tcPr>
            <w:tcW w:w="898" w:type="dxa"/>
            <w:vAlign w:val="center"/>
          </w:tcPr>
          <w:p>
            <w:pPr>
              <w:pStyle w:val="22"/>
              <w:bidi w:val="0"/>
              <w:rPr>
                <w:color w:val="auto"/>
                <w:highlight w:val="none"/>
              </w:rPr>
            </w:pPr>
            <w:r>
              <w:rPr>
                <w:color w:val="auto"/>
                <w:highlight w:val="none"/>
              </w:rPr>
              <w:t>较小</w:t>
            </w:r>
          </w:p>
        </w:tc>
        <w:tc>
          <w:tcPr>
            <w:tcW w:w="898" w:type="dxa"/>
            <w:vAlign w:val="center"/>
          </w:tcPr>
          <w:p>
            <w:pPr>
              <w:pStyle w:val="22"/>
              <w:bidi w:val="0"/>
              <w:rPr>
                <w:color w:val="auto"/>
                <w:highlight w:val="none"/>
              </w:rPr>
            </w:pPr>
            <w:r>
              <w:rPr>
                <w:color w:val="auto"/>
                <w:highlight w:val="none"/>
              </w:rPr>
              <w:t>较大</w:t>
            </w:r>
          </w:p>
        </w:tc>
        <w:tc>
          <w:tcPr>
            <w:tcW w:w="900" w:type="dxa"/>
            <w:tcBorders>
              <w:right w:val="nil"/>
            </w:tcBorders>
            <w:vAlign w:val="center"/>
          </w:tcPr>
          <w:p>
            <w:pPr>
              <w:pStyle w:val="22"/>
              <w:bidi w:val="0"/>
              <w:rPr>
                <w:color w:val="auto"/>
                <w:highlight w:val="none"/>
              </w:rPr>
            </w:pPr>
            <w:r>
              <w:rPr>
                <w:color w:val="auto"/>
                <w:highlight w:val="none"/>
              </w:rPr>
              <w:t>很大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7" w:type="dxa"/>
            <w:vMerge w:val="continue"/>
            <w:tcBorders>
              <w:top w:val="nil"/>
              <w:left w:val="nil"/>
            </w:tcBorders>
            <w:vAlign w:val="center"/>
          </w:tcPr>
          <w:p>
            <w:pPr>
              <w:pStyle w:val="22"/>
              <w:bidi w:val="0"/>
              <w:rPr>
                <w:color w:val="auto"/>
                <w:highlight w:val="none"/>
              </w:rPr>
            </w:pPr>
          </w:p>
        </w:tc>
        <w:tc>
          <w:tcPr>
            <w:tcW w:w="1714" w:type="dxa"/>
            <w:vMerge w:val="continue"/>
            <w:tcBorders>
              <w:top w:val="nil"/>
            </w:tcBorders>
            <w:vAlign w:val="center"/>
          </w:tcPr>
          <w:p>
            <w:pPr>
              <w:pStyle w:val="22"/>
              <w:bidi w:val="0"/>
              <w:rPr>
                <w:color w:val="auto"/>
                <w:highlight w:val="none"/>
              </w:rPr>
            </w:pPr>
          </w:p>
        </w:tc>
        <w:tc>
          <w:tcPr>
            <w:tcW w:w="1754" w:type="dxa"/>
            <w:vAlign w:val="center"/>
          </w:tcPr>
          <w:p>
            <w:pPr>
              <w:pStyle w:val="22"/>
              <w:bidi w:val="0"/>
              <w:rPr>
                <w:color w:val="auto"/>
                <w:highlight w:val="none"/>
              </w:rPr>
            </w:pPr>
            <w:r>
              <w:rPr>
                <w:color w:val="auto"/>
                <w:highlight w:val="none"/>
              </w:rPr>
              <w:t>速度/0.2</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慢</w:t>
            </w:r>
          </w:p>
        </w:tc>
        <w:tc>
          <w:tcPr>
            <w:tcW w:w="898" w:type="dxa"/>
            <w:vAlign w:val="center"/>
          </w:tcPr>
          <w:p>
            <w:pPr>
              <w:pStyle w:val="22"/>
              <w:bidi w:val="0"/>
              <w:rPr>
                <w:color w:val="auto"/>
                <w:highlight w:val="none"/>
              </w:rPr>
            </w:pPr>
            <w:r>
              <w:rPr>
                <w:color w:val="auto"/>
                <w:highlight w:val="none"/>
              </w:rPr>
              <w:t>较慢</w:t>
            </w:r>
          </w:p>
        </w:tc>
        <w:tc>
          <w:tcPr>
            <w:tcW w:w="898" w:type="dxa"/>
            <w:vAlign w:val="center"/>
          </w:tcPr>
          <w:p>
            <w:pPr>
              <w:pStyle w:val="22"/>
              <w:bidi w:val="0"/>
              <w:rPr>
                <w:color w:val="auto"/>
                <w:highlight w:val="none"/>
              </w:rPr>
            </w:pPr>
            <w:r>
              <w:rPr>
                <w:color w:val="auto"/>
                <w:highlight w:val="none"/>
              </w:rPr>
              <w:t>较快</w:t>
            </w:r>
          </w:p>
        </w:tc>
        <w:tc>
          <w:tcPr>
            <w:tcW w:w="900" w:type="dxa"/>
            <w:tcBorders>
              <w:right w:val="nil"/>
            </w:tcBorders>
            <w:vAlign w:val="center"/>
          </w:tcPr>
          <w:p>
            <w:pPr>
              <w:pStyle w:val="22"/>
              <w:bidi w:val="0"/>
              <w:rPr>
                <w:color w:val="auto"/>
                <w:highlight w:val="none"/>
              </w:rPr>
            </w:pPr>
            <w:r>
              <w:rPr>
                <w:color w:val="auto"/>
                <w:highlight w:val="none"/>
              </w:rPr>
              <w:t>很快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1407" w:type="dxa"/>
            <w:vMerge w:val="restart"/>
            <w:tcBorders>
              <w:left w:val="nil"/>
              <w:bottom w:val="single" w:color="000000" w:sz="12" w:space="0"/>
            </w:tcBorders>
            <w:vAlign w:val="center"/>
          </w:tcPr>
          <w:p>
            <w:pPr>
              <w:pStyle w:val="22"/>
              <w:bidi w:val="0"/>
              <w:rPr>
                <w:color w:val="auto"/>
                <w:highlight w:val="none"/>
              </w:rPr>
            </w:pPr>
            <w:r>
              <w:rPr>
                <w:color w:val="auto"/>
                <w:highlight w:val="none"/>
              </w:rPr>
              <w:t>稳定性指标</w:t>
            </w:r>
          </w:p>
          <w:p>
            <w:pPr>
              <w:pStyle w:val="22"/>
              <w:bidi w:val="0"/>
              <w:rPr>
                <w:color w:val="auto"/>
                <w:highlight w:val="none"/>
              </w:rPr>
            </w:pPr>
            <w:r>
              <w:rPr>
                <w:color w:val="auto"/>
                <w:highlight w:val="none"/>
              </w:rPr>
              <w:t>0.2</w:t>
            </w:r>
          </w:p>
        </w:tc>
        <w:tc>
          <w:tcPr>
            <w:tcW w:w="1714" w:type="dxa"/>
            <w:vMerge w:val="restart"/>
            <w:tcBorders>
              <w:bottom w:val="single" w:color="000000" w:sz="12" w:space="0"/>
            </w:tcBorders>
            <w:vAlign w:val="center"/>
          </w:tcPr>
          <w:p>
            <w:pPr>
              <w:pStyle w:val="22"/>
              <w:bidi w:val="0"/>
              <w:rPr>
                <w:color w:val="auto"/>
                <w:highlight w:val="none"/>
              </w:rPr>
            </w:pPr>
            <w:r>
              <w:rPr>
                <w:color w:val="auto"/>
                <w:highlight w:val="none"/>
              </w:rPr>
              <w:t>稳定性/1</w:t>
            </w:r>
          </w:p>
        </w:tc>
        <w:tc>
          <w:tcPr>
            <w:tcW w:w="1754" w:type="dxa"/>
            <w:vAlign w:val="center"/>
          </w:tcPr>
          <w:p>
            <w:pPr>
              <w:pStyle w:val="22"/>
              <w:bidi w:val="0"/>
              <w:rPr>
                <w:color w:val="auto"/>
                <w:highlight w:val="none"/>
              </w:rPr>
            </w:pPr>
            <w:r>
              <w:rPr>
                <w:color w:val="auto"/>
                <w:highlight w:val="none"/>
              </w:rPr>
              <w:t>抵抗性/0.6</w:t>
            </w:r>
          </w:p>
        </w:tc>
        <w:tc>
          <w:tcPr>
            <w:tcW w:w="898" w:type="dxa"/>
            <w:vAlign w:val="center"/>
          </w:tcPr>
          <w:p>
            <w:pPr>
              <w:pStyle w:val="22"/>
              <w:bidi w:val="0"/>
              <w:rPr>
                <w:color w:val="auto"/>
                <w:highlight w:val="none"/>
              </w:rPr>
            </w:pPr>
            <w:r>
              <w:rPr>
                <w:color w:val="auto"/>
                <w:highlight w:val="none"/>
              </w:rPr>
              <w:t>等级</w:t>
            </w:r>
          </w:p>
        </w:tc>
        <w:tc>
          <w:tcPr>
            <w:tcW w:w="898" w:type="dxa"/>
            <w:vAlign w:val="center"/>
          </w:tcPr>
          <w:p>
            <w:pPr>
              <w:pStyle w:val="22"/>
              <w:bidi w:val="0"/>
              <w:rPr>
                <w:color w:val="auto"/>
                <w:highlight w:val="none"/>
              </w:rPr>
            </w:pPr>
            <w:r>
              <w:rPr>
                <w:color w:val="auto"/>
                <w:highlight w:val="none"/>
              </w:rPr>
              <w:t>强</w:t>
            </w:r>
          </w:p>
        </w:tc>
        <w:tc>
          <w:tcPr>
            <w:tcW w:w="898" w:type="dxa"/>
            <w:vAlign w:val="center"/>
          </w:tcPr>
          <w:p>
            <w:pPr>
              <w:pStyle w:val="22"/>
              <w:bidi w:val="0"/>
              <w:rPr>
                <w:color w:val="auto"/>
                <w:highlight w:val="none"/>
              </w:rPr>
            </w:pPr>
            <w:r>
              <w:rPr>
                <w:color w:val="auto"/>
                <w:highlight w:val="none"/>
              </w:rPr>
              <w:t>较强</w:t>
            </w:r>
          </w:p>
        </w:tc>
        <w:tc>
          <w:tcPr>
            <w:tcW w:w="898" w:type="dxa"/>
            <w:vAlign w:val="center"/>
          </w:tcPr>
          <w:p>
            <w:pPr>
              <w:pStyle w:val="22"/>
              <w:bidi w:val="0"/>
              <w:rPr>
                <w:color w:val="auto"/>
                <w:highlight w:val="none"/>
              </w:rPr>
            </w:pPr>
            <w:r>
              <w:rPr>
                <w:color w:val="auto"/>
                <w:highlight w:val="none"/>
              </w:rPr>
              <w:t>较弱</w:t>
            </w:r>
          </w:p>
        </w:tc>
        <w:tc>
          <w:tcPr>
            <w:tcW w:w="900" w:type="dxa"/>
            <w:tcBorders>
              <w:right w:val="nil"/>
            </w:tcBorders>
            <w:vAlign w:val="center"/>
          </w:tcPr>
          <w:p>
            <w:pPr>
              <w:pStyle w:val="22"/>
              <w:bidi w:val="0"/>
              <w:rPr>
                <w:color w:val="auto"/>
                <w:highlight w:val="none"/>
              </w:rPr>
            </w:pPr>
            <w:r>
              <w:rPr>
                <w:color w:val="auto"/>
                <w:highlight w:val="none"/>
              </w:rPr>
              <w:t>很弱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9" w:hRule="atLeast"/>
          <w:jc w:val="center"/>
        </w:trPr>
        <w:tc>
          <w:tcPr>
            <w:tcW w:w="1407" w:type="dxa"/>
            <w:vMerge w:val="continue"/>
            <w:tcBorders>
              <w:top w:val="nil"/>
              <w:left w:val="nil"/>
              <w:bottom w:val="single" w:color="000000" w:sz="12" w:space="0"/>
            </w:tcBorders>
            <w:vAlign w:val="center"/>
          </w:tcPr>
          <w:p>
            <w:pPr>
              <w:pStyle w:val="22"/>
              <w:bidi w:val="0"/>
              <w:rPr>
                <w:color w:val="auto"/>
                <w:highlight w:val="none"/>
              </w:rPr>
            </w:pPr>
          </w:p>
        </w:tc>
        <w:tc>
          <w:tcPr>
            <w:tcW w:w="1714" w:type="dxa"/>
            <w:vMerge w:val="continue"/>
            <w:tcBorders>
              <w:top w:val="nil"/>
              <w:bottom w:val="single" w:color="000000" w:sz="12" w:space="0"/>
            </w:tcBorders>
            <w:vAlign w:val="center"/>
          </w:tcPr>
          <w:p>
            <w:pPr>
              <w:pStyle w:val="22"/>
              <w:bidi w:val="0"/>
              <w:rPr>
                <w:color w:val="auto"/>
                <w:highlight w:val="none"/>
              </w:rPr>
            </w:pPr>
          </w:p>
        </w:tc>
        <w:tc>
          <w:tcPr>
            <w:tcW w:w="1754" w:type="dxa"/>
            <w:tcBorders>
              <w:bottom w:val="single" w:color="000000" w:sz="12" w:space="0"/>
            </w:tcBorders>
            <w:vAlign w:val="center"/>
          </w:tcPr>
          <w:p>
            <w:pPr>
              <w:pStyle w:val="22"/>
              <w:bidi w:val="0"/>
              <w:rPr>
                <w:color w:val="auto"/>
                <w:highlight w:val="none"/>
              </w:rPr>
            </w:pPr>
            <w:r>
              <w:rPr>
                <w:color w:val="auto"/>
                <w:highlight w:val="none"/>
              </w:rPr>
              <w:t>恢复性/0.4</w:t>
            </w:r>
          </w:p>
        </w:tc>
        <w:tc>
          <w:tcPr>
            <w:tcW w:w="898" w:type="dxa"/>
            <w:tcBorders>
              <w:bottom w:val="single" w:color="000000" w:sz="12" w:space="0"/>
            </w:tcBorders>
            <w:vAlign w:val="center"/>
          </w:tcPr>
          <w:p>
            <w:pPr>
              <w:pStyle w:val="22"/>
              <w:bidi w:val="0"/>
              <w:rPr>
                <w:color w:val="auto"/>
                <w:highlight w:val="none"/>
              </w:rPr>
            </w:pPr>
            <w:r>
              <w:rPr>
                <w:color w:val="auto"/>
                <w:highlight w:val="none"/>
              </w:rPr>
              <w:t>等级</w:t>
            </w:r>
          </w:p>
        </w:tc>
        <w:tc>
          <w:tcPr>
            <w:tcW w:w="898" w:type="dxa"/>
            <w:tcBorders>
              <w:bottom w:val="single" w:color="000000" w:sz="12" w:space="0"/>
            </w:tcBorders>
            <w:vAlign w:val="center"/>
          </w:tcPr>
          <w:p>
            <w:pPr>
              <w:pStyle w:val="22"/>
              <w:bidi w:val="0"/>
              <w:rPr>
                <w:color w:val="auto"/>
                <w:highlight w:val="none"/>
              </w:rPr>
            </w:pPr>
            <w:r>
              <w:rPr>
                <w:color w:val="auto"/>
                <w:highlight w:val="none"/>
              </w:rPr>
              <w:t>强</w:t>
            </w:r>
          </w:p>
        </w:tc>
        <w:tc>
          <w:tcPr>
            <w:tcW w:w="898" w:type="dxa"/>
            <w:tcBorders>
              <w:bottom w:val="single" w:color="000000" w:sz="12" w:space="0"/>
            </w:tcBorders>
            <w:vAlign w:val="center"/>
          </w:tcPr>
          <w:p>
            <w:pPr>
              <w:pStyle w:val="22"/>
              <w:bidi w:val="0"/>
              <w:rPr>
                <w:color w:val="auto"/>
                <w:highlight w:val="none"/>
              </w:rPr>
            </w:pPr>
            <w:r>
              <w:rPr>
                <w:color w:val="auto"/>
                <w:highlight w:val="none"/>
              </w:rPr>
              <w:t>较强</w:t>
            </w:r>
          </w:p>
        </w:tc>
        <w:tc>
          <w:tcPr>
            <w:tcW w:w="898" w:type="dxa"/>
            <w:tcBorders>
              <w:bottom w:val="single" w:color="000000" w:sz="12" w:space="0"/>
            </w:tcBorders>
            <w:vAlign w:val="center"/>
          </w:tcPr>
          <w:p>
            <w:pPr>
              <w:pStyle w:val="22"/>
              <w:bidi w:val="0"/>
              <w:rPr>
                <w:color w:val="auto"/>
                <w:highlight w:val="none"/>
              </w:rPr>
            </w:pPr>
            <w:r>
              <w:rPr>
                <w:color w:val="auto"/>
                <w:highlight w:val="none"/>
              </w:rPr>
              <w:t>较弱</w:t>
            </w:r>
          </w:p>
        </w:tc>
        <w:tc>
          <w:tcPr>
            <w:tcW w:w="900" w:type="dxa"/>
            <w:tcBorders>
              <w:bottom w:val="single" w:color="000000" w:sz="12" w:space="0"/>
              <w:right w:val="nil"/>
            </w:tcBorders>
            <w:vAlign w:val="center"/>
          </w:tcPr>
          <w:p>
            <w:pPr>
              <w:pStyle w:val="22"/>
              <w:bidi w:val="0"/>
              <w:rPr>
                <w:color w:val="auto"/>
                <w:highlight w:val="none"/>
              </w:rPr>
            </w:pPr>
            <w:r>
              <w:rPr>
                <w:color w:val="auto"/>
                <w:highlight w:val="none"/>
              </w:rPr>
              <w:t>很弱</w:t>
            </w:r>
          </w:p>
        </w:tc>
      </w:tr>
    </w:tbl>
    <w:p>
      <w:pPr>
        <w:bidi w:val="0"/>
        <w:rPr>
          <w:color w:val="auto"/>
          <w:highlight w:val="none"/>
        </w:rPr>
      </w:pPr>
      <w:r>
        <w:rPr>
          <w:color w:val="auto"/>
          <w:highlight w:val="none"/>
        </w:rPr>
        <w:t>每个三级指标被划分为4类状态，每1类状态分别对应于不同的评价分值；4个类别的评分分值凡属等级类的分别为评分为100分、75分、50分、25分；所有三级指标评分值的累计值即为该类型土地利用的生态承载力评价分值。</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评价标准</w:t>
      </w:r>
    </w:p>
    <w:p>
      <w:pPr>
        <w:bidi w:val="0"/>
        <w:rPr>
          <w:color w:val="auto"/>
          <w:highlight w:val="none"/>
        </w:rPr>
      </w:pPr>
      <w:r>
        <w:rPr>
          <w:color w:val="auto"/>
          <w:highlight w:val="none"/>
        </w:rPr>
        <w:t>土地承载力综合评分值分为4个强度级，综合评分值在85分以上的为“很高”级，在70-85分间的为“较高”级，在40-70分间的为“较低”级，低于40分的区域为“很低”级。综合评价标准见表6.1-4。</w:t>
      </w:r>
    </w:p>
    <w:p>
      <w:pPr>
        <w:pStyle w:val="22"/>
        <w:bidi w:val="0"/>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6.1-4</w:t>
      </w:r>
      <w:r>
        <w:rPr>
          <w:rFonts w:hint="eastAsia"/>
          <w:b/>
          <w:color w:val="auto"/>
          <w:sz w:val="21"/>
          <w:highlight w:val="none"/>
          <w:lang w:val="en-US" w:eastAsia="zh-CN"/>
        </w:rPr>
        <w:t xml:space="preserve">   </w:t>
      </w:r>
      <w:r>
        <w:rPr>
          <w:b/>
          <w:color w:val="auto"/>
          <w:sz w:val="21"/>
          <w:highlight w:val="none"/>
        </w:rPr>
        <w:t>土地承载力景观生态学综合评价标准</w:t>
      </w:r>
    </w:p>
    <w:tbl>
      <w:tblPr>
        <w:tblStyle w:val="17"/>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82"/>
        <w:gridCol w:w="1689"/>
        <w:gridCol w:w="1689"/>
        <w:gridCol w:w="1689"/>
        <w:gridCol w:w="17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282" w:type="dxa"/>
            <w:tcBorders>
              <w:left w:val="nil"/>
              <w:bottom w:val="single" w:color="000000" w:sz="4" w:space="0"/>
              <w:right w:val="single" w:color="000000" w:sz="4" w:space="0"/>
            </w:tcBorders>
          </w:tcPr>
          <w:p>
            <w:pPr>
              <w:pStyle w:val="22"/>
              <w:bidi w:val="0"/>
              <w:rPr>
                <w:color w:val="auto"/>
                <w:highlight w:val="none"/>
              </w:rPr>
            </w:pPr>
            <w:r>
              <w:rPr>
                <w:color w:val="auto"/>
                <w:highlight w:val="none"/>
              </w:rPr>
              <w:t>综合评价得分</w:t>
            </w:r>
          </w:p>
        </w:tc>
        <w:tc>
          <w:tcPr>
            <w:tcW w:w="1689"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&gt;85</w:t>
            </w:r>
          </w:p>
        </w:tc>
        <w:tc>
          <w:tcPr>
            <w:tcW w:w="1689"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70～85</w:t>
            </w:r>
          </w:p>
        </w:tc>
        <w:tc>
          <w:tcPr>
            <w:tcW w:w="1689"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40～69</w:t>
            </w:r>
          </w:p>
        </w:tc>
        <w:tc>
          <w:tcPr>
            <w:tcW w:w="1711" w:type="dxa"/>
            <w:tcBorders>
              <w:left w:val="single" w:color="000000" w:sz="4" w:space="0"/>
              <w:bottom w:val="single" w:color="000000" w:sz="4" w:space="0"/>
              <w:right w:val="nil"/>
            </w:tcBorders>
          </w:tcPr>
          <w:p>
            <w:pPr>
              <w:pStyle w:val="22"/>
              <w:bidi w:val="0"/>
              <w:rPr>
                <w:color w:val="auto"/>
                <w:highlight w:val="none"/>
              </w:rPr>
            </w:pPr>
            <w:r>
              <w:rPr>
                <w:color w:val="auto"/>
                <w:highlight w:val="none"/>
              </w:rPr>
              <w:t>&lt;40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282" w:type="dxa"/>
            <w:tcBorders>
              <w:top w:val="single" w:color="000000" w:sz="4" w:space="0"/>
              <w:left w:val="nil"/>
              <w:right w:val="single" w:color="000000" w:sz="4" w:space="0"/>
            </w:tcBorders>
          </w:tcPr>
          <w:p>
            <w:pPr>
              <w:pStyle w:val="22"/>
              <w:bidi w:val="0"/>
              <w:rPr>
                <w:color w:val="auto"/>
                <w:highlight w:val="none"/>
              </w:rPr>
            </w:pPr>
            <w:r>
              <w:rPr>
                <w:color w:val="auto"/>
                <w:highlight w:val="none"/>
              </w:rPr>
              <w:t>土地承载力</w:t>
            </w:r>
          </w:p>
        </w:tc>
        <w:tc>
          <w:tcPr>
            <w:tcW w:w="1689"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很高</w:t>
            </w:r>
          </w:p>
        </w:tc>
        <w:tc>
          <w:tcPr>
            <w:tcW w:w="1689"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较高</w:t>
            </w:r>
          </w:p>
        </w:tc>
        <w:tc>
          <w:tcPr>
            <w:tcW w:w="1689"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较低</w:t>
            </w:r>
          </w:p>
        </w:tc>
        <w:tc>
          <w:tcPr>
            <w:tcW w:w="1711" w:type="dxa"/>
            <w:tcBorders>
              <w:top w:val="single" w:color="000000" w:sz="4" w:space="0"/>
              <w:left w:val="single" w:color="000000" w:sz="4" w:space="0"/>
              <w:right w:val="nil"/>
            </w:tcBorders>
          </w:tcPr>
          <w:p>
            <w:pPr>
              <w:pStyle w:val="22"/>
              <w:bidi w:val="0"/>
              <w:rPr>
                <w:color w:val="auto"/>
                <w:highlight w:val="none"/>
              </w:rPr>
            </w:pPr>
            <w:r>
              <w:rPr>
                <w:color w:val="auto"/>
                <w:highlight w:val="none"/>
              </w:rPr>
              <w:t>很低</w:t>
            </w:r>
          </w:p>
        </w:tc>
      </w:tr>
    </w:tbl>
    <w:p>
      <w:pPr>
        <w:bidi w:val="0"/>
        <w:rPr>
          <w:color w:val="auto"/>
          <w:highlight w:val="none"/>
        </w:rPr>
      </w:pPr>
      <w:r>
        <w:rPr>
          <w:color w:val="auto"/>
          <w:highlight w:val="none"/>
        </w:rPr>
        <w:t>对于矿产资源开发土地承载力而言，“很高”级表示土地能承载高强度开发，“较高”级表示土地能承载一般强度开发，“较低”级表示土地只能承载低强度开发，“很低”级表示土地不适于开发。</w:t>
      </w:r>
    </w:p>
    <w:p>
      <w:pPr>
        <w:pStyle w:val="7"/>
        <w:numPr>
          <w:ilvl w:val="3"/>
          <w:numId w:val="12"/>
        </w:numPr>
        <w:bidi w:val="0"/>
        <w:rPr>
          <w:color w:val="auto"/>
          <w:highlight w:val="none"/>
        </w:rPr>
      </w:pPr>
      <w:r>
        <w:rPr>
          <w:color w:val="auto"/>
          <w:highlight w:val="none"/>
        </w:rPr>
        <w:t>土地承载力评价结果</w:t>
      </w:r>
    </w:p>
    <w:p>
      <w:pPr>
        <w:bidi w:val="0"/>
        <w:rPr>
          <w:color w:val="auto"/>
          <w:highlight w:val="none"/>
        </w:rPr>
      </w:pPr>
      <w:r>
        <w:rPr>
          <w:color w:val="auto"/>
          <w:highlight w:val="none"/>
        </w:rPr>
        <w:t>根据规划产能及布局，结合景观生态的结构、功能、变化和稳定性特点，进行了评分，结果见表6.1-5。</w:t>
      </w:r>
    </w:p>
    <w:p>
      <w:pPr>
        <w:pStyle w:val="22"/>
        <w:bidi w:val="0"/>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6.1-5</w:t>
      </w:r>
      <w:r>
        <w:rPr>
          <w:rFonts w:hint="eastAsia"/>
          <w:b/>
          <w:color w:val="auto"/>
          <w:sz w:val="21"/>
          <w:highlight w:val="none"/>
          <w:lang w:val="en-US" w:eastAsia="zh-CN"/>
        </w:rPr>
        <w:t xml:space="preserve">   </w:t>
      </w:r>
      <w:r>
        <w:rPr>
          <w:b/>
          <w:color w:val="auto"/>
          <w:sz w:val="21"/>
          <w:highlight w:val="none"/>
        </w:rPr>
        <w:t>土地承载力景观生态学综合评价结论</w:t>
      </w:r>
    </w:p>
    <w:tbl>
      <w:tblPr>
        <w:tblStyle w:val="17"/>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92"/>
        <w:gridCol w:w="1729"/>
        <w:gridCol w:w="1834"/>
        <w:gridCol w:w="963"/>
        <w:gridCol w:w="963"/>
        <w:gridCol w:w="963"/>
        <w:gridCol w:w="146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5059" w:type="dxa"/>
            <w:gridSpan w:val="3"/>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指标</w:t>
            </w:r>
          </w:p>
        </w:tc>
        <w:tc>
          <w:tcPr>
            <w:tcW w:w="4351" w:type="dxa"/>
            <w:gridSpan w:val="4"/>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评价结果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93"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一级</w:t>
            </w:r>
          </w:p>
        </w:tc>
        <w:tc>
          <w:tcPr>
            <w:tcW w:w="173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二级</w:t>
            </w:r>
          </w:p>
        </w:tc>
        <w:tc>
          <w:tcPr>
            <w:tcW w:w="1835"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三级</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单位</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类别</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得分</w:t>
            </w:r>
          </w:p>
        </w:tc>
        <w:tc>
          <w:tcPr>
            <w:tcW w:w="1468"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加权小计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93" w:type="dxa"/>
            <w:vMerge w:val="restart"/>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结构指标</w:t>
            </w:r>
          </w:p>
          <w:p>
            <w:pPr>
              <w:pStyle w:val="22"/>
              <w:bidi w:val="0"/>
              <w:rPr>
                <w:color w:val="auto"/>
                <w:highlight w:val="none"/>
              </w:rPr>
            </w:pPr>
            <w:r>
              <w:rPr>
                <w:color w:val="auto"/>
                <w:highlight w:val="none"/>
              </w:rPr>
              <w:t>0.3</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景观单元/0.6</w:t>
            </w:r>
          </w:p>
        </w:tc>
        <w:tc>
          <w:tcPr>
            <w:tcW w:w="1835"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类型/0.6</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eastAsia" w:eastAsia="宋体"/>
                <w:color w:val="auto"/>
                <w:highlight w:val="none"/>
                <w:lang w:val="en-US" w:eastAsia="zh-CN"/>
              </w:rPr>
            </w:pPr>
            <w:r>
              <w:rPr>
                <w:rFonts w:hint="eastAsia"/>
                <w:color w:val="auto"/>
                <w:highlight w:val="none"/>
                <w:lang w:val="en-US" w:eastAsia="zh-CN"/>
              </w:rPr>
              <w:t>B</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75</w:t>
            </w:r>
          </w:p>
        </w:tc>
        <w:tc>
          <w:tcPr>
            <w:tcW w:w="1468" w:type="dxa"/>
            <w:vMerge w:val="restart"/>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31"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835"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密度/0.4</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50</w:t>
            </w:r>
          </w:p>
        </w:tc>
        <w:tc>
          <w:tcPr>
            <w:tcW w:w="1468"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1493"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空间镶嵌体/0.4</w:t>
            </w:r>
          </w:p>
        </w:tc>
        <w:tc>
          <w:tcPr>
            <w:tcW w:w="1835"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景观异质性/0.4</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50</w:t>
            </w:r>
          </w:p>
        </w:tc>
        <w:tc>
          <w:tcPr>
            <w:tcW w:w="1468"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31"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835"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景观多样性/0.3</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50</w:t>
            </w:r>
          </w:p>
        </w:tc>
        <w:tc>
          <w:tcPr>
            <w:tcW w:w="1468"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493"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1731"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1835"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连通性/0.3</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等级</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C</w:t>
            </w:r>
          </w:p>
        </w:tc>
        <w:tc>
          <w:tcPr>
            <w:tcW w:w="961"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50</w:t>
            </w:r>
          </w:p>
        </w:tc>
        <w:tc>
          <w:tcPr>
            <w:tcW w:w="1468"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restart"/>
            <w:tcBorders>
              <w:left w:val="nil"/>
            </w:tcBorders>
            <w:vAlign w:val="center"/>
          </w:tcPr>
          <w:p>
            <w:pPr>
              <w:pStyle w:val="22"/>
              <w:bidi w:val="0"/>
              <w:rPr>
                <w:color w:val="auto"/>
                <w:highlight w:val="none"/>
              </w:rPr>
            </w:pPr>
            <w:r>
              <w:rPr>
                <w:color w:val="auto"/>
                <w:highlight w:val="none"/>
              </w:rPr>
              <w:t>功能指标</w:t>
            </w:r>
          </w:p>
          <w:p>
            <w:pPr>
              <w:pStyle w:val="22"/>
              <w:bidi w:val="0"/>
              <w:rPr>
                <w:color w:val="auto"/>
                <w:highlight w:val="none"/>
              </w:rPr>
            </w:pPr>
            <w:r>
              <w:rPr>
                <w:color w:val="auto"/>
                <w:highlight w:val="none"/>
              </w:rPr>
              <w:t>0.3</w:t>
            </w:r>
          </w:p>
        </w:tc>
        <w:tc>
          <w:tcPr>
            <w:tcW w:w="1731" w:type="dxa"/>
            <w:vMerge w:val="restart"/>
            <w:vAlign w:val="center"/>
          </w:tcPr>
          <w:p>
            <w:pPr>
              <w:pStyle w:val="22"/>
              <w:bidi w:val="0"/>
              <w:rPr>
                <w:color w:val="auto"/>
                <w:highlight w:val="none"/>
              </w:rPr>
            </w:pPr>
            <w:r>
              <w:rPr>
                <w:color w:val="auto"/>
                <w:highlight w:val="none"/>
              </w:rPr>
              <w:t>功能流/0.4</w:t>
            </w:r>
          </w:p>
        </w:tc>
        <w:tc>
          <w:tcPr>
            <w:tcW w:w="1835" w:type="dxa"/>
            <w:vAlign w:val="center"/>
          </w:tcPr>
          <w:p>
            <w:pPr>
              <w:pStyle w:val="22"/>
              <w:bidi w:val="0"/>
              <w:rPr>
                <w:color w:val="auto"/>
                <w:highlight w:val="none"/>
              </w:rPr>
            </w:pPr>
            <w:r>
              <w:rPr>
                <w:color w:val="auto"/>
                <w:highlight w:val="none"/>
              </w:rPr>
              <w:t>流量/0.6</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restart"/>
            <w:tcBorders>
              <w:right w:val="nil"/>
            </w:tcBorders>
            <w:vAlign w:val="center"/>
          </w:tcPr>
          <w:p>
            <w:pPr>
              <w:pStyle w:val="22"/>
              <w:bidi w:val="0"/>
              <w:rPr>
                <w:color w:val="auto"/>
                <w:highlight w:val="none"/>
              </w:rPr>
            </w:pPr>
            <w:r>
              <w:rPr>
                <w:color w:val="auto"/>
                <w:highlight w:val="none"/>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速度/0.4</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restart"/>
            <w:vAlign w:val="center"/>
          </w:tcPr>
          <w:p>
            <w:pPr>
              <w:pStyle w:val="22"/>
              <w:bidi w:val="0"/>
              <w:rPr>
                <w:color w:val="auto"/>
                <w:highlight w:val="none"/>
              </w:rPr>
            </w:pPr>
            <w:r>
              <w:rPr>
                <w:color w:val="auto"/>
                <w:highlight w:val="none"/>
              </w:rPr>
              <w:t>干扰/0.3</w:t>
            </w:r>
          </w:p>
        </w:tc>
        <w:tc>
          <w:tcPr>
            <w:tcW w:w="1835" w:type="dxa"/>
            <w:vAlign w:val="center"/>
          </w:tcPr>
          <w:p>
            <w:pPr>
              <w:pStyle w:val="22"/>
              <w:bidi w:val="0"/>
              <w:rPr>
                <w:color w:val="auto"/>
                <w:highlight w:val="none"/>
              </w:rPr>
            </w:pPr>
            <w:r>
              <w:rPr>
                <w:color w:val="auto"/>
                <w:highlight w:val="none"/>
              </w:rPr>
              <w:t>强度/0.4</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范围/0.3</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频度/0.3</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restart"/>
            <w:vAlign w:val="center"/>
          </w:tcPr>
          <w:p>
            <w:pPr>
              <w:pStyle w:val="22"/>
              <w:bidi w:val="0"/>
              <w:rPr>
                <w:color w:val="auto"/>
                <w:highlight w:val="none"/>
              </w:rPr>
            </w:pPr>
            <w:r>
              <w:rPr>
                <w:color w:val="auto"/>
                <w:highlight w:val="none"/>
              </w:rPr>
              <w:t>循环/0.3</w:t>
            </w:r>
          </w:p>
        </w:tc>
        <w:tc>
          <w:tcPr>
            <w:tcW w:w="1835" w:type="dxa"/>
            <w:vAlign w:val="center"/>
          </w:tcPr>
          <w:p>
            <w:pPr>
              <w:pStyle w:val="22"/>
              <w:bidi w:val="0"/>
              <w:rPr>
                <w:color w:val="auto"/>
                <w:highlight w:val="none"/>
              </w:rPr>
            </w:pPr>
            <w:r>
              <w:rPr>
                <w:color w:val="auto"/>
                <w:highlight w:val="none"/>
              </w:rPr>
              <w:t>流量/0.4</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速度/0.3</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周期/0.3</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restart"/>
            <w:tcBorders>
              <w:left w:val="nil"/>
            </w:tcBorders>
            <w:vAlign w:val="center"/>
          </w:tcPr>
          <w:p>
            <w:pPr>
              <w:pStyle w:val="22"/>
              <w:bidi w:val="0"/>
              <w:rPr>
                <w:color w:val="auto"/>
                <w:highlight w:val="none"/>
              </w:rPr>
            </w:pPr>
            <w:r>
              <w:rPr>
                <w:color w:val="auto"/>
                <w:highlight w:val="none"/>
              </w:rPr>
              <w:t>变化指标</w:t>
            </w:r>
          </w:p>
          <w:p>
            <w:pPr>
              <w:pStyle w:val="22"/>
              <w:bidi w:val="0"/>
              <w:rPr>
                <w:color w:val="auto"/>
                <w:highlight w:val="none"/>
              </w:rPr>
            </w:pPr>
            <w:r>
              <w:rPr>
                <w:color w:val="auto"/>
                <w:highlight w:val="none"/>
              </w:rPr>
              <w:t>0.2</w:t>
            </w:r>
          </w:p>
        </w:tc>
        <w:tc>
          <w:tcPr>
            <w:tcW w:w="1731" w:type="dxa"/>
            <w:vMerge w:val="restart"/>
            <w:vAlign w:val="center"/>
          </w:tcPr>
          <w:p>
            <w:pPr>
              <w:pStyle w:val="22"/>
              <w:bidi w:val="0"/>
              <w:rPr>
                <w:color w:val="auto"/>
                <w:highlight w:val="none"/>
              </w:rPr>
            </w:pPr>
            <w:r>
              <w:rPr>
                <w:color w:val="auto"/>
                <w:highlight w:val="none"/>
              </w:rPr>
              <w:t>变化/1</w:t>
            </w:r>
          </w:p>
        </w:tc>
        <w:tc>
          <w:tcPr>
            <w:tcW w:w="1835" w:type="dxa"/>
            <w:vAlign w:val="center"/>
          </w:tcPr>
          <w:p>
            <w:pPr>
              <w:pStyle w:val="22"/>
              <w:bidi w:val="0"/>
              <w:rPr>
                <w:color w:val="auto"/>
                <w:highlight w:val="none"/>
              </w:rPr>
            </w:pPr>
            <w:r>
              <w:rPr>
                <w:color w:val="auto"/>
                <w:highlight w:val="none"/>
              </w:rPr>
              <w:t>趋势/0.5</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C</w:t>
            </w:r>
          </w:p>
        </w:tc>
        <w:tc>
          <w:tcPr>
            <w:tcW w:w="961" w:type="dxa"/>
            <w:vAlign w:val="center"/>
          </w:tcPr>
          <w:p>
            <w:pPr>
              <w:pStyle w:val="22"/>
              <w:bidi w:val="0"/>
              <w:rPr>
                <w:color w:val="auto"/>
                <w:highlight w:val="none"/>
              </w:rPr>
            </w:pPr>
            <w:r>
              <w:rPr>
                <w:color w:val="auto"/>
                <w:highlight w:val="none"/>
              </w:rPr>
              <w:t>50</w:t>
            </w:r>
          </w:p>
        </w:tc>
        <w:tc>
          <w:tcPr>
            <w:tcW w:w="1468" w:type="dxa"/>
            <w:vMerge w:val="restart"/>
            <w:tcBorders>
              <w:right w:val="nil"/>
            </w:tcBorders>
            <w:vAlign w:val="center"/>
          </w:tcPr>
          <w:p>
            <w:pPr>
              <w:pStyle w:val="22"/>
              <w:bidi w:val="0"/>
              <w:rPr>
                <w:color w:val="auto"/>
                <w:highlight w:val="none"/>
              </w:rPr>
            </w:pPr>
            <w:r>
              <w:rPr>
                <w:color w:val="auto"/>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幅度/0.3</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C</w:t>
            </w:r>
          </w:p>
        </w:tc>
        <w:tc>
          <w:tcPr>
            <w:tcW w:w="961" w:type="dxa"/>
            <w:vAlign w:val="center"/>
          </w:tcPr>
          <w:p>
            <w:pPr>
              <w:pStyle w:val="22"/>
              <w:bidi w:val="0"/>
              <w:rPr>
                <w:color w:val="auto"/>
                <w:highlight w:val="none"/>
              </w:rPr>
            </w:pPr>
            <w:r>
              <w:rPr>
                <w:color w:val="auto"/>
                <w:highlight w:val="none"/>
              </w:rPr>
              <w:t>50</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速度/0.2</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C</w:t>
            </w:r>
          </w:p>
        </w:tc>
        <w:tc>
          <w:tcPr>
            <w:tcW w:w="961" w:type="dxa"/>
            <w:vAlign w:val="center"/>
          </w:tcPr>
          <w:p>
            <w:pPr>
              <w:pStyle w:val="22"/>
              <w:bidi w:val="0"/>
              <w:rPr>
                <w:color w:val="auto"/>
                <w:highlight w:val="none"/>
              </w:rPr>
            </w:pPr>
            <w:r>
              <w:rPr>
                <w:color w:val="auto"/>
                <w:highlight w:val="none"/>
              </w:rPr>
              <w:t>50</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493" w:type="dxa"/>
            <w:vMerge w:val="restart"/>
            <w:tcBorders>
              <w:left w:val="nil"/>
            </w:tcBorders>
            <w:vAlign w:val="center"/>
          </w:tcPr>
          <w:p>
            <w:pPr>
              <w:pStyle w:val="22"/>
              <w:bidi w:val="0"/>
              <w:rPr>
                <w:color w:val="auto"/>
                <w:highlight w:val="none"/>
              </w:rPr>
            </w:pPr>
            <w:r>
              <w:rPr>
                <w:color w:val="auto"/>
                <w:highlight w:val="none"/>
              </w:rPr>
              <w:t>稳定性指标</w:t>
            </w:r>
          </w:p>
          <w:p>
            <w:pPr>
              <w:pStyle w:val="22"/>
              <w:bidi w:val="0"/>
              <w:rPr>
                <w:color w:val="auto"/>
                <w:highlight w:val="none"/>
              </w:rPr>
            </w:pPr>
            <w:r>
              <w:rPr>
                <w:color w:val="auto"/>
                <w:highlight w:val="none"/>
              </w:rPr>
              <w:t>0.2</w:t>
            </w:r>
          </w:p>
        </w:tc>
        <w:tc>
          <w:tcPr>
            <w:tcW w:w="1731" w:type="dxa"/>
            <w:vMerge w:val="restart"/>
            <w:vAlign w:val="center"/>
          </w:tcPr>
          <w:p>
            <w:pPr>
              <w:pStyle w:val="22"/>
              <w:bidi w:val="0"/>
              <w:rPr>
                <w:color w:val="auto"/>
                <w:highlight w:val="none"/>
              </w:rPr>
            </w:pPr>
            <w:r>
              <w:rPr>
                <w:color w:val="auto"/>
                <w:highlight w:val="none"/>
              </w:rPr>
              <w:t>稳定性/1</w:t>
            </w:r>
          </w:p>
        </w:tc>
        <w:tc>
          <w:tcPr>
            <w:tcW w:w="1835" w:type="dxa"/>
            <w:vAlign w:val="center"/>
          </w:tcPr>
          <w:p>
            <w:pPr>
              <w:pStyle w:val="22"/>
              <w:bidi w:val="0"/>
              <w:rPr>
                <w:color w:val="auto"/>
                <w:highlight w:val="none"/>
              </w:rPr>
            </w:pPr>
            <w:r>
              <w:rPr>
                <w:color w:val="auto"/>
                <w:highlight w:val="none"/>
              </w:rPr>
              <w:t>抵抗性/0.6</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C</w:t>
            </w:r>
          </w:p>
        </w:tc>
        <w:tc>
          <w:tcPr>
            <w:tcW w:w="961" w:type="dxa"/>
            <w:vAlign w:val="center"/>
          </w:tcPr>
          <w:p>
            <w:pPr>
              <w:pStyle w:val="22"/>
              <w:bidi w:val="0"/>
              <w:rPr>
                <w:color w:val="auto"/>
                <w:highlight w:val="none"/>
              </w:rPr>
            </w:pPr>
            <w:r>
              <w:rPr>
                <w:color w:val="auto"/>
                <w:highlight w:val="none"/>
              </w:rPr>
              <w:t>50</w:t>
            </w:r>
          </w:p>
        </w:tc>
        <w:tc>
          <w:tcPr>
            <w:tcW w:w="1468" w:type="dxa"/>
            <w:vMerge w:val="restart"/>
            <w:tcBorders>
              <w:right w:val="nil"/>
            </w:tcBorders>
            <w:vAlign w:val="center"/>
          </w:tcPr>
          <w:p>
            <w:pPr>
              <w:pStyle w:val="22"/>
              <w:bidi w:val="0"/>
              <w:rPr>
                <w:color w:val="auto"/>
                <w:highlight w:val="none"/>
              </w:rPr>
            </w:pPr>
            <w:r>
              <w:rPr>
                <w:color w:val="auto"/>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3" w:type="dxa"/>
            <w:vMerge w:val="continue"/>
            <w:tcBorders>
              <w:top w:val="nil"/>
              <w:left w:val="nil"/>
            </w:tcBorders>
            <w:vAlign w:val="center"/>
          </w:tcPr>
          <w:p>
            <w:pPr>
              <w:pStyle w:val="22"/>
              <w:bidi w:val="0"/>
              <w:rPr>
                <w:color w:val="auto"/>
                <w:highlight w:val="none"/>
              </w:rPr>
            </w:pPr>
          </w:p>
        </w:tc>
        <w:tc>
          <w:tcPr>
            <w:tcW w:w="1731" w:type="dxa"/>
            <w:vMerge w:val="continue"/>
            <w:tcBorders>
              <w:top w:val="nil"/>
            </w:tcBorders>
            <w:vAlign w:val="center"/>
          </w:tcPr>
          <w:p>
            <w:pPr>
              <w:pStyle w:val="22"/>
              <w:bidi w:val="0"/>
              <w:rPr>
                <w:color w:val="auto"/>
                <w:highlight w:val="none"/>
              </w:rPr>
            </w:pPr>
          </w:p>
        </w:tc>
        <w:tc>
          <w:tcPr>
            <w:tcW w:w="1835" w:type="dxa"/>
            <w:vAlign w:val="center"/>
          </w:tcPr>
          <w:p>
            <w:pPr>
              <w:pStyle w:val="22"/>
              <w:bidi w:val="0"/>
              <w:rPr>
                <w:color w:val="auto"/>
                <w:highlight w:val="none"/>
              </w:rPr>
            </w:pPr>
            <w:r>
              <w:rPr>
                <w:color w:val="auto"/>
                <w:highlight w:val="none"/>
              </w:rPr>
              <w:t>恢复性/0.4</w:t>
            </w:r>
          </w:p>
        </w:tc>
        <w:tc>
          <w:tcPr>
            <w:tcW w:w="961" w:type="dxa"/>
            <w:vAlign w:val="center"/>
          </w:tcPr>
          <w:p>
            <w:pPr>
              <w:pStyle w:val="22"/>
              <w:bidi w:val="0"/>
              <w:rPr>
                <w:color w:val="auto"/>
                <w:highlight w:val="none"/>
              </w:rPr>
            </w:pPr>
            <w:r>
              <w:rPr>
                <w:color w:val="auto"/>
                <w:highlight w:val="none"/>
              </w:rPr>
              <w:t>等级</w:t>
            </w:r>
          </w:p>
        </w:tc>
        <w:tc>
          <w:tcPr>
            <w:tcW w:w="961" w:type="dxa"/>
            <w:vAlign w:val="center"/>
          </w:tcPr>
          <w:p>
            <w:pPr>
              <w:pStyle w:val="22"/>
              <w:bidi w:val="0"/>
              <w:rPr>
                <w:color w:val="auto"/>
                <w:highlight w:val="none"/>
              </w:rPr>
            </w:pPr>
            <w:r>
              <w:rPr>
                <w:color w:val="auto"/>
                <w:highlight w:val="none"/>
              </w:rPr>
              <w:t>B</w:t>
            </w:r>
          </w:p>
        </w:tc>
        <w:tc>
          <w:tcPr>
            <w:tcW w:w="961" w:type="dxa"/>
            <w:vAlign w:val="center"/>
          </w:tcPr>
          <w:p>
            <w:pPr>
              <w:pStyle w:val="22"/>
              <w:bidi w:val="0"/>
              <w:rPr>
                <w:color w:val="auto"/>
                <w:highlight w:val="none"/>
              </w:rPr>
            </w:pPr>
            <w:r>
              <w:rPr>
                <w:color w:val="auto"/>
                <w:highlight w:val="none"/>
              </w:rPr>
              <w:t>75</w:t>
            </w:r>
          </w:p>
        </w:tc>
        <w:tc>
          <w:tcPr>
            <w:tcW w:w="1468" w:type="dxa"/>
            <w:vMerge w:val="continue"/>
            <w:tcBorders>
              <w:top w:val="nil"/>
              <w:right w:val="nil"/>
            </w:tcBorders>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942" w:type="dxa"/>
            <w:gridSpan w:val="6"/>
            <w:tcBorders>
              <w:left w:val="nil"/>
              <w:bottom w:val="single" w:color="000000" w:sz="12" w:space="0"/>
            </w:tcBorders>
            <w:vAlign w:val="center"/>
          </w:tcPr>
          <w:p>
            <w:pPr>
              <w:pStyle w:val="22"/>
              <w:bidi w:val="0"/>
              <w:rPr>
                <w:color w:val="auto"/>
                <w:highlight w:val="none"/>
              </w:rPr>
            </w:pPr>
            <w:r>
              <w:rPr>
                <w:color w:val="auto"/>
                <w:highlight w:val="none"/>
              </w:rPr>
              <w:t>加权合计</w:t>
            </w:r>
          </w:p>
        </w:tc>
        <w:tc>
          <w:tcPr>
            <w:tcW w:w="1468" w:type="dxa"/>
            <w:tcBorders>
              <w:bottom w:val="single" w:color="000000" w:sz="12" w:space="0"/>
              <w:right w:val="nil"/>
            </w:tcBorders>
            <w:vAlign w:val="center"/>
          </w:tcPr>
          <w:p>
            <w:pPr>
              <w:pStyle w:val="22"/>
              <w:bidi w:val="0"/>
              <w:rPr>
                <w:color w:val="auto"/>
                <w:highlight w:val="none"/>
              </w:rPr>
            </w:pPr>
            <w:r>
              <w:rPr>
                <w:color w:val="auto"/>
                <w:highlight w:val="none"/>
              </w:rPr>
              <w:t>59.5</w:t>
            </w:r>
          </w:p>
        </w:tc>
      </w:tr>
    </w:tbl>
    <w:p>
      <w:pPr>
        <w:bidi w:val="0"/>
        <w:rPr>
          <w:color w:val="auto"/>
          <w:highlight w:val="none"/>
        </w:rPr>
      </w:pPr>
      <w:r>
        <w:rPr>
          <w:color w:val="auto"/>
          <w:highlight w:val="none"/>
        </w:rPr>
        <w:t>从结果可见，景观生态学综合得</w:t>
      </w:r>
      <w:r>
        <w:rPr>
          <w:rFonts w:hint="eastAsia"/>
          <w:color w:val="auto"/>
          <w:highlight w:val="none"/>
          <w:lang w:eastAsia="zh-CN"/>
        </w:rPr>
        <w:t>分</w:t>
      </w:r>
      <w:r>
        <w:rPr>
          <w:rFonts w:ascii="Times New Roman" w:eastAsia="Times New Roman"/>
          <w:color w:val="auto"/>
          <w:highlight w:val="none"/>
        </w:rPr>
        <w:t>59.5</w:t>
      </w:r>
      <w:r>
        <w:rPr>
          <w:color w:val="auto"/>
          <w:highlight w:val="none"/>
        </w:rPr>
        <w:t>。根据评判标准，</w:t>
      </w:r>
      <w:r>
        <w:rPr>
          <w:rFonts w:hint="eastAsia"/>
          <w:color w:val="auto"/>
          <w:highlight w:val="none"/>
          <w:lang w:eastAsia="zh-CN"/>
        </w:rPr>
        <w:t>规划矿区</w:t>
      </w:r>
      <w:r>
        <w:rPr>
          <w:color w:val="auto"/>
          <w:highlight w:val="none"/>
        </w:rPr>
        <w:t>开发所占用的土地能承载较低等级的开发活动。</w:t>
      </w:r>
    </w:p>
    <w:p>
      <w:pPr>
        <w:pStyle w:val="7"/>
        <w:numPr>
          <w:ilvl w:val="3"/>
          <w:numId w:val="12"/>
        </w:numPr>
        <w:bidi w:val="0"/>
        <w:rPr>
          <w:color w:val="auto"/>
          <w:highlight w:val="none"/>
        </w:rPr>
      </w:pPr>
      <w:r>
        <w:rPr>
          <w:color w:val="auto"/>
          <w:highlight w:val="none"/>
        </w:rPr>
        <w:t>矿产资源开发土地承载力的外部制约条件分析</w:t>
      </w:r>
    </w:p>
    <w:p>
      <w:pPr>
        <w:bidi w:val="0"/>
        <w:rPr>
          <w:color w:val="auto"/>
          <w:highlight w:val="none"/>
        </w:rPr>
      </w:pPr>
      <w:r>
        <w:rPr>
          <w:rFonts w:hint="eastAsia"/>
          <w:color w:val="auto"/>
          <w:highlight w:val="none"/>
          <w:lang w:eastAsia="zh-CN"/>
        </w:rPr>
        <w:t>规划矿区</w:t>
      </w:r>
      <w:r>
        <w:rPr>
          <w:color w:val="auto"/>
          <w:highlight w:val="none"/>
        </w:rPr>
        <w:t>所在区域属于典型性风力侵蚀区，区内沟壑纵横、土质疏松，抗冲力极差，水土流失</w:t>
      </w:r>
      <w:r>
        <w:rPr>
          <w:rFonts w:hint="eastAsia"/>
          <w:color w:val="auto"/>
          <w:highlight w:val="none"/>
          <w:lang w:eastAsia="zh-CN"/>
        </w:rPr>
        <w:t>较</w:t>
      </w:r>
      <w:r>
        <w:rPr>
          <w:color w:val="auto"/>
          <w:highlight w:val="none"/>
        </w:rPr>
        <w:t>严重。工程运行后因地表变形、沉陷影响表层土壤结构发生变化，水土流失模数增加，加大水土流失量，且区域植被覆盖度整体较低，区域生境较为脆弱。</w:t>
      </w:r>
    </w:p>
    <w:p>
      <w:pPr>
        <w:pStyle w:val="7"/>
        <w:numPr>
          <w:ilvl w:val="3"/>
          <w:numId w:val="12"/>
        </w:numPr>
        <w:bidi w:val="0"/>
        <w:rPr>
          <w:color w:val="auto"/>
          <w:highlight w:val="none"/>
        </w:rPr>
      </w:pPr>
      <w:r>
        <w:rPr>
          <w:color w:val="auto"/>
          <w:highlight w:val="none"/>
        </w:rPr>
        <w:t>土地承载力综合评价结论</w:t>
      </w:r>
    </w:p>
    <w:p>
      <w:pPr>
        <w:bidi w:val="0"/>
        <w:rPr>
          <w:color w:val="auto"/>
          <w:highlight w:val="none"/>
        </w:rPr>
      </w:pPr>
      <w:r>
        <w:rPr>
          <w:rFonts w:hint="eastAsia"/>
          <w:color w:val="auto"/>
          <w:highlight w:val="none"/>
          <w:lang w:eastAsia="zh-CN"/>
        </w:rPr>
        <w:t>规划矿区</w:t>
      </w:r>
      <w:r>
        <w:rPr>
          <w:color w:val="auto"/>
          <w:highlight w:val="none"/>
        </w:rPr>
        <w:t>面积为</w:t>
      </w:r>
      <w:r>
        <w:rPr>
          <w:rFonts w:hint="eastAsia"/>
          <w:color w:val="auto"/>
          <w:highlight w:val="none"/>
          <w:lang w:val="en-US" w:eastAsia="zh-CN"/>
        </w:rPr>
        <w:t>148.1628</w:t>
      </w:r>
      <w:r>
        <w:rPr>
          <w:color w:val="auto"/>
          <w:highlight w:val="none"/>
        </w:rPr>
        <w:t>km</w:t>
      </w:r>
      <w:r>
        <w:rPr>
          <w:color w:val="auto"/>
          <w:highlight w:val="none"/>
          <w:vertAlign w:val="superscript"/>
        </w:rPr>
        <w:t>2</w:t>
      </w:r>
      <w:r>
        <w:rPr>
          <w:color w:val="auto"/>
          <w:highlight w:val="none"/>
        </w:rPr>
        <w:t>，矿区各矿井工业场地等实际占压总面积为</w:t>
      </w:r>
      <w:r>
        <w:rPr>
          <w:rFonts w:hint="eastAsia"/>
          <w:color w:val="auto"/>
          <w:highlight w:val="none"/>
          <w:lang w:val="en-US" w:eastAsia="zh-CN"/>
        </w:rPr>
        <w:t>61.16</w:t>
      </w:r>
      <w:r>
        <w:rPr>
          <w:color w:val="auto"/>
          <w:highlight w:val="none"/>
        </w:rPr>
        <w:t>hm</w:t>
      </w:r>
      <w:r>
        <w:rPr>
          <w:color w:val="auto"/>
          <w:highlight w:val="none"/>
          <w:vertAlign w:val="superscript"/>
        </w:rPr>
        <w:t>2</w:t>
      </w:r>
      <w:r>
        <w:rPr>
          <w:color w:val="auto"/>
          <w:highlight w:val="none"/>
        </w:rPr>
        <w:t>，占全区土地面积（</w:t>
      </w:r>
      <w:r>
        <w:rPr>
          <w:rFonts w:hint="eastAsia"/>
          <w:color w:val="auto"/>
          <w:highlight w:val="none"/>
          <w:lang w:val="en-US" w:eastAsia="zh-CN"/>
        </w:rPr>
        <w:t>14816</w:t>
      </w:r>
      <w:r>
        <w:rPr>
          <w:color w:val="auto"/>
          <w:highlight w:val="none"/>
        </w:rPr>
        <w:t>.</w:t>
      </w:r>
      <w:r>
        <w:rPr>
          <w:rFonts w:hint="eastAsia"/>
          <w:color w:val="auto"/>
          <w:highlight w:val="none"/>
          <w:lang w:val="en-US" w:eastAsia="zh-CN"/>
        </w:rPr>
        <w:t>28</w:t>
      </w:r>
      <w:r>
        <w:rPr>
          <w:color w:val="auto"/>
          <w:highlight w:val="none"/>
        </w:rPr>
        <w:t>公顷）的</w:t>
      </w:r>
      <w:r>
        <w:rPr>
          <w:rFonts w:hint="eastAsia"/>
          <w:color w:val="auto"/>
          <w:highlight w:val="none"/>
          <w:lang w:val="en-US" w:eastAsia="zh-CN"/>
        </w:rPr>
        <w:t>41.28</w:t>
      </w:r>
      <w:r>
        <w:rPr>
          <w:color w:val="auto"/>
          <w:highlight w:val="none"/>
        </w:rPr>
        <w:t>%，占地面积</w:t>
      </w:r>
      <w:r>
        <w:rPr>
          <w:rFonts w:hint="eastAsia"/>
          <w:color w:val="auto"/>
          <w:highlight w:val="none"/>
          <w:lang w:eastAsia="zh-CN"/>
        </w:rPr>
        <w:t>适中</w:t>
      </w:r>
      <w:r>
        <w:rPr>
          <w:color w:val="auto"/>
          <w:highlight w:val="none"/>
        </w:rPr>
        <w:t>。利用景观生态学方法对矿产资源开发土地承载力综合评判，结果显示土地能承载</w:t>
      </w:r>
      <w:r>
        <w:rPr>
          <w:rFonts w:hint="eastAsia"/>
          <w:color w:val="auto"/>
          <w:highlight w:val="none"/>
          <w:lang w:eastAsia="zh-CN"/>
        </w:rPr>
        <w:t>一般</w:t>
      </w:r>
      <w:r>
        <w:rPr>
          <w:color w:val="auto"/>
          <w:highlight w:val="none"/>
        </w:rPr>
        <w:t>强度的开发活动，主要的外部制约条件为区域水土流失严重。</w:t>
      </w:r>
    </w:p>
    <w:p>
      <w:pPr>
        <w:bidi w:val="0"/>
        <w:rPr>
          <w:color w:val="auto"/>
          <w:highlight w:val="none"/>
        </w:rPr>
      </w:pPr>
      <w:r>
        <w:rPr>
          <w:color w:val="auto"/>
          <w:highlight w:val="none"/>
        </w:rPr>
        <w:t>因此，建议矿区各改造矿井在建设开发时加强植被保护，合理布局生态用地面积及生活生产面积，提高土地利用效率；其次，明确矿产资源开发内部的“红线”以及外部“生态红线”等关系，以此作为矿产资源开发管理的重要依据；再次，按照节约土地资源的原则，进行紧凑布局，将用地规模控制在规划范围内。</w:t>
      </w:r>
    </w:p>
    <w:p>
      <w:pPr>
        <w:pStyle w:val="5"/>
        <w:numPr>
          <w:ilvl w:val="1"/>
          <w:numId w:val="13"/>
        </w:numPr>
        <w:bidi w:val="0"/>
        <w:ind w:left="0" w:leftChars="0" w:firstLine="0" w:firstLineChars="0"/>
        <w:rPr>
          <w:color w:val="auto"/>
          <w:highlight w:val="none"/>
        </w:rPr>
      </w:pPr>
      <w:bookmarkStart w:id="553" w:name="_bookmark40"/>
      <w:bookmarkEnd w:id="553"/>
      <w:bookmarkStart w:id="554" w:name="6.2 环境承载力分析"/>
      <w:bookmarkEnd w:id="554"/>
      <w:bookmarkStart w:id="555" w:name="_Toc19997"/>
      <w:bookmarkStart w:id="556" w:name="_Toc23769"/>
      <w:r>
        <w:rPr>
          <w:color w:val="auto"/>
          <w:highlight w:val="none"/>
        </w:rPr>
        <w:t>环境承载力分析</w:t>
      </w:r>
      <w:bookmarkEnd w:id="555"/>
      <w:bookmarkEnd w:id="556"/>
    </w:p>
    <w:p>
      <w:pPr>
        <w:pStyle w:val="6"/>
        <w:numPr>
          <w:ilvl w:val="2"/>
          <w:numId w:val="13"/>
        </w:numPr>
        <w:bidi w:val="0"/>
        <w:ind w:left="0" w:leftChars="0" w:firstLine="0" w:firstLineChars="0"/>
        <w:rPr>
          <w:color w:val="auto"/>
          <w:highlight w:val="none"/>
        </w:rPr>
      </w:pPr>
      <w:bookmarkStart w:id="557" w:name="6.2.1 大气环境承载力分析"/>
      <w:bookmarkEnd w:id="557"/>
      <w:bookmarkStart w:id="558" w:name="6.2.1 大气环境承载力分析"/>
      <w:bookmarkEnd w:id="558"/>
      <w:bookmarkStart w:id="559" w:name="_Toc27620"/>
      <w:bookmarkStart w:id="560" w:name="_Toc32318"/>
      <w:r>
        <w:rPr>
          <w:color w:val="auto"/>
          <w:highlight w:val="none"/>
        </w:rPr>
        <w:t>大气环境承载力分析</w:t>
      </w:r>
      <w:bookmarkEnd w:id="559"/>
      <w:bookmarkEnd w:id="560"/>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区域环境空气质量现状</w:t>
      </w:r>
    </w:p>
    <w:p>
      <w:pPr>
        <w:bidi w:val="0"/>
        <w:rPr>
          <w:color w:val="auto"/>
          <w:highlight w:val="none"/>
        </w:rPr>
      </w:pPr>
      <w:r>
        <w:rPr>
          <w:color w:val="auto"/>
          <w:highlight w:val="none"/>
        </w:rPr>
        <w:t>根据《达州市主城区2020年环境空气质量》，达州市主城区环境空气质量有效监测366天，达标天数327天，达标率为89.3%，同比2019年上升6.8%。其中空气质量优146天，占39.9%；良181天，占49.4%；轻度污染32天，占8.7%；中度污染5天，占1.4%；重度污染2天，占0.6%。重污染天数比2019年减少2天。</w:t>
      </w:r>
    </w:p>
    <w:p>
      <w:pPr>
        <w:bidi w:val="0"/>
        <w:rPr>
          <w:rFonts w:hint="eastAsia"/>
          <w:color w:val="auto"/>
          <w:highlight w:val="none"/>
          <w:lang w:eastAsia="zh-CN"/>
        </w:rPr>
      </w:pPr>
      <w:r>
        <w:rPr>
          <w:color w:val="auto"/>
          <w:highlight w:val="none"/>
        </w:rPr>
        <w:t>根据达州市</w:t>
      </w:r>
      <w:r>
        <w:rPr>
          <w:rFonts w:hint="eastAsia"/>
          <w:color w:val="auto"/>
          <w:highlight w:val="none"/>
          <w:lang w:eastAsia="zh-CN"/>
        </w:rPr>
        <w:t>大竹</w:t>
      </w:r>
      <w:r>
        <w:rPr>
          <w:color w:val="auto"/>
          <w:highlight w:val="none"/>
        </w:rPr>
        <w:t>生态环境局</w:t>
      </w:r>
      <w:r>
        <w:rPr>
          <w:rFonts w:hint="eastAsia"/>
          <w:color w:val="auto"/>
          <w:highlight w:val="none"/>
          <w:lang w:eastAsia="zh-CN"/>
        </w:rPr>
        <w:t>提供的</w:t>
      </w:r>
      <w:r>
        <w:rPr>
          <w:rFonts w:hint="eastAsia"/>
          <w:color w:val="auto"/>
          <w:highlight w:val="none"/>
          <w:lang w:val="en-US" w:eastAsia="zh-CN"/>
        </w:rPr>
        <w:t>2020年大竹县环境空气</w:t>
      </w:r>
      <w:r>
        <w:rPr>
          <w:rFonts w:hint="eastAsia"/>
          <w:color w:val="auto"/>
          <w:highlight w:val="none"/>
          <w:lang w:eastAsia="zh-CN"/>
        </w:rPr>
        <w:t>例行监测</w:t>
      </w:r>
      <w:r>
        <w:rPr>
          <w:color w:val="auto"/>
          <w:highlight w:val="none"/>
        </w:rPr>
        <w:t>数据</w:t>
      </w:r>
      <w:r>
        <w:rPr>
          <w:rFonts w:hint="eastAsia"/>
          <w:color w:val="auto"/>
          <w:highlight w:val="none"/>
          <w:lang w:eastAsia="zh-CN"/>
        </w:rPr>
        <w:t>，具体如下：</w:t>
      </w:r>
    </w:p>
    <w:p>
      <w:pPr>
        <w:pStyle w:val="22"/>
        <w:bidi w:val="0"/>
        <w:rPr>
          <w:b/>
          <w:color w:val="auto"/>
          <w:sz w:val="21"/>
          <w:highlight w:val="none"/>
        </w:rPr>
      </w:pPr>
      <w:r>
        <w:rPr>
          <w:b/>
          <w:color w:val="auto"/>
          <w:sz w:val="21"/>
          <w:highlight w:val="none"/>
        </w:rPr>
        <w:t>表</w:t>
      </w:r>
      <w:r>
        <w:rPr>
          <w:b/>
          <w:color w:val="auto"/>
          <w:spacing w:val="-53"/>
          <w:sz w:val="21"/>
          <w:highlight w:val="none"/>
        </w:rPr>
        <w:t xml:space="preserve"> </w:t>
      </w:r>
      <w:r>
        <w:rPr>
          <w:rFonts w:hint="eastAsia"/>
          <w:b/>
          <w:color w:val="auto"/>
          <w:sz w:val="21"/>
          <w:highlight w:val="none"/>
          <w:lang w:val="en-US" w:eastAsia="zh-CN"/>
        </w:rPr>
        <w:t>6.2-1</w:t>
      </w:r>
      <w:r>
        <w:rPr>
          <w:rFonts w:ascii="Times New Roman" w:eastAsia="Times New Roman"/>
          <w:b/>
          <w:color w:val="auto"/>
          <w:sz w:val="21"/>
          <w:highlight w:val="none"/>
        </w:rPr>
        <w:tab/>
      </w:r>
      <w:r>
        <w:rPr>
          <w:b/>
          <w:color w:val="auto"/>
          <w:sz w:val="21"/>
          <w:highlight w:val="none"/>
        </w:rPr>
        <w:t>基本污染物环境质量现状</w:t>
      </w:r>
    </w:p>
    <w:tbl>
      <w:tblPr>
        <w:tblStyle w:val="17"/>
        <w:tblW w:w="83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860"/>
        <w:gridCol w:w="995"/>
        <w:gridCol w:w="3379"/>
        <w:gridCol w:w="1137"/>
        <w:gridCol w:w="1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Merge w:val="restart"/>
            <w:vAlign w:val="center"/>
          </w:tcPr>
          <w:p>
            <w:pPr>
              <w:pStyle w:val="22"/>
              <w:bidi w:val="0"/>
              <w:rPr>
                <w:color w:val="auto"/>
                <w:highlight w:val="none"/>
              </w:rPr>
            </w:pPr>
            <w:r>
              <w:rPr>
                <w:color w:val="auto"/>
                <w:highlight w:val="none"/>
              </w:rPr>
              <w:t>指标</w:t>
            </w:r>
          </w:p>
        </w:tc>
        <w:tc>
          <w:tcPr>
            <w:tcW w:w="1855" w:type="dxa"/>
            <w:gridSpan w:val="2"/>
            <w:vAlign w:val="center"/>
          </w:tcPr>
          <w:p>
            <w:pPr>
              <w:pStyle w:val="22"/>
              <w:bidi w:val="0"/>
              <w:rPr>
                <w:color w:val="auto"/>
                <w:highlight w:val="none"/>
              </w:rPr>
            </w:pPr>
            <w:r>
              <w:rPr>
                <w:color w:val="auto"/>
                <w:highlight w:val="none"/>
              </w:rPr>
              <w:t>年均浓度μg/m</w:t>
            </w:r>
            <w:r>
              <w:rPr>
                <w:color w:val="auto"/>
                <w:highlight w:val="none"/>
                <w:vertAlign w:val="superscript"/>
              </w:rPr>
              <w:t>3</w:t>
            </w:r>
          </w:p>
        </w:tc>
        <w:tc>
          <w:tcPr>
            <w:tcW w:w="4516" w:type="dxa"/>
            <w:gridSpan w:val="2"/>
            <w:vAlign w:val="center"/>
          </w:tcPr>
          <w:p>
            <w:pPr>
              <w:pStyle w:val="22"/>
              <w:bidi w:val="0"/>
              <w:rPr>
                <w:color w:val="auto"/>
                <w:highlight w:val="none"/>
              </w:rPr>
            </w:pPr>
            <w:r>
              <w:rPr>
                <w:color w:val="auto"/>
                <w:highlight w:val="none"/>
              </w:rPr>
              <w:t>相应百分位数浓度μg/m</w:t>
            </w:r>
            <w:r>
              <w:rPr>
                <w:color w:val="auto"/>
                <w:highlight w:val="none"/>
                <w:vertAlign w:val="superscript"/>
              </w:rPr>
              <w:t>3</w:t>
            </w:r>
          </w:p>
        </w:tc>
        <w:tc>
          <w:tcPr>
            <w:tcW w:w="1100" w:type="dxa"/>
            <w:vMerge w:val="restart"/>
            <w:vAlign w:val="center"/>
          </w:tcPr>
          <w:p>
            <w:pPr>
              <w:pStyle w:val="22"/>
              <w:bidi w:val="0"/>
              <w:rPr>
                <w:color w:val="auto"/>
                <w:highlight w:val="none"/>
              </w:rPr>
            </w:pPr>
            <w:r>
              <w:rPr>
                <w:color w:val="auto"/>
                <w:highlight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Merge w:val="continue"/>
            <w:vAlign w:val="center"/>
          </w:tcPr>
          <w:p>
            <w:pPr>
              <w:pStyle w:val="22"/>
              <w:bidi w:val="0"/>
              <w:rPr>
                <w:color w:val="auto"/>
                <w:highlight w:val="none"/>
              </w:rPr>
            </w:pPr>
          </w:p>
        </w:tc>
        <w:tc>
          <w:tcPr>
            <w:tcW w:w="860" w:type="dxa"/>
            <w:vAlign w:val="center"/>
          </w:tcPr>
          <w:p>
            <w:pPr>
              <w:pStyle w:val="22"/>
              <w:bidi w:val="0"/>
              <w:rPr>
                <w:color w:val="auto"/>
                <w:highlight w:val="none"/>
              </w:rPr>
            </w:pPr>
            <w:r>
              <w:rPr>
                <w:color w:val="auto"/>
                <w:highlight w:val="none"/>
              </w:rPr>
              <w:t>监测值</w:t>
            </w:r>
          </w:p>
        </w:tc>
        <w:tc>
          <w:tcPr>
            <w:tcW w:w="995" w:type="dxa"/>
            <w:vAlign w:val="center"/>
          </w:tcPr>
          <w:p>
            <w:pPr>
              <w:pStyle w:val="22"/>
              <w:bidi w:val="0"/>
              <w:rPr>
                <w:color w:val="auto"/>
                <w:highlight w:val="none"/>
              </w:rPr>
            </w:pPr>
            <w:r>
              <w:rPr>
                <w:color w:val="auto"/>
                <w:highlight w:val="none"/>
              </w:rPr>
              <w:t>标准值</w:t>
            </w:r>
          </w:p>
        </w:tc>
        <w:tc>
          <w:tcPr>
            <w:tcW w:w="3379" w:type="dxa"/>
            <w:vAlign w:val="center"/>
          </w:tcPr>
          <w:p>
            <w:pPr>
              <w:pStyle w:val="22"/>
              <w:bidi w:val="0"/>
              <w:rPr>
                <w:color w:val="auto"/>
                <w:highlight w:val="none"/>
              </w:rPr>
            </w:pPr>
            <w:r>
              <w:rPr>
                <w:color w:val="auto"/>
                <w:highlight w:val="none"/>
              </w:rPr>
              <w:t>监测值</w:t>
            </w:r>
          </w:p>
        </w:tc>
        <w:tc>
          <w:tcPr>
            <w:tcW w:w="1137" w:type="dxa"/>
            <w:vAlign w:val="center"/>
          </w:tcPr>
          <w:p>
            <w:pPr>
              <w:pStyle w:val="22"/>
              <w:bidi w:val="0"/>
              <w:rPr>
                <w:color w:val="auto"/>
                <w:highlight w:val="none"/>
              </w:rPr>
            </w:pPr>
            <w:r>
              <w:rPr>
                <w:color w:val="auto"/>
                <w:highlight w:val="none"/>
              </w:rPr>
              <w:t>标准值</w:t>
            </w:r>
          </w:p>
        </w:tc>
        <w:tc>
          <w:tcPr>
            <w:tcW w:w="1100" w:type="dxa"/>
            <w:vMerge w:val="continue"/>
            <w:vAlign w:val="center"/>
          </w:tcPr>
          <w:p>
            <w:pPr>
              <w:pStyle w:val="22"/>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SO</w:t>
            </w:r>
            <w:r>
              <w:rPr>
                <w:color w:val="auto"/>
                <w:highlight w:val="none"/>
                <w:vertAlign w:val="subscript"/>
              </w:rPr>
              <w:t>2</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17.3</w:t>
            </w:r>
          </w:p>
        </w:tc>
        <w:tc>
          <w:tcPr>
            <w:tcW w:w="995" w:type="dxa"/>
            <w:vAlign w:val="center"/>
          </w:tcPr>
          <w:p>
            <w:pPr>
              <w:pStyle w:val="22"/>
              <w:bidi w:val="0"/>
              <w:rPr>
                <w:color w:val="auto"/>
                <w:highlight w:val="none"/>
              </w:rPr>
            </w:pPr>
            <w:r>
              <w:rPr>
                <w:color w:val="auto"/>
                <w:highlight w:val="none"/>
              </w:rPr>
              <w:t>60</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24小时平均第98百分位数：</w:t>
            </w:r>
            <w:r>
              <w:rPr>
                <w:rFonts w:hint="eastAsia"/>
                <w:color w:val="auto"/>
                <w:highlight w:val="none"/>
                <w:lang w:val="en-US" w:eastAsia="zh-CN"/>
              </w:rPr>
              <w:t>95</w:t>
            </w:r>
          </w:p>
        </w:tc>
        <w:tc>
          <w:tcPr>
            <w:tcW w:w="1137" w:type="dxa"/>
            <w:vAlign w:val="center"/>
          </w:tcPr>
          <w:p>
            <w:pPr>
              <w:pStyle w:val="22"/>
              <w:bidi w:val="0"/>
              <w:rPr>
                <w:color w:val="auto"/>
                <w:highlight w:val="none"/>
              </w:rPr>
            </w:pPr>
            <w:r>
              <w:rPr>
                <w:color w:val="auto"/>
                <w:highlight w:val="none"/>
              </w:rPr>
              <w:t>150</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NO</w:t>
            </w:r>
            <w:r>
              <w:rPr>
                <w:color w:val="auto"/>
                <w:highlight w:val="none"/>
                <w:vertAlign w:val="subscript"/>
              </w:rPr>
              <w:t>2</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27.6</w:t>
            </w:r>
          </w:p>
        </w:tc>
        <w:tc>
          <w:tcPr>
            <w:tcW w:w="995" w:type="dxa"/>
            <w:vAlign w:val="center"/>
          </w:tcPr>
          <w:p>
            <w:pPr>
              <w:pStyle w:val="22"/>
              <w:bidi w:val="0"/>
              <w:rPr>
                <w:color w:val="auto"/>
                <w:highlight w:val="none"/>
              </w:rPr>
            </w:pPr>
            <w:r>
              <w:rPr>
                <w:color w:val="auto"/>
                <w:highlight w:val="none"/>
              </w:rPr>
              <w:t>40</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24小时平均第98百分位数：</w:t>
            </w:r>
            <w:r>
              <w:rPr>
                <w:rFonts w:hint="eastAsia"/>
                <w:color w:val="auto"/>
                <w:highlight w:val="none"/>
                <w:lang w:val="en-US" w:eastAsia="zh-CN"/>
              </w:rPr>
              <w:t>55</w:t>
            </w:r>
          </w:p>
        </w:tc>
        <w:tc>
          <w:tcPr>
            <w:tcW w:w="1137" w:type="dxa"/>
            <w:vAlign w:val="center"/>
          </w:tcPr>
          <w:p>
            <w:pPr>
              <w:pStyle w:val="22"/>
              <w:bidi w:val="0"/>
              <w:rPr>
                <w:color w:val="auto"/>
                <w:highlight w:val="none"/>
              </w:rPr>
            </w:pPr>
            <w:r>
              <w:rPr>
                <w:color w:val="auto"/>
                <w:highlight w:val="none"/>
              </w:rPr>
              <w:t>80</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PM</w:t>
            </w:r>
            <w:r>
              <w:rPr>
                <w:color w:val="auto"/>
                <w:highlight w:val="none"/>
                <w:vertAlign w:val="subscript"/>
              </w:rPr>
              <w:t>10</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55</w:t>
            </w:r>
          </w:p>
        </w:tc>
        <w:tc>
          <w:tcPr>
            <w:tcW w:w="995" w:type="dxa"/>
            <w:vAlign w:val="center"/>
          </w:tcPr>
          <w:p>
            <w:pPr>
              <w:pStyle w:val="22"/>
              <w:bidi w:val="0"/>
              <w:rPr>
                <w:color w:val="auto"/>
                <w:highlight w:val="none"/>
              </w:rPr>
            </w:pPr>
            <w:r>
              <w:rPr>
                <w:color w:val="auto"/>
                <w:highlight w:val="none"/>
              </w:rPr>
              <w:t>70</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24小时平均第95百分位数：</w:t>
            </w:r>
            <w:r>
              <w:rPr>
                <w:rFonts w:hint="eastAsia"/>
                <w:color w:val="auto"/>
                <w:highlight w:val="none"/>
                <w:lang w:val="en-US" w:eastAsia="zh-CN"/>
              </w:rPr>
              <w:t>119</w:t>
            </w:r>
          </w:p>
        </w:tc>
        <w:tc>
          <w:tcPr>
            <w:tcW w:w="1137" w:type="dxa"/>
            <w:vAlign w:val="center"/>
          </w:tcPr>
          <w:p>
            <w:pPr>
              <w:pStyle w:val="22"/>
              <w:bidi w:val="0"/>
              <w:rPr>
                <w:color w:val="auto"/>
                <w:highlight w:val="none"/>
              </w:rPr>
            </w:pPr>
            <w:r>
              <w:rPr>
                <w:color w:val="auto"/>
                <w:highlight w:val="none"/>
              </w:rPr>
              <w:t>150</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PM</w:t>
            </w:r>
            <w:r>
              <w:rPr>
                <w:color w:val="auto"/>
                <w:highlight w:val="none"/>
                <w:vertAlign w:val="subscript"/>
              </w:rPr>
              <w:t>2.5</w:t>
            </w:r>
          </w:p>
        </w:tc>
        <w:tc>
          <w:tcPr>
            <w:tcW w:w="86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32.5</w:t>
            </w:r>
          </w:p>
        </w:tc>
        <w:tc>
          <w:tcPr>
            <w:tcW w:w="995" w:type="dxa"/>
            <w:vAlign w:val="center"/>
          </w:tcPr>
          <w:p>
            <w:pPr>
              <w:pStyle w:val="22"/>
              <w:bidi w:val="0"/>
              <w:rPr>
                <w:color w:val="auto"/>
                <w:highlight w:val="none"/>
              </w:rPr>
            </w:pPr>
            <w:r>
              <w:rPr>
                <w:color w:val="auto"/>
                <w:highlight w:val="none"/>
              </w:rPr>
              <w:t>35</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24小时平均第95百分位数：</w:t>
            </w:r>
            <w:r>
              <w:rPr>
                <w:rFonts w:hint="eastAsia"/>
                <w:b/>
                <w:bCs/>
                <w:color w:val="auto"/>
                <w:highlight w:val="none"/>
                <w:lang w:val="en-US" w:eastAsia="zh-CN"/>
              </w:rPr>
              <w:t>83</w:t>
            </w:r>
          </w:p>
        </w:tc>
        <w:tc>
          <w:tcPr>
            <w:tcW w:w="1137" w:type="dxa"/>
            <w:vAlign w:val="center"/>
          </w:tcPr>
          <w:p>
            <w:pPr>
              <w:pStyle w:val="22"/>
              <w:bidi w:val="0"/>
              <w:rPr>
                <w:color w:val="auto"/>
                <w:highlight w:val="none"/>
              </w:rPr>
            </w:pPr>
            <w:r>
              <w:rPr>
                <w:color w:val="auto"/>
                <w:highlight w:val="none"/>
              </w:rPr>
              <w:t>75</w:t>
            </w:r>
          </w:p>
        </w:tc>
        <w:tc>
          <w:tcPr>
            <w:tcW w:w="1100" w:type="dxa"/>
            <w:vAlign w:val="center"/>
          </w:tcPr>
          <w:p>
            <w:pPr>
              <w:pStyle w:val="22"/>
              <w:bidi w:val="0"/>
              <w:rPr>
                <w:color w:val="auto"/>
                <w:highlight w:val="none"/>
              </w:rPr>
            </w:pPr>
            <w:r>
              <w:rPr>
                <w:rFonts w:hint="eastAsia"/>
                <w:b/>
                <w:bCs/>
                <w:color w:val="auto"/>
                <w:highlight w:val="none"/>
                <w:lang w:eastAsia="zh-CN"/>
              </w:rPr>
              <w:t>不</w:t>
            </w:r>
            <w:r>
              <w:rPr>
                <w:b/>
                <w:bCs/>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CO①</w:t>
            </w:r>
          </w:p>
        </w:tc>
        <w:tc>
          <w:tcPr>
            <w:tcW w:w="1855" w:type="dxa"/>
            <w:gridSpan w:val="2"/>
            <w:vAlign w:val="center"/>
          </w:tcPr>
          <w:p>
            <w:pPr>
              <w:pStyle w:val="22"/>
              <w:bidi w:val="0"/>
              <w:rPr>
                <w:color w:val="auto"/>
                <w:highlight w:val="none"/>
              </w:rPr>
            </w:pPr>
            <w:r>
              <w:rPr>
                <w:color w:val="auto"/>
                <w:highlight w:val="none"/>
              </w:rPr>
              <w:t>/</w:t>
            </w:r>
          </w:p>
        </w:tc>
        <w:tc>
          <w:tcPr>
            <w:tcW w:w="3379" w:type="dxa"/>
            <w:vAlign w:val="center"/>
          </w:tcPr>
          <w:p>
            <w:pPr>
              <w:pStyle w:val="22"/>
              <w:bidi w:val="0"/>
              <w:rPr>
                <w:rFonts w:hint="default" w:eastAsia="宋体"/>
                <w:color w:val="auto"/>
                <w:highlight w:val="none"/>
                <w:lang w:val="en-US" w:eastAsia="zh-CN"/>
              </w:rPr>
            </w:pPr>
            <w:r>
              <w:rPr>
                <w:color w:val="auto"/>
                <w:highlight w:val="none"/>
              </w:rPr>
              <w:t>24小时平均第95百分位数：</w:t>
            </w:r>
            <w:r>
              <w:rPr>
                <w:rFonts w:hint="eastAsia"/>
                <w:color w:val="auto"/>
                <w:highlight w:val="none"/>
                <w:lang w:val="en-US" w:eastAsia="zh-CN"/>
              </w:rPr>
              <w:t>1.5</w:t>
            </w:r>
          </w:p>
        </w:tc>
        <w:tc>
          <w:tcPr>
            <w:tcW w:w="1137" w:type="dxa"/>
            <w:vAlign w:val="center"/>
          </w:tcPr>
          <w:p>
            <w:pPr>
              <w:pStyle w:val="22"/>
              <w:bidi w:val="0"/>
              <w:rPr>
                <w:color w:val="auto"/>
                <w:highlight w:val="none"/>
              </w:rPr>
            </w:pPr>
            <w:r>
              <w:rPr>
                <w:color w:val="auto"/>
                <w:highlight w:val="none"/>
              </w:rPr>
              <w:t>4</w:t>
            </w:r>
          </w:p>
        </w:tc>
        <w:tc>
          <w:tcPr>
            <w:tcW w:w="1100" w:type="dxa"/>
            <w:vAlign w:val="center"/>
          </w:tcPr>
          <w:p>
            <w:pPr>
              <w:pStyle w:val="22"/>
              <w:bidi w:val="0"/>
              <w:rPr>
                <w:color w:val="auto"/>
                <w:highlight w:val="none"/>
              </w:rPr>
            </w:pPr>
            <w:r>
              <w:rPr>
                <w:color w:val="auto"/>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6" w:type="dxa"/>
            <w:vAlign w:val="center"/>
          </w:tcPr>
          <w:p>
            <w:pPr>
              <w:pStyle w:val="22"/>
              <w:bidi w:val="0"/>
              <w:rPr>
                <w:color w:val="auto"/>
                <w:highlight w:val="none"/>
              </w:rPr>
            </w:pPr>
            <w:r>
              <w:rPr>
                <w:color w:val="auto"/>
                <w:highlight w:val="none"/>
              </w:rPr>
              <w:t>O</w:t>
            </w:r>
            <w:r>
              <w:rPr>
                <w:color w:val="auto"/>
                <w:highlight w:val="none"/>
                <w:vertAlign w:val="subscript"/>
              </w:rPr>
              <w:t>3</w:t>
            </w:r>
          </w:p>
        </w:tc>
        <w:tc>
          <w:tcPr>
            <w:tcW w:w="1855" w:type="dxa"/>
            <w:gridSpan w:val="2"/>
            <w:vAlign w:val="center"/>
          </w:tcPr>
          <w:p>
            <w:pPr>
              <w:pStyle w:val="22"/>
              <w:bidi w:val="0"/>
              <w:rPr>
                <w:color w:val="auto"/>
                <w:highlight w:val="none"/>
              </w:rPr>
            </w:pPr>
            <w:r>
              <w:rPr>
                <w:color w:val="auto"/>
                <w:highlight w:val="none"/>
              </w:rPr>
              <w:t>/</w:t>
            </w:r>
          </w:p>
        </w:tc>
        <w:tc>
          <w:tcPr>
            <w:tcW w:w="3379" w:type="dxa"/>
            <w:vAlign w:val="center"/>
          </w:tcPr>
          <w:p>
            <w:pPr>
              <w:pStyle w:val="22"/>
              <w:bidi w:val="0"/>
              <w:rPr>
                <w:rFonts w:hint="default" w:eastAsia="宋体"/>
                <w:color w:val="auto"/>
                <w:highlight w:val="none"/>
                <w:lang w:val="en-US" w:eastAsia="zh-CN"/>
              </w:rPr>
            </w:pPr>
            <w:r>
              <w:rPr>
                <w:color w:val="auto"/>
                <w:highlight w:val="none"/>
              </w:rPr>
              <w:t>日最大8小时滑动平均值的第90百分位数：</w:t>
            </w:r>
            <w:r>
              <w:rPr>
                <w:rFonts w:hint="eastAsia"/>
                <w:color w:val="auto"/>
                <w:highlight w:val="none"/>
                <w:lang w:val="en-US" w:eastAsia="zh-CN"/>
              </w:rPr>
              <w:t>123</w:t>
            </w:r>
          </w:p>
        </w:tc>
        <w:tc>
          <w:tcPr>
            <w:tcW w:w="1137" w:type="dxa"/>
            <w:vAlign w:val="center"/>
          </w:tcPr>
          <w:p>
            <w:pPr>
              <w:pStyle w:val="22"/>
              <w:bidi w:val="0"/>
              <w:rPr>
                <w:color w:val="auto"/>
                <w:highlight w:val="none"/>
              </w:rPr>
            </w:pPr>
            <w:r>
              <w:rPr>
                <w:color w:val="auto"/>
                <w:highlight w:val="none"/>
              </w:rPr>
              <w:t>160</w:t>
            </w:r>
          </w:p>
        </w:tc>
        <w:tc>
          <w:tcPr>
            <w:tcW w:w="1100" w:type="dxa"/>
            <w:vAlign w:val="center"/>
          </w:tcPr>
          <w:p>
            <w:pPr>
              <w:pStyle w:val="22"/>
              <w:bidi w:val="0"/>
              <w:rPr>
                <w:color w:val="auto"/>
                <w:highlight w:val="none"/>
              </w:rPr>
            </w:pPr>
            <w:r>
              <w:rPr>
                <w:color w:val="auto"/>
                <w:highlight w:val="none"/>
              </w:rPr>
              <w:t>达标</w:t>
            </w:r>
          </w:p>
        </w:tc>
      </w:tr>
    </w:tbl>
    <w:p>
      <w:pPr>
        <w:pStyle w:val="22"/>
        <w:bidi w:val="0"/>
        <w:rPr>
          <w:rFonts w:hint="eastAsia"/>
          <w:color w:val="auto"/>
          <w:highlight w:val="none"/>
          <w:lang w:eastAsia="zh-CN"/>
        </w:rPr>
      </w:pPr>
    </w:p>
    <w:p>
      <w:pPr>
        <w:bidi w:val="0"/>
        <w:rPr>
          <w:rFonts w:hint="default" w:eastAsia="宋体"/>
          <w:color w:val="auto"/>
          <w:highlight w:val="none"/>
          <w:lang w:val="en-US" w:eastAsia="zh-CN"/>
        </w:rPr>
      </w:pPr>
      <w:r>
        <w:rPr>
          <w:rFonts w:hint="eastAsia"/>
          <w:color w:val="auto"/>
          <w:highlight w:val="none"/>
          <w:lang w:eastAsia="zh-CN"/>
        </w:rPr>
        <w:t>按照</w:t>
      </w:r>
      <w:r>
        <w:rPr>
          <w:color w:val="auto"/>
          <w:highlight w:val="none"/>
        </w:rPr>
        <w:t>《环境影响评价技术导则大气环境》（HJ2.2-2018）</w:t>
      </w:r>
      <w:r>
        <w:rPr>
          <w:rFonts w:hint="eastAsia"/>
          <w:color w:val="auto"/>
          <w:highlight w:val="none"/>
          <w:lang w:eastAsia="zh-CN"/>
        </w:rPr>
        <w:t>中“</w:t>
      </w:r>
      <w:r>
        <w:rPr>
          <w:color w:val="auto"/>
          <w:highlight w:val="none"/>
        </w:rPr>
        <w:t>城市环境空气质量达标情况评价指标为六项污染物全部达标即为城市环境空气质量达标</w:t>
      </w:r>
      <w:r>
        <w:rPr>
          <w:rFonts w:hint="eastAsia"/>
          <w:color w:val="auto"/>
          <w:highlight w:val="none"/>
          <w:lang w:eastAsia="zh-CN"/>
        </w:rPr>
        <w:t>”</w:t>
      </w:r>
      <w:r>
        <w:rPr>
          <w:color w:val="auto"/>
          <w:highlight w:val="none"/>
        </w:rPr>
        <w:t>。因此，矿区所在区域</w:t>
      </w:r>
      <w:r>
        <w:rPr>
          <w:rFonts w:hint="eastAsia"/>
          <w:color w:val="auto"/>
          <w:highlight w:val="none"/>
          <w:lang w:eastAsia="zh-CN"/>
        </w:rPr>
        <w:t>（大竹县）</w:t>
      </w:r>
      <w:r>
        <w:rPr>
          <w:color w:val="auto"/>
          <w:highlight w:val="none"/>
        </w:rPr>
        <w:t>属于</w:t>
      </w:r>
      <w:r>
        <w:rPr>
          <w:color w:val="auto"/>
          <w:highlight w:val="none"/>
          <w:u w:val="single"/>
        </w:rPr>
        <w:t>环境空气质量不达标区</w:t>
      </w:r>
      <w:r>
        <w:rPr>
          <w:color w:val="auto"/>
          <w:highlight w:val="none"/>
        </w:rPr>
        <w:t>。</w:t>
      </w:r>
      <w:r>
        <w:rPr>
          <w:rFonts w:hint="eastAsia"/>
          <w:color w:val="auto"/>
          <w:highlight w:val="none"/>
          <w:lang w:eastAsia="zh-CN"/>
        </w:rPr>
        <w:t>主要超标因子为</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lang w:val="en-US" w:eastAsia="zh-CN"/>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大气环境容量计算模型</w:t>
      </w:r>
    </w:p>
    <w:p>
      <w:pPr>
        <w:bidi w:val="0"/>
        <w:rPr>
          <w:color w:val="auto"/>
          <w:highlight w:val="none"/>
        </w:rPr>
      </w:pPr>
      <w:r>
        <w:rPr>
          <w:color w:val="auto"/>
          <w:highlight w:val="none"/>
        </w:rPr>
        <w:t>根据《制定地方大气污染物排放标准的技术方法》（GB/T13201-91），本次评价使用A值法计算规划区的大气环境容量。</w:t>
      </w:r>
    </w:p>
    <w:p>
      <w:pPr>
        <w:bidi w:val="0"/>
        <w:rPr>
          <w:color w:val="auto"/>
          <w:highlight w:val="none"/>
        </w:rPr>
      </w:pPr>
      <w:r>
        <w:rPr>
          <w:color w:val="auto"/>
          <w:highlight w:val="none"/>
        </w:rPr>
        <w:t>规划区大气污染物年允许排放总量模型如下：</w:t>
      </w:r>
    </w:p>
    <w:p>
      <w:pPr>
        <w:adjustRightInd w:val="0"/>
        <w:snapToGrid w:val="0"/>
        <w:spacing w:line="360" w:lineRule="auto"/>
        <w:jc w:val="center"/>
        <w:rPr>
          <w:color w:val="auto"/>
          <w:sz w:val="28"/>
          <w:highlight w:val="none"/>
        </w:rPr>
      </w:pPr>
      <w:r>
        <w:rPr>
          <w:color w:val="auto"/>
          <w:sz w:val="28"/>
          <w:highlight w:val="none"/>
        </w:rPr>
        <w:t>Q</w:t>
      </w:r>
      <w:r>
        <w:rPr>
          <w:color w:val="auto"/>
          <w:sz w:val="28"/>
          <w:highlight w:val="none"/>
          <w:vertAlign w:val="subscript"/>
        </w:rPr>
        <w:t>ak</w:t>
      </w:r>
      <w:r>
        <w:rPr>
          <w:color w:val="auto"/>
          <w:sz w:val="28"/>
          <w:highlight w:val="none"/>
        </w:rPr>
        <w:t>=</w:t>
      </w:r>
      <w:r>
        <w:rPr>
          <w:color w:val="auto"/>
          <w:position w:val="-30"/>
          <w:sz w:val="28"/>
          <w:highlight w:val="none"/>
        </w:rPr>
        <w:object>
          <v:shape id="_x0000_i1040" o:spt="75" type="#_x0000_t75" style="height:35.15pt;width:149.85pt;" o:ole="t" filled="f" o:preferrelative="t" stroked="f" coordsize="21600,21600">
            <v:path/>
            <v:fill on="f" focussize="0,0"/>
            <v:stroke on="f" joinstyle="miter"/>
            <v:imagedata r:id="rId178" o:title=""/>
            <o:lock v:ext="edit" aspectratio="t"/>
            <w10:wrap type="none"/>
            <w10:anchorlock/>
          </v:shape>
          <o:OLEObject Type="Embed" ProgID="Equation.3" ShapeID="_x0000_i1040" DrawAspect="Content" ObjectID="_1468075740" r:id="rId177">
            <o:LockedField>false</o:LockedField>
          </o:OLEObject>
        </w:object>
      </w:r>
    </w:p>
    <w:p>
      <w:pPr>
        <w:adjustRightInd w:val="0"/>
        <w:snapToGrid w:val="0"/>
        <w:spacing w:line="360" w:lineRule="auto"/>
        <w:rPr>
          <w:i/>
          <w:color w:val="auto"/>
          <w:szCs w:val="28"/>
          <w:highlight w:val="none"/>
        </w:rPr>
      </w:pPr>
      <w:r>
        <w:rPr>
          <w:i/>
          <w:color w:val="auto"/>
          <w:szCs w:val="28"/>
          <w:highlight w:val="none"/>
        </w:rPr>
        <w:t>式中：Q</w:t>
      </w:r>
      <w:r>
        <w:rPr>
          <w:i/>
          <w:color w:val="auto"/>
          <w:szCs w:val="28"/>
          <w:highlight w:val="none"/>
          <w:vertAlign w:val="subscript"/>
        </w:rPr>
        <w:t>ak</w:t>
      </w:r>
      <w:r>
        <w:rPr>
          <w:i/>
          <w:color w:val="auto"/>
          <w:szCs w:val="28"/>
          <w:highlight w:val="none"/>
        </w:rPr>
        <w:t>——总量控制区某种污染物年允许排放总量限值（万t）；</w:t>
      </w:r>
    </w:p>
    <w:p>
      <w:pPr>
        <w:adjustRightInd w:val="0"/>
        <w:snapToGrid w:val="0"/>
        <w:spacing w:line="360" w:lineRule="auto"/>
        <w:rPr>
          <w:i/>
          <w:color w:val="auto"/>
          <w:szCs w:val="28"/>
          <w:highlight w:val="none"/>
        </w:rPr>
      </w:pPr>
      <w:r>
        <w:rPr>
          <w:i/>
          <w:color w:val="auto"/>
          <w:szCs w:val="28"/>
          <w:highlight w:val="none"/>
        </w:rPr>
        <w:t xml:space="preserve">          Si——第i功能区面积（km</w:t>
      </w:r>
      <w:r>
        <w:rPr>
          <w:i/>
          <w:color w:val="auto"/>
          <w:szCs w:val="28"/>
          <w:highlight w:val="none"/>
          <w:vertAlign w:val="superscript"/>
        </w:rPr>
        <w:t>2</w:t>
      </w:r>
      <w:r>
        <w:rPr>
          <w:i/>
          <w:color w:val="auto"/>
          <w:szCs w:val="28"/>
          <w:highlight w:val="none"/>
        </w:rPr>
        <w:t>）；</w:t>
      </w:r>
    </w:p>
    <w:p>
      <w:pPr>
        <w:adjustRightInd w:val="0"/>
        <w:snapToGrid w:val="0"/>
        <w:spacing w:line="360" w:lineRule="auto"/>
        <w:rPr>
          <w:i/>
          <w:color w:val="auto"/>
          <w:szCs w:val="28"/>
          <w:highlight w:val="none"/>
        </w:rPr>
      </w:pPr>
      <w:r>
        <w:rPr>
          <w:i/>
          <w:color w:val="auto"/>
          <w:szCs w:val="28"/>
          <w:highlight w:val="none"/>
        </w:rPr>
        <w:t xml:space="preserve">          n——总量控制区中功能区总数；</w:t>
      </w:r>
    </w:p>
    <w:p>
      <w:pPr>
        <w:adjustRightInd w:val="0"/>
        <w:snapToGrid w:val="0"/>
        <w:spacing w:line="360" w:lineRule="auto"/>
        <w:rPr>
          <w:i/>
          <w:color w:val="auto"/>
          <w:szCs w:val="28"/>
          <w:highlight w:val="none"/>
        </w:rPr>
      </w:pPr>
      <w:r>
        <w:rPr>
          <w:i/>
          <w:color w:val="auto"/>
          <w:szCs w:val="28"/>
          <w:highlight w:val="none"/>
        </w:rPr>
        <w:t xml:space="preserve">          C</w:t>
      </w:r>
      <w:r>
        <w:rPr>
          <w:i/>
          <w:color w:val="auto"/>
          <w:szCs w:val="28"/>
          <w:highlight w:val="none"/>
          <w:vertAlign w:val="subscript"/>
        </w:rPr>
        <w:t>ki</w:t>
      </w:r>
      <w:r>
        <w:rPr>
          <w:i/>
          <w:color w:val="auto"/>
          <w:szCs w:val="28"/>
          <w:highlight w:val="none"/>
        </w:rPr>
        <w:t>——GB3095等国家和地方有关大气环境质量标准所规定的与第i功能区类别相应的年日平均浓度限值（mg/m</w:t>
      </w:r>
      <w:r>
        <w:rPr>
          <w:i/>
          <w:color w:val="auto"/>
          <w:szCs w:val="28"/>
          <w:highlight w:val="none"/>
          <w:vertAlign w:val="superscript"/>
        </w:rPr>
        <w:t>3</w:t>
      </w:r>
      <w:r>
        <w:rPr>
          <w:i/>
          <w:color w:val="auto"/>
          <w:szCs w:val="28"/>
          <w:highlight w:val="none"/>
        </w:rPr>
        <w:t>）；</w:t>
      </w:r>
    </w:p>
    <w:p>
      <w:pPr>
        <w:adjustRightInd w:val="0"/>
        <w:snapToGrid w:val="0"/>
        <w:spacing w:line="360" w:lineRule="auto"/>
        <w:rPr>
          <w:i/>
          <w:color w:val="auto"/>
          <w:highlight w:val="none"/>
        </w:rPr>
      </w:pPr>
      <w:r>
        <w:rPr>
          <w:i/>
          <w:color w:val="auto"/>
          <w:highlight w:val="none"/>
        </w:rPr>
        <w:t xml:space="preserve">          C</w:t>
      </w:r>
      <w:r>
        <w:rPr>
          <w:i/>
          <w:color w:val="auto"/>
          <w:highlight w:val="none"/>
          <w:vertAlign w:val="subscript"/>
        </w:rPr>
        <w:t>o</w:t>
      </w:r>
      <w:r>
        <w:rPr>
          <w:i/>
          <w:color w:val="auto"/>
          <w:highlight w:val="none"/>
        </w:rPr>
        <w:t>——区域大气环境质量年日平均浓度；</w:t>
      </w:r>
    </w:p>
    <w:p>
      <w:pPr>
        <w:bidi w:val="0"/>
        <w:ind w:firstLine="1200" w:firstLineChars="500"/>
        <w:rPr>
          <w:i/>
          <w:color w:val="auto"/>
          <w:szCs w:val="28"/>
          <w:highlight w:val="none"/>
        </w:rPr>
      </w:pPr>
      <w:r>
        <w:rPr>
          <w:i/>
          <w:color w:val="auto"/>
          <w:szCs w:val="28"/>
          <w:highlight w:val="none"/>
        </w:rPr>
        <w:t>A——地理区域性总量控制系数（10</w:t>
      </w:r>
      <w:r>
        <w:rPr>
          <w:i/>
          <w:color w:val="auto"/>
          <w:szCs w:val="28"/>
          <w:highlight w:val="none"/>
          <w:vertAlign w:val="superscript"/>
        </w:rPr>
        <w:t>4</w:t>
      </w:r>
      <w:r>
        <w:rPr>
          <w:i/>
          <w:color w:val="auto"/>
          <w:szCs w:val="28"/>
          <w:highlight w:val="none"/>
        </w:rPr>
        <w:t>t.km</w:t>
      </w:r>
      <w:r>
        <w:rPr>
          <w:i/>
          <w:color w:val="auto"/>
          <w:szCs w:val="28"/>
          <w:highlight w:val="none"/>
          <w:vertAlign w:val="superscript"/>
        </w:rPr>
        <w:t>2</w:t>
      </w:r>
      <w:r>
        <w:rPr>
          <w:i/>
          <w:color w:val="auto"/>
          <w:szCs w:val="28"/>
          <w:highlight w:val="none"/>
        </w:rPr>
        <w:t>/a）。</w:t>
      </w:r>
    </w:p>
    <w:p>
      <w:pPr>
        <w:bidi w:val="0"/>
        <w:rPr>
          <w:color w:val="auto"/>
          <w:highlight w:val="none"/>
        </w:rPr>
      </w:pPr>
      <w:r>
        <w:rPr>
          <w:color w:val="auto"/>
          <w:highlight w:val="none"/>
        </w:rPr>
        <w:t>由于上述方法未考虑低于30m的低矮源排放，区域评价应对此计算。按照“A值法”规定，对于低于30m的低矮污染源排放总量限值模型为：</w:t>
      </w:r>
    </w:p>
    <w:p>
      <w:pPr>
        <w:bidi w:val="0"/>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Q</w:t>
      </w:r>
      <w:r>
        <w:rPr>
          <w:rFonts w:hint="default" w:ascii="Times New Roman" w:hAnsi="Times New Roman" w:cs="Times New Roman"/>
          <w:i w:val="0"/>
          <w:iCs w:val="0"/>
          <w:color w:val="auto"/>
          <w:highlight w:val="none"/>
          <w:vertAlign w:val="subscript"/>
        </w:rPr>
        <w:t>低</w:t>
      </w:r>
      <w:r>
        <w:rPr>
          <w:rFonts w:hint="default" w:ascii="Times New Roman" w:hAnsi="Times New Roman" w:cs="Times New Roman"/>
          <w:i w:val="0"/>
          <w:iCs w:val="0"/>
          <w:color w:val="auto"/>
          <w:highlight w:val="none"/>
        </w:rPr>
        <w:t>＝aQ（a取0.15）</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大气环境容量计算结果</w:t>
      </w:r>
    </w:p>
    <w:p>
      <w:pPr>
        <w:bidi w:val="0"/>
        <w:rPr>
          <w:color w:val="auto"/>
          <w:highlight w:val="none"/>
        </w:rPr>
      </w:pPr>
      <w:r>
        <w:rPr>
          <w:color w:val="auto"/>
          <w:highlight w:val="none"/>
        </w:rPr>
        <w:t>根据国家关于SO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减排和总量控制的要求，本次评价以总规划区的SO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为总量控制指标，根据《制定地方大气污染物排放标准的技术方法》（GB/T13201-91），A值为2.8～4.2（见表6.2-</w:t>
      </w:r>
      <w:r>
        <w:rPr>
          <w:rFonts w:hint="eastAsia"/>
          <w:color w:val="auto"/>
          <w:highlight w:val="none"/>
          <w:lang w:val="en-US" w:eastAsia="zh-CN"/>
        </w:rPr>
        <w:t>2</w:t>
      </w:r>
      <w:r>
        <w:rPr>
          <w:color w:val="auto"/>
          <w:highlight w:val="none"/>
        </w:rPr>
        <w:t>），</w:t>
      </w:r>
      <w:r>
        <w:rPr>
          <w:color w:val="auto"/>
          <w:spacing w:val="-2"/>
          <w:sz w:val="24"/>
          <w:highlight w:val="none"/>
        </w:rPr>
        <w:t>系数A系由通风能力确定的一个参数，取决于平均风速的大小和混合层高度，考虑到评价区域所处地区平均风速较大、静风频率较低、混合层高度较高、并结合</w:t>
      </w:r>
      <w:r>
        <w:rPr>
          <w:rFonts w:hint="eastAsia"/>
          <w:color w:val="auto"/>
          <w:spacing w:val="-2"/>
          <w:sz w:val="24"/>
          <w:highlight w:val="none"/>
          <w:lang w:eastAsia="zh-CN"/>
        </w:rPr>
        <w:t>矿</w:t>
      </w:r>
      <w:r>
        <w:rPr>
          <w:color w:val="auto"/>
          <w:spacing w:val="-2"/>
          <w:sz w:val="24"/>
          <w:highlight w:val="none"/>
        </w:rPr>
        <w:t>区具体位置考虑</w:t>
      </w:r>
      <w:r>
        <w:rPr>
          <w:color w:val="auto"/>
          <w:highlight w:val="none"/>
        </w:rPr>
        <w:t>，</w:t>
      </w:r>
      <w:r>
        <w:rPr>
          <w:rFonts w:hint="eastAsia"/>
          <w:color w:val="auto"/>
          <w:highlight w:val="none"/>
          <w:lang w:val="en-US" w:eastAsia="zh-CN"/>
        </w:rPr>
        <w:t>A</w:t>
      </w:r>
      <w:r>
        <w:rPr>
          <w:color w:val="auto"/>
          <w:highlight w:val="none"/>
        </w:rPr>
        <w:t>取</w:t>
      </w:r>
      <w:r>
        <w:rPr>
          <w:rFonts w:hint="eastAsia"/>
          <w:color w:val="auto"/>
          <w:highlight w:val="none"/>
          <w:lang w:val="en-US" w:eastAsia="zh-CN"/>
        </w:rPr>
        <w:t>3.5</w:t>
      </w:r>
      <w:r>
        <w:rPr>
          <w:color w:val="auto"/>
          <w:highlight w:val="none"/>
        </w:rPr>
        <w:t>。矿区所在的区域环境功能区划执行二类区二级标准，取二级标准为控制目标，即0.06mg/m</w:t>
      </w:r>
      <w:r>
        <w:rPr>
          <w:color w:val="auto"/>
          <w:highlight w:val="none"/>
          <w:vertAlign w:val="superscript"/>
        </w:rPr>
        <w:t>3</w:t>
      </w:r>
      <w:r>
        <w:rPr>
          <w:color w:val="auto"/>
          <w:highlight w:val="none"/>
        </w:rPr>
        <w:t>、0.04mg/m</w:t>
      </w:r>
      <w:r>
        <w:rPr>
          <w:color w:val="auto"/>
          <w:highlight w:val="none"/>
          <w:vertAlign w:val="superscript"/>
        </w:rPr>
        <w:t>3</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6.2-</w:t>
      </w:r>
      <w:r>
        <w:rPr>
          <w:rFonts w:hint="eastAsia"/>
          <w:b/>
          <w:color w:val="auto"/>
          <w:sz w:val="21"/>
          <w:highlight w:val="none"/>
          <w:lang w:val="en-US" w:eastAsia="zh-CN"/>
        </w:rPr>
        <w:t xml:space="preserve">2   </w:t>
      </w:r>
      <w:r>
        <w:rPr>
          <w:b/>
          <w:color w:val="auto"/>
          <w:sz w:val="21"/>
          <w:highlight w:val="none"/>
        </w:rPr>
        <w:t>总量控制系数</w:t>
      </w:r>
      <w:r>
        <w:rPr>
          <w:rFonts w:ascii="Times New Roman" w:eastAsia="Times New Roman"/>
          <w:b/>
          <w:color w:val="auto"/>
          <w:sz w:val="21"/>
          <w:highlight w:val="none"/>
        </w:rPr>
        <w:t>A</w:t>
      </w:r>
      <w:r>
        <w:rPr>
          <w:b/>
          <w:color w:val="auto"/>
          <w:sz w:val="21"/>
          <w:highlight w:val="none"/>
        </w:rPr>
        <w:t>值表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6016"/>
        <w:gridCol w:w="1117"/>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842" w:type="dxa"/>
            <w:vAlign w:val="center"/>
          </w:tcPr>
          <w:p>
            <w:pPr>
              <w:pStyle w:val="22"/>
              <w:bidi w:val="0"/>
              <w:rPr>
                <w:color w:val="auto"/>
                <w:highlight w:val="none"/>
              </w:rPr>
            </w:pPr>
            <w:r>
              <w:rPr>
                <w:color w:val="auto"/>
                <w:highlight w:val="none"/>
              </w:rPr>
              <w:t>地区</w:t>
            </w:r>
          </w:p>
          <w:p>
            <w:pPr>
              <w:pStyle w:val="22"/>
              <w:bidi w:val="0"/>
              <w:rPr>
                <w:color w:val="auto"/>
                <w:highlight w:val="none"/>
              </w:rPr>
            </w:pPr>
            <w:r>
              <w:rPr>
                <w:color w:val="auto"/>
                <w:highlight w:val="none"/>
              </w:rPr>
              <w:t>序号</w:t>
            </w:r>
          </w:p>
        </w:tc>
        <w:tc>
          <w:tcPr>
            <w:tcW w:w="6016" w:type="dxa"/>
            <w:vAlign w:val="center"/>
          </w:tcPr>
          <w:p>
            <w:pPr>
              <w:pStyle w:val="22"/>
              <w:bidi w:val="0"/>
              <w:rPr>
                <w:color w:val="auto"/>
                <w:highlight w:val="none"/>
              </w:rPr>
            </w:pPr>
            <w:r>
              <w:rPr>
                <w:color w:val="auto"/>
                <w:highlight w:val="none"/>
              </w:rPr>
              <w:t>省市名</w:t>
            </w:r>
          </w:p>
        </w:tc>
        <w:tc>
          <w:tcPr>
            <w:tcW w:w="1117" w:type="dxa"/>
            <w:vAlign w:val="center"/>
          </w:tcPr>
          <w:p>
            <w:pPr>
              <w:pStyle w:val="22"/>
              <w:bidi w:val="0"/>
              <w:rPr>
                <w:color w:val="auto"/>
                <w:highlight w:val="none"/>
              </w:rPr>
            </w:pPr>
            <w:r>
              <w:rPr>
                <w:color w:val="auto"/>
                <w:highlight w:val="none"/>
              </w:rPr>
              <w:t>A</w:t>
            </w:r>
          </w:p>
        </w:tc>
        <w:tc>
          <w:tcPr>
            <w:tcW w:w="1125" w:type="dxa"/>
            <w:vAlign w:val="center"/>
          </w:tcPr>
          <w:p>
            <w:pPr>
              <w:pStyle w:val="22"/>
              <w:bidi w:val="0"/>
              <w:rPr>
                <w:color w:val="auto"/>
                <w:highlight w:val="none"/>
              </w:rPr>
            </w:pPr>
            <w:r>
              <w:rPr>
                <w:color w:val="auto"/>
                <w:highlight w:val="none"/>
              </w:rPr>
              <w:t>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2" w:type="dxa"/>
            <w:vAlign w:val="center"/>
          </w:tcPr>
          <w:p>
            <w:pPr>
              <w:pStyle w:val="22"/>
              <w:bidi w:val="0"/>
              <w:rPr>
                <w:color w:val="auto"/>
                <w:highlight w:val="none"/>
              </w:rPr>
            </w:pPr>
            <w:r>
              <w:rPr>
                <w:color w:val="auto"/>
                <w:highlight w:val="none"/>
              </w:rPr>
              <w:t>1</w:t>
            </w:r>
          </w:p>
        </w:tc>
        <w:tc>
          <w:tcPr>
            <w:tcW w:w="6016" w:type="dxa"/>
            <w:vAlign w:val="center"/>
          </w:tcPr>
          <w:p>
            <w:pPr>
              <w:pStyle w:val="22"/>
              <w:bidi w:val="0"/>
              <w:rPr>
                <w:color w:val="auto"/>
                <w:highlight w:val="none"/>
              </w:rPr>
            </w:pPr>
            <w:r>
              <w:rPr>
                <w:color w:val="auto"/>
                <w:highlight w:val="none"/>
              </w:rPr>
              <w:t>新疆、西藏、青海</w:t>
            </w:r>
          </w:p>
        </w:tc>
        <w:tc>
          <w:tcPr>
            <w:tcW w:w="1117" w:type="dxa"/>
            <w:vAlign w:val="center"/>
          </w:tcPr>
          <w:p>
            <w:pPr>
              <w:pStyle w:val="22"/>
              <w:bidi w:val="0"/>
              <w:rPr>
                <w:color w:val="auto"/>
                <w:highlight w:val="none"/>
              </w:rPr>
            </w:pPr>
            <w:r>
              <w:rPr>
                <w:color w:val="auto"/>
                <w:highlight w:val="none"/>
              </w:rPr>
              <w:t>7.0~8.4</w:t>
            </w:r>
          </w:p>
        </w:tc>
        <w:tc>
          <w:tcPr>
            <w:tcW w:w="1125" w:type="dxa"/>
            <w:vAlign w:val="center"/>
          </w:tcPr>
          <w:p>
            <w:pPr>
              <w:pStyle w:val="22"/>
              <w:bidi w:val="0"/>
              <w:rPr>
                <w:color w:val="auto"/>
                <w:highlight w:val="none"/>
              </w:rPr>
            </w:pPr>
            <w:r>
              <w:rPr>
                <w:color w:val="auto"/>
                <w:highlight w:val="none"/>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2" w:type="dxa"/>
            <w:vAlign w:val="center"/>
          </w:tcPr>
          <w:p>
            <w:pPr>
              <w:pStyle w:val="22"/>
              <w:bidi w:val="0"/>
              <w:rPr>
                <w:color w:val="auto"/>
                <w:highlight w:val="none"/>
              </w:rPr>
            </w:pPr>
            <w:r>
              <w:rPr>
                <w:color w:val="auto"/>
                <w:highlight w:val="none"/>
              </w:rPr>
              <w:t>2</w:t>
            </w:r>
          </w:p>
        </w:tc>
        <w:tc>
          <w:tcPr>
            <w:tcW w:w="6016" w:type="dxa"/>
            <w:vAlign w:val="center"/>
          </w:tcPr>
          <w:p>
            <w:pPr>
              <w:pStyle w:val="22"/>
              <w:bidi w:val="0"/>
              <w:rPr>
                <w:color w:val="auto"/>
                <w:highlight w:val="none"/>
              </w:rPr>
            </w:pPr>
            <w:r>
              <w:rPr>
                <w:color w:val="auto"/>
                <w:highlight w:val="none"/>
              </w:rPr>
              <w:t>黑龙江、吉林、辽宁，内蒙古（阴山以北）</w:t>
            </w:r>
          </w:p>
        </w:tc>
        <w:tc>
          <w:tcPr>
            <w:tcW w:w="1117" w:type="dxa"/>
            <w:vAlign w:val="center"/>
          </w:tcPr>
          <w:p>
            <w:pPr>
              <w:pStyle w:val="22"/>
              <w:bidi w:val="0"/>
              <w:rPr>
                <w:color w:val="auto"/>
                <w:highlight w:val="none"/>
              </w:rPr>
            </w:pPr>
            <w:r>
              <w:rPr>
                <w:color w:val="auto"/>
                <w:highlight w:val="none"/>
              </w:rPr>
              <w:t>5.6~7.0</w:t>
            </w:r>
          </w:p>
        </w:tc>
        <w:tc>
          <w:tcPr>
            <w:tcW w:w="1125" w:type="dxa"/>
            <w:vAlign w:val="center"/>
          </w:tcPr>
          <w:p>
            <w:pPr>
              <w:pStyle w:val="22"/>
              <w:bidi w:val="0"/>
              <w:rPr>
                <w:color w:val="auto"/>
                <w:highlight w:val="none"/>
              </w:rPr>
            </w:pPr>
            <w:r>
              <w:rPr>
                <w:color w:val="auto"/>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842" w:type="dxa"/>
            <w:vAlign w:val="center"/>
          </w:tcPr>
          <w:p>
            <w:pPr>
              <w:pStyle w:val="22"/>
              <w:bidi w:val="0"/>
              <w:rPr>
                <w:color w:val="auto"/>
                <w:highlight w:val="none"/>
              </w:rPr>
            </w:pPr>
            <w:r>
              <w:rPr>
                <w:color w:val="auto"/>
                <w:highlight w:val="none"/>
              </w:rPr>
              <w:t>3</w:t>
            </w:r>
          </w:p>
        </w:tc>
        <w:tc>
          <w:tcPr>
            <w:tcW w:w="6016" w:type="dxa"/>
            <w:vAlign w:val="center"/>
          </w:tcPr>
          <w:p>
            <w:pPr>
              <w:pStyle w:val="22"/>
              <w:bidi w:val="0"/>
              <w:rPr>
                <w:color w:val="auto"/>
                <w:highlight w:val="none"/>
              </w:rPr>
            </w:pPr>
            <w:r>
              <w:rPr>
                <w:color w:val="auto"/>
                <w:highlight w:val="none"/>
              </w:rPr>
              <w:t>北京、天津、河北，河南、山东</w:t>
            </w:r>
          </w:p>
        </w:tc>
        <w:tc>
          <w:tcPr>
            <w:tcW w:w="1117" w:type="dxa"/>
            <w:vAlign w:val="center"/>
          </w:tcPr>
          <w:p>
            <w:pPr>
              <w:pStyle w:val="22"/>
              <w:bidi w:val="0"/>
              <w:rPr>
                <w:color w:val="auto"/>
                <w:highlight w:val="none"/>
              </w:rPr>
            </w:pPr>
            <w:r>
              <w:rPr>
                <w:color w:val="auto"/>
                <w:highlight w:val="none"/>
              </w:rPr>
              <w:t>4.2~5.6</w:t>
            </w:r>
          </w:p>
        </w:tc>
        <w:tc>
          <w:tcPr>
            <w:tcW w:w="1125" w:type="dxa"/>
            <w:vAlign w:val="center"/>
          </w:tcPr>
          <w:p>
            <w:pPr>
              <w:pStyle w:val="22"/>
              <w:bidi w:val="0"/>
              <w:rPr>
                <w:color w:val="auto"/>
                <w:highlight w:val="none"/>
              </w:rPr>
            </w:pPr>
            <w:r>
              <w:rPr>
                <w:color w:val="auto"/>
                <w:highlight w:val="none"/>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842" w:type="dxa"/>
            <w:vAlign w:val="center"/>
          </w:tcPr>
          <w:p>
            <w:pPr>
              <w:pStyle w:val="22"/>
              <w:bidi w:val="0"/>
              <w:rPr>
                <w:color w:val="auto"/>
                <w:highlight w:val="none"/>
              </w:rPr>
            </w:pPr>
            <w:r>
              <w:rPr>
                <w:color w:val="auto"/>
                <w:highlight w:val="none"/>
              </w:rPr>
              <w:t>4</w:t>
            </w:r>
          </w:p>
        </w:tc>
        <w:tc>
          <w:tcPr>
            <w:tcW w:w="6016" w:type="dxa"/>
            <w:vAlign w:val="center"/>
          </w:tcPr>
          <w:p>
            <w:pPr>
              <w:pStyle w:val="22"/>
              <w:bidi w:val="0"/>
              <w:rPr>
                <w:color w:val="auto"/>
                <w:highlight w:val="none"/>
              </w:rPr>
            </w:pPr>
            <w:r>
              <w:rPr>
                <w:color w:val="auto"/>
                <w:highlight w:val="none"/>
              </w:rPr>
              <w:t>内蒙古（阴山以北），山西、陕西（秦岭以北）、宁夏、甘肃</w:t>
            </w:r>
          </w:p>
          <w:p>
            <w:pPr>
              <w:pStyle w:val="22"/>
              <w:bidi w:val="0"/>
              <w:rPr>
                <w:color w:val="auto"/>
                <w:highlight w:val="none"/>
              </w:rPr>
            </w:pPr>
            <w:r>
              <w:rPr>
                <w:color w:val="auto"/>
                <w:highlight w:val="none"/>
              </w:rPr>
              <w:t>（渭河以北）</w:t>
            </w:r>
          </w:p>
        </w:tc>
        <w:tc>
          <w:tcPr>
            <w:tcW w:w="1117" w:type="dxa"/>
            <w:vAlign w:val="center"/>
          </w:tcPr>
          <w:p>
            <w:pPr>
              <w:pStyle w:val="22"/>
              <w:bidi w:val="0"/>
              <w:rPr>
                <w:color w:val="auto"/>
                <w:highlight w:val="none"/>
              </w:rPr>
            </w:pPr>
            <w:r>
              <w:rPr>
                <w:color w:val="auto"/>
                <w:highlight w:val="none"/>
              </w:rPr>
              <w:t>3.5~4.9</w:t>
            </w:r>
          </w:p>
        </w:tc>
        <w:tc>
          <w:tcPr>
            <w:tcW w:w="1125" w:type="dxa"/>
            <w:vAlign w:val="center"/>
          </w:tcPr>
          <w:p>
            <w:pPr>
              <w:pStyle w:val="22"/>
              <w:bidi w:val="0"/>
              <w:rPr>
                <w:color w:val="auto"/>
                <w:highlight w:val="none"/>
              </w:rPr>
            </w:pPr>
            <w:r>
              <w:rPr>
                <w:color w:val="auto"/>
                <w:highlight w:val="non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842" w:type="dxa"/>
            <w:vAlign w:val="center"/>
          </w:tcPr>
          <w:p>
            <w:pPr>
              <w:pStyle w:val="22"/>
              <w:bidi w:val="0"/>
              <w:rPr>
                <w:color w:val="auto"/>
                <w:highlight w:val="none"/>
              </w:rPr>
            </w:pPr>
            <w:r>
              <w:rPr>
                <w:color w:val="auto"/>
                <w:highlight w:val="none"/>
              </w:rPr>
              <w:t>5</w:t>
            </w:r>
          </w:p>
        </w:tc>
        <w:tc>
          <w:tcPr>
            <w:tcW w:w="6016" w:type="dxa"/>
            <w:vAlign w:val="center"/>
          </w:tcPr>
          <w:p>
            <w:pPr>
              <w:pStyle w:val="22"/>
              <w:bidi w:val="0"/>
              <w:rPr>
                <w:color w:val="auto"/>
                <w:highlight w:val="none"/>
              </w:rPr>
            </w:pPr>
            <w:r>
              <w:rPr>
                <w:color w:val="auto"/>
                <w:highlight w:val="none"/>
              </w:rPr>
              <w:t>上海、广东、广西、湖南、湖北、江苏，浙江、安徽、海南、 台湾、福建、江西</w:t>
            </w:r>
          </w:p>
        </w:tc>
        <w:tc>
          <w:tcPr>
            <w:tcW w:w="1117" w:type="dxa"/>
            <w:vAlign w:val="center"/>
          </w:tcPr>
          <w:p>
            <w:pPr>
              <w:pStyle w:val="22"/>
              <w:bidi w:val="0"/>
              <w:rPr>
                <w:color w:val="auto"/>
                <w:highlight w:val="none"/>
              </w:rPr>
            </w:pPr>
            <w:r>
              <w:rPr>
                <w:color w:val="auto"/>
                <w:highlight w:val="none"/>
              </w:rPr>
              <w:t>3.5~4.9</w:t>
            </w:r>
          </w:p>
        </w:tc>
        <w:tc>
          <w:tcPr>
            <w:tcW w:w="1125" w:type="dxa"/>
            <w:vAlign w:val="center"/>
          </w:tcPr>
          <w:p>
            <w:pPr>
              <w:pStyle w:val="22"/>
              <w:bidi w:val="0"/>
              <w:rPr>
                <w:color w:val="auto"/>
                <w:highlight w:val="none"/>
              </w:rPr>
            </w:pPr>
            <w:r>
              <w:rPr>
                <w:color w:val="auto"/>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2" w:type="dxa"/>
            <w:vAlign w:val="center"/>
          </w:tcPr>
          <w:p>
            <w:pPr>
              <w:pStyle w:val="22"/>
              <w:bidi w:val="0"/>
              <w:rPr>
                <w:b/>
                <w:bCs/>
                <w:color w:val="auto"/>
                <w:highlight w:val="none"/>
              </w:rPr>
            </w:pPr>
            <w:r>
              <w:rPr>
                <w:b/>
                <w:bCs/>
                <w:color w:val="auto"/>
                <w:highlight w:val="none"/>
              </w:rPr>
              <w:t>6</w:t>
            </w:r>
          </w:p>
        </w:tc>
        <w:tc>
          <w:tcPr>
            <w:tcW w:w="6016" w:type="dxa"/>
            <w:vAlign w:val="center"/>
          </w:tcPr>
          <w:p>
            <w:pPr>
              <w:pStyle w:val="22"/>
              <w:bidi w:val="0"/>
              <w:rPr>
                <w:b/>
                <w:bCs/>
                <w:color w:val="auto"/>
                <w:highlight w:val="none"/>
              </w:rPr>
            </w:pPr>
            <w:r>
              <w:rPr>
                <w:b/>
                <w:bCs/>
                <w:color w:val="auto"/>
                <w:highlight w:val="none"/>
              </w:rPr>
              <w:t>云南、贵州、四川、甘肃（渭河以南）、陕西（秦岭以南）</w:t>
            </w:r>
          </w:p>
        </w:tc>
        <w:tc>
          <w:tcPr>
            <w:tcW w:w="1117" w:type="dxa"/>
            <w:vAlign w:val="center"/>
          </w:tcPr>
          <w:p>
            <w:pPr>
              <w:pStyle w:val="22"/>
              <w:bidi w:val="0"/>
              <w:rPr>
                <w:b/>
                <w:bCs/>
                <w:color w:val="auto"/>
                <w:highlight w:val="none"/>
              </w:rPr>
            </w:pPr>
            <w:r>
              <w:rPr>
                <w:b/>
                <w:bCs/>
                <w:color w:val="auto"/>
                <w:highlight w:val="none"/>
              </w:rPr>
              <w:t>2.8~4.2</w:t>
            </w:r>
          </w:p>
        </w:tc>
        <w:tc>
          <w:tcPr>
            <w:tcW w:w="1125" w:type="dxa"/>
            <w:vAlign w:val="center"/>
          </w:tcPr>
          <w:p>
            <w:pPr>
              <w:pStyle w:val="22"/>
              <w:bidi w:val="0"/>
              <w:rPr>
                <w:b/>
                <w:bCs/>
                <w:color w:val="auto"/>
                <w:highlight w:val="none"/>
              </w:rPr>
            </w:pPr>
            <w:r>
              <w:rPr>
                <w:b/>
                <w:bCs/>
                <w:color w:val="auto"/>
                <w:highlight w:val="none"/>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842" w:type="dxa"/>
            <w:vAlign w:val="center"/>
          </w:tcPr>
          <w:p>
            <w:pPr>
              <w:pStyle w:val="22"/>
              <w:bidi w:val="0"/>
              <w:rPr>
                <w:color w:val="auto"/>
                <w:highlight w:val="none"/>
              </w:rPr>
            </w:pPr>
            <w:r>
              <w:rPr>
                <w:color w:val="auto"/>
                <w:highlight w:val="none"/>
              </w:rPr>
              <w:t>7</w:t>
            </w:r>
          </w:p>
        </w:tc>
        <w:tc>
          <w:tcPr>
            <w:tcW w:w="6016" w:type="dxa"/>
            <w:vAlign w:val="center"/>
          </w:tcPr>
          <w:p>
            <w:pPr>
              <w:pStyle w:val="22"/>
              <w:bidi w:val="0"/>
              <w:rPr>
                <w:color w:val="auto"/>
                <w:highlight w:val="none"/>
              </w:rPr>
            </w:pPr>
            <w:r>
              <w:rPr>
                <w:color w:val="auto"/>
                <w:highlight w:val="none"/>
              </w:rPr>
              <w:t>静风区（年平均风速小于1m/s）</w:t>
            </w:r>
          </w:p>
        </w:tc>
        <w:tc>
          <w:tcPr>
            <w:tcW w:w="1117" w:type="dxa"/>
            <w:vAlign w:val="center"/>
          </w:tcPr>
          <w:p>
            <w:pPr>
              <w:pStyle w:val="22"/>
              <w:bidi w:val="0"/>
              <w:rPr>
                <w:color w:val="auto"/>
                <w:highlight w:val="none"/>
              </w:rPr>
            </w:pPr>
            <w:r>
              <w:rPr>
                <w:color w:val="auto"/>
                <w:highlight w:val="none"/>
              </w:rPr>
              <w:t>1.4~2.8</w:t>
            </w:r>
          </w:p>
        </w:tc>
        <w:tc>
          <w:tcPr>
            <w:tcW w:w="1125" w:type="dxa"/>
            <w:vAlign w:val="center"/>
          </w:tcPr>
          <w:p>
            <w:pPr>
              <w:pStyle w:val="22"/>
              <w:bidi w:val="0"/>
              <w:rPr>
                <w:color w:val="auto"/>
                <w:highlight w:val="none"/>
              </w:rPr>
            </w:pPr>
            <w:r>
              <w:rPr>
                <w:color w:val="auto"/>
                <w:highlight w:val="none"/>
              </w:rPr>
              <w:t>0.25</w:t>
            </w:r>
          </w:p>
        </w:tc>
      </w:tr>
    </w:tbl>
    <w:p>
      <w:pPr>
        <w:bidi w:val="0"/>
        <w:rPr>
          <w:color w:val="auto"/>
          <w:highlight w:val="none"/>
        </w:rPr>
      </w:pPr>
      <w:r>
        <w:rPr>
          <w:color w:val="auto"/>
          <w:highlight w:val="none"/>
        </w:rPr>
        <w:t>计算的参数及结果见表</w:t>
      </w:r>
      <w:r>
        <w:rPr>
          <w:rFonts w:ascii="Times New Roman" w:eastAsia="Times New Roman"/>
          <w:color w:val="auto"/>
          <w:highlight w:val="none"/>
        </w:rPr>
        <w:t>6.2-</w:t>
      </w:r>
      <w:r>
        <w:rPr>
          <w:rFonts w:hint="eastAsia"/>
          <w:color w:val="auto"/>
          <w:highlight w:val="none"/>
          <w:lang w:val="en-US" w:eastAsia="zh-CN"/>
        </w:rPr>
        <w:t>3</w:t>
      </w:r>
      <w:r>
        <w:rPr>
          <w:color w:val="auto"/>
          <w:highlight w:val="none"/>
        </w:rPr>
        <w:t>。</w:t>
      </w:r>
    </w:p>
    <w:p>
      <w:pPr>
        <w:pStyle w:val="22"/>
        <w:bidi w:val="0"/>
        <w:rPr>
          <w:b/>
          <w:color w:val="auto"/>
          <w:sz w:val="21"/>
          <w:highlight w:val="none"/>
        </w:rPr>
      </w:pPr>
      <w:r>
        <w:rPr>
          <w:b/>
          <w:color w:val="auto"/>
          <w:sz w:val="21"/>
          <w:highlight w:val="none"/>
        </w:rPr>
        <w:t>表</w:t>
      </w:r>
      <w:r>
        <w:rPr>
          <w:rFonts w:ascii="Times New Roman" w:eastAsia="Times New Roman"/>
          <w:b/>
          <w:color w:val="auto"/>
          <w:sz w:val="21"/>
          <w:highlight w:val="none"/>
        </w:rPr>
        <w:t>6.2-</w:t>
      </w:r>
      <w:r>
        <w:rPr>
          <w:rFonts w:hint="eastAsia"/>
          <w:b/>
          <w:color w:val="auto"/>
          <w:sz w:val="21"/>
          <w:highlight w:val="none"/>
          <w:lang w:val="en-US" w:eastAsia="zh-CN"/>
        </w:rPr>
        <w:t>3</w:t>
      </w:r>
      <w:r>
        <w:rPr>
          <w:rFonts w:ascii="Times New Roman" w:eastAsia="Times New Roman"/>
          <w:b/>
          <w:color w:val="auto"/>
          <w:sz w:val="21"/>
          <w:highlight w:val="none"/>
        </w:rPr>
        <w:tab/>
      </w:r>
      <w:r>
        <w:rPr>
          <w:b/>
          <w:color w:val="auto"/>
          <w:sz w:val="21"/>
          <w:highlight w:val="none"/>
        </w:rPr>
        <w:t>大气环境容量计算参数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5"/>
        <w:gridCol w:w="1710"/>
        <w:gridCol w:w="1350"/>
        <w:gridCol w:w="1935"/>
        <w:gridCol w:w="1875"/>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vAlign w:val="center"/>
          </w:tcPr>
          <w:p>
            <w:pPr>
              <w:pStyle w:val="22"/>
              <w:bidi w:val="0"/>
              <w:rPr>
                <w:rFonts w:hint="eastAsia" w:eastAsia="宋体"/>
                <w:color w:val="auto"/>
                <w:highlight w:val="none"/>
                <w:lang w:eastAsia="zh-CN"/>
              </w:rPr>
            </w:pPr>
            <w:r>
              <w:rPr>
                <w:rFonts w:hint="eastAsia"/>
                <w:color w:val="auto"/>
                <w:highlight w:val="none"/>
                <w:lang w:eastAsia="zh-CN"/>
              </w:rPr>
              <w:t>矿区</w:t>
            </w:r>
          </w:p>
        </w:tc>
        <w:tc>
          <w:tcPr>
            <w:tcW w:w="1710" w:type="dxa"/>
            <w:vAlign w:val="center"/>
          </w:tcPr>
          <w:p>
            <w:pPr>
              <w:pStyle w:val="22"/>
              <w:bidi w:val="0"/>
              <w:rPr>
                <w:color w:val="auto"/>
                <w:highlight w:val="none"/>
              </w:rPr>
            </w:pPr>
            <w:r>
              <w:rPr>
                <w:color w:val="auto"/>
                <w:highlight w:val="none"/>
              </w:rPr>
              <w:t>总量控制区面积</w:t>
            </w:r>
          </w:p>
        </w:tc>
        <w:tc>
          <w:tcPr>
            <w:tcW w:w="1350" w:type="dxa"/>
            <w:vAlign w:val="center"/>
          </w:tcPr>
          <w:p>
            <w:pPr>
              <w:pStyle w:val="22"/>
              <w:bidi w:val="0"/>
              <w:rPr>
                <w:color w:val="auto"/>
                <w:highlight w:val="none"/>
              </w:rPr>
            </w:pPr>
            <w:r>
              <w:rPr>
                <w:color w:val="auto"/>
                <w:highlight w:val="none"/>
              </w:rPr>
              <w:t>功能区划分</w:t>
            </w:r>
          </w:p>
        </w:tc>
        <w:tc>
          <w:tcPr>
            <w:tcW w:w="1935" w:type="dxa"/>
            <w:vAlign w:val="center"/>
          </w:tcPr>
          <w:p>
            <w:pPr>
              <w:pStyle w:val="22"/>
              <w:bidi w:val="0"/>
              <w:rPr>
                <w:color w:val="auto"/>
                <w:highlight w:val="none"/>
              </w:rPr>
            </w:pPr>
            <w:r>
              <w:rPr>
                <w:color w:val="auto"/>
                <w:highlight w:val="none"/>
              </w:rPr>
              <w:t>SO</w:t>
            </w:r>
            <w:r>
              <w:rPr>
                <w:color w:val="auto"/>
                <w:highlight w:val="none"/>
                <w:vertAlign w:val="subscript"/>
              </w:rPr>
              <w:t>2</w:t>
            </w:r>
            <w:r>
              <w:rPr>
                <w:color w:val="auto"/>
                <w:highlight w:val="none"/>
              </w:rPr>
              <w:t>年均浓度限值</w:t>
            </w:r>
          </w:p>
        </w:tc>
        <w:tc>
          <w:tcPr>
            <w:tcW w:w="1875" w:type="dxa"/>
            <w:vAlign w:val="center"/>
          </w:tcPr>
          <w:p>
            <w:pPr>
              <w:pStyle w:val="22"/>
              <w:bidi w:val="0"/>
              <w:rPr>
                <w:color w:val="auto"/>
                <w:highlight w:val="none"/>
              </w:rPr>
            </w:pPr>
            <w:r>
              <w:rPr>
                <w:color w:val="auto"/>
                <w:highlight w:val="none"/>
              </w:rPr>
              <w:t>NO</w:t>
            </w:r>
            <w:r>
              <w:rPr>
                <w:color w:val="auto"/>
                <w:highlight w:val="none"/>
                <w:vertAlign w:val="subscript"/>
              </w:rPr>
              <w:t>2</w:t>
            </w:r>
            <w:r>
              <w:rPr>
                <w:color w:val="auto"/>
                <w:highlight w:val="none"/>
              </w:rPr>
              <w:t>年均浓度限值</w:t>
            </w:r>
          </w:p>
        </w:tc>
        <w:tc>
          <w:tcPr>
            <w:tcW w:w="1405" w:type="dxa"/>
            <w:vAlign w:val="center"/>
          </w:tcPr>
          <w:p>
            <w:pPr>
              <w:pStyle w:val="22"/>
              <w:bidi w:val="0"/>
              <w:rPr>
                <w:color w:val="auto"/>
                <w:highlight w:val="none"/>
              </w:rPr>
            </w:pPr>
            <w:r>
              <w:rPr>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825" w:type="dxa"/>
            <w:vAlign w:val="center"/>
          </w:tcPr>
          <w:p>
            <w:pPr>
              <w:pStyle w:val="22"/>
              <w:bidi w:val="0"/>
              <w:rPr>
                <w:rFonts w:hint="eastAsia" w:eastAsia="宋体"/>
                <w:color w:val="auto"/>
                <w:highlight w:val="none"/>
                <w:lang w:eastAsia="zh-CN"/>
              </w:rPr>
            </w:pPr>
            <w:r>
              <w:rPr>
                <w:rFonts w:hint="eastAsia"/>
                <w:color w:val="auto"/>
                <w:highlight w:val="none"/>
                <w:lang w:eastAsia="zh-CN"/>
              </w:rPr>
              <w:t>华蓥山北</w:t>
            </w:r>
          </w:p>
        </w:tc>
        <w:tc>
          <w:tcPr>
            <w:tcW w:w="1710" w:type="dxa"/>
            <w:vAlign w:val="center"/>
          </w:tcPr>
          <w:p>
            <w:pPr>
              <w:pStyle w:val="22"/>
              <w:bidi w:val="0"/>
              <w:rPr>
                <w:color w:val="auto"/>
                <w:highlight w:val="none"/>
              </w:rPr>
            </w:pPr>
            <w:r>
              <w:rPr>
                <w:rFonts w:hint="eastAsia"/>
                <w:color w:val="auto"/>
                <w:highlight w:val="none"/>
                <w:lang w:val="en-US" w:eastAsia="zh-CN"/>
              </w:rPr>
              <w:t>57.8866</w:t>
            </w:r>
            <w:r>
              <w:rPr>
                <w:color w:val="auto"/>
                <w:highlight w:val="none"/>
              </w:rPr>
              <w:t>km</w:t>
            </w:r>
            <w:r>
              <w:rPr>
                <w:color w:val="auto"/>
                <w:highlight w:val="none"/>
                <w:vertAlign w:val="superscript"/>
              </w:rPr>
              <w:t>2</w:t>
            </w:r>
          </w:p>
        </w:tc>
        <w:tc>
          <w:tcPr>
            <w:tcW w:w="1350" w:type="dxa"/>
            <w:vAlign w:val="center"/>
          </w:tcPr>
          <w:p>
            <w:pPr>
              <w:pStyle w:val="22"/>
              <w:bidi w:val="0"/>
              <w:rPr>
                <w:color w:val="auto"/>
                <w:highlight w:val="none"/>
              </w:rPr>
            </w:pPr>
            <w:r>
              <w:rPr>
                <w:color w:val="auto"/>
                <w:highlight w:val="none"/>
              </w:rPr>
              <w:t>二类区</w:t>
            </w:r>
          </w:p>
        </w:tc>
        <w:tc>
          <w:tcPr>
            <w:tcW w:w="1935" w:type="dxa"/>
            <w:vAlign w:val="center"/>
          </w:tcPr>
          <w:p>
            <w:pPr>
              <w:pStyle w:val="22"/>
              <w:bidi w:val="0"/>
              <w:rPr>
                <w:color w:val="auto"/>
                <w:highlight w:val="none"/>
              </w:rPr>
            </w:pPr>
            <w:r>
              <w:rPr>
                <w:color w:val="auto"/>
                <w:highlight w:val="none"/>
              </w:rPr>
              <w:t>0.06mg/m</w:t>
            </w:r>
            <w:r>
              <w:rPr>
                <w:color w:val="auto"/>
                <w:highlight w:val="none"/>
                <w:vertAlign w:val="superscript"/>
              </w:rPr>
              <w:t>3</w:t>
            </w:r>
          </w:p>
        </w:tc>
        <w:tc>
          <w:tcPr>
            <w:tcW w:w="1875" w:type="dxa"/>
            <w:vAlign w:val="center"/>
          </w:tcPr>
          <w:p>
            <w:pPr>
              <w:pStyle w:val="22"/>
              <w:bidi w:val="0"/>
              <w:rPr>
                <w:color w:val="auto"/>
                <w:highlight w:val="none"/>
              </w:rPr>
            </w:pPr>
            <w:r>
              <w:rPr>
                <w:color w:val="auto"/>
                <w:highlight w:val="none"/>
              </w:rPr>
              <w:t>0.04mg/m</w:t>
            </w:r>
            <w:r>
              <w:rPr>
                <w:color w:val="auto"/>
                <w:highlight w:val="none"/>
                <w:vertAlign w:val="superscript"/>
              </w:rPr>
              <w:t>3</w:t>
            </w:r>
          </w:p>
        </w:tc>
        <w:tc>
          <w:tcPr>
            <w:tcW w:w="1405" w:type="dxa"/>
            <w:vMerge w:val="restart"/>
            <w:vAlign w:val="center"/>
          </w:tcPr>
          <w:p>
            <w:pPr>
              <w:pStyle w:val="22"/>
              <w:bidi w:val="0"/>
              <w:rPr>
                <w:color w:val="auto"/>
                <w:highlight w:val="none"/>
              </w:rPr>
            </w:pPr>
            <w:r>
              <w:rPr>
                <w:rFonts w:hint="eastAsia"/>
                <w:color w:val="auto"/>
                <w:highlight w:val="none"/>
                <w:lang w:val="en-US" w:eastAsia="zh-CN"/>
              </w:rPr>
              <w:t>3.5</w:t>
            </w:r>
            <w:r>
              <w:rPr>
                <w:color w:val="auto"/>
                <w:highlight w:val="none"/>
              </w:rPr>
              <w:t>万km</w:t>
            </w:r>
            <w:r>
              <w:rPr>
                <w:color w:val="auto"/>
                <w:highlight w:val="none"/>
                <w:vertAlign w:val="superscript"/>
              </w:rPr>
              <w:t>2</w:t>
            </w:r>
            <w:r>
              <w:rPr>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825" w:type="dxa"/>
            <w:vAlign w:val="center"/>
          </w:tcPr>
          <w:p>
            <w:pPr>
              <w:pStyle w:val="22"/>
              <w:bidi w:val="0"/>
              <w:rPr>
                <w:rFonts w:hint="eastAsia" w:eastAsia="宋体"/>
                <w:color w:val="auto"/>
                <w:highlight w:val="none"/>
                <w:lang w:eastAsia="zh-CN"/>
              </w:rPr>
            </w:pPr>
            <w:r>
              <w:rPr>
                <w:rFonts w:hint="eastAsia"/>
                <w:color w:val="auto"/>
                <w:highlight w:val="none"/>
                <w:lang w:eastAsia="zh-CN"/>
              </w:rPr>
              <w:t>中山明月峡</w:t>
            </w:r>
          </w:p>
        </w:tc>
        <w:tc>
          <w:tcPr>
            <w:tcW w:w="1710" w:type="dxa"/>
            <w:vAlign w:val="center"/>
          </w:tcPr>
          <w:p>
            <w:pPr>
              <w:pStyle w:val="22"/>
              <w:bidi w:val="0"/>
              <w:rPr>
                <w:color w:val="auto"/>
                <w:highlight w:val="none"/>
              </w:rPr>
            </w:pPr>
            <w:r>
              <w:rPr>
                <w:rFonts w:hint="eastAsia"/>
                <w:color w:val="auto"/>
                <w:highlight w:val="none"/>
                <w:lang w:val="en-US" w:eastAsia="zh-CN"/>
              </w:rPr>
              <w:t>90.2762</w:t>
            </w:r>
            <w:r>
              <w:rPr>
                <w:color w:val="auto"/>
                <w:highlight w:val="none"/>
              </w:rPr>
              <w:t>km</w:t>
            </w:r>
            <w:r>
              <w:rPr>
                <w:color w:val="auto"/>
                <w:highlight w:val="none"/>
                <w:vertAlign w:val="superscript"/>
              </w:rPr>
              <w:t>2</w:t>
            </w:r>
          </w:p>
        </w:tc>
        <w:tc>
          <w:tcPr>
            <w:tcW w:w="1350" w:type="dxa"/>
            <w:vAlign w:val="center"/>
          </w:tcPr>
          <w:p>
            <w:pPr>
              <w:pStyle w:val="22"/>
              <w:bidi w:val="0"/>
              <w:rPr>
                <w:color w:val="auto"/>
                <w:highlight w:val="none"/>
              </w:rPr>
            </w:pPr>
            <w:r>
              <w:rPr>
                <w:color w:val="auto"/>
                <w:highlight w:val="none"/>
              </w:rPr>
              <w:t>二类区</w:t>
            </w:r>
          </w:p>
        </w:tc>
        <w:tc>
          <w:tcPr>
            <w:tcW w:w="1935"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0.06mg/m</w:t>
            </w:r>
            <w:r>
              <w:rPr>
                <w:color w:val="auto"/>
                <w:highlight w:val="none"/>
                <w:vertAlign w:val="superscript"/>
              </w:rPr>
              <w:t>3</w:t>
            </w:r>
          </w:p>
        </w:tc>
        <w:tc>
          <w:tcPr>
            <w:tcW w:w="1875"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0.04mg/m</w:t>
            </w:r>
            <w:r>
              <w:rPr>
                <w:color w:val="auto"/>
                <w:highlight w:val="none"/>
                <w:vertAlign w:val="superscript"/>
              </w:rPr>
              <w:t>3</w:t>
            </w:r>
          </w:p>
        </w:tc>
        <w:tc>
          <w:tcPr>
            <w:tcW w:w="1405"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825" w:type="dxa"/>
            <w:vAlign w:val="center"/>
          </w:tcPr>
          <w:p>
            <w:pPr>
              <w:pStyle w:val="22"/>
              <w:bidi w:val="0"/>
              <w:rPr>
                <w:rFonts w:hint="eastAsia" w:eastAsia="宋体"/>
                <w:color w:val="auto"/>
                <w:highlight w:val="none"/>
                <w:lang w:eastAsia="zh-CN"/>
              </w:rPr>
            </w:pPr>
            <w:r>
              <w:rPr>
                <w:rFonts w:hint="eastAsia"/>
                <w:color w:val="auto"/>
                <w:highlight w:val="none"/>
                <w:lang w:eastAsia="zh-CN"/>
              </w:rPr>
              <w:t>总计（整个规划区）</w:t>
            </w:r>
          </w:p>
        </w:tc>
        <w:tc>
          <w:tcPr>
            <w:tcW w:w="1710" w:type="dxa"/>
            <w:vAlign w:val="center"/>
          </w:tcPr>
          <w:p>
            <w:pPr>
              <w:pStyle w:val="22"/>
              <w:bidi w:val="0"/>
              <w:rPr>
                <w:color w:val="auto"/>
                <w:highlight w:val="none"/>
              </w:rPr>
            </w:pPr>
            <w:r>
              <w:rPr>
                <w:rFonts w:hint="eastAsia"/>
                <w:color w:val="auto"/>
                <w:highlight w:val="none"/>
                <w:lang w:val="en-US" w:eastAsia="zh-CN"/>
              </w:rPr>
              <w:t>148.1628</w:t>
            </w:r>
            <w:r>
              <w:rPr>
                <w:color w:val="auto"/>
                <w:highlight w:val="none"/>
              </w:rPr>
              <w:t>km</w:t>
            </w:r>
            <w:r>
              <w:rPr>
                <w:color w:val="auto"/>
                <w:highlight w:val="none"/>
                <w:vertAlign w:val="superscript"/>
              </w:rPr>
              <w:t>2</w:t>
            </w:r>
          </w:p>
        </w:tc>
        <w:tc>
          <w:tcPr>
            <w:tcW w:w="1350" w:type="dxa"/>
            <w:vAlign w:val="center"/>
          </w:tcPr>
          <w:p>
            <w:pPr>
              <w:pStyle w:val="22"/>
              <w:bidi w:val="0"/>
              <w:rPr>
                <w:color w:val="auto"/>
                <w:highlight w:val="none"/>
              </w:rPr>
            </w:pPr>
            <w:r>
              <w:rPr>
                <w:color w:val="auto"/>
                <w:highlight w:val="none"/>
              </w:rPr>
              <w:t>二类区</w:t>
            </w:r>
          </w:p>
        </w:tc>
        <w:tc>
          <w:tcPr>
            <w:tcW w:w="1935"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0.06mg/m</w:t>
            </w:r>
            <w:r>
              <w:rPr>
                <w:color w:val="auto"/>
                <w:highlight w:val="none"/>
                <w:vertAlign w:val="superscript"/>
              </w:rPr>
              <w:t>3</w:t>
            </w:r>
          </w:p>
        </w:tc>
        <w:tc>
          <w:tcPr>
            <w:tcW w:w="1875" w:type="dxa"/>
            <w:vAlign w:val="center"/>
          </w:tcPr>
          <w:p>
            <w:pPr>
              <w:pStyle w:val="22"/>
              <w:bidi w:val="0"/>
              <w:ind w:left="0" w:leftChars="0" w:right="0" w:rightChars="0" w:firstLine="0" w:firstLineChars="0"/>
              <w:rPr>
                <w:rFonts w:ascii="Times New Roman" w:hAnsi="Times New Roman" w:eastAsia="宋体" w:cs="宋体"/>
                <w:color w:val="auto"/>
                <w:sz w:val="21"/>
                <w:szCs w:val="21"/>
                <w:highlight w:val="none"/>
                <w:lang w:val="en-US" w:eastAsia="en-US" w:bidi="ar-SA"/>
              </w:rPr>
            </w:pPr>
            <w:r>
              <w:rPr>
                <w:color w:val="auto"/>
                <w:highlight w:val="none"/>
              </w:rPr>
              <w:t>0.04mg/m</w:t>
            </w:r>
            <w:r>
              <w:rPr>
                <w:color w:val="auto"/>
                <w:highlight w:val="none"/>
                <w:vertAlign w:val="superscript"/>
              </w:rPr>
              <w:t>3</w:t>
            </w:r>
          </w:p>
        </w:tc>
        <w:tc>
          <w:tcPr>
            <w:tcW w:w="1405" w:type="dxa"/>
            <w:vMerge w:val="continue"/>
            <w:vAlign w:val="center"/>
          </w:tcPr>
          <w:p>
            <w:pPr>
              <w:pStyle w:val="22"/>
              <w:bidi w:val="0"/>
              <w:rPr>
                <w:color w:val="auto"/>
                <w:highlight w:val="none"/>
              </w:rPr>
            </w:pPr>
          </w:p>
        </w:tc>
      </w:tr>
    </w:tbl>
    <w:p>
      <w:pPr>
        <w:bidi w:val="0"/>
        <w:rPr>
          <w:color w:val="auto"/>
          <w:highlight w:val="none"/>
        </w:rPr>
      </w:pPr>
      <w:r>
        <w:rPr>
          <w:color w:val="auto"/>
          <w:position w:val="2"/>
          <w:highlight w:val="none"/>
        </w:rPr>
        <w:t>矿区</w:t>
      </w:r>
      <w:r>
        <w:rPr>
          <w:rFonts w:ascii="Times New Roman" w:eastAsia="Times New Roman"/>
          <w:color w:val="auto"/>
          <w:position w:val="2"/>
          <w:highlight w:val="none"/>
        </w:rPr>
        <w:t>SO</w:t>
      </w:r>
      <w:r>
        <w:rPr>
          <w:rFonts w:ascii="Times New Roman" w:eastAsia="Times New Roman"/>
          <w:color w:val="auto"/>
          <w:position w:val="2"/>
          <w:highlight w:val="none"/>
          <w:vertAlign w:val="subscript"/>
        </w:rPr>
        <w:t>2</w:t>
      </w:r>
      <w:r>
        <w:rPr>
          <w:color w:val="auto"/>
          <w:position w:val="2"/>
          <w:highlight w:val="none"/>
          <w:vertAlign w:val="baseline"/>
        </w:rPr>
        <w:t>、</w:t>
      </w:r>
      <w:r>
        <w:rPr>
          <w:rFonts w:ascii="Times New Roman" w:eastAsia="Times New Roman"/>
          <w:color w:val="auto"/>
          <w:position w:val="2"/>
          <w:highlight w:val="none"/>
          <w:vertAlign w:val="baseline"/>
        </w:rPr>
        <w:t>NO</w:t>
      </w:r>
      <w:r>
        <w:rPr>
          <w:rFonts w:ascii="Times New Roman" w:eastAsia="Times New Roman"/>
          <w:color w:val="auto"/>
          <w:position w:val="2"/>
          <w:highlight w:val="none"/>
          <w:vertAlign w:val="subscript"/>
        </w:rPr>
        <w:t>2</w:t>
      </w:r>
      <w:r>
        <w:rPr>
          <w:color w:val="auto"/>
          <w:position w:val="2"/>
          <w:highlight w:val="none"/>
          <w:vertAlign w:val="baseline"/>
        </w:rPr>
        <w:t>本底值及现状剩余容量计算结果见表</w:t>
      </w:r>
      <w:r>
        <w:rPr>
          <w:rFonts w:ascii="Times New Roman" w:eastAsia="Times New Roman"/>
          <w:color w:val="auto"/>
          <w:position w:val="2"/>
          <w:highlight w:val="none"/>
          <w:vertAlign w:val="baseline"/>
        </w:rPr>
        <w:t>6.2-</w:t>
      </w:r>
      <w:r>
        <w:rPr>
          <w:rFonts w:hint="eastAsia"/>
          <w:color w:val="auto"/>
          <w:position w:val="2"/>
          <w:highlight w:val="none"/>
          <w:vertAlign w:val="baseline"/>
          <w:lang w:val="en-US" w:eastAsia="zh-CN"/>
        </w:rPr>
        <w:t>4</w:t>
      </w:r>
      <w:r>
        <w:rPr>
          <w:color w:val="auto"/>
          <w:position w:val="2"/>
          <w:highlight w:val="none"/>
          <w:vertAlign w:val="baseline"/>
        </w:rPr>
        <w:t>。</w:t>
      </w:r>
    </w:p>
    <w:p>
      <w:pPr>
        <w:pStyle w:val="22"/>
        <w:bidi w:val="0"/>
        <w:rPr>
          <w:b/>
          <w:color w:val="auto"/>
          <w:sz w:val="21"/>
          <w:highlight w:val="none"/>
        </w:rPr>
      </w:pPr>
      <w:r>
        <w:rPr>
          <w:b/>
          <w:color w:val="auto"/>
          <w:position w:val="2"/>
          <w:sz w:val="21"/>
          <w:highlight w:val="none"/>
        </w:rPr>
        <w:t>表</w:t>
      </w:r>
      <w:r>
        <w:rPr>
          <w:rFonts w:ascii="Times New Roman" w:eastAsia="Times New Roman"/>
          <w:b/>
          <w:color w:val="auto"/>
          <w:position w:val="2"/>
          <w:sz w:val="21"/>
          <w:highlight w:val="none"/>
        </w:rPr>
        <w:t>6.2-</w:t>
      </w:r>
      <w:r>
        <w:rPr>
          <w:rFonts w:hint="eastAsia"/>
          <w:b/>
          <w:color w:val="auto"/>
          <w:position w:val="2"/>
          <w:sz w:val="21"/>
          <w:highlight w:val="none"/>
          <w:lang w:val="en-US" w:eastAsia="zh-CN"/>
        </w:rPr>
        <w:t xml:space="preserve">4   </w:t>
      </w:r>
      <w:r>
        <w:rPr>
          <w:b/>
          <w:color w:val="auto"/>
          <w:position w:val="2"/>
          <w:sz w:val="21"/>
          <w:highlight w:val="none"/>
        </w:rPr>
        <w:t>矿区</w:t>
      </w:r>
      <w:r>
        <w:rPr>
          <w:rFonts w:ascii="Times New Roman" w:eastAsia="Times New Roman"/>
          <w:b/>
          <w:color w:val="auto"/>
          <w:position w:val="2"/>
          <w:sz w:val="21"/>
          <w:highlight w:val="none"/>
        </w:rPr>
        <w:t>SO</w:t>
      </w:r>
      <w:r>
        <w:rPr>
          <w:rFonts w:ascii="Times New Roman" w:eastAsia="Times New Roman"/>
          <w:b/>
          <w:color w:val="auto"/>
          <w:position w:val="2"/>
          <w:sz w:val="21"/>
          <w:highlight w:val="none"/>
          <w:vertAlign w:val="subscript"/>
        </w:rPr>
        <w:t>2</w:t>
      </w:r>
      <w:r>
        <w:rPr>
          <w:b/>
          <w:color w:val="auto"/>
          <w:position w:val="2"/>
          <w:sz w:val="21"/>
          <w:highlight w:val="none"/>
          <w:vertAlign w:val="baseline"/>
        </w:rPr>
        <w:t>、</w:t>
      </w:r>
      <w:r>
        <w:rPr>
          <w:rFonts w:ascii="Times New Roman" w:eastAsia="Times New Roman"/>
          <w:b/>
          <w:color w:val="auto"/>
          <w:position w:val="2"/>
          <w:sz w:val="21"/>
          <w:highlight w:val="none"/>
          <w:vertAlign w:val="baseline"/>
        </w:rPr>
        <w:t>NO</w:t>
      </w:r>
      <w:r>
        <w:rPr>
          <w:rFonts w:ascii="Times New Roman" w:eastAsia="Times New Roman"/>
          <w:b/>
          <w:color w:val="auto"/>
          <w:position w:val="2"/>
          <w:sz w:val="21"/>
          <w:highlight w:val="none"/>
          <w:vertAlign w:val="subscript"/>
        </w:rPr>
        <w:t>2</w:t>
      </w:r>
      <w:r>
        <w:rPr>
          <w:b/>
          <w:color w:val="auto"/>
          <w:position w:val="2"/>
          <w:sz w:val="21"/>
          <w:highlight w:val="none"/>
          <w:vertAlign w:val="baseline"/>
        </w:rPr>
        <w:t>本底值及现状剩余容量表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0"/>
        <w:gridCol w:w="1870"/>
        <w:gridCol w:w="1870"/>
        <w:gridCol w:w="187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0" w:type="dxa"/>
            <w:vMerge w:val="restart"/>
            <w:vAlign w:val="center"/>
          </w:tcPr>
          <w:p>
            <w:pPr>
              <w:pStyle w:val="22"/>
              <w:bidi w:val="0"/>
              <w:rPr>
                <w:color w:val="auto"/>
                <w:highlight w:val="none"/>
              </w:rPr>
            </w:pPr>
            <w:r>
              <w:rPr>
                <w:color w:val="auto"/>
                <w:highlight w:val="none"/>
              </w:rPr>
              <w:t>项目</w:t>
            </w:r>
          </w:p>
        </w:tc>
        <w:tc>
          <w:tcPr>
            <w:tcW w:w="3740" w:type="dxa"/>
            <w:gridSpan w:val="2"/>
            <w:vAlign w:val="center"/>
          </w:tcPr>
          <w:p>
            <w:pPr>
              <w:pStyle w:val="22"/>
              <w:bidi w:val="0"/>
              <w:rPr>
                <w:color w:val="auto"/>
                <w:highlight w:val="none"/>
              </w:rPr>
            </w:pPr>
            <w:r>
              <w:rPr>
                <w:color w:val="auto"/>
                <w:highlight w:val="none"/>
              </w:rPr>
              <w:t>本底值（mg/m</w:t>
            </w:r>
            <w:r>
              <w:rPr>
                <w:color w:val="auto"/>
                <w:highlight w:val="none"/>
                <w:vertAlign w:val="superscript"/>
              </w:rPr>
              <w:t>3</w:t>
            </w:r>
            <w:r>
              <w:rPr>
                <w:color w:val="auto"/>
                <w:highlight w:val="none"/>
              </w:rPr>
              <w:t>）</w:t>
            </w:r>
          </w:p>
        </w:tc>
        <w:tc>
          <w:tcPr>
            <w:tcW w:w="3740" w:type="dxa"/>
            <w:gridSpan w:val="2"/>
            <w:vAlign w:val="center"/>
          </w:tcPr>
          <w:p>
            <w:pPr>
              <w:pStyle w:val="22"/>
              <w:bidi w:val="0"/>
              <w:rPr>
                <w:color w:val="auto"/>
                <w:highlight w:val="none"/>
              </w:rPr>
            </w:pPr>
            <w:r>
              <w:rPr>
                <w:color w:val="auto"/>
                <w:highlight w:val="none"/>
              </w:rPr>
              <w:t>现状剩余容量（</w:t>
            </w:r>
            <w:r>
              <w:rPr>
                <w:rFonts w:hint="eastAsia"/>
                <w:color w:val="auto"/>
                <w:highlight w:val="none"/>
                <w:lang w:eastAsia="zh-CN"/>
              </w:rPr>
              <w:t>万吨</w:t>
            </w:r>
            <w:r>
              <w:rPr>
                <w:rFonts w:hint="eastAsia"/>
                <w:color w:val="auto"/>
                <w:highlight w:val="none"/>
                <w:lang w:val="en-US" w:eastAsia="zh-CN"/>
              </w:rPr>
              <w:t>/a</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0" w:type="dxa"/>
            <w:vMerge w:val="continue"/>
            <w:vAlign w:val="center"/>
          </w:tcPr>
          <w:p>
            <w:pPr>
              <w:pStyle w:val="22"/>
              <w:bidi w:val="0"/>
              <w:rPr>
                <w:rFonts w:hint="eastAsia"/>
                <w:color w:val="auto"/>
                <w:highlight w:val="none"/>
                <w:lang w:eastAsia="zh-CN"/>
              </w:rPr>
            </w:pPr>
          </w:p>
        </w:tc>
        <w:tc>
          <w:tcPr>
            <w:tcW w:w="1870" w:type="dxa"/>
            <w:vAlign w:val="center"/>
          </w:tcPr>
          <w:p>
            <w:pPr>
              <w:pStyle w:val="22"/>
              <w:bidi w:val="0"/>
              <w:rPr>
                <w:color w:val="auto"/>
                <w:highlight w:val="none"/>
              </w:rPr>
            </w:pPr>
            <w:r>
              <w:rPr>
                <w:color w:val="auto"/>
                <w:highlight w:val="none"/>
              </w:rPr>
              <w:t>SO</w:t>
            </w:r>
            <w:r>
              <w:rPr>
                <w:color w:val="auto"/>
                <w:highlight w:val="none"/>
                <w:vertAlign w:val="subscript"/>
              </w:rPr>
              <w:t>2</w:t>
            </w:r>
          </w:p>
        </w:tc>
        <w:tc>
          <w:tcPr>
            <w:tcW w:w="1870" w:type="dxa"/>
            <w:vAlign w:val="center"/>
          </w:tcPr>
          <w:p>
            <w:pPr>
              <w:pStyle w:val="22"/>
              <w:bidi w:val="0"/>
              <w:rPr>
                <w:color w:val="auto"/>
                <w:highlight w:val="none"/>
              </w:rPr>
            </w:pPr>
            <w:r>
              <w:rPr>
                <w:color w:val="auto"/>
                <w:highlight w:val="none"/>
              </w:rPr>
              <w:t>NO</w:t>
            </w:r>
            <w:r>
              <w:rPr>
                <w:color w:val="auto"/>
                <w:highlight w:val="none"/>
                <w:vertAlign w:val="subscript"/>
              </w:rPr>
              <w:t>2</w:t>
            </w:r>
          </w:p>
        </w:tc>
        <w:tc>
          <w:tcPr>
            <w:tcW w:w="1870" w:type="dxa"/>
            <w:vAlign w:val="center"/>
          </w:tcPr>
          <w:p>
            <w:pPr>
              <w:pStyle w:val="22"/>
              <w:bidi w:val="0"/>
              <w:rPr>
                <w:color w:val="auto"/>
                <w:highlight w:val="none"/>
              </w:rPr>
            </w:pPr>
            <w:r>
              <w:rPr>
                <w:color w:val="auto"/>
                <w:highlight w:val="none"/>
              </w:rPr>
              <w:t>SO</w:t>
            </w:r>
            <w:r>
              <w:rPr>
                <w:color w:val="auto"/>
                <w:highlight w:val="none"/>
                <w:vertAlign w:val="subscript"/>
              </w:rPr>
              <w:t>2</w:t>
            </w:r>
          </w:p>
        </w:tc>
        <w:tc>
          <w:tcPr>
            <w:tcW w:w="1870" w:type="dxa"/>
            <w:vAlign w:val="center"/>
          </w:tcPr>
          <w:p>
            <w:pPr>
              <w:pStyle w:val="22"/>
              <w:bidi w:val="0"/>
              <w:rPr>
                <w:color w:val="auto"/>
                <w:highlight w:val="none"/>
              </w:rPr>
            </w:pPr>
            <w:r>
              <w:rPr>
                <w:color w:val="auto"/>
                <w:highlight w:val="none"/>
              </w:rPr>
              <w:t>NO</w:t>
            </w:r>
            <w:r>
              <w:rPr>
                <w:color w:val="auto"/>
                <w:highlight w:val="none"/>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0" w:type="dxa"/>
            <w:vAlign w:val="center"/>
          </w:tcPr>
          <w:p>
            <w:pPr>
              <w:pStyle w:val="22"/>
              <w:bidi w:val="0"/>
              <w:ind w:left="0" w:leftChars="0" w:right="0" w:rightChars="0" w:firstLine="0" w:firstLineChars="0"/>
              <w:rPr>
                <w:color w:val="auto"/>
                <w:highlight w:val="none"/>
              </w:rPr>
            </w:pPr>
            <w:r>
              <w:rPr>
                <w:rFonts w:hint="eastAsia"/>
                <w:color w:val="auto"/>
                <w:highlight w:val="none"/>
                <w:lang w:eastAsia="zh-CN"/>
              </w:rPr>
              <w:t>华蓥山北</w:t>
            </w:r>
          </w:p>
        </w:tc>
        <w:tc>
          <w:tcPr>
            <w:tcW w:w="1870" w:type="dxa"/>
            <w:vAlign w:val="center"/>
          </w:tcPr>
          <w:p>
            <w:pPr>
              <w:pStyle w:val="22"/>
              <w:bidi w:val="0"/>
              <w:rPr>
                <w:rFonts w:hint="default" w:eastAsia="宋体"/>
                <w:color w:val="auto"/>
                <w:highlight w:val="none"/>
                <w:lang w:val="en-US" w:eastAsia="zh-CN"/>
              </w:rPr>
            </w:pPr>
            <w:r>
              <w:rPr>
                <w:color w:val="auto"/>
                <w:highlight w:val="none"/>
              </w:rPr>
              <w:t>0.0</w:t>
            </w:r>
            <w:r>
              <w:rPr>
                <w:rFonts w:hint="eastAsia"/>
                <w:color w:val="auto"/>
                <w:highlight w:val="none"/>
                <w:lang w:val="en-US" w:eastAsia="zh-CN"/>
              </w:rPr>
              <w:t>17</w:t>
            </w:r>
          </w:p>
        </w:tc>
        <w:tc>
          <w:tcPr>
            <w:tcW w:w="1870" w:type="dxa"/>
            <w:vAlign w:val="center"/>
          </w:tcPr>
          <w:p>
            <w:pPr>
              <w:pStyle w:val="22"/>
              <w:bidi w:val="0"/>
              <w:rPr>
                <w:rFonts w:hint="default" w:eastAsia="宋体"/>
                <w:color w:val="auto"/>
                <w:highlight w:val="none"/>
                <w:lang w:val="en-US" w:eastAsia="zh-CN"/>
              </w:rPr>
            </w:pPr>
            <w:r>
              <w:rPr>
                <w:color w:val="auto"/>
                <w:highlight w:val="none"/>
              </w:rPr>
              <w:t>0.0</w:t>
            </w:r>
            <w:r>
              <w:rPr>
                <w:rFonts w:hint="eastAsia"/>
                <w:color w:val="auto"/>
                <w:highlight w:val="none"/>
                <w:lang w:val="en-US" w:eastAsia="zh-CN"/>
              </w:rPr>
              <w:t>28</w:t>
            </w:r>
          </w:p>
        </w:tc>
        <w:tc>
          <w:tcPr>
            <w:tcW w:w="187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0.711</w:t>
            </w:r>
          </w:p>
        </w:tc>
        <w:tc>
          <w:tcPr>
            <w:tcW w:w="187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0.872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0" w:type="dxa"/>
            <w:vAlign w:val="center"/>
          </w:tcPr>
          <w:p>
            <w:pPr>
              <w:pStyle w:val="22"/>
              <w:bidi w:val="0"/>
              <w:ind w:left="0" w:leftChars="0" w:right="0" w:rightChars="0" w:firstLine="0" w:firstLineChars="0"/>
              <w:rPr>
                <w:color w:val="auto"/>
                <w:highlight w:val="none"/>
              </w:rPr>
            </w:pPr>
            <w:r>
              <w:rPr>
                <w:rFonts w:hint="eastAsia"/>
                <w:color w:val="auto"/>
                <w:highlight w:val="none"/>
                <w:lang w:eastAsia="zh-CN"/>
              </w:rPr>
              <w:t>中山明月峡</w:t>
            </w:r>
          </w:p>
        </w:tc>
        <w:tc>
          <w:tcPr>
            <w:tcW w:w="187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0.0</w:t>
            </w:r>
            <w:r>
              <w:rPr>
                <w:rFonts w:hint="eastAsia"/>
                <w:color w:val="auto"/>
                <w:highlight w:val="none"/>
                <w:lang w:val="en-US" w:eastAsia="zh-CN"/>
              </w:rPr>
              <w:t>17</w:t>
            </w:r>
          </w:p>
        </w:tc>
        <w:tc>
          <w:tcPr>
            <w:tcW w:w="187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0.0</w:t>
            </w:r>
            <w:r>
              <w:rPr>
                <w:rFonts w:hint="eastAsia"/>
                <w:color w:val="auto"/>
                <w:highlight w:val="none"/>
                <w:lang w:val="en-US" w:eastAsia="zh-CN"/>
              </w:rPr>
              <w:t>28</w:t>
            </w:r>
          </w:p>
        </w:tc>
        <w:tc>
          <w:tcPr>
            <w:tcW w:w="187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1.038</w:t>
            </w:r>
          </w:p>
        </w:tc>
        <w:tc>
          <w:tcPr>
            <w:tcW w:w="187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0" w:type="dxa"/>
            <w:vAlign w:val="center"/>
          </w:tcPr>
          <w:p>
            <w:pPr>
              <w:pStyle w:val="22"/>
              <w:bidi w:val="0"/>
              <w:ind w:left="0" w:leftChars="0" w:right="0" w:rightChars="0" w:firstLine="0" w:firstLineChars="0"/>
              <w:rPr>
                <w:color w:val="auto"/>
                <w:highlight w:val="none"/>
              </w:rPr>
            </w:pPr>
            <w:r>
              <w:rPr>
                <w:rFonts w:hint="eastAsia"/>
                <w:color w:val="auto"/>
                <w:highlight w:val="none"/>
                <w:lang w:eastAsia="zh-CN"/>
              </w:rPr>
              <w:t>总计（整个规划区）</w:t>
            </w:r>
          </w:p>
        </w:tc>
        <w:tc>
          <w:tcPr>
            <w:tcW w:w="187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0.0</w:t>
            </w:r>
            <w:r>
              <w:rPr>
                <w:rFonts w:hint="eastAsia"/>
                <w:color w:val="auto"/>
                <w:highlight w:val="none"/>
                <w:lang w:val="en-US" w:eastAsia="zh-CN"/>
              </w:rPr>
              <w:t>17</w:t>
            </w:r>
          </w:p>
        </w:tc>
        <w:tc>
          <w:tcPr>
            <w:tcW w:w="1870" w:type="dxa"/>
            <w:vAlign w:val="center"/>
          </w:tcPr>
          <w:p>
            <w:pPr>
              <w:pStyle w:val="22"/>
              <w:bidi w:val="0"/>
              <w:ind w:left="0" w:leftChars="0" w:right="0" w:rightChars="0" w:firstLine="0" w:firstLineChars="0"/>
              <w:rPr>
                <w:rFonts w:hint="default" w:ascii="Times New Roman" w:hAnsi="Times New Roman" w:eastAsia="宋体" w:cs="宋体"/>
                <w:color w:val="auto"/>
                <w:sz w:val="21"/>
                <w:szCs w:val="21"/>
                <w:highlight w:val="none"/>
                <w:lang w:val="en-US" w:eastAsia="zh-CN" w:bidi="ar-SA"/>
              </w:rPr>
            </w:pPr>
            <w:r>
              <w:rPr>
                <w:color w:val="auto"/>
                <w:highlight w:val="none"/>
              </w:rPr>
              <w:t>0.0</w:t>
            </w:r>
            <w:r>
              <w:rPr>
                <w:rFonts w:hint="eastAsia"/>
                <w:color w:val="auto"/>
                <w:highlight w:val="none"/>
                <w:lang w:val="en-US" w:eastAsia="zh-CN"/>
              </w:rPr>
              <w:t>28</w:t>
            </w:r>
          </w:p>
        </w:tc>
        <w:tc>
          <w:tcPr>
            <w:tcW w:w="187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1.749</w:t>
            </w:r>
          </w:p>
        </w:tc>
        <w:tc>
          <w:tcPr>
            <w:tcW w:w="1870"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2.378</w:t>
            </w:r>
          </w:p>
        </w:tc>
      </w:tr>
    </w:tbl>
    <w:p>
      <w:pPr>
        <w:bidi w:val="0"/>
        <w:rPr>
          <w:color w:val="auto"/>
          <w:highlight w:val="none"/>
        </w:rPr>
      </w:pPr>
      <w:r>
        <w:rPr>
          <w:color w:val="auto"/>
          <w:position w:val="2"/>
          <w:highlight w:val="none"/>
        </w:rPr>
        <w:t>由计算可知，矿区</w:t>
      </w:r>
      <w:r>
        <w:rPr>
          <w:rFonts w:ascii="Times New Roman" w:eastAsia="Times New Roman"/>
          <w:color w:val="auto"/>
          <w:position w:val="2"/>
          <w:highlight w:val="none"/>
        </w:rPr>
        <w:t>SO</w:t>
      </w:r>
      <w:r>
        <w:rPr>
          <w:rFonts w:ascii="Times New Roman" w:eastAsia="Times New Roman"/>
          <w:color w:val="auto"/>
          <w:position w:val="2"/>
          <w:highlight w:val="none"/>
          <w:vertAlign w:val="subscript"/>
        </w:rPr>
        <w:t>2</w:t>
      </w:r>
      <w:r>
        <w:rPr>
          <w:color w:val="auto"/>
          <w:position w:val="2"/>
          <w:highlight w:val="none"/>
          <w:vertAlign w:val="baseline"/>
        </w:rPr>
        <w:t>现状剩余容量为</w:t>
      </w:r>
      <w:r>
        <w:rPr>
          <w:rFonts w:hint="eastAsia"/>
          <w:color w:val="auto"/>
          <w:position w:val="2"/>
          <w:highlight w:val="none"/>
          <w:vertAlign w:val="baseline"/>
          <w:lang w:val="en-US" w:eastAsia="zh-CN"/>
        </w:rPr>
        <w:t>1.749</w:t>
      </w:r>
      <w:r>
        <w:rPr>
          <w:color w:val="auto"/>
          <w:position w:val="2"/>
          <w:highlight w:val="none"/>
          <w:vertAlign w:val="baseline"/>
        </w:rPr>
        <w:t>万</w:t>
      </w:r>
      <w:r>
        <w:rPr>
          <w:rFonts w:ascii="Times New Roman" w:eastAsia="Times New Roman"/>
          <w:color w:val="auto"/>
          <w:position w:val="2"/>
          <w:highlight w:val="none"/>
          <w:vertAlign w:val="baseline"/>
        </w:rPr>
        <w:t>t/a</w:t>
      </w:r>
      <w:r>
        <w:rPr>
          <w:color w:val="auto"/>
          <w:position w:val="2"/>
          <w:highlight w:val="none"/>
          <w:vertAlign w:val="baseline"/>
        </w:rPr>
        <w:t>，</w:t>
      </w:r>
      <w:r>
        <w:rPr>
          <w:rFonts w:ascii="Times New Roman" w:eastAsia="Times New Roman"/>
          <w:color w:val="auto"/>
          <w:position w:val="2"/>
          <w:highlight w:val="none"/>
          <w:vertAlign w:val="baseline"/>
        </w:rPr>
        <w:t>NO</w:t>
      </w:r>
      <w:r>
        <w:rPr>
          <w:rFonts w:ascii="Times New Roman" w:eastAsia="Times New Roman"/>
          <w:color w:val="auto"/>
          <w:position w:val="2"/>
          <w:highlight w:val="none"/>
          <w:vertAlign w:val="subscript"/>
        </w:rPr>
        <w:t>2</w:t>
      </w:r>
      <w:r>
        <w:rPr>
          <w:color w:val="auto"/>
          <w:position w:val="2"/>
          <w:highlight w:val="none"/>
          <w:vertAlign w:val="baseline"/>
        </w:rPr>
        <w:t>现状剩余容量为</w:t>
      </w:r>
      <w:r>
        <w:rPr>
          <w:rFonts w:hint="eastAsia"/>
          <w:color w:val="auto"/>
          <w:highlight w:val="none"/>
          <w:lang w:val="en-US" w:eastAsia="zh-CN"/>
        </w:rPr>
        <w:t>2.378</w:t>
      </w:r>
      <w:r>
        <w:rPr>
          <w:color w:val="auto"/>
          <w:highlight w:val="none"/>
        </w:rPr>
        <w:t>万</w:t>
      </w:r>
      <w:r>
        <w:rPr>
          <w:rFonts w:ascii="Times New Roman" w:eastAsia="Times New Roman"/>
          <w:color w:val="auto"/>
          <w:highlight w:val="none"/>
        </w:rPr>
        <w:t>t/a</w:t>
      </w:r>
      <w:r>
        <w:rPr>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大气环境承载力分析</w:t>
      </w:r>
    </w:p>
    <w:p>
      <w:pPr>
        <w:bidi w:val="0"/>
        <w:rPr>
          <w:rFonts w:hint="eastAsia" w:eastAsia="宋体"/>
          <w:color w:val="auto"/>
          <w:position w:val="2"/>
          <w:highlight w:val="none"/>
          <w:vertAlign w:val="baseline"/>
          <w:lang w:eastAsia="zh-CN"/>
        </w:rPr>
      </w:pPr>
      <w:r>
        <w:rPr>
          <w:rFonts w:hint="eastAsia"/>
          <w:color w:val="auto"/>
          <w:highlight w:val="none"/>
          <w:lang w:eastAsia="zh-CN"/>
        </w:rPr>
        <w:t>规划矿区</w:t>
      </w:r>
      <w:r>
        <w:rPr>
          <w:color w:val="auto"/>
          <w:highlight w:val="none"/>
        </w:rPr>
        <w:t>内均为已有矿井，</w:t>
      </w:r>
      <w:r>
        <w:rPr>
          <w:rFonts w:hint="eastAsia"/>
          <w:color w:val="auto"/>
          <w:highlight w:val="none"/>
          <w:lang w:eastAsia="zh-CN"/>
        </w:rPr>
        <w:t>除大硐坪煤矿有</w:t>
      </w:r>
      <w:r>
        <w:rPr>
          <w:rFonts w:hint="eastAsia"/>
          <w:color w:val="auto"/>
          <w:highlight w:val="none"/>
          <w:lang w:val="en-US" w:eastAsia="zh-CN"/>
        </w:rPr>
        <w:t>1座1t/h燃煤锅炉外其他</w:t>
      </w:r>
      <w:r>
        <w:rPr>
          <w:color w:val="auto"/>
          <w:highlight w:val="none"/>
        </w:rPr>
        <w:t>各矿井均已淘汰燃煤锅炉，目前采用螺杆式空</w:t>
      </w:r>
      <w:r>
        <w:rPr>
          <w:color w:val="auto"/>
          <w:position w:val="2"/>
          <w:highlight w:val="none"/>
        </w:rPr>
        <w:t>气压缩机空气源热泵机组</w:t>
      </w:r>
      <w:r>
        <w:rPr>
          <w:rFonts w:hint="eastAsia"/>
          <w:color w:val="auto"/>
          <w:position w:val="2"/>
          <w:highlight w:val="none"/>
          <w:lang w:eastAsia="zh-CN"/>
        </w:rPr>
        <w:t>或电能</w:t>
      </w:r>
      <w:r>
        <w:rPr>
          <w:color w:val="auto"/>
          <w:position w:val="2"/>
          <w:highlight w:val="none"/>
        </w:rPr>
        <w:t>制备生活热水</w:t>
      </w:r>
      <w:r>
        <w:rPr>
          <w:rFonts w:hint="eastAsia"/>
          <w:color w:val="auto"/>
          <w:position w:val="2"/>
          <w:highlight w:val="none"/>
          <w:lang w:eastAsia="zh-CN"/>
        </w:rPr>
        <w:t>。本规划实施后各矿井将全面淘汰燃煤锅炉，因此矿区内基本</w:t>
      </w:r>
      <w:r>
        <w:rPr>
          <w:color w:val="auto"/>
          <w:position w:val="2"/>
          <w:highlight w:val="none"/>
        </w:rPr>
        <w:t>无</w:t>
      </w:r>
      <w:r>
        <w:rPr>
          <w:rFonts w:ascii="Times New Roman" w:eastAsia="Times New Roman"/>
          <w:color w:val="auto"/>
          <w:position w:val="2"/>
          <w:highlight w:val="none"/>
        </w:rPr>
        <w:t>SO</w:t>
      </w:r>
      <w:r>
        <w:rPr>
          <w:rFonts w:ascii="Times New Roman" w:eastAsia="Times New Roman"/>
          <w:color w:val="auto"/>
          <w:position w:val="2"/>
          <w:highlight w:val="none"/>
          <w:vertAlign w:val="subscript"/>
        </w:rPr>
        <w:t>2</w:t>
      </w:r>
      <w:r>
        <w:rPr>
          <w:color w:val="auto"/>
          <w:position w:val="2"/>
          <w:highlight w:val="none"/>
          <w:vertAlign w:val="baseline"/>
        </w:rPr>
        <w:t>、</w:t>
      </w:r>
      <w:r>
        <w:rPr>
          <w:rFonts w:ascii="Times New Roman" w:eastAsia="Times New Roman"/>
          <w:color w:val="auto"/>
          <w:position w:val="2"/>
          <w:highlight w:val="none"/>
          <w:vertAlign w:val="baseline"/>
        </w:rPr>
        <w:t>NO</w:t>
      </w:r>
      <w:r>
        <w:rPr>
          <w:rFonts w:ascii="Times New Roman" w:eastAsia="Times New Roman"/>
          <w:color w:val="auto"/>
          <w:position w:val="2"/>
          <w:highlight w:val="none"/>
          <w:vertAlign w:val="subscript"/>
        </w:rPr>
        <w:t>2</w:t>
      </w:r>
      <w:r>
        <w:rPr>
          <w:color w:val="auto"/>
          <w:position w:val="2"/>
          <w:highlight w:val="none"/>
          <w:vertAlign w:val="baseline"/>
        </w:rPr>
        <w:t>污染物排放。因此矿区现状</w:t>
      </w:r>
      <w:r>
        <w:rPr>
          <w:rFonts w:ascii="Times New Roman" w:eastAsia="Times New Roman"/>
          <w:color w:val="auto"/>
          <w:position w:val="2"/>
          <w:highlight w:val="none"/>
          <w:vertAlign w:val="baseline"/>
        </w:rPr>
        <w:t>SO</w:t>
      </w:r>
      <w:r>
        <w:rPr>
          <w:rFonts w:ascii="Times New Roman" w:eastAsia="Times New Roman"/>
          <w:color w:val="auto"/>
          <w:position w:val="2"/>
          <w:highlight w:val="none"/>
          <w:vertAlign w:val="subscript"/>
        </w:rPr>
        <w:t>2</w:t>
      </w:r>
      <w:r>
        <w:rPr>
          <w:color w:val="auto"/>
          <w:position w:val="2"/>
          <w:highlight w:val="none"/>
          <w:vertAlign w:val="baseline"/>
        </w:rPr>
        <w:t>、</w:t>
      </w:r>
      <w:r>
        <w:rPr>
          <w:rFonts w:ascii="Times New Roman" w:eastAsia="Times New Roman"/>
          <w:color w:val="auto"/>
          <w:position w:val="2"/>
          <w:highlight w:val="none"/>
          <w:vertAlign w:val="baseline"/>
        </w:rPr>
        <w:t>NO</w:t>
      </w:r>
      <w:r>
        <w:rPr>
          <w:rFonts w:ascii="Times New Roman" w:eastAsia="Times New Roman"/>
          <w:color w:val="auto"/>
          <w:position w:val="2"/>
          <w:highlight w:val="none"/>
          <w:vertAlign w:val="subscript"/>
        </w:rPr>
        <w:t>2</w:t>
      </w:r>
      <w:r>
        <w:rPr>
          <w:color w:val="auto"/>
          <w:position w:val="2"/>
          <w:highlight w:val="none"/>
          <w:vertAlign w:val="baseline"/>
        </w:rPr>
        <w:t>的剩余容量能够承载</w:t>
      </w:r>
      <w:r>
        <w:rPr>
          <w:rFonts w:hint="eastAsia"/>
          <w:color w:val="auto"/>
          <w:position w:val="2"/>
          <w:highlight w:val="none"/>
          <w:vertAlign w:val="baseline"/>
          <w:lang w:eastAsia="zh-CN"/>
        </w:rPr>
        <w:t>规划矿区</w:t>
      </w:r>
      <w:r>
        <w:rPr>
          <w:color w:val="auto"/>
          <w:position w:val="2"/>
          <w:highlight w:val="none"/>
          <w:vertAlign w:val="baseline"/>
        </w:rPr>
        <w:t>开发需要</w:t>
      </w:r>
      <w:r>
        <w:rPr>
          <w:rFonts w:hint="eastAsia"/>
          <w:color w:val="auto"/>
          <w:position w:val="2"/>
          <w:highlight w:val="none"/>
          <w:vertAlign w:val="baseline"/>
          <w:lang w:eastAsia="zh-CN"/>
        </w:rPr>
        <w:t>。</w:t>
      </w:r>
    </w:p>
    <w:p>
      <w:pPr>
        <w:pStyle w:val="6"/>
        <w:numPr>
          <w:ilvl w:val="2"/>
          <w:numId w:val="13"/>
        </w:numPr>
        <w:bidi w:val="0"/>
        <w:rPr>
          <w:color w:val="auto"/>
          <w:highlight w:val="none"/>
        </w:rPr>
      </w:pPr>
      <w:bookmarkStart w:id="561" w:name="6.2.2 水环境承载力分析"/>
      <w:bookmarkEnd w:id="561"/>
      <w:bookmarkStart w:id="562" w:name="6.2.2 水环境承载力分析"/>
      <w:bookmarkEnd w:id="562"/>
      <w:bookmarkStart w:id="563" w:name="_Toc13684"/>
      <w:bookmarkStart w:id="564" w:name="_Toc22850"/>
      <w:r>
        <w:rPr>
          <w:color w:val="auto"/>
          <w:highlight w:val="none"/>
        </w:rPr>
        <w:t>水环境承载力分析</w:t>
      </w:r>
      <w:bookmarkEnd w:id="563"/>
      <w:bookmarkEnd w:id="564"/>
    </w:p>
    <w:p>
      <w:pPr>
        <w:bidi w:val="0"/>
        <w:rPr>
          <w:color w:val="auto"/>
          <w:highlight w:val="none"/>
        </w:rPr>
      </w:pPr>
      <w:r>
        <w:rPr>
          <w:rFonts w:hint="eastAsia"/>
          <w:color w:val="auto"/>
          <w:highlight w:val="none"/>
        </w:rPr>
        <w:t>大竹县境内无大江大河，仅有东柳河、铜钵河、东河、黄滩河(西河)四条小河及竹溪河、柳城溪、兴隆河、清水河、八渡</w:t>
      </w:r>
      <w:r>
        <w:rPr>
          <w:rFonts w:hint="eastAsia"/>
          <w:color w:val="auto"/>
          <w:highlight w:val="none"/>
          <w:lang w:eastAsia="zh-CN"/>
        </w:rPr>
        <w:t>河</w:t>
      </w:r>
      <w:r>
        <w:rPr>
          <w:rFonts w:hint="eastAsia"/>
          <w:color w:val="auto"/>
          <w:highlight w:val="none"/>
        </w:rPr>
        <w:t>、上白水河、下白水河七条小溪(40平方公里以上)，全属长江水系，均发源于大竹</w:t>
      </w:r>
      <w:r>
        <w:rPr>
          <w:rFonts w:hint="eastAsia"/>
          <w:color w:val="auto"/>
          <w:highlight w:val="none"/>
          <w:lang w:eastAsia="zh-CN"/>
        </w:rPr>
        <w:t>。规划矿区</w:t>
      </w:r>
      <w:r>
        <w:rPr>
          <w:color w:val="auto"/>
          <w:highlight w:val="none"/>
        </w:rPr>
        <w:t>涉及的地表水系</w:t>
      </w:r>
      <w:r>
        <w:rPr>
          <w:rFonts w:hint="eastAsia"/>
          <w:color w:val="auto"/>
          <w:highlight w:val="none"/>
          <w:lang w:eastAsia="zh-CN"/>
        </w:rPr>
        <w:t>基本上涵盖了上述</w:t>
      </w:r>
      <w:r>
        <w:rPr>
          <w:rFonts w:hint="eastAsia"/>
          <w:color w:val="auto"/>
          <w:highlight w:val="none"/>
          <w:lang w:val="en-US" w:eastAsia="zh-CN"/>
        </w:rPr>
        <w:t>4条小河和多条支流小溪</w:t>
      </w:r>
      <w:r>
        <w:rPr>
          <w:color w:val="auto"/>
          <w:highlight w:val="none"/>
        </w:rPr>
        <w:t>。矿区各矿井生产、生活污水经治理达标后</w:t>
      </w:r>
      <w:r>
        <w:rPr>
          <w:rFonts w:hint="eastAsia"/>
          <w:color w:val="auto"/>
          <w:highlight w:val="none"/>
          <w:lang w:eastAsia="zh-CN"/>
        </w:rPr>
        <w:t>尽量</w:t>
      </w:r>
      <w:r>
        <w:rPr>
          <w:color w:val="auto"/>
          <w:highlight w:val="none"/>
        </w:rPr>
        <w:t>全部资源化利用，</w:t>
      </w:r>
      <w:r>
        <w:rPr>
          <w:rFonts w:hint="eastAsia"/>
          <w:color w:val="auto"/>
          <w:highlight w:val="none"/>
          <w:lang w:eastAsia="zh-CN"/>
        </w:rPr>
        <w:t>其中，生活污水全部资源化利用</w:t>
      </w:r>
      <w:r>
        <w:rPr>
          <w:color w:val="auto"/>
          <w:highlight w:val="none"/>
        </w:rPr>
        <w:t>不直接排放</w:t>
      </w:r>
      <w:r>
        <w:rPr>
          <w:rFonts w:hint="eastAsia"/>
          <w:color w:val="auto"/>
          <w:highlight w:val="none"/>
          <w:lang w:eastAsia="zh-CN"/>
        </w:rPr>
        <w:t>；洗煤废水一级闭路循环，不外排；矿井水经处理后最大程度资源化利用，多余废水达标排放进入周边受纳水体，本次评价根据环环评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1000mg/L，对受纳水体不会承载力不会有大的变化</w:t>
      </w:r>
      <w:r>
        <w:rPr>
          <w:color w:val="auto"/>
          <w:highlight w:val="none"/>
        </w:rPr>
        <w:t>。因此，本规划不再计算水环境承载力。</w:t>
      </w:r>
    </w:p>
    <w:p>
      <w:pPr>
        <w:pStyle w:val="5"/>
        <w:bidi w:val="0"/>
        <w:rPr>
          <w:color w:val="auto"/>
          <w:highlight w:val="none"/>
        </w:rPr>
      </w:pPr>
      <w:bookmarkStart w:id="565" w:name="6.3 生态承载力分析"/>
      <w:bookmarkEnd w:id="565"/>
      <w:bookmarkStart w:id="566" w:name="_Toc26510"/>
      <w:bookmarkStart w:id="567" w:name="_Toc11299"/>
      <w:r>
        <w:rPr>
          <w:rFonts w:ascii="Times New Roman" w:eastAsia="Times New Roman"/>
          <w:color w:val="auto"/>
          <w:highlight w:val="none"/>
        </w:rPr>
        <w:t xml:space="preserve">6.3 </w:t>
      </w:r>
      <w:r>
        <w:rPr>
          <w:color w:val="auto"/>
          <w:highlight w:val="none"/>
        </w:rPr>
        <w:t>生态承载力分析</w:t>
      </w:r>
      <w:bookmarkEnd w:id="566"/>
      <w:bookmarkEnd w:id="567"/>
    </w:p>
    <w:p>
      <w:pPr>
        <w:bidi w:val="0"/>
        <w:rPr>
          <w:color w:val="auto"/>
          <w:highlight w:val="none"/>
        </w:rPr>
      </w:pPr>
      <w:r>
        <w:rPr>
          <w:color w:val="auto"/>
          <w:spacing w:val="-4"/>
          <w:highlight w:val="none"/>
        </w:rPr>
        <w:t>生态承载支持能力大小取决于三个方面，分别为生态弹性能力，即生态系统的自恢</w:t>
      </w:r>
      <w:r>
        <w:rPr>
          <w:color w:val="auto"/>
          <w:spacing w:val="-8"/>
          <w:highlight w:val="none"/>
        </w:rPr>
        <w:t>复能力；资源承载能力，即生态系统主要要素的承载能力；承载压力度，即生态系统的</w:t>
      </w:r>
      <w:r>
        <w:rPr>
          <w:color w:val="auto"/>
          <w:spacing w:val="-7"/>
          <w:highlight w:val="none"/>
        </w:rPr>
        <w:t>负荷水平。因此反应生态承载力大小的生态承载指数也需从这三个方面确定，分别称为</w:t>
      </w:r>
      <w:r>
        <w:rPr>
          <w:color w:val="auto"/>
          <w:spacing w:val="-2"/>
          <w:highlight w:val="none"/>
        </w:rPr>
        <w:t>生态弹性力指数、资源承载指数和生态压力度指数。各指数评价分级标准见表</w:t>
      </w:r>
      <w:r>
        <w:rPr>
          <w:rFonts w:hint="eastAsia"/>
          <w:color w:val="auto"/>
          <w:spacing w:val="-2"/>
          <w:highlight w:val="none"/>
          <w:lang w:val="en-US" w:eastAsia="zh-CN"/>
        </w:rPr>
        <w:t>6.3-1</w:t>
      </w:r>
      <w:r>
        <w:rPr>
          <w:color w:val="auto"/>
          <w:highlight w:val="none"/>
        </w:rPr>
        <w:t>。</w:t>
      </w:r>
    </w:p>
    <w:p>
      <w:pPr>
        <w:pStyle w:val="22"/>
        <w:bidi w:val="0"/>
        <w:rPr>
          <w:color w:val="auto"/>
          <w:highlight w:val="none"/>
        </w:rPr>
      </w:pPr>
      <w:r>
        <w:rPr>
          <w:rFonts w:hint="eastAsia"/>
          <w:color w:val="auto"/>
          <w:highlight w:val="none"/>
          <w:lang w:eastAsia="zh-CN"/>
        </w:rPr>
        <w:t>表</w:t>
      </w:r>
      <w:r>
        <w:rPr>
          <w:rFonts w:hint="eastAsia"/>
          <w:color w:val="auto"/>
          <w:highlight w:val="none"/>
          <w:lang w:val="en-US" w:eastAsia="zh-CN"/>
        </w:rPr>
        <w:t xml:space="preserve">6.3-1   </w:t>
      </w:r>
      <w:r>
        <w:rPr>
          <w:color w:val="auto"/>
          <w:highlight w:val="none"/>
        </w:rPr>
        <w:t>各级评价分级表</w:t>
      </w:r>
    </w:p>
    <w:tbl>
      <w:tblPr>
        <w:tblStyle w:val="17"/>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2"/>
        <w:gridCol w:w="1434"/>
        <w:gridCol w:w="1547"/>
        <w:gridCol w:w="1548"/>
        <w:gridCol w:w="1548"/>
        <w:gridCol w:w="1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62" w:type="dxa"/>
          </w:tcPr>
          <w:p>
            <w:pPr>
              <w:pStyle w:val="22"/>
              <w:bidi w:val="0"/>
              <w:rPr>
                <w:rFonts w:hint="eastAsia"/>
                <w:color w:val="auto"/>
                <w:highlight w:val="none"/>
              </w:rPr>
            </w:pPr>
            <w:r>
              <w:rPr>
                <w:rFonts w:hint="eastAsia"/>
                <w:color w:val="auto"/>
                <w:highlight w:val="none"/>
              </w:rPr>
              <w:t>分值</w:t>
            </w:r>
          </w:p>
        </w:tc>
        <w:tc>
          <w:tcPr>
            <w:tcW w:w="1434" w:type="dxa"/>
          </w:tcPr>
          <w:p>
            <w:pPr>
              <w:pStyle w:val="22"/>
              <w:bidi w:val="0"/>
              <w:rPr>
                <w:color w:val="auto"/>
                <w:highlight w:val="none"/>
              </w:rPr>
            </w:pPr>
            <w:r>
              <w:rPr>
                <w:color w:val="auto"/>
                <w:highlight w:val="none"/>
              </w:rPr>
              <w:t>&lt;20</w:t>
            </w:r>
          </w:p>
        </w:tc>
        <w:tc>
          <w:tcPr>
            <w:tcW w:w="1547" w:type="dxa"/>
          </w:tcPr>
          <w:p>
            <w:pPr>
              <w:pStyle w:val="22"/>
              <w:bidi w:val="0"/>
              <w:rPr>
                <w:color w:val="auto"/>
                <w:highlight w:val="none"/>
              </w:rPr>
            </w:pPr>
            <w:r>
              <w:rPr>
                <w:color w:val="auto"/>
                <w:highlight w:val="none"/>
              </w:rPr>
              <w:t>21‐40</w:t>
            </w:r>
          </w:p>
        </w:tc>
        <w:tc>
          <w:tcPr>
            <w:tcW w:w="1548" w:type="dxa"/>
          </w:tcPr>
          <w:p>
            <w:pPr>
              <w:pStyle w:val="22"/>
              <w:bidi w:val="0"/>
              <w:rPr>
                <w:color w:val="auto"/>
                <w:highlight w:val="none"/>
              </w:rPr>
            </w:pPr>
            <w:r>
              <w:rPr>
                <w:color w:val="auto"/>
                <w:highlight w:val="none"/>
              </w:rPr>
              <w:t>41‐60</w:t>
            </w:r>
          </w:p>
        </w:tc>
        <w:tc>
          <w:tcPr>
            <w:tcW w:w="1548" w:type="dxa"/>
          </w:tcPr>
          <w:p>
            <w:pPr>
              <w:pStyle w:val="22"/>
              <w:bidi w:val="0"/>
              <w:rPr>
                <w:color w:val="auto"/>
                <w:highlight w:val="none"/>
              </w:rPr>
            </w:pPr>
            <w:r>
              <w:rPr>
                <w:color w:val="auto"/>
                <w:highlight w:val="none"/>
              </w:rPr>
              <w:t>61‐80</w:t>
            </w:r>
          </w:p>
        </w:tc>
        <w:tc>
          <w:tcPr>
            <w:tcW w:w="1548" w:type="dxa"/>
          </w:tcPr>
          <w:p>
            <w:pPr>
              <w:pStyle w:val="22"/>
              <w:bidi w:val="0"/>
              <w:rPr>
                <w:color w:val="auto"/>
                <w:highlight w:val="none"/>
              </w:rPr>
            </w:pPr>
            <w:r>
              <w:rPr>
                <w:color w:val="auto"/>
                <w:highlight w:val="none"/>
              </w:rPr>
              <w:t>&gt;80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662" w:type="dxa"/>
          </w:tcPr>
          <w:p>
            <w:pPr>
              <w:pStyle w:val="22"/>
              <w:bidi w:val="0"/>
              <w:rPr>
                <w:rFonts w:hint="eastAsia"/>
                <w:color w:val="auto"/>
                <w:highlight w:val="none"/>
              </w:rPr>
            </w:pPr>
            <w:r>
              <w:rPr>
                <w:rFonts w:hint="eastAsia"/>
                <w:color w:val="auto"/>
                <w:highlight w:val="none"/>
              </w:rPr>
              <w:t>生态弹性</w:t>
            </w:r>
          </w:p>
        </w:tc>
        <w:tc>
          <w:tcPr>
            <w:tcW w:w="1434" w:type="dxa"/>
          </w:tcPr>
          <w:p>
            <w:pPr>
              <w:pStyle w:val="22"/>
              <w:bidi w:val="0"/>
              <w:rPr>
                <w:rFonts w:hint="eastAsia"/>
                <w:color w:val="auto"/>
                <w:highlight w:val="none"/>
              </w:rPr>
            </w:pPr>
            <w:r>
              <w:rPr>
                <w:rFonts w:hint="eastAsia"/>
                <w:color w:val="auto"/>
                <w:highlight w:val="none"/>
              </w:rPr>
              <w:t>弱稳定</w:t>
            </w:r>
          </w:p>
        </w:tc>
        <w:tc>
          <w:tcPr>
            <w:tcW w:w="1547" w:type="dxa"/>
          </w:tcPr>
          <w:p>
            <w:pPr>
              <w:pStyle w:val="22"/>
              <w:bidi w:val="0"/>
              <w:rPr>
                <w:rFonts w:hint="eastAsia"/>
                <w:color w:val="auto"/>
                <w:highlight w:val="none"/>
              </w:rPr>
            </w:pPr>
            <w:r>
              <w:rPr>
                <w:rFonts w:hint="eastAsia"/>
                <w:color w:val="auto"/>
                <w:highlight w:val="none"/>
              </w:rPr>
              <w:t>不稳定</w:t>
            </w:r>
          </w:p>
        </w:tc>
        <w:tc>
          <w:tcPr>
            <w:tcW w:w="1548" w:type="dxa"/>
          </w:tcPr>
          <w:p>
            <w:pPr>
              <w:pStyle w:val="22"/>
              <w:bidi w:val="0"/>
              <w:rPr>
                <w:rFonts w:hint="eastAsia"/>
                <w:color w:val="auto"/>
                <w:highlight w:val="none"/>
              </w:rPr>
            </w:pPr>
            <w:r>
              <w:rPr>
                <w:rFonts w:hint="eastAsia"/>
                <w:color w:val="auto"/>
                <w:highlight w:val="none"/>
              </w:rPr>
              <w:t>中等稳定</w:t>
            </w:r>
          </w:p>
        </w:tc>
        <w:tc>
          <w:tcPr>
            <w:tcW w:w="1548" w:type="dxa"/>
          </w:tcPr>
          <w:p>
            <w:pPr>
              <w:pStyle w:val="22"/>
              <w:bidi w:val="0"/>
              <w:rPr>
                <w:rFonts w:hint="eastAsia"/>
                <w:color w:val="auto"/>
                <w:highlight w:val="none"/>
              </w:rPr>
            </w:pPr>
            <w:r>
              <w:rPr>
                <w:rFonts w:hint="eastAsia"/>
                <w:color w:val="auto"/>
                <w:highlight w:val="none"/>
              </w:rPr>
              <w:t>较稳定</w:t>
            </w:r>
          </w:p>
        </w:tc>
        <w:tc>
          <w:tcPr>
            <w:tcW w:w="1548" w:type="dxa"/>
          </w:tcPr>
          <w:p>
            <w:pPr>
              <w:pStyle w:val="22"/>
              <w:bidi w:val="0"/>
              <w:rPr>
                <w:rFonts w:hint="eastAsia"/>
                <w:color w:val="auto"/>
                <w:highlight w:val="none"/>
              </w:rPr>
            </w:pPr>
            <w:r>
              <w:rPr>
                <w:rFonts w:hint="eastAsia"/>
                <w:color w:val="auto"/>
                <w:highlight w:val="none"/>
              </w:rPr>
              <w:t>很稳定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662" w:type="dxa"/>
          </w:tcPr>
          <w:p>
            <w:pPr>
              <w:pStyle w:val="22"/>
              <w:bidi w:val="0"/>
              <w:rPr>
                <w:rFonts w:hint="eastAsia"/>
                <w:color w:val="auto"/>
                <w:highlight w:val="none"/>
              </w:rPr>
            </w:pPr>
            <w:r>
              <w:rPr>
                <w:rFonts w:hint="eastAsia"/>
                <w:color w:val="auto"/>
                <w:highlight w:val="none"/>
              </w:rPr>
              <w:t>资源承载</w:t>
            </w:r>
          </w:p>
        </w:tc>
        <w:tc>
          <w:tcPr>
            <w:tcW w:w="1434" w:type="dxa"/>
          </w:tcPr>
          <w:p>
            <w:pPr>
              <w:pStyle w:val="22"/>
              <w:bidi w:val="0"/>
              <w:rPr>
                <w:rFonts w:hint="eastAsia"/>
                <w:color w:val="auto"/>
                <w:highlight w:val="none"/>
              </w:rPr>
            </w:pPr>
            <w:r>
              <w:rPr>
                <w:rFonts w:hint="eastAsia"/>
                <w:color w:val="auto"/>
                <w:highlight w:val="none"/>
              </w:rPr>
              <w:t>弱承载</w:t>
            </w:r>
          </w:p>
        </w:tc>
        <w:tc>
          <w:tcPr>
            <w:tcW w:w="1547" w:type="dxa"/>
          </w:tcPr>
          <w:p>
            <w:pPr>
              <w:pStyle w:val="22"/>
              <w:bidi w:val="0"/>
              <w:rPr>
                <w:rFonts w:hint="eastAsia"/>
                <w:color w:val="auto"/>
                <w:highlight w:val="none"/>
              </w:rPr>
            </w:pPr>
            <w:r>
              <w:rPr>
                <w:rFonts w:hint="eastAsia"/>
                <w:color w:val="auto"/>
                <w:highlight w:val="none"/>
              </w:rPr>
              <w:t>低承载</w:t>
            </w:r>
          </w:p>
        </w:tc>
        <w:tc>
          <w:tcPr>
            <w:tcW w:w="1548" w:type="dxa"/>
          </w:tcPr>
          <w:p>
            <w:pPr>
              <w:pStyle w:val="22"/>
              <w:bidi w:val="0"/>
              <w:rPr>
                <w:rFonts w:hint="eastAsia"/>
                <w:color w:val="auto"/>
                <w:highlight w:val="none"/>
              </w:rPr>
            </w:pPr>
            <w:r>
              <w:rPr>
                <w:rFonts w:hint="eastAsia"/>
                <w:color w:val="auto"/>
                <w:highlight w:val="none"/>
              </w:rPr>
              <w:t>中等承载</w:t>
            </w:r>
          </w:p>
        </w:tc>
        <w:tc>
          <w:tcPr>
            <w:tcW w:w="1548" w:type="dxa"/>
          </w:tcPr>
          <w:p>
            <w:pPr>
              <w:pStyle w:val="22"/>
              <w:bidi w:val="0"/>
              <w:rPr>
                <w:rFonts w:hint="eastAsia"/>
                <w:color w:val="auto"/>
                <w:highlight w:val="none"/>
              </w:rPr>
            </w:pPr>
            <w:r>
              <w:rPr>
                <w:rFonts w:hint="eastAsia"/>
                <w:color w:val="auto"/>
                <w:highlight w:val="none"/>
              </w:rPr>
              <w:t>较高承载</w:t>
            </w:r>
          </w:p>
        </w:tc>
        <w:tc>
          <w:tcPr>
            <w:tcW w:w="1548" w:type="dxa"/>
          </w:tcPr>
          <w:p>
            <w:pPr>
              <w:pStyle w:val="22"/>
              <w:bidi w:val="0"/>
              <w:rPr>
                <w:rFonts w:hint="eastAsia"/>
                <w:color w:val="auto"/>
                <w:highlight w:val="none"/>
              </w:rPr>
            </w:pPr>
            <w:r>
              <w:rPr>
                <w:rFonts w:hint="eastAsia"/>
                <w:color w:val="auto"/>
                <w:highlight w:val="none"/>
              </w:rPr>
              <w:t>高承载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662" w:type="dxa"/>
          </w:tcPr>
          <w:p>
            <w:pPr>
              <w:pStyle w:val="22"/>
              <w:bidi w:val="0"/>
              <w:rPr>
                <w:rFonts w:hint="eastAsia"/>
                <w:color w:val="auto"/>
                <w:highlight w:val="none"/>
              </w:rPr>
            </w:pPr>
            <w:r>
              <w:rPr>
                <w:rFonts w:hint="eastAsia"/>
                <w:color w:val="auto"/>
                <w:highlight w:val="none"/>
              </w:rPr>
              <w:t>承载压力</w:t>
            </w:r>
          </w:p>
        </w:tc>
        <w:tc>
          <w:tcPr>
            <w:tcW w:w="1434" w:type="dxa"/>
          </w:tcPr>
          <w:p>
            <w:pPr>
              <w:pStyle w:val="22"/>
              <w:bidi w:val="0"/>
              <w:rPr>
                <w:rFonts w:hint="eastAsia"/>
                <w:color w:val="auto"/>
                <w:highlight w:val="none"/>
              </w:rPr>
            </w:pPr>
            <w:r>
              <w:rPr>
                <w:rFonts w:hint="eastAsia"/>
                <w:color w:val="auto"/>
                <w:highlight w:val="none"/>
              </w:rPr>
              <w:t>弱压</w:t>
            </w:r>
          </w:p>
        </w:tc>
        <w:tc>
          <w:tcPr>
            <w:tcW w:w="1547" w:type="dxa"/>
          </w:tcPr>
          <w:p>
            <w:pPr>
              <w:pStyle w:val="22"/>
              <w:bidi w:val="0"/>
              <w:rPr>
                <w:rFonts w:hint="eastAsia"/>
                <w:color w:val="auto"/>
                <w:highlight w:val="none"/>
              </w:rPr>
            </w:pPr>
            <w:r>
              <w:rPr>
                <w:rFonts w:hint="eastAsia"/>
                <w:color w:val="auto"/>
                <w:highlight w:val="none"/>
              </w:rPr>
              <w:t>低压</w:t>
            </w:r>
          </w:p>
        </w:tc>
        <w:tc>
          <w:tcPr>
            <w:tcW w:w="1548" w:type="dxa"/>
          </w:tcPr>
          <w:p>
            <w:pPr>
              <w:pStyle w:val="22"/>
              <w:bidi w:val="0"/>
              <w:rPr>
                <w:rFonts w:hint="eastAsia"/>
                <w:color w:val="auto"/>
                <w:highlight w:val="none"/>
              </w:rPr>
            </w:pPr>
            <w:r>
              <w:rPr>
                <w:rFonts w:hint="eastAsia"/>
                <w:color w:val="auto"/>
                <w:highlight w:val="none"/>
              </w:rPr>
              <w:t>中压</w:t>
            </w:r>
          </w:p>
        </w:tc>
        <w:tc>
          <w:tcPr>
            <w:tcW w:w="1548" w:type="dxa"/>
          </w:tcPr>
          <w:p>
            <w:pPr>
              <w:pStyle w:val="22"/>
              <w:bidi w:val="0"/>
              <w:rPr>
                <w:rFonts w:hint="eastAsia"/>
                <w:color w:val="auto"/>
                <w:highlight w:val="none"/>
              </w:rPr>
            </w:pPr>
            <w:r>
              <w:rPr>
                <w:rFonts w:hint="eastAsia"/>
                <w:color w:val="auto"/>
                <w:highlight w:val="none"/>
              </w:rPr>
              <w:t>较高压</w:t>
            </w:r>
          </w:p>
        </w:tc>
        <w:tc>
          <w:tcPr>
            <w:tcW w:w="1548" w:type="dxa"/>
          </w:tcPr>
          <w:p>
            <w:pPr>
              <w:pStyle w:val="22"/>
              <w:bidi w:val="0"/>
              <w:rPr>
                <w:rFonts w:hint="eastAsia"/>
                <w:color w:val="auto"/>
                <w:highlight w:val="none"/>
              </w:rPr>
            </w:pPr>
            <w:r>
              <w:rPr>
                <w:rFonts w:hint="eastAsia"/>
                <w:color w:val="auto"/>
                <w:highlight w:val="none"/>
              </w:rPr>
              <w:t>高压</w:t>
            </w:r>
          </w:p>
        </w:tc>
      </w:tr>
    </w:tbl>
    <w:p>
      <w:pPr>
        <w:bidi w:val="0"/>
        <w:rPr>
          <w:rFonts w:hint="eastAsia"/>
          <w:color w:val="auto"/>
          <w:highlight w:val="none"/>
          <w:lang w:eastAsia="zh-CN"/>
        </w:rPr>
      </w:pPr>
    </w:p>
    <w:p>
      <w:pPr>
        <w:pStyle w:val="6"/>
        <w:bidi w:val="0"/>
        <w:rPr>
          <w:rFonts w:hint="eastAsia"/>
          <w:color w:val="auto"/>
          <w:highlight w:val="none"/>
          <w:lang w:eastAsia="zh-CN"/>
        </w:rPr>
      </w:pPr>
      <w:bookmarkStart w:id="568" w:name="_Toc32210"/>
      <w:bookmarkStart w:id="569" w:name="_Toc1999"/>
      <w:r>
        <w:rPr>
          <w:rFonts w:hint="eastAsia"/>
          <w:color w:val="auto"/>
          <w:highlight w:val="none"/>
          <w:lang w:val="en-US" w:eastAsia="zh-CN"/>
        </w:rPr>
        <w:t xml:space="preserve">6.3.1 </w:t>
      </w:r>
      <w:r>
        <w:rPr>
          <w:rFonts w:hint="eastAsia"/>
          <w:color w:val="auto"/>
          <w:highlight w:val="none"/>
          <w:lang w:eastAsia="zh-CN"/>
        </w:rPr>
        <w:t>生态弹性度评价</w:t>
      </w:r>
      <w:bookmarkEnd w:id="568"/>
      <w:bookmarkEnd w:id="569"/>
    </w:p>
    <w:p>
      <w:pPr>
        <w:bidi w:val="0"/>
        <w:rPr>
          <w:rFonts w:hint="eastAsia"/>
          <w:color w:val="auto"/>
          <w:highlight w:val="none"/>
          <w:lang w:eastAsia="zh-CN"/>
        </w:rPr>
      </w:pPr>
      <w:r>
        <w:rPr>
          <w:rFonts w:hint="eastAsia"/>
          <w:color w:val="auto"/>
          <w:highlight w:val="none"/>
          <w:lang w:eastAsia="zh-CN"/>
        </w:rPr>
        <w:t>生态系统弹性度衡量区域生态系统的自然承载能力。依据《可持续发展理论探索》（高吉喜，2001），影响生态系统弹性度的主要因素是地质地貌、气候、土壤、植被和水文，因此选择这五个指标进行评价。具体指标体系、权重及数值见表</w:t>
      </w:r>
      <w:r>
        <w:rPr>
          <w:rFonts w:hint="eastAsia"/>
          <w:color w:val="auto"/>
          <w:highlight w:val="none"/>
          <w:lang w:val="en-US" w:eastAsia="zh-CN"/>
        </w:rPr>
        <w:t>6.3-2</w:t>
      </w:r>
      <w:r>
        <w:rPr>
          <w:rFonts w:hint="eastAsia"/>
          <w:color w:val="auto"/>
          <w:highlight w:val="none"/>
          <w:lang w:eastAsia="zh-CN"/>
        </w:rPr>
        <w:t>。</w:t>
      </w:r>
    </w:p>
    <w:p>
      <w:pPr>
        <w:pStyle w:val="22"/>
        <w:bidi w:val="0"/>
        <w:rPr>
          <w:rFonts w:hint="eastAsia"/>
          <w:color w:val="auto"/>
          <w:highlight w:val="none"/>
          <w:lang w:eastAsia="zh-CN"/>
        </w:rPr>
      </w:pPr>
      <w:r>
        <w:rPr>
          <w:rFonts w:hint="eastAsia"/>
          <w:color w:val="auto"/>
          <w:highlight w:val="none"/>
          <w:lang w:eastAsia="zh-CN"/>
        </w:rPr>
        <w:t>表</w:t>
      </w:r>
      <w:r>
        <w:rPr>
          <w:rFonts w:hint="eastAsia"/>
          <w:color w:val="auto"/>
          <w:highlight w:val="none"/>
          <w:lang w:val="en-US" w:eastAsia="zh-CN"/>
        </w:rPr>
        <w:t xml:space="preserve">6.3-2   </w:t>
      </w:r>
      <w:r>
        <w:rPr>
          <w:color w:val="auto"/>
          <w:highlight w:val="none"/>
        </w:rPr>
        <w:t>生态弹性度指标体系及计算表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3"/>
        <w:gridCol w:w="1461"/>
        <w:gridCol w:w="1762"/>
        <w:gridCol w:w="1530"/>
        <w:gridCol w:w="1558"/>
        <w:gridCol w:w="13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463" w:type="dxa"/>
            <w:vAlign w:val="center"/>
          </w:tcPr>
          <w:p>
            <w:pPr>
              <w:pStyle w:val="22"/>
              <w:bidi w:val="0"/>
              <w:rPr>
                <w:rFonts w:hint="eastAsia"/>
                <w:color w:val="auto"/>
                <w:highlight w:val="none"/>
              </w:rPr>
            </w:pPr>
            <w:r>
              <w:rPr>
                <w:rFonts w:hint="eastAsia"/>
                <w:color w:val="auto"/>
                <w:highlight w:val="none"/>
              </w:rPr>
              <w:t>目标层</w:t>
            </w:r>
          </w:p>
        </w:tc>
        <w:tc>
          <w:tcPr>
            <w:tcW w:w="1461" w:type="dxa"/>
            <w:vAlign w:val="center"/>
          </w:tcPr>
          <w:p>
            <w:pPr>
              <w:pStyle w:val="22"/>
              <w:bidi w:val="0"/>
              <w:rPr>
                <w:rFonts w:hint="eastAsia"/>
                <w:color w:val="auto"/>
                <w:highlight w:val="none"/>
              </w:rPr>
            </w:pPr>
            <w:r>
              <w:rPr>
                <w:rFonts w:hint="eastAsia"/>
                <w:color w:val="auto"/>
                <w:highlight w:val="none"/>
              </w:rPr>
              <w:t>准则层</w:t>
            </w:r>
          </w:p>
        </w:tc>
        <w:tc>
          <w:tcPr>
            <w:tcW w:w="1762" w:type="dxa"/>
            <w:vAlign w:val="center"/>
          </w:tcPr>
          <w:p>
            <w:pPr>
              <w:pStyle w:val="22"/>
              <w:bidi w:val="0"/>
              <w:rPr>
                <w:rFonts w:hint="eastAsia"/>
                <w:color w:val="auto"/>
                <w:highlight w:val="none"/>
              </w:rPr>
            </w:pPr>
            <w:r>
              <w:rPr>
                <w:rFonts w:hint="eastAsia"/>
                <w:color w:val="auto"/>
                <w:highlight w:val="none"/>
              </w:rPr>
              <w:t>指标层</w:t>
            </w:r>
          </w:p>
        </w:tc>
        <w:tc>
          <w:tcPr>
            <w:tcW w:w="1530" w:type="dxa"/>
            <w:vAlign w:val="center"/>
          </w:tcPr>
          <w:p>
            <w:pPr>
              <w:pStyle w:val="22"/>
              <w:bidi w:val="0"/>
              <w:rPr>
                <w:rFonts w:hint="eastAsia"/>
                <w:color w:val="auto"/>
                <w:highlight w:val="none"/>
              </w:rPr>
            </w:pPr>
            <w:r>
              <w:rPr>
                <w:rFonts w:hint="eastAsia"/>
                <w:color w:val="auto"/>
                <w:highlight w:val="none"/>
              </w:rPr>
              <w:t>权重</w:t>
            </w:r>
          </w:p>
        </w:tc>
        <w:tc>
          <w:tcPr>
            <w:tcW w:w="1558" w:type="dxa"/>
            <w:vAlign w:val="center"/>
          </w:tcPr>
          <w:p>
            <w:pPr>
              <w:pStyle w:val="22"/>
              <w:bidi w:val="0"/>
              <w:rPr>
                <w:rFonts w:hint="eastAsia"/>
                <w:color w:val="auto"/>
                <w:highlight w:val="none"/>
              </w:rPr>
            </w:pPr>
            <w:r>
              <w:rPr>
                <w:rFonts w:hint="eastAsia"/>
                <w:color w:val="auto"/>
                <w:highlight w:val="none"/>
              </w:rPr>
              <w:t>数值</w:t>
            </w:r>
          </w:p>
        </w:tc>
        <w:tc>
          <w:tcPr>
            <w:tcW w:w="1346" w:type="dxa"/>
            <w:vAlign w:val="center"/>
          </w:tcPr>
          <w:p>
            <w:pPr>
              <w:pStyle w:val="22"/>
              <w:bidi w:val="0"/>
              <w:rPr>
                <w:rFonts w:hint="eastAsia"/>
                <w:color w:val="auto"/>
                <w:highlight w:val="none"/>
              </w:rPr>
            </w:pPr>
            <w:r>
              <w:rPr>
                <w:rFonts w:hint="eastAsia"/>
                <w:color w:val="auto"/>
                <w:highlight w:val="none"/>
              </w:rPr>
              <w:t>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restart"/>
            <w:vAlign w:val="center"/>
          </w:tcPr>
          <w:p>
            <w:pPr>
              <w:pStyle w:val="22"/>
              <w:bidi w:val="0"/>
              <w:rPr>
                <w:rFonts w:hint="eastAsia"/>
                <w:color w:val="auto"/>
                <w:highlight w:val="none"/>
              </w:rPr>
            </w:pPr>
            <w:r>
              <w:rPr>
                <w:rFonts w:hint="eastAsia"/>
                <w:color w:val="auto"/>
                <w:highlight w:val="none"/>
              </w:rPr>
              <w:t>生态弹性度</w:t>
            </w:r>
          </w:p>
        </w:tc>
        <w:tc>
          <w:tcPr>
            <w:tcW w:w="1461" w:type="dxa"/>
            <w:vMerge w:val="restart"/>
            <w:vAlign w:val="center"/>
          </w:tcPr>
          <w:p>
            <w:pPr>
              <w:pStyle w:val="22"/>
              <w:bidi w:val="0"/>
              <w:rPr>
                <w:rFonts w:hint="eastAsia"/>
                <w:color w:val="auto"/>
                <w:highlight w:val="none"/>
              </w:rPr>
            </w:pPr>
            <w:r>
              <w:rPr>
                <w:rFonts w:hint="eastAsia"/>
                <w:color w:val="auto"/>
                <w:highlight w:val="none"/>
              </w:rPr>
              <w:t>气候</w:t>
            </w:r>
          </w:p>
        </w:tc>
        <w:tc>
          <w:tcPr>
            <w:tcW w:w="1762" w:type="dxa"/>
            <w:vAlign w:val="center"/>
          </w:tcPr>
          <w:p>
            <w:pPr>
              <w:pStyle w:val="22"/>
              <w:bidi w:val="0"/>
              <w:rPr>
                <w:rFonts w:hint="eastAsia"/>
                <w:color w:val="auto"/>
                <w:highlight w:val="none"/>
              </w:rPr>
            </w:pPr>
            <w:r>
              <w:rPr>
                <w:rFonts w:hint="eastAsia"/>
                <w:color w:val="auto"/>
                <w:highlight w:val="none"/>
              </w:rPr>
              <w:t>年</w:t>
            </w:r>
            <w:r>
              <w:rPr>
                <w:color w:val="auto"/>
                <w:highlight w:val="none"/>
              </w:rPr>
              <w:t>&gt;10</w:t>
            </w:r>
            <w:r>
              <w:rPr>
                <w:rFonts w:hint="eastAsia"/>
                <w:color w:val="auto"/>
                <w:highlight w:val="none"/>
              </w:rPr>
              <w:t>℃积温</w:t>
            </w:r>
          </w:p>
        </w:tc>
        <w:tc>
          <w:tcPr>
            <w:tcW w:w="1530" w:type="dxa"/>
            <w:vAlign w:val="center"/>
          </w:tcPr>
          <w:p>
            <w:pPr>
              <w:pStyle w:val="22"/>
              <w:bidi w:val="0"/>
              <w:rPr>
                <w:color w:val="auto"/>
                <w:highlight w:val="none"/>
              </w:rPr>
            </w:pPr>
            <w:r>
              <w:rPr>
                <w:color w:val="auto"/>
                <w:highlight w:val="none"/>
              </w:rPr>
              <w:t>0.03850</w:t>
            </w:r>
          </w:p>
        </w:tc>
        <w:tc>
          <w:tcPr>
            <w:tcW w:w="1558" w:type="dxa"/>
            <w:vAlign w:val="center"/>
          </w:tcPr>
          <w:p>
            <w:pPr>
              <w:pStyle w:val="22"/>
              <w:bidi w:val="0"/>
              <w:rPr>
                <w:color w:val="auto"/>
                <w:highlight w:val="none"/>
              </w:rPr>
            </w:pPr>
            <w:r>
              <w:rPr>
                <w:color w:val="auto"/>
                <w:highlight w:val="none"/>
              </w:rPr>
              <w:t>5237.4℃</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color w:val="auto"/>
                <w:highlight w:val="none"/>
              </w:rPr>
            </w:pPr>
            <w:r>
              <w:rPr>
                <w:rFonts w:hint="eastAsia"/>
                <w:color w:val="auto"/>
                <w:highlight w:val="none"/>
              </w:rPr>
              <w:t>年平均降水量</w:t>
            </w:r>
          </w:p>
        </w:tc>
        <w:tc>
          <w:tcPr>
            <w:tcW w:w="1530" w:type="dxa"/>
            <w:vAlign w:val="center"/>
          </w:tcPr>
          <w:p>
            <w:pPr>
              <w:pStyle w:val="22"/>
              <w:bidi w:val="0"/>
              <w:rPr>
                <w:color w:val="auto"/>
                <w:highlight w:val="none"/>
              </w:rPr>
            </w:pPr>
            <w:r>
              <w:rPr>
                <w:color w:val="auto"/>
                <w:highlight w:val="none"/>
              </w:rPr>
              <w:t>0.01284</w:t>
            </w:r>
          </w:p>
        </w:tc>
        <w:tc>
          <w:tcPr>
            <w:tcW w:w="1558" w:type="dxa"/>
            <w:vAlign w:val="center"/>
          </w:tcPr>
          <w:p>
            <w:pPr>
              <w:pStyle w:val="22"/>
              <w:bidi w:val="0"/>
              <w:rPr>
                <w:rFonts w:hint="eastAsia"/>
                <w:color w:val="auto"/>
                <w:highlight w:val="none"/>
              </w:rPr>
            </w:pPr>
            <w:r>
              <w:rPr>
                <w:rFonts w:hint="eastAsia"/>
                <w:color w:val="auto"/>
                <w:highlight w:val="none"/>
                <w:lang w:val="en-US" w:eastAsia="zh-CN"/>
              </w:rPr>
              <w:t>1184</w:t>
            </w:r>
            <w:r>
              <w:rPr>
                <w:rFonts w:hint="eastAsia"/>
                <w:color w:val="auto"/>
                <w:highlight w:val="none"/>
              </w:rPr>
              <w:t>毫米</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color w:val="auto"/>
                <w:highlight w:val="none"/>
              </w:rPr>
            </w:pPr>
            <w:r>
              <w:rPr>
                <w:rFonts w:hint="eastAsia"/>
                <w:color w:val="auto"/>
                <w:highlight w:val="none"/>
              </w:rPr>
              <w:t>年干燥度</w:t>
            </w:r>
          </w:p>
        </w:tc>
        <w:tc>
          <w:tcPr>
            <w:tcW w:w="1530" w:type="dxa"/>
            <w:vAlign w:val="center"/>
          </w:tcPr>
          <w:p>
            <w:pPr>
              <w:pStyle w:val="22"/>
              <w:bidi w:val="0"/>
              <w:rPr>
                <w:color w:val="auto"/>
                <w:highlight w:val="none"/>
              </w:rPr>
            </w:pPr>
            <w:r>
              <w:rPr>
                <w:color w:val="auto"/>
                <w:highlight w:val="none"/>
              </w:rPr>
              <w:t>0.03049</w:t>
            </w:r>
          </w:p>
        </w:tc>
        <w:tc>
          <w:tcPr>
            <w:tcW w:w="155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0.8</w:t>
            </w:r>
          </w:p>
        </w:tc>
        <w:tc>
          <w:tcPr>
            <w:tcW w:w="1346" w:type="dxa"/>
            <w:vAlign w:val="center"/>
          </w:tcPr>
          <w:p>
            <w:pPr>
              <w:pStyle w:val="22"/>
              <w:bidi w:val="0"/>
              <w:rPr>
                <w:rFonts w:hint="eastAsia" w:eastAsia="宋体"/>
                <w:color w:val="auto"/>
                <w:highlight w:val="none"/>
                <w:lang w:val="en-US" w:eastAsia="zh-CN"/>
              </w:rPr>
            </w:pPr>
            <w:r>
              <w:rPr>
                <w:color w:val="auto"/>
                <w:highlight w:val="none"/>
              </w:rPr>
              <w:t>10</w:t>
            </w:r>
            <w:r>
              <w:rPr>
                <w:rFonts w:hint="eastAsia"/>
                <w:color w:val="auto"/>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color w:val="auto"/>
                <w:highlight w:val="none"/>
              </w:rPr>
            </w:pPr>
            <w:r>
              <w:rPr>
                <w:rFonts w:hint="eastAsia"/>
                <w:color w:val="auto"/>
                <w:highlight w:val="none"/>
              </w:rPr>
              <w:t>无霜期</w:t>
            </w:r>
          </w:p>
        </w:tc>
        <w:tc>
          <w:tcPr>
            <w:tcW w:w="1530" w:type="dxa"/>
            <w:vAlign w:val="center"/>
          </w:tcPr>
          <w:p>
            <w:pPr>
              <w:pStyle w:val="22"/>
              <w:bidi w:val="0"/>
              <w:rPr>
                <w:color w:val="auto"/>
                <w:highlight w:val="none"/>
              </w:rPr>
            </w:pPr>
            <w:r>
              <w:rPr>
                <w:color w:val="auto"/>
                <w:highlight w:val="none"/>
              </w:rPr>
              <w:t>0.01177</w:t>
            </w:r>
          </w:p>
        </w:tc>
        <w:tc>
          <w:tcPr>
            <w:tcW w:w="1558" w:type="dxa"/>
            <w:vAlign w:val="center"/>
          </w:tcPr>
          <w:p>
            <w:pPr>
              <w:pStyle w:val="22"/>
              <w:bidi w:val="0"/>
              <w:rPr>
                <w:rFonts w:hint="eastAsia"/>
                <w:color w:val="auto"/>
                <w:highlight w:val="none"/>
              </w:rPr>
            </w:pPr>
            <w:r>
              <w:rPr>
                <w:rFonts w:hint="eastAsia"/>
                <w:color w:val="auto"/>
                <w:highlight w:val="none"/>
                <w:lang w:val="en-US" w:eastAsia="zh-CN"/>
              </w:rPr>
              <w:t>284</w:t>
            </w:r>
            <w:r>
              <w:rPr>
                <w:rFonts w:hint="eastAsia"/>
                <w:color w:val="auto"/>
                <w:highlight w:val="none"/>
              </w:rPr>
              <w:t>天</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restart"/>
            <w:vAlign w:val="center"/>
          </w:tcPr>
          <w:p>
            <w:pPr>
              <w:pStyle w:val="22"/>
              <w:bidi w:val="0"/>
              <w:rPr>
                <w:rFonts w:hint="eastAsia"/>
                <w:color w:val="auto"/>
                <w:highlight w:val="none"/>
              </w:rPr>
            </w:pPr>
            <w:r>
              <w:rPr>
                <w:rFonts w:hint="eastAsia"/>
                <w:color w:val="auto"/>
                <w:highlight w:val="none"/>
              </w:rPr>
              <w:t>地物覆盖</w:t>
            </w:r>
          </w:p>
        </w:tc>
        <w:tc>
          <w:tcPr>
            <w:tcW w:w="1762" w:type="dxa"/>
            <w:vAlign w:val="center"/>
          </w:tcPr>
          <w:p>
            <w:pPr>
              <w:pStyle w:val="22"/>
              <w:bidi w:val="0"/>
              <w:rPr>
                <w:rFonts w:hint="eastAsia" w:eastAsia="宋体"/>
                <w:color w:val="auto"/>
                <w:highlight w:val="none"/>
                <w:lang w:eastAsia="zh-CN"/>
              </w:rPr>
            </w:pPr>
            <w:r>
              <w:rPr>
                <w:rFonts w:hint="eastAsia"/>
                <w:color w:val="auto"/>
                <w:highlight w:val="none"/>
                <w:lang w:eastAsia="zh-CN"/>
              </w:rPr>
              <w:t>植物类型多样性</w:t>
            </w:r>
          </w:p>
        </w:tc>
        <w:tc>
          <w:tcPr>
            <w:tcW w:w="1530" w:type="dxa"/>
            <w:vAlign w:val="center"/>
          </w:tcPr>
          <w:p>
            <w:pPr>
              <w:pStyle w:val="22"/>
              <w:bidi w:val="0"/>
              <w:rPr>
                <w:color w:val="auto"/>
                <w:highlight w:val="none"/>
              </w:rPr>
            </w:pPr>
            <w:r>
              <w:rPr>
                <w:color w:val="auto"/>
                <w:highlight w:val="none"/>
              </w:rPr>
              <w:t>0.07894</w:t>
            </w:r>
          </w:p>
        </w:tc>
        <w:tc>
          <w:tcPr>
            <w:tcW w:w="155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1000多种</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eastAsia="宋体"/>
                <w:color w:val="auto"/>
                <w:highlight w:val="none"/>
                <w:lang w:eastAsia="zh-CN"/>
              </w:rPr>
            </w:pPr>
            <w:r>
              <w:rPr>
                <w:rFonts w:hint="eastAsia"/>
                <w:color w:val="auto"/>
                <w:highlight w:val="none"/>
                <w:lang w:eastAsia="zh-CN"/>
              </w:rPr>
              <w:t>植被覆盖率</w:t>
            </w:r>
          </w:p>
        </w:tc>
        <w:tc>
          <w:tcPr>
            <w:tcW w:w="1530" w:type="dxa"/>
            <w:vAlign w:val="center"/>
          </w:tcPr>
          <w:p>
            <w:pPr>
              <w:pStyle w:val="22"/>
              <w:bidi w:val="0"/>
              <w:rPr>
                <w:color w:val="auto"/>
                <w:highlight w:val="none"/>
              </w:rPr>
            </w:pPr>
            <w:r>
              <w:rPr>
                <w:color w:val="auto"/>
                <w:highlight w:val="none"/>
              </w:rPr>
              <w:t>0.03049</w:t>
            </w:r>
          </w:p>
        </w:tc>
        <w:tc>
          <w:tcPr>
            <w:tcW w:w="1558" w:type="dxa"/>
            <w:vAlign w:val="center"/>
          </w:tcPr>
          <w:p>
            <w:pPr>
              <w:pStyle w:val="22"/>
              <w:bidi w:val="0"/>
              <w:rPr>
                <w:rFonts w:hint="eastAsia" w:eastAsia="宋体"/>
                <w:color w:val="auto"/>
                <w:highlight w:val="none"/>
                <w:lang w:eastAsia="zh-CN"/>
              </w:rPr>
            </w:pPr>
            <w:r>
              <w:rPr>
                <w:rFonts w:hint="eastAsia"/>
                <w:color w:val="auto"/>
                <w:highlight w:val="none"/>
                <w:lang w:eastAsia="zh-CN"/>
              </w:rPr>
              <w:t>高</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restart"/>
            <w:vAlign w:val="center"/>
          </w:tcPr>
          <w:p>
            <w:pPr>
              <w:pStyle w:val="22"/>
              <w:bidi w:val="0"/>
              <w:rPr>
                <w:rFonts w:hint="eastAsia"/>
                <w:color w:val="auto"/>
                <w:highlight w:val="none"/>
              </w:rPr>
            </w:pPr>
            <w:r>
              <w:rPr>
                <w:rFonts w:hint="eastAsia"/>
                <w:color w:val="auto"/>
                <w:highlight w:val="none"/>
              </w:rPr>
              <w:t>土壤</w:t>
            </w:r>
          </w:p>
        </w:tc>
        <w:tc>
          <w:tcPr>
            <w:tcW w:w="1762" w:type="dxa"/>
            <w:vAlign w:val="center"/>
          </w:tcPr>
          <w:p>
            <w:pPr>
              <w:pStyle w:val="22"/>
              <w:bidi w:val="0"/>
              <w:rPr>
                <w:rFonts w:hint="eastAsia"/>
                <w:color w:val="auto"/>
                <w:highlight w:val="none"/>
              </w:rPr>
            </w:pPr>
            <w:r>
              <w:rPr>
                <w:rFonts w:hint="eastAsia"/>
                <w:color w:val="auto"/>
                <w:highlight w:val="none"/>
              </w:rPr>
              <w:t>类型</w:t>
            </w:r>
          </w:p>
        </w:tc>
        <w:tc>
          <w:tcPr>
            <w:tcW w:w="1530" w:type="dxa"/>
            <w:vAlign w:val="center"/>
          </w:tcPr>
          <w:p>
            <w:pPr>
              <w:pStyle w:val="22"/>
              <w:bidi w:val="0"/>
              <w:rPr>
                <w:color w:val="auto"/>
                <w:highlight w:val="none"/>
              </w:rPr>
            </w:pPr>
            <w:r>
              <w:rPr>
                <w:color w:val="auto"/>
                <w:highlight w:val="none"/>
              </w:rPr>
              <w:t>0.05294</w:t>
            </w:r>
          </w:p>
        </w:tc>
        <w:tc>
          <w:tcPr>
            <w:tcW w:w="1558" w:type="dxa"/>
            <w:vAlign w:val="center"/>
          </w:tcPr>
          <w:p>
            <w:pPr>
              <w:pStyle w:val="22"/>
              <w:bidi w:val="0"/>
              <w:rPr>
                <w:rFonts w:hint="eastAsia" w:eastAsia="宋体"/>
                <w:color w:val="auto"/>
                <w:highlight w:val="none"/>
                <w:lang w:eastAsia="zh-CN"/>
              </w:rPr>
            </w:pPr>
            <w:r>
              <w:rPr>
                <w:rFonts w:hint="eastAsia"/>
                <w:color w:val="auto"/>
                <w:highlight w:val="none"/>
                <w:lang w:eastAsia="zh-CN"/>
              </w:rPr>
              <w:t>水稻土、紫色土</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eastAsia="宋体"/>
                <w:color w:val="auto"/>
                <w:highlight w:val="none"/>
                <w:lang w:eastAsia="zh-CN"/>
              </w:rPr>
            </w:pPr>
            <w:r>
              <w:rPr>
                <w:rFonts w:hint="eastAsia" w:ascii="Times New Roman" w:hAnsi="Times New Roman" w:cs="Times New Roman"/>
                <w:color w:val="auto"/>
                <w:sz w:val="21"/>
                <w:szCs w:val="21"/>
                <w:highlight w:val="none"/>
              </w:rPr>
              <w:t>土壤侵蚀模数</w:t>
            </w:r>
            <w:r>
              <w:rPr>
                <w:rFonts w:hint="default"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km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a)</w:t>
            </w:r>
          </w:p>
        </w:tc>
        <w:tc>
          <w:tcPr>
            <w:tcW w:w="1530" w:type="dxa"/>
            <w:vAlign w:val="center"/>
          </w:tcPr>
          <w:p>
            <w:pPr>
              <w:pStyle w:val="22"/>
              <w:bidi w:val="0"/>
              <w:rPr>
                <w:color w:val="auto"/>
                <w:highlight w:val="none"/>
              </w:rPr>
            </w:pPr>
            <w:r>
              <w:rPr>
                <w:color w:val="auto"/>
                <w:highlight w:val="none"/>
              </w:rPr>
              <w:t>0.03530</w:t>
            </w:r>
          </w:p>
        </w:tc>
        <w:tc>
          <w:tcPr>
            <w:tcW w:w="155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2131</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restart"/>
            <w:vAlign w:val="center"/>
          </w:tcPr>
          <w:p>
            <w:pPr>
              <w:pStyle w:val="22"/>
              <w:bidi w:val="0"/>
              <w:rPr>
                <w:rFonts w:hint="eastAsia"/>
                <w:color w:val="auto"/>
                <w:highlight w:val="none"/>
              </w:rPr>
            </w:pPr>
            <w:r>
              <w:rPr>
                <w:rFonts w:hint="eastAsia"/>
                <w:color w:val="auto"/>
                <w:highlight w:val="none"/>
              </w:rPr>
              <w:t>地形地貌</w:t>
            </w:r>
          </w:p>
        </w:tc>
        <w:tc>
          <w:tcPr>
            <w:tcW w:w="1762" w:type="dxa"/>
            <w:vAlign w:val="center"/>
          </w:tcPr>
          <w:p>
            <w:pPr>
              <w:pStyle w:val="22"/>
              <w:bidi w:val="0"/>
              <w:rPr>
                <w:rFonts w:hint="eastAsia"/>
                <w:color w:val="auto"/>
                <w:highlight w:val="none"/>
              </w:rPr>
            </w:pPr>
            <w:r>
              <w:rPr>
                <w:rFonts w:hint="eastAsia"/>
                <w:color w:val="auto"/>
                <w:highlight w:val="none"/>
              </w:rPr>
              <w:t>海拔高度</w:t>
            </w:r>
          </w:p>
        </w:tc>
        <w:tc>
          <w:tcPr>
            <w:tcW w:w="1530" w:type="dxa"/>
            <w:vAlign w:val="center"/>
          </w:tcPr>
          <w:p>
            <w:pPr>
              <w:pStyle w:val="22"/>
              <w:bidi w:val="0"/>
              <w:rPr>
                <w:color w:val="auto"/>
                <w:highlight w:val="none"/>
              </w:rPr>
            </w:pPr>
            <w:r>
              <w:rPr>
                <w:color w:val="auto"/>
                <w:highlight w:val="none"/>
              </w:rPr>
              <w:t>0.13035</w:t>
            </w:r>
          </w:p>
        </w:tc>
        <w:tc>
          <w:tcPr>
            <w:tcW w:w="1558" w:type="dxa"/>
            <w:vAlign w:val="center"/>
          </w:tcPr>
          <w:p>
            <w:pPr>
              <w:pStyle w:val="22"/>
              <w:bidi w:val="0"/>
              <w:rPr>
                <w:color w:val="auto"/>
                <w:highlight w:val="none"/>
              </w:rPr>
            </w:pPr>
            <w:r>
              <w:rPr>
                <w:rFonts w:hint="eastAsia"/>
                <w:color w:val="auto"/>
                <w:highlight w:val="none"/>
                <w:lang w:val="en-US" w:eastAsia="zh-CN"/>
              </w:rPr>
              <w:t>+300~+900</w:t>
            </w:r>
            <w:r>
              <w:rPr>
                <w:color w:val="auto"/>
                <w:highlight w:val="none"/>
              </w:rPr>
              <w:t>m</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color w:val="auto"/>
                <w:highlight w:val="none"/>
              </w:rPr>
            </w:pPr>
            <w:r>
              <w:rPr>
                <w:rFonts w:hint="eastAsia"/>
                <w:color w:val="auto"/>
                <w:highlight w:val="none"/>
              </w:rPr>
              <w:t>地貌类型</w:t>
            </w:r>
          </w:p>
        </w:tc>
        <w:tc>
          <w:tcPr>
            <w:tcW w:w="1530" w:type="dxa"/>
            <w:vAlign w:val="center"/>
          </w:tcPr>
          <w:p>
            <w:pPr>
              <w:pStyle w:val="22"/>
              <w:bidi w:val="0"/>
              <w:rPr>
                <w:color w:val="auto"/>
                <w:highlight w:val="none"/>
              </w:rPr>
            </w:pPr>
            <w:r>
              <w:rPr>
                <w:color w:val="auto"/>
                <w:highlight w:val="none"/>
              </w:rPr>
              <w:t>0.13035</w:t>
            </w:r>
          </w:p>
        </w:tc>
        <w:tc>
          <w:tcPr>
            <w:tcW w:w="1558" w:type="dxa"/>
            <w:vAlign w:val="center"/>
          </w:tcPr>
          <w:p>
            <w:pPr>
              <w:pStyle w:val="22"/>
              <w:bidi w:val="0"/>
              <w:rPr>
                <w:rFonts w:hint="eastAsia" w:eastAsia="宋体"/>
                <w:color w:val="auto"/>
                <w:highlight w:val="none"/>
                <w:lang w:eastAsia="zh-CN"/>
              </w:rPr>
            </w:pPr>
            <w:r>
              <w:rPr>
                <w:rFonts w:hint="eastAsia"/>
                <w:color w:val="auto"/>
                <w:highlight w:val="none"/>
                <w:lang w:eastAsia="zh-CN"/>
              </w:rPr>
              <w:t>丘陵</w:t>
            </w:r>
          </w:p>
        </w:tc>
        <w:tc>
          <w:tcPr>
            <w:tcW w:w="1346" w:type="dxa"/>
            <w:vAlign w:val="center"/>
          </w:tcPr>
          <w:p>
            <w:pPr>
              <w:pStyle w:val="22"/>
              <w:bidi w:val="0"/>
              <w:rPr>
                <w:color w:val="auto"/>
                <w:highlight w:val="none"/>
              </w:rPr>
            </w:pPr>
            <w:r>
              <w:rPr>
                <w:color w:val="auto"/>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restart"/>
            <w:vAlign w:val="center"/>
          </w:tcPr>
          <w:p>
            <w:pPr>
              <w:pStyle w:val="22"/>
              <w:bidi w:val="0"/>
              <w:rPr>
                <w:rFonts w:hint="eastAsia"/>
                <w:color w:val="auto"/>
                <w:highlight w:val="none"/>
              </w:rPr>
            </w:pPr>
            <w:r>
              <w:rPr>
                <w:rFonts w:hint="eastAsia"/>
                <w:color w:val="auto"/>
                <w:highlight w:val="none"/>
              </w:rPr>
              <w:t>水文</w:t>
            </w:r>
          </w:p>
        </w:tc>
        <w:tc>
          <w:tcPr>
            <w:tcW w:w="1762" w:type="dxa"/>
            <w:vAlign w:val="center"/>
          </w:tcPr>
          <w:p>
            <w:pPr>
              <w:pStyle w:val="22"/>
              <w:bidi w:val="0"/>
              <w:rPr>
                <w:rFonts w:hint="eastAsia" w:eastAsia="宋体"/>
                <w:color w:val="auto"/>
                <w:highlight w:val="none"/>
                <w:lang w:eastAsia="zh-CN"/>
              </w:rPr>
            </w:pPr>
            <w:r>
              <w:rPr>
                <w:rFonts w:hint="eastAsia"/>
                <w:color w:val="auto"/>
                <w:highlight w:val="none"/>
              </w:rPr>
              <w:t>地表径流</w:t>
            </w:r>
            <w:r>
              <w:rPr>
                <w:rFonts w:hint="eastAsia"/>
                <w:color w:val="auto"/>
                <w:highlight w:val="none"/>
                <w:lang w:eastAsia="zh-CN"/>
              </w:rPr>
              <w:t>（10</w:t>
            </w:r>
            <w:r>
              <w:rPr>
                <w:rFonts w:hint="eastAsia"/>
                <w:color w:val="auto"/>
                <w:highlight w:val="none"/>
                <w:vertAlign w:val="superscript"/>
                <w:lang w:eastAsia="zh-CN"/>
              </w:rPr>
              <w:t>5</w:t>
            </w:r>
            <w:r>
              <w:rPr>
                <w:rFonts w:hint="eastAsia"/>
                <w:color w:val="auto"/>
                <w:highlight w:val="none"/>
                <w:lang w:eastAsia="zh-CN"/>
              </w:rPr>
              <w:t>m³/km²）</w:t>
            </w:r>
          </w:p>
        </w:tc>
        <w:tc>
          <w:tcPr>
            <w:tcW w:w="1530" w:type="dxa"/>
            <w:vAlign w:val="center"/>
          </w:tcPr>
          <w:p>
            <w:pPr>
              <w:pStyle w:val="22"/>
              <w:bidi w:val="0"/>
              <w:rPr>
                <w:color w:val="auto"/>
                <w:highlight w:val="none"/>
              </w:rPr>
            </w:pPr>
            <w:r>
              <w:rPr>
                <w:color w:val="auto"/>
                <w:highlight w:val="none"/>
              </w:rPr>
              <w:t>0.3734</w:t>
            </w:r>
          </w:p>
        </w:tc>
        <w:tc>
          <w:tcPr>
            <w:tcW w:w="155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13.7</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463" w:type="dxa"/>
            <w:vMerge w:val="continue"/>
            <w:tcBorders>
              <w:top w:val="nil"/>
            </w:tcBorders>
            <w:vAlign w:val="center"/>
          </w:tcPr>
          <w:p>
            <w:pPr>
              <w:pStyle w:val="22"/>
              <w:bidi w:val="0"/>
              <w:rPr>
                <w:color w:val="auto"/>
                <w:highlight w:val="none"/>
              </w:rPr>
            </w:pPr>
          </w:p>
        </w:tc>
        <w:tc>
          <w:tcPr>
            <w:tcW w:w="1461" w:type="dxa"/>
            <w:vMerge w:val="continue"/>
            <w:tcBorders>
              <w:top w:val="nil"/>
            </w:tcBorders>
            <w:vAlign w:val="center"/>
          </w:tcPr>
          <w:p>
            <w:pPr>
              <w:pStyle w:val="22"/>
              <w:bidi w:val="0"/>
              <w:rPr>
                <w:color w:val="auto"/>
                <w:highlight w:val="none"/>
              </w:rPr>
            </w:pPr>
          </w:p>
        </w:tc>
        <w:tc>
          <w:tcPr>
            <w:tcW w:w="1762" w:type="dxa"/>
            <w:vAlign w:val="center"/>
          </w:tcPr>
          <w:p>
            <w:pPr>
              <w:pStyle w:val="22"/>
              <w:bidi w:val="0"/>
              <w:rPr>
                <w:rFonts w:hint="eastAsia"/>
                <w:color w:val="auto"/>
                <w:highlight w:val="none"/>
              </w:rPr>
            </w:pPr>
            <w:r>
              <w:rPr>
                <w:rFonts w:hint="eastAsia"/>
                <w:color w:val="auto"/>
                <w:highlight w:val="none"/>
              </w:rPr>
              <w:t>地下水</w:t>
            </w:r>
            <w:r>
              <w:rPr>
                <w:rFonts w:hint="eastAsia"/>
                <w:color w:val="auto"/>
                <w:highlight w:val="none"/>
                <w:lang w:eastAsia="zh-CN"/>
              </w:rPr>
              <w:t>（10</w:t>
            </w:r>
            <w:r>
              <w:rPr>
                <w:rFonts w:hint="eastAsia"/>
                <w:color w:val="auto"/>
                <w:highlight w:val="none"/>
                <w:vertAlign w:val="superscript"/>
                <w:lang w:eastAsia="zh-CN"/>
              </w:rPr>
              <w:t>5</w:t>
            </w:r>
            <w:r>
              <w:rPr>
                <w:rFonts w:hint="eastAsia"/>
                <w:color w:val="auto"/>
                <w:highlight w:val="none"/>
                <w:lang w:eastAsia="zh-CN"/>
              </w:rPr>
              <w:t>m³/km²）</w:t>
            </w:r>
          </w:p>
        </w:tc>
        <w:tc>
          <w:tcPr>
            <w:tcW w:w="1530" w:type="dxa"/>
            <w:vAlign w:val="center"/>
          </w:tcPr>
          <w:p>
            <w:pPr>
              <w:pStyle w:val="22"/>
              <w:bidi w:val="0"/>
              <w:rPr>
                <w:color w:val="auto"/>
                <w:highlight w:val="none"/>
              </w:rPr>
            </w:pPr>
            <w:r>
              <w:rPr>
                <w:color w:val="auto"/>
                <w:highlight w:val="none"/>
              </w:rPr>
              <w:t>0.07469</w:t>
            </w:r>
          </w:p>
        </w:tc>
        <w:tc>
          <w:tcPr>
            <w:tcW w:w="1558"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2.38</w:t>
            </w:r>
          </w:p>
        </w:tc>
        <w:tc>
          <w:tcPr>
            <w:tcW w:w="1346" w:type="dxa"/>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686" w:type="dxa"/>
            <w:gridSpan w:val="3"/>
            <w:vAlign w:val="center"/>
          </w:tcPr>
          <w:p>
            <w:pPr>
              <w:pStyle w:val="22"/>
              <w:bidi w:val="0"/>
              <w:rPr>
                <w:rFonts w:hint="eastAsia"/>
                <w:color w:val="auto"/>
                <w:highlight w:val="none"/>
              </w:rPr>
            </w:pPr>
            <w:r>
              <w:rPr>
                <w:rFonts w:hint="eastAsia"/>
                <w:color w:val="auto"/>
                <w:highlight w:val="none"/>
              </w:rPr>
              <w:t>生态弹性力指数</w:t>
            </w:r>
          </w:p>
        </w:tc>
        <w:tc>
          <w:tcPr>
            <w:tcW w:w="4434" w:type="dxa"/>
            <w:gridSpan w:val="3"/>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77.9</w:t>
            </w:r>
          </w:p>
        </w:tc>
      </w:tr>
    </w:tbl>
    <w:p>
      <w:pPr>
        <w:bidi w:val="0"/>
        <w:rPr>
          <w:rFonts w:hint="eastAsia"/>
          <w:color w:val="auto"/>
          <w:highlight w:val="none"/>
          <w:lang w:eastAsia="zh-CN"/>
        </w:rPr>
      </w:pPr>
      <w:r>
        <w:rPr>
          <w:rFonts w:hint="eastAsia"/>
          <w:color w:val="auto"/>
          <w:highlight w:val="none"/>
          <w:lang w:eastAsia="zh-CN"/>
        </w:rPr>
        <w:t>可见，在确定各因子分值后，利用生态弹性度模型计算出评价区生态弹性度为</w:t>
      </w:r>
      <w:r>
        <w:rPr>
          <w:rFonts w:hint="eastAsia"/>
          <w:color w:val="auto"/>
          <w:highlight w:val="none"/>
          <w:lang w:val="en-US" w:eastAsia="zh-CN"/>
        </w:rPr>
        <w:t>77.9</w:t>
      </w:r>
      <w:r>
        <w:rPr>
          <w:rFonts w:hint="eastAsia"/>
          <w:color w:val="auto"/>
          <w:highlight w:val="none"/>
          <w:lang w:eastAsia="zh-CN"/>
        </w:rPr>
        <w:t>，处于</w:t>
      </w:r>
      <w:r>
        <w:rPr>
          <w:rFonts w:hint="eastAsia"/>
          <w:color w:val="auto"/>
          <w:highlight w:val="none"/>
          <w:u w:val="single"/>
          <w:lang w:eastAsia="zh-CN"/>
        </w:rPr>
        <w:t>较稳定状态</w:t>
      </w:r>
      <w:r>
        <w:rPr>
          <w:rFonts w:hint="eastAsia"/>
          <w:color w:val="auto"/>
          <w:highlight w:val="none"/>
          <w:lang w:eastAsia="zh-CN"/>
        </w:rPr>
        <w:t>。</w:t>
      </w:r>
    </w:p>
    <w:p>
      <w:pPr>
        <w:pStyle w:val="6"/>
        <w:bidi w:val="0"/>
        <w:rPr>
          <w:rFonts w:hint="eastAsia"/>
          <w:color w:val="auto"/>
          <w:highlight w:val="none"/>
          <w:lang w:eastAsia="zh-CN"/>
        </w:rPr>
      </w:pPr>
      <w:bookmarkStart w:id="570" w:name="_Toc28419"/>
      <w:bookmarkStart w:id="571" w:name="_Toc2570"/>
      <w:r>
        <w:rPr>
          <w:rFonts w:hint="eastAsia"/>
          <w:color w:val="auto"/>
          <w:highlight w:val="none"/>
          <w:lang w:val="en-US" w:eastAsia="zh-CN"/>
        </w:rPr>
        <w:t>6.3.2</w:t>
      </w:r>
      <w:r>
        <w:rPr>
          <w:rFonts w:hint="eastAsia"/>
          <w:color w:val="auto"/>
          <w:highlight w:val="none"/>
          <w:lang w:eastAsia="zh-CN"/>
        </w:rPr>
        <w:t>资源承载能力评价</w:t>
      </w:r>
      <w:bookmarkEnd w:id="570"/>
      <w:bookmarkEnd w:id="571"/>
    </w:p>
    <w:p>
      <w:pPr>
        <w:bidi w:val="0"/>
        <w:rPr>
          <w:rFonts w:hint="eastAsia"/>
          <w:color w:val="auto"/>
          <w:highlight w:val="none"/>
          <w:lang w:eastAsia="zh-CN"/>
        </w:rPr>
      </w:pPr>
      <w:r>
        <w:rPr>
          <w:rFonts w:hint="eastAsia"/>
          <w:color w:val="auto"/>
          <w:highlight w:val="none"/>
          <w:lang w:eastAsia="zh-CN"/>
        </w:rPr>
        <w:t>水是制约该区域生态系统的关键因素，由于水资源的时空分布，导致区域土地利用类型的转化，最终决定土地承载力，本次评价通过水资源承载力和土地资源承载力分析，来分析区域资源承载力状况。</w:t>
      </w:r>
    </w:p>
    <w:p>
      <w:pPr>
        <w:pStyle w:val="7"/>
        <w:bidi w:val="0"/>
        <w:rPr>
          <w:rFonts w:hint="eastAsia"/>
          <w:color w:val="auto"/>
          <w:highlight w:val="none"/>
          <w:lang w:eastAsia="zh-CN"/>
        </w:rPr>
      </w:pPr>
      <w:r>
        <w:rPr>
          <w:rFonts w:hint="eastAsia"/>
          <w:color w:val="auto"/>
          <w:highlight w:val="none"/>
          <w:lang w:val="en-US" w:eastAsia="zh-CN"/>
        </w:rPr>
        <w:t>6.3.2.1</w:t>
      </w:r>
      <w:r>
        <w:rPr>
          <w:rFonts w:hint="eastAsia"/>
          <w:color w:val="auto"/>
          <w:highlight w:val="none"/>
          <w:lang w:eastAsia="zh-CN"/>
        </w:rPr>
        <w:t>水资源承载力</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）规划矿区水资源现状</w:t>
      </w:r>
    </w:p>
    <w:p>
      <w:pPr>
        <w:bidi w:val="0"/>
        <w:rPr>
          <w:rFonts w:hint="eastAsia"/>
          <w:color w:val="auto"/>
          <w:highlight w:val="none"/>
          <w:lang w:eastAsia="zh-CN"/>
        </w:rPr>
      </w:pPr>
      <w:r>
        <w:rPr>
          <w:rFonts w:hint="eastAsia"/>
          <w:color w:val="auto"/>
          <w:highlight w:val="none"/>
          <w:lang w:eastAsia="zh-CN"/>
        </w:rPr>
        <w:t>矿区内涉及的河流主要有东柳河、黄滩河、东河、铜钵河支、干流。详细见</w:t>
      </w:r>
      <w:r>
        <w:rPr>
          <w:rFonts w:hint="eastAsia"/>
          <w:color w:val="auto"/>
          <w:highlight w:val="none"/>
          <w:lang w:val="en-US" w:eastAsia="zh-CN"/>
        </w:rPr>
        <w:t>6.1.2章</w:t>
      </w:r>
      <w:r>
        <w:rPr>
          <w:rFonts w:hint="eastAsia"/>
          <w:color w:val="auto"/>
          <w:highlight w:val="none"/>
          <w:lang w:eastAsia="zh-CN"/>
        </w:rPr>
        <w:t>节。</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）分值确定</w:t>
      </w:r>
    </w:p>
    <w:p>
      <w:pPr>
        <w:bidi w:val="0"/>
        <w:rPr>
          <w:rFonts w:hint="eastAsia"/>
          <w:color w:val="auto"/>
          <w:highlight w:val="none"/>
          <w:lang w:eastAsia="zh-CN"/>
        </w:rPr>
      </w:pPr>
      <w:r>
        <w:rPr>
          <w:rFonts w:hint="eastAsia"/>
          <w:color w:val="auto"/>
          <w:highlight w:val="none"/>
          <w:lang w:eastAsia="zh-CN"/>
        </w:rPr>
        <w:t>根据《中国自然资源手册（程鸿，1990）》提供资料，我国单位面积年地表径流量在0.0002～0.0107亿m</w:t>
      </w:r>
      <w:r>
        <w:rPr>
          <w:rFonts w:hint="eastAsia"/>
          <w:color w:val="auto"/>
          <w:highlight w:val="none"/>
          <w:vertAlign w:val="superscript"/>
          <w:lang w:eastAsia="zh-CN"/>
        </w:rPr>
        <w:t>3</w:t>
      </w:r>
      <w:r>
        <w:rPr>
          <w:rFonts w:hint="eastAsia"/>
          <w:color w:val="auto"/>
          <w:highlight w:val="none"/>
          <w:lang w:eastAsia="zh-CN"/>
        </w:rPr>
        <w:t>之间，据此我们将其分成10个段次，然后径流量大小赋予不同的分值，见表</w:t>
      </w:r>
      <w:r>
        <w:rPr>
          <w:rFonts w:hint="eastAsia"/>
          <w:color w:val="auto"/>
          <w:highlight w:val="none"/>
          <w:lang w:val="en-US" w:eastAsia="zh-CN"/>
        </w:rPr>
        <w:t>6.3-3</w:t>
      </w:r>
      <w:r>
        <w:rPr>
          <w:rFonts w:hint="eastAsia"/>
          <w:color w:val="auto"/>
          <w:highlight w:val="none"/>
          <w:lang w:eastAsia="zh-CN"/>
        </w:rPr>
        <w:t>。</w:t>
      </w:r>
    </w:p>
    <w:p>
      <w:pPr>
        <w:pStyle w:val="22"/>
        <w:bidi w:val="0"/>
        <w:rPr>
          <w:rFonts w:hint="eastAsia"/>
          <w:color w:val="auto"/>
          <w:highlight w:val="none"/>
          <w:lang w:eastAsia="zh-CN"/>
        </w:rPr>
      </w:pPr>
      <w:r>
        <w:rPr>
          <w:rFonts w:hint="eastAsia"/>
          <w:color w:val="auto"/>
          <w:highlight w:val="none"/>
          <w:lang w:eastAsia="zh-CN"/>
        </w:rPr>
        <w:t>表</w:t>
      </w:r>
      <w:r>
        <w:rPr>
          <w:rFonts w:hint="eastAsia"/>
          <w:color w:val="auto"/>
          <w:highlight w:val="none"/>
          <w:lang w:val="en-US" w:eastAsia="zh-CN"/>
        </w:rPr>
        <w:t xml:space="preserve">6.3-3   </w:t>
      </w:r>
      <w:r>
        <w:rPr>
          <w:color w:val="auto"/>
          <w:highlight w:val="none"/>
        </w:rPr>
        <w:t>地表径流等级划分</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7"/>
        <w:gridCol w:w="813"/>
        <w:gridCol w:w="867"/>
        <w:gridCol w:w="866"/>
        <w:gridCol w:w="867"/>
        <w:gridCol w:w="867"/>
        <w:gridCol w:w="866"/>
        <w:gridCol w:w="867"/>
        <w:gridCol w:w="868"/>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4" w:hRule="atLeast"/>
          <w:jc w:val="center"/>
        </w:trPr>
        <w:tc>
          <w:tcPr>
            <w:tcW w:w="1547" w:type="dxa"/>
            <w:vAlign w:val="center"/>
          </w:tcPr>
          <w:p>
            <w:pPr>
              <w:pStyle w:val="22"/>
              <w:bidi w:val="0"/>
              <w:rPr>
                <w:rFonts w:hint="eastAsia"/>
                <w:color w:val="auto"/>
                <w:highlight w:val="none"/>
              </w:rPr>
            </w:pPr>
            <w:r>
              <w:rPr>
                <w:rFonts w:hint="eastAsia"/>
                <w:color w:val="auto"/>
                <w:highlight w:val="none"/>
              </w:rPr>
              <w:t>径流量</w:t>
            </w:r>
          </w:p>
          <w:p>
            <w:pPr>
              <w:pStyle w:val="22"/>
              <w:bidi w:val="0"/>
              <w:rPr>
                <w:rFonts w:hint="eastAsia"/>
                <w:color w:val="auto"/>
                <w:highlight w:val="none"/>
              </w:rPr>
            </w:pPr>
            <w:r>
              <w:rPr>
                <w:rFonts w:hint="eastAsia"/>
                <w:color w:val="auto"/>
                <w:highlight w:val="none"/>
              </w:rPr>
              <w:t>（</w:t>
            </w:r>
            <w:r>
              <w:rPr>
                <w:color w:val="auto"/>
                <w:highlight w:val="none"/>
              </w:rPr>
              <w:t>10</w:t>
            </w:r>
            <w:r>
              <w:rPr>
                <w:rFonts w:hint="eastAsia"/>
                <w:color w:val="auto"/>
                <w:highlight w:val="none"/>
                <w:vertAlign w:val="superscript"/>
                <w:lang w:val="en-US" w:eastAsia="zh-CN"/>
              </w:rPr>
              <w:t>5</w:t>
            </w:r>
            <w:r>
              <w:rPr>
                <w:color w:val="auto"/>
                <w:highlight w:val="none"/>
              </w:rPr>
              <w:t>m</w:t>
            </w:r>
            <w:r>
              <w:rPr>
                <w:color w:val="auto"/>
                <w:highlight w:val="none"/>
                <w:vertAlign w:val="superscript"/>
              </w:rPr>
              <w:t>3</w:t>
            </w:r>
            <w:r>
              <w:rPr>
                <w:color w:val="auto"/>
                <w:highlight w:val="none"/>
              </w:rPr>
              <w:t>/km</w:t>
            </w:r>
            <w:r>
              <w:rPr>
                <w:color w:val="auto"/>
                <w:highlight w:val="none"/>
                <w:vertAlign w:val="superscript"/>
              </w:rPr>
              <w:t>2</w:t>
            </w:r>
            <w:r>
              <w:rPr>
                <w:rFonts w:hint="eastAsia"/>
                <w:color w:val="auto"/>
                <w:highlight w:val="none"/>
              </w:rPr>
              <w:t>）</w:t>
            </w:r>
          </w:p>
        </w:tc>
        <w:tc>
          <w:tcPr>
            <w:tcW w:w="813" w:type="dxa"/>
            <w:vAlign w:val="center"/>
          </w:tcPr>
          <w:p>
            <w:pPr>
              <w:pStyle w:val="22"/>
              <w:bidi w:val="0"/>
              <w:rPr>
                <w:color w:val="auto"/>
                <w:highlight w:val="none"/>
              </w:rPr>
            </w:pPr>
            <w:r>
              <w:rPr>
                <w:color w:val="auto"/>
                <w:highlight w:val="none"/>
              </w:rPr>
              <w:t>&lt;0.5</w:t>
            </w:r>
          </w:p>
        </w:tc>
        <w:tc>
          <w:tcPr>
            <w:tcW w:w="867" w:type="dxa"/>
            <w:vAlign w:val="center"/>
          </w:tcPr>
          <w:p>
            <w:pPr>
              <w:pStyle w:val="22"/>
              <w:bidi w:val="0"/>
              <w:rPr>
                <w:color w:val="auto"/>
                <w:highlight w:val="none"/>
              </w:rPr>
            </w:pPr>
            <w:r>
              <w:rPr>
                <w:color w:val="auto"/>
                <w:highlight w:val="none"/>
              </w:rPr>
              <w:t>0.5‐1.0</w:t>
            </w:r>
          </w:p>
        </w:tc>
        <w:tc>
          <w:tcPr>
            <w:tcW w:w="866" w:type="dxa"/>
            <w:vAlign w:val="center"/>
          </w:tcPr>
          <w:p>
            <w:pPr>
              <w:pStyle w:val="22"/>
              <w:bidi w:val="0"/>
              <w:rPr>
                <w:color w:val="auto"/>
                <w:highlight w:val="none"/>
              </w:rPr>
            </w:pPr>
            <w:r>
              <w:rPr>
                <w:color w:val="auto"/>
                <w:highlight w:val="none"/>
              </w:rPr>
              <w:t>1.0‐2.0</w:t>
            </w:r>
          </w:p>
        </w:tc>
        <w:tc>
          <w:tcPr>
            <w:tcW w:w="867" w:type="dxa"/>
            <w:vAlign w:val="center"/>
          </w:tcPr>
          <w:p>
            <w:pPr>
              <w:pStyle w:val="22"/>
              <w:bidi w:val="0"/>
              <w:rPr>
                <w:color w:val="auto"/>
                <w:highlight w:val="none"/>
              </w:rPr>
            </w:pPr>
            <w:r>
              <w:rPr>
                <w:color w:val="auto"/>
                <w:highlight w:val="none"/>
              </w:rPr>
              <w:t>2.0‐3.0</w:t>
            </w:r>
          </w:p>
        </w:tc>
        <w:tc>
          <w:tcPr>
            <w:tcW w:w="867" w:type="dxa"/>
            <w:vAlign w:val="center"/>
          </w:tcPr>
          <w:p>
            <w:pPr>
              <w:pStyle w:val="22"/>
              <w:bidi w:val="0"/>
              <w:rPr>
                <w:color w:val="auto"/>
                <w:highlight w:val="none"/>
              </w:rPr>
            </w:pPr>
            <w:r>
              <w:rPr>
                <w:color w:val="auto"/>
                <w:highlight w:val="none"/>
              </w:rPr>
              <w:t>3.0‐4.0</w:t>
            </w:r>
          </w:p>
        </w:tc>
        <w:tc>
          <w:tcPr>
            <w:tcW w:w="866" w:type="dxa"/>
            <w:vAlign w:val="center"/>
          </w:tcPr>
          <w:p>
            <w:pPr>
              <w:pStyle w:val="22"/>
              <w:bidi w:val="0"/>
              <w:rPr>
                <w:color w:val="auto"/>
                <w:highlight w:val="none"/>
              </w:rPr>
            </w:pPr>
            <w:r>
              <w:rPr>
                <w:color w:val="auto"/>
                <w:highlight w:val="none"/>
              </w:rPr>
              <w:t>4.0‐5.0</w:t>
            </w:r>
          </w:p>
        </w:tc>
        <w:tc>
          <w:tcPr>
            <w:tcW w:w="867" w:type="dxa"/>
            <w:vAlign w:val="center"/>
          </w:tcPr>
          <w:p>
            <w:pPr>
              <w:pStyle w:val="22"/>
              <w:bidi w:val="0"/>
              <w:rPr>
                <w:color w:val="auto"/>
                <w:highlight w:val="none"/>
              </w:rPr>
            </w:pPr>
            <w:r>
              <w:rPr>
                <w:color w:val="auto"/>
                <w:highlight w:val="none"/>
              </w:rPr>
              <w:t>5.0‐6.0</w:t>
            </w:r>
          </w:p>
        </w:tc>
        <w:tc>
          <w:tcPr>
            <w:tcW w:w="868" w:type="dxa"/>
            <w:vAlign w:val="center"/>
          </w:tcPr>
          <w:p>
            <w:pPr>
              <w:pStyle w:val="22"/>
              <w:bidi w:val="0"/>
              <w:rPr>
                <w:color w:val="auto"/>
                <w:highlight w:val="none"/>
              </w:rPr>
            </w:pPr>
            <w:r>
              <w:rPr>
                <w:color w:val="auto"/>
                <w:highlight w:val="none"/>
              </w:rPr>
              <w:t>6.0‐7.0</w:t>
            </w:r>
          </w:p>
        </w:tc>
        <w:tc>
          <w:tcPr>
            <w:tcW w:w="864" w:type="dxa"/>
            <w:vAlign w:val="center"/>
          </w:tcPr>
          <w:p>
            <w:pPr>
              <w:pStyle w:val="22"/>
              <w:bidi w:val="0"/>
              <w:rPr>
                <w:color w:val="auto"/>
                <w:highlight w:val="none"/>
              </w:rPr>
            </w:pPr>
            <w:r>
              <w:rPr>
                <w:color w:val="auto"/>
                <w:highlight w:val="none"/>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547" w:type="dxa"/>
            <w:vAlign w:val="center"/>
          </w:tcPr>
          <w:p>
            <w:pPr>
              <w:pStyle w:val="22"/>
              <w:bidi w:val="0"/>
              <w:rPr>
                <w:rFonts w:hint="eastAsia"/>
                <w:color w:val="auto"/>
                <w:highlight w:val="none"/>
              </w:rPr>
            </w:pPr>
            <w:r>
              <w:rPr>
                <w:rFonts w:hint="eastAsia"/>
                <w:color w:val="auto"/>
                <w:highlight w:val="none"/>
              </w:rPr>
              <w:t>分值</w:t>
            </w:r>
          </w:p>
        </w:tc>
        <w:tc>
          <w:tcPr>
            <w:tcW w:w="813" w:type="dxa"/>
            <w:vAlign w:val="center"/>
          </w:tcPr>
          <w:p>
            <w:pPr>
              <w:pStyle w:val="22"/>
              <w:bidi w:val="0"/>
              <w:rPr>
                <w:color w:val="auto"/>
                <w:highlight w:val="none"/>
              </w:rPr>
            </w:pPr>
            <w:r>
              <w:rPr>
                <w:color w:val="auto"/>
                <w:highlight w:val="none"/>
              </w:rPr>
              <w:t>0‐20</w:t>
            </w:r>
          </w:p>
        </w:tc>
        <w:tc>
          <w:tcPr>
            <w:tcW w:w="867" w:type="dxa"/>
            <w:vAlign w:val="center"/>
          </w:tcPr>
          <w:p>
            <w:pPr>
              <w:pStyle w:val="22"/>
              <w:bidi w:val="0"/>
              <w:rPr>
                <w:color w:val="auto"/>
                <w:highlight w:val="none"/>
              </w:rPr>
            </w:pPr>
            <w:r>
              <w:rPr>
                <w:color w:val="auto"/>
                <w:highlight w:val="none"/>
              </w:rPr>
              <w:t>20‐30</w:t>
            </w:r>
          </w:p>
        </w:tc>
        <w:tc>
          <w:tcPr>
            <w:tcW w:w="866" w:type="dxa"/>
            <w:vAlign w:val="center"/>
          </w:tcPr>
          <w:p>
            <w:pPr>
              <w:pStyle w:val="22"/>
              <w:bidi w:val="0"/>
              <w:rPr>
                <w:color w:val="auto"/>
                <w:highlight w:val="none"/>
              </w:rPr>
            </w:pPr>
            <w:r>
              <w:rPr>
                <w:color w:val="auto"/>
                <w:highlight w:val="none"/>
              </w:rPr>
              <w:t>30‐40</w:t>
            </w:r>
          </w:p>
        </w:tc>
        <w:tc>
          <w:tcPr>
            <w:tcW w:w="867" w:type="dxa"/>
            <w:vAlign w:val="center"/>
          </w:tcPr>
          <w:p>
            <w:pPr>
              <w:pStyle w:val="22"/>
              <w:bidi w:val="0"/>
              <w:rPr>
                <w:color w:val="auto"/>
                <w:highlight w:val="none"/>
              </w:rPr>
            </w:pPr>
            <w:r>
              <w:rPr>
                <w:color w:val="auto"/>
                <w:highlight w:val="none"/>
              </w:rPr>
              <w:t>40‐50</w:t>
            </w:r>
          </w:p>
        </w:tc>
        <w:tc>
          <w:tcPr>
            <w:tcW w:w="867" w:type="dxa"/>
            <w:vAlign w:val="center"/>
          </w:tcPr>
          <w:p>
            <w:pPr>
              <w:pStyle w:val="22"/>
              <w:bidi w:val="0"/>
              <w:rPr>
                <w:color w:val="auto"/>
                <w:highlight w:val="none"/>
              </w:rPr>
            </w:pPr>
            <w:r>
              <w:rPr>
                <w:color w:val="auto"/>
                <w:highlight w:val="none"/>
              </w:rPr>
              <w:t>50‐60</w:t>
            </w:r>
          </w:p>
        </w:tc>
        <w:tc>
          <w:tcPr>
            <w:tcW w:w="866" w:type="dxa"/>
            <w:vAlign w:val="center"/>
          </w:tcPr>
          <w:p>
            <w:pPr>
              <w:pStyle w:val="22"/>
              <w:bidi w:val="0"/>
              <w:rPr>
                <w:color w:val="auto"/>
                <w:highlight w:val="none"/>
              </w:rPr>
            </w:pPr>
            <w:r>
              <w:rPr>
                <w:color w:val="auto"/>
                <w:highlight w:val="none"/>
              </w:rPr>
              <w:t>60‐70</w:t>
            </w:r>
          </w:p>
        </w:tc>
        <w:tc>
          <w:tcPr>
            <w:tcW w:w="867" w:type="dxa"/>
            <w:vAlign w:val="center"/>
          </w:tcPr>
          <w:p>
            <w:pPr>
              <w:pStyle w:val="22"/>
              <w:bidi w:val="0"/>
              <w:rPr>
                <w:color w:val="auto"/>
                <w:highlight w:val="none"/>
              </w:rPr>
            </w:pPr>
            <w:r>
              <w:rPr>
                <w:color w:val="auto"/>
                <w:highlight w:val="none"/>
              </w:rPr>
              <w:t>70‐80</w:t>
            </w:r>
          </w:p>
        </w:tc>
        <w:tc>
          <w:tcPr>
            <w:tcW w:w="868" w:type="dxa"/>
            <w:vAlign w:val="center"/>
          </w:tcPr>
          <w:p>
            <w:pPr>
              <w:pStyle w:val="22"/>
              <w:bidi w:val="0"/>
              <w:rPr>
                <w:color w:val="auto"/>
                <w:highlight w:val="none"/>
              </w:rPr>
            </w:pPr>
            <w:r>
              <w:rPr>
                <w:color w:val="auto"/>
                <w:highlight w:val="none"/>
              </w:rPr>
              <w:t>80‐90</w:t>
            </w:r>
          </w:p>
        </w:tc>
        <w:tc>
          <w:tcPr>
            <w:tcW w:w="864" w:type="dxa"/>
            <w:vAlign w:val="center"/>
          </w:tcPr>
          <w:p>
            <w:pPr>
              <w:pStyle w:val="22"/>
              <w:bidi w:val="0"/>
              <w:rPr>
                <w:color w:val="auto"/>
                <w:highlight w:val="none"/>
              </w:rPr>
            </w:pPr>
            <w:r>
              <w:rPr>
                <w:color w:val="auto"/>
                <w:highlight w:val="none"/>
              </w:rPr>
              <w:t>&gt;90</w:t>
            </w:r>
          </w:p>
        </w:tc>
      </w:tr>
    </w:tbl>
    <w:p>
      <w:pPr>
        <w:bidi w:val="0"/>
        <w:rPr>
          <w:rFonts w:hint="eastAsia"/>
          <w:color w:val="auto"/>
          <w:highlight w:val="none"/>
          <w:lang w:eastAsia="zh-CN"/>
        </w:rPr>
      </w:pPr>
      <w:r>
        <w:rPr>
          <w:rFonts w:hint="eastAsia"/>
          <w:color w:val="auto"/>
          <w:highlight w:val="none"/>
          <w:lang w:eastAsia="zh-CN"/>
        </w:rPr>
        <w:t>降水分值的确定依据两个方面：一是我国全年的平均降水量水平，二是植物对水分的需求。根据统计资料表明，我国多年平均降水量高值区为1400～2200mm，低值区为35～100mm。大多数农作物在生长期的需水量在500～800之间。根据这两方面情况，确定不同降水量的分值如表</w:t>
      </w:r>
      <w:r>
        <w:rPr>
          <w:rFonts w:hint="eastAsia"/>
          <w:color w:val="auto"/>
          <w:highlight w:val="none"/>
          <w:lang w:val="en-US" w:eastAsia="zh-CN"/>
        </w:rPr>
        <w:t>6.3-4</w:t>
      </w:r>
      <w:r>
        <w:rPr>
          <w:rFonts w:hint="eastAsia"/>
          <w:color w:val="auto"/>
          <w:highlight w:val="none"/>
          <w:lang w:eastAsia="zh-CN"/>
        </w:rPr>
        <w:t>。</w:t>
      </w:r>
    </w:p>
    <w:p>
      <w:pPr>
        <w:pStyle w:val="22"/>
        <w:bidi w:val="0"/>
        <w:rPr>
          <w:rFonts w:hint="eastAsia"/>
          <w:color w:val="auto"/>
          <w:highlight w:val="none"/>
          <w:lang w:eastAsia="zh-CN"/>
        </w:rPr>
      </w:pPr>
      <w:r>
        <w:rPr>
          <w:rFonts w:hint="eastAsia"/>
          <w:color w:val="auto"/>
          <w:highlight w:val="none"/>
          <w:lang w:eastAsia="zh-CN"/>
        </w:rPr>
        <w:t>表</w:t>
      </w:r>
      <w:r>
        <w:rPr>
          <w:rFonts w:hint="eastAsia"/>
          <w:color w:val="auto"/>
          <w:highlight w:val="none"/>
          <w:lang w:val="en-US" w:eastAsia="zh-CN"/>
        </w:rPr>
        <w:t xml:space="preserve">6.3-4   </w:t>
      </w:r>
      <w:r>
        <w:rPr>
          <w:color w:val="auto"/>
          <w:highlight w:val="none"/>
        </w:rPr>
        <w:t>降水量分级表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6"/>
        <w:gridCol w:w="1326"/>
        <w:gridCol w:w="1326"/>
        <w:gridCol w:w="1326"/>
        <w:gridCol w:w="1326"/>
        <w:gridCol w:w="1328"/>
        <w:gridCol w:w="1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326" w:type="dxa"/>
            <w:vAlign w:val="center"/>
          </w:tcPr>
          <w:p>
            <w:pPr>
              <w:pStyle w:val="22"/>
              <w:bidi w:val="0"/>
              <w:rPr>
                <w:rFonts w:hint="eastAsia"/>
                <w:color w:val="auto"/>
                <w:highlight w:val="none"/>
              </w:rPr>
            </w:pPr>
            <w:r>
              <w:rPr>
                <w:rFonts w:hint="eastAsia"/>
                <w:color w:val="auto"/>
                <w:highlight w:val="none"/>
              </w:rPr>
              <w:t>降水量</w:t>
            </w:r>
          </w:p>
          <w:p>
            <w:pPr>
              <w:pStyle w:val="22"/>
              <w:bidi w:val="0"/>
              <w:rPr>
                <w:rFonts w:hint="eastAsia"/>
                <w:color w:val="auto"/>
                <w:highlight w:val="none"/>
              </w:rPr>
            </w:pPr>
            <w:r>
              <w:rPr>
                <w:rFonts w:hint="eastAsia"/>
                <w:color w:val="auto"/>
                <w:highlight w:val="none"/>
              </w:rPr>
              <w:t>（</w:t>
            </w:r>
            <w:r>
              <w:rPr>
                <w:color w:val="auto"/>
                <w:highlight w:val="none"/>
              </w:rPr>
              <w:t>mm</w:t>
            </w:r>
            <w:r>
              <w:rPr>
                <w:rFonts w:hint="eastAsia"/>
                <w:color w:val="auto"/>
                <w:highlight w:val="none"/>
              </w:rPr>
              <w:t>）</w:t>
            </w:r>
          </w:p>
        </w:tc>
        <w:tc>
          <w:tcPr>
            <w:tcW w:w="1326" w:type="dxa"/>
            <w:vAlign w:val="center"/>
          </w:tcPr>
          <w:p>
            <w:pPr>
              <w:pStyle w:val="22"/>
              <w:bidi w:val="0"/>
              <w:rPr>
                <w:color w:val="auto"/>
                <w:highlight w:val="none"/>
              </w:rPr>
            </w:pPr>
            <w:r>
              <w:rPr>
                <w:color w:val="auto"/>
                <w:highlight w:val="none"/>
              </w:rPr>
              <w:t>&lt;100</w:t>
            </w:r>
          </w:p>
        </w:tc>
        <w:tc>
          <w:tcPr>
            <w:tcW w:w="1326" w:type="dxa"/>
            <w:vAlign w:val="center"/>
          </w:tcPr>
          <w:p>
            <w:pPr>
              <w:pStyle w:val="22"/>
              <w:bidi w:val="0"/>
              <w:rPr>
                <w:color w:val="auto"/>
                <w:highlight w:val="none"/>
              </w:rPr>
            </w:pPr>
            <w:r>
              <w:rPr>
                <w:color w:val="auto"/>
                <w:highlight w:val="none"/>
              </w:rPr>
              <w:t>100‐200</w:t>
            </w:r>
          </w:p>
        </w:tc>
        <w:tc>
          <w:tcPr>
            <w:tcW w:w="1326" w:type="dxa"/>
            <w:vAlign w:val="center"/>
          </w:tcPr>
          <w:p>
            <w:pPr>
              <w:pStyle w:val="22"/>
              <w:bidi w:val="0"/>
              <w:rPr>
                <w:color w:val="auto"/>
                <w:highlight w:val="none"/>
              </w:rPr>
            </w:pPr>
            <w:r>
              <w:rPr>
                <w:color w:val="auto"/>
                <w:highlight w:val="none"/>
              </w:rPr>
              <w:t>200‐400</w:t>
            </w:r>
          </w:p>
        </w:tc>
        <w:tc>
          <w:tcPr>
            <w:tcW w:w="1326" w:type="dxa"/>
            <w:vAlign w:val="center"/>
          </w:tcPr>
          <w:p>
            <w:pPr>
              <w:pStyle w:val="22"/>
              <w:bidi w:val="0"/>
              <w:rPr>
                <w:color w:val="auto"/>
                <w:highlight w:val="none"/>
              </w:rPr>
            </w:pPr>
            <w:r>
              <w:rPr>
                <w:color w:val="auto"/>
                <w:highlight w:val="none"/>
              </w:rPr>
              <w:t>400‐600</w:t>
            </w:r>
          </w:p>
        </w:tc>
        <w:tc>
          <w:tcPr>
            <w:tcW w:w="1328" w:type="dxa"/>
            <w:vAlign w:val="center"/>
          </w:tcPr>
          <w:p>
            <w:pPr>
              <w:pStyle w:val="22"/>
              <w:bidi w:val="0"/>
              <w:rPr>
                <w:color w:val="auto"/>
                <w:highlight w:val="none"/>
              </w:rPr>
            </w:pPr>
            <w:r>
              <w:rPr>
                <w:color w:val="auto"/>
                <w:highlight w:val="none"/>
              </w:rPr>
              <w:t>600‐800</w:t>
            </w:r>
          </w:p>
        </w:tc>
        <w:tc>
          <w:tcPr>
            <w:tcW w:w="1328" w:type="dxa"/>
            <w:vAlign w:val="center"/>
          </w:tcPr>
          <w:p>
            <w:pPr>
              <w:pStyle w:val="22"/>
              <w:bidi w:val="0"/>
              <w:rPr>
                <w:color w:val="auto"/>
                <w:highlight w:val="none"/>
              </w:rPr>
            </w:pPr>
            <w:r>
              <w:rPr>
                <w:color w:val="auto"/>
                <w:highlight w:val="none"/>
              </w:rPr>
              <w:t>&gt;800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26" w:type="dxa"/>
            <w:vAlign w:val="center"/>
          </w:tcPr>
          <w:p>
            <w:pPr>
              <w:pStyle w:val="22"/>
              <w:bidi w:val="0"/>
              <w:rPr>
                <w:rFonts w:hint="eastAsia"/>
                <w:color w:val="auto"/>
                <w:highlight w:val="none"/>
              </w:rPr>
            </w:pPr>
            <w:r>
              <w:rPr>
                <w:rFonts w:hint="eastAsia"/>
                <w:color w:val="auto"/>
                <w:highlight w:val="none"/>
              </w:rPr>
              <w:t>分值</w:t>
            </w:r>
          </w:p>
        </w:tc>
        <w:tc>
          <w:tcPr>
            <w:tcW w:w="1326" w:type="dxa"/>
            <w:vAlign w:val="center"/>
          </w:tcPr>
          <w:p>
            <w:pPr>
              <w:pStyle w:val="22"/>
              <w:bidi w:val="0"/>
              <w:rPr>
                <w:color w:val="auto"/>
                <w:highlight w:val="none"/>
              </w:rPr>
            </w:pPr>
            <w:r>
              <w:rPr>
                <w:color w:val="auto"/>
                <w:highlight w:val="none"/>
              </w:rPr>
              <w:t>0‐20</w:t>
            </w:r>
          </w:p>
        </w:tc>
        <w:tc>
          <w:tcPr>
            <w:tcW w:w="1326" w:type="dxa"/>
            <w:vAlign w:val="center"/>
          </w:tcPr>
          <w:p>
            <w:pPr>
              <w:pStyle w:val="22"/>
              <w:bidi w:val="0"/>
              <w:rPr>
                <w:color w:val="auto"/>
                <w:highlight w:val="none"/>
              </w:rPr>
            </w:pPr>
            <w:r>
              <w:rPr>
                <w:color w:val="auto"/>
                <w:highlight w:val="none"/>
              </w:rPr>
              <w:t>20‐40</w:t>
            </w:r>
          </w:p>
        </w:tc>
        <w:tc>
          <w:tcPr>
            <w:tcW w:w="1326" w:type="dxa"/>
            <w:vAlign w:val="center"/>
          </w:tcPr>
          <w:p>
            <w:pPr>
              <w:pStyle w:val="22"/>
              <w:bidi w:val="0"/>
              <w:rPr>
                <w:color w:val="auto"/>
                <w:highlight w:val="none"/>
              </w:rPr>
            </w:pPr>
            <w:r>
              <w:rPr>
                <w:color w:val="auto"/>
                <w:highlight w:val="none"/>
              </w:rPr>
              <w:t>40‐60</w:t>
            </w:r>
          </w:p>
        </w:tc>
        <w:tc>
          <w:tcPr>
            <w:tcW w:w="1326" w:type="dxa"/>
            <w:vAlign w:val="center"/>
          </w:tcPr>
          <w:p>
            <w:pPr>
              <w:pStyle w:val="22"/>
              <w:bidi w:val="0"/>
              <w:rPr>
                <w:color w:val="auto"/>
                <w:highlight w:val="none"/>
              </w:rPr>
            </w:pPr>
            <w:r>
              <w:rPr>
                <w:color w:val="auto"/>
                <w:highlight w:val="none"/>
              </w:rPr>
              <w:t>60‐70</w:t>
            </w:r>
          </w:p>
        </w:tc>
        <w:tc>
          <w:tcPr>
            <w:tcW w:w="1328" w:type="dxa"/>
            <w:vAlign w:val="center"/>
          </w:tcPr>
          <w:p>
            <w:pPr>
              <w:pStyle w:val="22"/>
              <w:bidi w:val="0"/>
              <w:rPr>
                <w:color w:val="auto"/>
                <w:highlight w:val="none"/>
              </w:rPr>
            </w:pPr>
            <w:r>
              <w:rPr>
                <w:color w:val="auto"/>
                <w:highlight w:val="none"/>
              </w:rPr>
              <w:t>70‐80</w:t>
            </w:r>
          </w:p>
        </w:tc>
        <w:tc>
          <w:tcPr>
            <w:tcW w:w="1328" w:type="dxa"/>
            <w:vAlign w:val="center"/>
          </w:tcPr>
          <w:p>
            <w:pPr>
              <w:pStyle w:val="22"/>
              <w:bidi w:val="0"/>
              <w:rPr>
                <w:color w:val="auto"/>
                <w:highlight w:val="none"/>
              </w:rPr>
            </w:pPr>
            <w:r>
              <w:rPr>
                <w:color w:val="auto"/>
                <w:highlight w:val="none"/>
              </w:rPr>
              <w:t>&gt;80</w:t>
            </w:r>
          </w:p>
        </w:tc>
      </w:tr>
    </w:tbl>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）权重确定</w:t>
      </w:r>
    </w:p>
    <w:p>
      <w:pPr>
        <w:bidi w:val="0"/>
        <w:rPr>
          <w:rFonts w:hint="eastAsia"/>
          <w:color w:val="auto"/>
          <w:highlight w:val="none"/>
          <w:lang w:eastAsia="zh-CN"/>
        </w:rPr>
      </w:pPr>
      <w:r>
        <w:rPr>
          <w:rFonts w:hint="eastAsia"/>
          <w:color w:val="auto"/>
          <w:highlight w:val="none"/>
          <w:lang w:eastAsia="zh-CN"/>
        </w:rPr>
        <w:t>水资源承载力的大小不仅决定于水资源的绝对数量，而且还决定于水资源的功效，因此在进行水资源承载指数分析时，必须对不同水资源给予重要性或功效值，即权重，该区域生态需水的地表径流与降雨补充重要性相差不多，因为确定地表径流的权重为0.</w:t>
      </w:r>
      <w:r>
        <w:rPr>
          <w:rFonts w:hint="eastAsia"/>
          <w:color w:val="auto"/>
          <w:highlight w:val="none"/>
          <w:lang w:val="en-US" w:eastAsia="zh-CN"/>
        </w:rPr>
        <w:t>5</w:t>
      </w:r>
      <w:r>
        <w:rPr>
          <w:rFonts w:hint="eastAsia"/>
          <w:color w:val="auto"/>
          <w:highlight w:val="none"/>
          <w:lang w:eastAsia="zh-CN"/>
        </w:rPr>
        <w:t>，降雨量的权重为0.</w:t>
      </w:r>
      <w:r>
        <w:rPr>
          <w:rFonts w:hint="eastAsia"/>
          <w:color w:val="auto"/>
          <w:highlight w:val="none"/>
          <w:lang w:val="en-US" w:eastAsia="zh-CN"/>
        </w:rPr>
        <w:t>5</w:t>
      </w:r>
      <w:r>
        <w:rPr>
          <w:rFonts w:hint="eastAsia"/>
          <w:color w:val="auto"/>
          <w:highlight w:val="none"/>
          <w:lang w:eastAsia="zh-CN"/>
        </w:rPr>
        <w:t>。</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）水资源承载力指数</w:t>
      </w:r>
    </w:p>
    <w:p>
      <w:pPr>
        <w:bidi w:val="0"/>
        <w:rPr>
          <w:rFonts w:hint="eastAsia"/>
          <w:color w:val="auto"/>
          <w:highlight w:val="none"/>
          <w:lang w:eastAsia="zh-CN"/>
        </w:rPr>
      </w:pPr>
      <w:r>
        <w:rPr>
          <w:rFonts w:hint="eastAsia"/>
          <w:color w:val="auto"/>
          <w:highlight w:val="none"/>
          <w:lang w:eastAsia="zh-CN"/>
        </w:rPr>
        <w:t>评价区地表径流量参照大竹县地秒径流量为</w:t>
      </w:r>
      <w:r>
        <w:rPr>
          <w:rFonts w:hint="eastAsia"/>
          <w:color w:val="auto"/>
          <w:highlight w:val="none"/>
          <w:lang w:val="en-US" w:eastAsia="zh-CN"/>
        </w:rPr>
        <w:t>13.7</w:t>
      </w:r>
      <w:r>
        <w:rPr>
          <w:rFonts w:hint="eastAsia"/>
          <w:color w:val="auto"/>
          <w:highlight w:val="none"/>
          <w:lang w:eastAsia="zh-CN"/>
        </w:rPr>
        <w:t>×10</w:t>
      </w:r>
      <w:r>
        <w:rPr>
          <w:rFonts w:hint="eastAsia"/>
          <w:color w:val="auto"/>
          <w:highlight w:val="none"/>
          <w:vertAlign w:val="superscript"/>
          <w:lang w:val="en-US" w:eastAsia="zh-CN"/>
        </w:rPr>
        <w:t>5</w:t>
      </w:r>
      <w:r>
        <w:rPr>
          <w:rFonts w:hint="eastAsia"/>
          <w:color w:val="auto"/>
          <w:highlight w:val="none"/>
          <w:lang w:eastAsia="zh-CN"/>
        </w:rPr>
        <w:t>m</w:t>
      </w:r>
      <w:r>
        <w:rPr>
          <w:rFonts w:hint="eastAsia"/>
          <w:color w:val="auto"/>
          <w:highlight w:val="none"/>
          <w:vertAlign w:val="superscript"/>
          <w:lang w:eastAsia="zh-CN"/>
        </w:rPr>
        <w:t>3</w:t>
      </w:r>
      <w:r>
        <w:rPr>
          <w:rFonts w:hint="eastAsia"/>
          <w:color w:val="auto"/>
          <w:highlight w:val="none"/>
          <w:lang w:eastAsia="zh-CN"/>
        </w:rPr>
        <w:t>/km</w:t>
      </w:r>
      <w:r>
        <w:rPr>
          <w:rFonts w:hint="eastAsia"/>
          <w:color w:val="auto"/>
          <w:highlight w:val="none"/>
          <w:vertAlign w:val="superscript"/>
          <w:lang w:eastAsia="zh-CN"/>
        </w:rPr>
        <w:t>2</w:t>
      </w:r>
      <w:r>
        <w:rPr>
          <w:rFonts w:hint="eastAsia"/>
          <w:color w:val="auto"/>
          <w:highlight w:val="none"/>
          <w:lang w:eastAsia="zh-CN"/>
        </w:rPr>
        <w:t>，本次分析为其赋值为</w:t>
      </w:r>
      <w:r>
        <w:rPr>
          <w:rFonts w:hint="eastAsia"/>
          <w:color w:val="auto"/>
          <w:highlight w:val="none"/>
          <w:lang w:val="en-US" w:eastAsia="zh-CN"/>
        </w:rPr>
        <w:t>95</w:t>
      </w:r>
      <w:r>
        <w:rPr>
          <w:rFonts w:hint="eastAsia"/>
          <w:color w:val="auto"/>
          <w:highlight w:val="none"/>
          <w:lang w:eastAsia="zh-CN"/>
        </w:rPr>
        <w:t>，区域多年平均降雨量为</w:t>
      </w:r>
      <w:r>
        <w:rPr>
          <w:rFonts w:hint="eastAsia"/>
          <w:color w:val="auto"/>
          <w:highlight w:val="none"/>
          <w:lang w:val="en-US" w:eastAsia="zh-CN"/>
        </w:rPr>
        <w:t>1184</w:t>
      </w:r>
      <w:r>
        <w:rPr>
          <w:rFonts w:hint="eastAsia"/>
          <w:color w:val="auto"/>
          <w:highlight w:val="none"/>
          <w:lang w:eastAsia="zh-CN"/>
        </w:rPr>
        <w:t>mm，为其赋值为</w:t>
      </w:r>
      <w:r>
        <w:rPr>
          <w:rFonts w:hint="eastAsia"/>
          <w:color w:val="auto"/>
          <w:highlight w:val="none"/>
          <w:lang w:val="en-US" w:eastAsia="zh-CN"/>
        </w:rPr>
        <w:t>95</w:t>
      </w:r>
      <w:r>
        <w:rPr>
          <w:rFonts w:hint="eastAsia"/>
          <w:color w:val="auto"/>
          <w:highlight w:val="none"/>
          <w:lang w:eastAsia="zh-CN"/>
        </w:rPr>
        <w:t>，加权平均后，该区域水资源承载力指数为</w:t>
      </w:r>
      <w:r>
        <w:rPr>
          <w:rFonts w:hint="eastAsia"/>
          <w:color w:val="auto"/>
          <w:highlight w:val="none"/>
          <w:lang w:val="en-US" w:eastAsia="zh-CN"/>
        </w:rPr>
        <w:t>95</w:t>
      </w:r>
      <w:r>
        <w:rPr>
          <w:rFonts w:hint="eastAsia"/>
          <w:color w:val="auto"/>
          <w:highlight w:val="none"/>
          <w:lang w:eastAsia="zh-CN"/>
        </w:rPr>
        <w:t>，</w:t>
      </w:r>
      <w:r>
        <w:rPr>
          <w:rFonts w:hint="eastAsia"/>
          <w:color w:val="auto"/>
          <w:highlight w:val="none"/>
          <w:u w:val="single"/>
          <w:lang w:eastAsia="zh-CN"/>
        </w:rPr>
        <w:t>因此评价区水资源属于高承载水平</w:t>
      </w:r>
      <w:r>
        <w:rPr>
          <w:rFonts w:hint="eastAsia"/>
          <w:color w:val="auto"/>
          <w:highlight w:val="none"/>
          <w:lang w:eastAsia="zh-CN"/>
        </w:rPr>
        <w:t>。</w:t>
      </w:r>
    </w:p>
    <w:p>
      <w:pPr>
        <w:pStyle w:val="7"/>
        <w:bidi w:val="0"/>
        <w:rPr>
          <w:rFonts w:hint="default"/>
          <w:color w:val="auto"/>
          <w:highlight w:val="none"/>
          <w:lang w:val="en-US" w:eastAsia="zh-CN"/>
        </w:rPr>
      </w:pPr>
      <w:r>
        <w:rPr>
          <w:rFonts w:hint="eastAsia"/>
          <w:color w:val="auto"/>
          <w:highlight w:val="none"/>
          <w:lang w:val="en-US" w:eastAsia="zh-CN"/>
        </w:rPr>
        <w:t>6.3.2.2 土地资源承载力</w:t>
      </w:r>
    </w:p>
    <w:p>
      <w:pPr>
        <w:bidi w:val="0"/>
        <w:rPr>
          <w:color w:val="auto"/>
          <w:highlight w:val="none"/>
        </w:rPr>
      </w:pPr>
      <w:r>
        <w:rPr>
          <w:color w:val="auto"/>
          <w:highlight w:val="none"/>
        </w:rPr>
        <w:t>土地资源承载力是指土地的生产潜力大小，因此土地质量好，承载能力就高。所以通过衡量土地质量的高低来确定土地承载力大小。将土地按其生产潜力分成不同等级，具体见表</w:t>
      </w:r>
      <w:r>
        <w:rPr>
          <w:rFonts w:hint="eastAsia"/>
          <w:color w:val="auto"/>
          <w:highlight w:val="none"/>
          <w:lang w:val="en-US" w:eastAsia="zh-CN"/>
        </w:rPr>
        <w:t>6.3-5</w:t>
      </w:r>
      <w:r>
        <w:rPr>
          <w:color w:val="auto"/>
          <w:highlight w:val="none"/>
        </w:rPr>
        <w:t>，权重通过该级土地占区域面积比例进行确定。</w:t>
      </w:r>
    </w:p>
    <w:p>
      <w:pPr>
        <w:pStyle w:val="22"/>
        <w:bidi w:val="0"/>
        <w:rPr>
          <w:color w:val="auto"/>
          <w:highlight w:val="none"/>
        </w:rPr>
      </w:pPr>
      <w:r>
        <w:rPr>
          <w:rFonts w:hint="eastAsia"/>
          <w:color w:val="auto"/>
          <w:highlight w:val="none"/>
          <w:lang w:val="en-US" w:eastAsia="zh-CN"/>
        </w:rPr>
        <w:t xml:space="preserve">表6.3-5   </w:t>
      </w:r>
      <w:r>
        <w:rPr>
          <w:color w:val="auto"/>
          <w:highlight w:val="none"/>
        </w:rPr>
        <w:t>不同等级土地分级表</w:t>
      </w:r>
    </w:p>
    <w:tbl>
      <w:tblPr>
        <w:tblStyle w:val="17"/>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8"/>
        <w:gridCol w:w="1030"/>
        <w:gridCol w:w="1030"/>
        <w:gridCol w:w="1030"/>
        <w:gridCol w:w="1032"/>
        <w:gridCol w:w="1032"/>
        <w:gridCol w:w="1032"/>
        <w:gridCol w:w="1032"/>
        <w:gridCol w:w="1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28" w:type="dxa"/>
          </w:tcPr>
          <w:p>
            <w:pPr>
              <w:pStyle w:val="22"/>
              <w:bidi w:val="0"/>
              <w:rPr>
                <w:rFonts w:hint="eastAsia"/>
                <w:color w:val="auto"/>
                <w:highlight w:val="none"/>
              </w:rPr>
            </w:pPr>
            <w:r>
              <w:rPr>
                <w:rFonts w:hint="eastAsia"/>
                <w:color w:val="auto"/>
                <w:highlight w:val="none"/>
              </w:rPr>
              <w:t>等级</w:t>
            </w:r>
          </w:p>
        </w:tc>
        <w:tc>
          <w:tcPr>
            <w:tcW w:w="1030" w:type="dxa"/>
          </w:tcPr>
          <w:p>
            <w:pPr>
              <w:pStyle w:val="22"/>
              <w:bidi w:val="0"/>
              <w:rPr>
                <w:rFonts w:hint="eastAsia"/>
                <w:color w:val="auto"/>
                <w:highlight w:val="none"/>
              </w:rPr>
            </w:pPr>
            <w:r>
              <w:rPr>
                <w:rFonts w:hint="eastAsia"/>
                <w:color w:val="auto"/>
                <w:highlight w:val="none"/>
              </w:rPr>
              <w:t>一级</w:t>
            </w:r>
          </w:p>
        </w:tc>
        <w:tc>
          <w:tcPr>
            <w:tcW w:w="1030" w:type="dxa"/>
          </w:tcPr>
          <w:p>
            <w:pPr>
              <w:pStyle w:val="22"/>
              <w:bidi w:val="0"/>
              <w:rPr>
                <w:rFonts w:hint="eastAsia"/>
                <w:color w:val="auto"/>
                <w:highlight w:val="none"/>
              </w:rPr>
            </w:pPr>
            <w:r>
              <w:rPr>
                <w:rFonts w:hint="eastAsia"/>
                <w:color w:val="auto"/>
                <w:highlight w:val="none"/>
              </w:rPr>
              <w:t>二级</w:t>
            </w:r>
          </w:p>
        </w:tc>
        <w:tc>
          <w:tcPr>
            <w:tcW w:w="1030" w:type="dxa"/>
          </w:tcPr>
          <w:p>
            <w:pPr>
              <w:pStyle w:val="22"/>
              <w:bidi w:val="0"/>
              <w:rPr>
                <w:rFonts w:hint="eastAsia"/>
                <w:color w:val="auto"/>
                <w:highlight w:val="none"/>
              </w:rPr>
            </w:pPr>
            <w:r>
              <w:rPr>
                <w:rFonts w:hint="eastAsia"/>
                <w:color w:val="auto"/>
                <w:highlight w:val="none"/>
              </w:rPr>
              <w:t>三级</w:t>
            </w:r>
          </w:p>
        </w:tc>
        <w:tc>
          <w:tcPr>
            <w:tcW w:w="1032" w:type="dxa"/>
          </w:tcPr>
          <w:p>
            <w:pPr>
              <w:pStyle w:val="22"/>
              <w:bidi w:val="0"/>
              <w:rPr>
                <w:rFonts w:hint="eastAsia"/>
                <w:color w:val="auto"/>
                <w:highlight w:val="none"/>
              </w:rPr>
            </w:pPr>
            <w:r>
              <w:rPr>
                <w:rFonts w:hint="eastAsia"/>
                <w:color w:val="auto"/>
                <w:highlight w:val="none"/>
              </w:rPr>
              <w:t>四级</w:t>
            </w:r>
          </w:p>
        </w:tc>
        <w:tc>
          <w:tcPr>
            <w:tcW w:w="1032" w:type="dxa"/>
          </w:tcPr>
          <w:p>
            <w:pPr>
              <w:pStyle w:val="22"/>
              <w:bidi w:val="0"/>
              <w:rPr>
                <w:rFonts w:hint="eastAsia"/>
                <w:color w:val="auto"/>
                <w:highlight w:val="none"/>
              </w:rPr>
            </w:pPr>
            <w:r>
              <w:rPr>
                <w:rFonts w:hint="eastAsia"/>
                <w:color w:val="auto"/>
                <w:highlight w:val="none"/>
              </w:rPr>
              <w:t>五级</w:t>
            </w:r>
          </w:p>
        </w:tc>
        <w:tc>
          <w:tcPr>
            <w:tcW w:w="1032" w:type="dxa"/>
          </w:tcPr>
          <w:p>
            <w:pPr>
              <w:pStyle w:val="22"/>
              <w:bidi w:val="0"/>
              <w:rPr>
                <w:rFonts w:hint="eastAsia"/>
                <w:color w:val="auto"/>
                <w:highlight w:val="none"/>
              </w:rPr>
            </w:pPr>
            <w:r>
              <w:rPr>
                <w:rFonts w:hint="eastAsia"/>
                <w:color w:val="auto"/>
                <w:highlight w:val="none"/>
              </w:rPr>
              <w:t>六级</w:t>
            </w:r>
          </w:p>
        </w:tc>
        <w:tc>
          <w:tcPr>
            <w:tcW w:w="1032" w:type="dxa"/>
          </w:tcPr>
          <w:p>
            <w:pPr>
              <w:pStyle w:val="22"/>
              <w:bidi w:val="0"/>
              <w:rPr>
                <w:rFonts w:hint="eastAsia"/>
                <w:color w:val="auto"/>
                <w:highlight w:val="none"/>
              </w:rPr>
            </w:pPr>
            <w:r>
              <w:rPr>
                <w:rFonts w:hint="eastAsia"/>
                <w:color w:val="auto"/>
                <w:highlight w:val="none"/>
              </w:rPr>
              <w:t>七级</w:t>
            </w:r>
          </w:p>
        </w:tc>
        <w:tc>
          <w:tcPr>
            <w:tcW w:w="1032" w:type="dxa"/>
          </w:tcPr>
          <w:p>
            <w:pPr>
              <w:pStyle w:val="22"/>
              <w:bidi w:val="0"/>
              <w:rPr>
                <w:rFonts w:hint="eastAsia"/>
                <w:color w:val="auto"/>
                <w:highlight w:val="none"/>
              </w:rPr>
            </w:pPr>
            <w:r>
              <w:rPr>
                <w:rFonts w:hint="eastAsia"/>
                <w:color w:val="auto"/>
                <w:highlight w:val="none"/>
              </w:rPr>
              <w:t>八级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28" w:type="dxa"/>
          </w:tcPr>
          <w:p>
            <w:pPr>
              <w:pStyle w:val="22"/>
              <w:bidi w:val="0"/>
              <w:rPr>
                <w:rFonts w:hint="eastAsia"/>
                <w:color w:val="auto"/>
                <w:highlight w:val="none"/>
              </w:rPr>
            </w:pPr>
            <w:r>
              <w:rPr>
                <w:rFonts w:hint="eastAsia"/>
                <w:color w:val="auto"/>
                <w:highlight w:val="none"/>
              </w:rPr>
              <w:t>分值</w:t>
            </w:r>
          </w:p>
        </w:tc>
        <w:tc>
          <w:tcPr>
            <w:tcW w:w="1030" w:type="dxa"/>
          </w:tcPr>
          <w:p>
            <w:pPr>
              <w:pStyle w:val="22"/>
              <w:bidi w:val="0"/>
              <w:rPr>
                <w:color w:val="auto"/>
                <w:highlight w:val="none"/>
              </w:rPr>
            </w:pPr>
            <w:r>
              <w:rPr>
                <w:color w:val="auto"/>
                <w:highlight w:val="none"/>
              </w:rPr>
              <w:t>100</w:t>
            </w:r>
          </w:p>
        </w:tc>
        <w:tc>
          <w:tcPr>
            <w:tcW w:w="1030" w:type="dxa"/>
          </w:tcPr>
          <w:p>
            <w:pPr>
              <w:pStyle w:val="22"/>
              <w:bidi w:val="0"/>
              <w:rPr>
                <w:color w:val="auto"/>
                <w:highlight w:val="none"/>
              </w:rPr>
            </w:pPr>
            <w:r>
              <w:rPr>
                <w:color w:val="auto"/>
                <w:highlight w:val="none"/>
              </w:rPr>
              <w:t>90</w:t>
            </w:r>
          </w:p>
        </w:tc>
        <w:tc>
          <w:tcPr>
            <w:tcW w:w="1030" w:type="dxa"/>
          </w:tcPr>
          <w:p>
            <w:pPr>
              <w:pStyle w:val="22"/>
              <w:bidi w:val="0"/>
              <w:rPr>
                <w:color w:val="auto"/>
                <w:highlight w:val="none"/>
              </w:rPr>
            </w:pPr>
            <w:r>
              <w:rPr>
                <w:color w:val="auto"/>
                <w:highlight w:val="none"/>
              </w:rPr>
              <w:t>80</w:t>
            </w:r>
          </w:p>
        </w:tc>
        <w:tc>
          <w:tcPr>
            <w:tcW w:w="1032" w:type="dxa"/>
          </w:tcPr>
          <w:p>
            <w:pPr>
              <w:pStyle w:val="22"/>
              <w:bidi w:val="0"/>
              <w:rPr>
                <w:color w:val="auto"/>
                <w:highlight w:val="none"/>
              </w:rPr>
            </w:pPr>
            <w:r>
              <w:rPr>
                <w:color w:val="auto"/>
                <w:highlight w:val="none"/>
              </w:rPr>
              <w:t>70</w:t>
            </w:r>
          </w:p>
        </w:tc>
        <w:tc>
          <w:tcPr>
            <w:tcW w:w="1032" w:type="dxa"/>
          </w:tcPr>
          <w:p>
            <w:pPr>
              <w:pStyle w:val="22"/>
              <w:bidi w:val="0"/>
              <w:rPr>
                <w:color w:val="auto"/>
                <w:highlight w:val="none"/>
              </w:rPr>
            </w:pPr>
            <w:r>
              <w:rPr>
                <w:color w:val="auto"/>
                <w:highlight w:val="none"/>
              </w:rPr>
              <w:t>60</w:t>
            </w:r>
          </w:p>
        </w:tc>
        <w:tc>
          <w:tcPr>
            <w:tcW w:w="1032" w:type="dxa"/>
          </w:tcPr>
          <w:p>
            <w:pPr>
              <w:pStyle w:val="22"/>
              <w:bidi w:val="0"/>
              <w:rPr>
                <w:color w:val="auto"/>
                <w:highlight w:val="none"/>
              </w:rPr>
            </w:pPr>
            <w:r>
              <w:rPr>
                <w:color w:val="auto"/>
                <w:highlight w:val="none"/>
              </w:rPr>
              <w:t>50</w:t>
            </w:r>
          </w:p>
        </w:tc>
        <w:tc>
          <w:tcPr>
            <w:tcW w:w="1032" w:type="dxa"/>
          </w:tcPr>
          <w:p>
            <w:pPr>
              <w:pStyle w:val="22"/>
              <w:bidi w:val="0"/>
              <w:rPr>
                <w:color w:val="auto"/>
                <w:highlight w:val="none"/>
              </w:rPr>
            </w:pPr>
            <w:r>
              <w:rPr>
                <w:color w:val="auto"/>
                <w:highlight w:val="none"/>
              </w:rPr>
              <w:t>40</w:t>
            </w:r>
          </w:p>
        </w:tc>
        <w:tc>
          <w:tcPr>
            <w:tcW w:w="1032" w:type="dxa"/>
          </w:tcPr>
          <w:p>
            <w:pPr>
              <w:pStyle w:val="22"/>
              <w:bidi w:val="0"/>
              <w:rPr>
                <w:color w:val="auto"/>
                <w:highlight w:val="none"/>
              </w:rPr>
            </w:pPr>
            <w:r>
              <w:rPr>
                <w:color w:val="auto"/>
                <w:highlight w:val="none"/>
              </w:rPr>
              <w:t>&lt;30</w:t>
            </w:r>
          </w:p>
        </w:tc>
      </w:tr>
    </w:tbl>
    <w:p>
      <w:pPr>
        <w:bidi w:val="0"/>
        <w:rPr>
          <w:color w:val="auto"/>
          <w:highlight w:val="none"/>
          <w:lang w:eastAsia="zh-CN"/>
        </w:rPr>
      </w:pPr>
      <w:r>
        <w:rPr>
          <w:rFonts w:hint="eastAsia"/>
          <w:color w:val="auto"/>
          <w:highlight w:val="none"/>
          <w:lang w:eastAsia="zh-CN"/>
        </w:rPr>
        <w:t>根据《全国第二次土壤普查暂行技术规程》将我国土地统一分为八级，见表</w:t>
      </w:r>
      <w:r>
        <w:rPr>
          <w:rFonts w:hint="eastAsia"/>
          <w:color w:val="auto"/>
          <w:highlight w:val="none"/>
          <w:lang w:val="en-US" w:eastAsia="zh-CN"/>
        </w:rPr>
        <w:t>6.3-6</w:t>
      </w:r>
      <w:r>
        <w:rPr>
          <w:rFonts w:hint="eastAsia"/>
          <w:color w:val="auto"/>
          <w:highlight w:val="none"/>
          <w:lang w:eastAsia="zh-CN"/>
        </w:rPr>
        <w:t xml:space="preserve">。 </w:t>
      </w:r>
    </w:p>
    <w:p>
      <w:pPr>
        <w:pStyle w:val="22"/>
        <w:bidi w:val="0"/>
        <w:rPr>
          <w:color w:val="auto"/>
          <w:highlight w:val="none"/>
          <w:lang w:eastAsia="zh-CN"/>
        </w:rPr>
      </w:pPr>
      <w:r>
        <w:rPr>
          <w:rFonts w:hint="eastAsia"/>
          <w:color w:val="auto"/>
          <w:highlight w:val="none"/>
          <w:lang w:eastAsia="zh-CN"/>
        </w:rPr>
        <w:t>表</w:t>
      </w:r>
      <w:r>
        <w:rPr>
          <w:rFonts w:hint="eastAsia"/>
          <w:color w:val="auto"/>
          <w:highlight w:val="none"/>
          <w:lang w:val="en-US" w:eastAsia="zh-CN"/>
        </w:rPr>
        <w:t>6.3-6</w:t>
      </w:r>
      <w:r>
        <w:rPr>
          <w:rFonts w:hint="eastAsia"/>
          <w:color w:val="auto"/>
          <w:highlight w:val="none"/>
          <w:lang w:eastAsia="zh-CN"/>
        </w:rPr>
        <w:t xml:space="preserve">   土地等级划分表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932"/>
        <w:gridCol w:w="86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一级地</w:t>
            </w:r>
          </w:p>
        </w:tc>
        <w:tc>
          <w:tcPr>
            <w:tcW w:w="7591" w:type="dxa"/>
            <w:noWrap w:val="0"/>
            <w:vAlign w:val="center"/>
          </w:tcPr>
          <w:p>
            <w:pPr>
              <w:pStyle w:val="22"/>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土地质量好，在土地利用方面基本没有限制。适用性广，可作农林牧等业多种利用；地势平缓，坡度3°－5°，土层深厚，有效土层50cm以上，质地适中，土壤肥力较高；气候条件较好，基本无风蚀水蚀现象，ｐＨ6.0-7.5，保肥保水性能好，一年两熟至三熟，旱涝保收。</w:t>
            </w:r>
            <w:r>
              <w:rPr>
                <w:rFonts w:hint="default" w:ascii="Times New Roman" w:hAnsi="Times New Roman" w:cs="Times New Roman"/>
                <w:color w:val="auto"/>
                <w:highlight w:val="none"/>
              </w:rPr>
              <w:t>在一般管理措施下，收成良好。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二级地</w:t>
            </w:r>
          </w:p>
        </w:tc>
        <w:tc>
          <w:tcPr>
            <w:tcW w:w="7591" w:type="dxa"/>
            <w:noWrap w:val="0"/>
            <w:vAlign w:val="center"/>
          </w:tcPr>
          <w:p>
            <w:pPr>
              <w:pStyle w:val="22"/>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土地质量较好，适应性较广，在土地利用方面有限制因素但不大，或至少有一个主要限制因素，其强度对种植业有影响，对林牧业则影响不大，一年二熟或二年三熟。具有一项或几项限制：（1）质地稍不适合；（2）有轻微侵蚀或潜在侵蚀威胁；（3）降水分配不均，需要灌溉措施：（4）有盐碱化威胁。</w:t>
            </w:r>
            <w:r>
              <w:rPr>
                <w:rFonts w:hint="default" w:ascii="Times New Roman" w:hAnsi="Times New Roman" w:cs="Times New Roman"/>
                <w:color w:val="auto"/>
                <w:highlight w:val="none"/>
              </w:rPr>
              <w:t>主要适用于灌溉农业。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三级地</w:t>
            </w:r>
          </w:p>
        </w:tc>
        <w:tc>
          <w:tcPr>
            <w:tcW w:w="7591" w:type="dxa"/>
            <w:noWrap w:val="0"/>
            <w:vAlign w:val="center"/>
          </w:tcPr>
          <w:p>
            <w:pPr>
              <w:pStyle w:val="22"/>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一般土地质量中等。在土地利用中限制较大，对作物选择性较强，至少有一个主要限制因素的强度较严重影响农业利用。一年二熟、二年三熟或一年一熟，具有下列一项或几项限制：（1）土层厚度〈30cm，或质地不良；（2）坡度较大（&lt;10°)，有中度侵蚀；（3）排灌设施不完善，有旱涝威胁；（4）保水保肥性差；（5）有轻、中度盐碱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四级地</w:t>
            </w:r>
          </w:p>
        </w:tc>
        <w:tc>
          <w:tcPr>
            <w:tcW w:w="7591" w:type="dxa"/>
            <w:noWrap w:val="0"/>
            <w:vAlign w:val="center"/>
          </w:tcPr>
          <w:p>
            <w:pPr>
              <w:pStyle w:val="22"/>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 xml:space="preserve">土地质量较差，适宜性不好。对农业生产有很大限制，至少有一个主要限制因素严重影响农业利用。一般适于林业、牧业。具有下列限制：（1）土层浅薄，一般有效土层厚度10-30cm；（2）有障碍层次；（3）质地结构较差；（4）坡度较大，有中度风蚀或水蚀；（5）中度以上盐碱化或其它障碍因素；（6）有旱涝灾害；（7）气候条件不良，一年一熟。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五级地</w:t>
            </w:r>
          </w:p>
        </w:tc>
        <w:tc>
          <w:tcPr>
            <w:tcW w:w="7591" w:type="dxa"/>
            <w:noWrap w:val="0"/>
            <w:vAlign w:val="center"/>
          </w:tcPr>
          <w:p>
            <w:pPr>
              <w:pStyle w:val="22"/>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 xml:space="preserve">土地质量差，不适于农业生产，主要用于林业和牧业。具有下列限制因素：（1）土层浅薄，砾石多；（2）坡度大于15°，土壤片状侵蚀重，有沟蚀发生；（3）气候条件很差，寒冷，干旱，多风；（4）排水不良的沿岸地；（5）盐碱较重，一般不宜发展种植业。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六级地</w:t>
            </w:r>
          </w:p>
        </w:tc>
        <w:tc>
          <w:tcPr>
            <w:tcW w:w="7591" w:type="dxa"/>
            <w:noWrap w:val="0"/>
            <w:vAlign w:val="center"/>
          </w:tcPr>
          <w:p>
            <w:pPr>
              <w:pStyle w:val="22"/>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只能用于牧业和林业，适宜树种少，发展林牧业也受到一定限制。有下列一项或几项限制：（1）海拔较高，坡度大（〈25°)；（2）土少石块多；（3）强度侵蚀，沟蚀严重；（4）强度盐碱化；（5）气候条件很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七级地</w:t>
            </w:r>
          </w:p>
        </w:tc>
        <w:tc>
          <w:tcPr>
            <w:tcW w:w="7591" w:type="dxa"/>
            <w:noWrap w:val="0"/>
            <w:vAlign w:val="center"/>
          </w:tcPr>
          <w:p>
            <w:pPr>
              <w:pStyle w:val="22"/>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仅能短期生长野生牧草，勉强能作牧地用，造林因难。限制因素同六级地，但程度严重，改良困难。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14" w:type="dxa"/>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八级地</w:t>
            </w:r>
          </w:p>
        </w:tc>
        <w:tc>
          <w:tcPr>
            <w:tcW w:w="7591" w:type="dxa"/>
            <w:noWrap w:val="0"/>
            <w:vAlign w:val="center"/>
          </w:tcPr>
          <w:p>
            <w:pPr>
              <w:pStyle w:val="22"/>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不适宜于生产性利用，限制因素多，强度大，在目前科技条件下尚难于改造。如戈壁、沙漠、冰川、冻原等。</w:t>
            </w:r>
          </w:p>
        </w:tc>
      </w:tr>
    </w:tbl>
    <w:p>
      <w:pPr>
        <w:bidi w:val="0"/>
        <w:rPr>
          <w:color w:val="auto"/>
          <w:highlight w:val="none"/>
        </w:rPr>
      </w:pPr>
      <w:r>
        <w:rPr>
          <w:color w:val="auto"/>
          <w:highlight w:val="none"/>
        </w:rPr>
        <w:t>由土地利用现状可知，</w:t>
      </w:r>
      <w:r>
        <w:rPr>
          <w:rFonts w:hint="eastAsia"/>
          <w:color w:val="auto"/>
          <w:highlight w:val="none"/>
          <w:lang w:eastAsia="zh-CN"/>
        </w:rPr>
        <w:t>规划区内土地等级可归为五级，因此本规划区域土地资源的属于</w:t>
      </w:r>
      <w:r>
        <w:rPr>
          <w:rFonts w:hint="eastAsia"/>
          <w:color w:val="auto"/>
          <w:highlight w:val="none"/>
          <w:u w:val="single"/>
          <w:lang w:eastAsia="zh-CN"/>
        </w:rPr>
        <w:t>中等承载力水平</w:t>
      </w:r>
      <w:r>
        <w:rPr>
          <w:color w:val="auto"/>
          <w:highlight w:val="none"/>
        </w:rPr>
        <w:t>。</w:t>
      </w:r>
    </w:p>
    <w:p>
      <w:pPr>
        <w:pStyle w:val="7"/>
        <w:bidi w:val="0"/>
        <w:rPr>
          <w:rFonts w:hint="default"/>
          <w:color w:val="auto"/>
          <w:highlight w:val="none"/>
          <w:lang w:val="en-US" w:eastAsia="zh-CN"/>
        </w:rPr>
      </w:pPr>
      <w:r>
        <w:rPr>
          <w:rFonts w:hint="eastAsia"/>
          <w:color w:val="auto"/>
          <w:highlight w:val="none"/>
          <w:lang w:val="en-US" w:eastAsia="zh-CN"/>
        </w:rPr>
        <w:t>6.3.2.3 矿产资源承载力</w:t>
      </w:r>
    </w:p>
    <w:p>
      <w:pPr>
        <w:bidi w:val="0"/>
        <w:rPr>
          <w:color w:val="auto"/>
          <w:highlight w:val="none"/>
          <w:lang w:eastAsia="zh-CN"/>
        </w:rPr>
      </w:pPr>
      <w:r>
        <w:rPr>
          <w:rFonts w:hint="eastAsia"/>
          <w:color w:val="auto"/>
          <w:highlight w:val="none"/>
          <w:lang w:eastAsia="zh-CN"/>
        </w:rPr>
        <w:t>根据规划矿区的特点，采用人均煤炭储量和储采比反映矿产资源的承载指数，其指标分值及分值如下：</w:t>
      </w:r>
    </w:p>
    <w:p>
      <w:pPr>
        <w:pStyle w:val="22"/>
        <w:bidi w:val="0"/>
        <w:rPr>
          <w:color w:val="auto"/>
          <w:highlight w:val="none"/>
          <w:lang w:eastAsia="zh-CN"/>
        </w:rPr>
      </w:pPr>
      <w:r>
        <w:rPr>
          <w:rFonts w:hint="eastAsia"/>
          <w:color w:val="auto"/>
          <w:highlight w:val="none"/>
          <w:lang w:eastAsia="zh-CN"/>
        </w:rPr>
        <w:t>表</w:t>
      </w:r>
      <w:r>
        <w:rPr>
          <w:rFonts w:hint="eastAsia"/>
          <w:color w:val="auto"/>
          <w:highlight w:val="none"/>
          <w:lang w:val="en-US" w:eastAsia="zh-CN"/>
        </w:rPr>
        <w:t>6.3-7</w:t>
      </w:r>
      <w:r>
        <w:rPr>
          <w:rFonts w:hint="eastAsia"/>
          <w:color w:val="auto"/>
          <w:highlight w:val="none"/>
          <w:lang w:eastAsia="zh-CN"/>
        </w:rPr>
        <w:t xml:space="preserve">   评价区矿产资源承载指标的统计值或评分</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2026"/>
        <w:gridCol w:w="1266"/>
        <w:gridCol w:w="1137"/>
        <w:gridCol w:w="1140"/>
        <w:gridCol w:w="1097"/>
        <w:gridCol w:w="1163"/>
        <w:gridCol w:w="1036"/>
        <w:gridCol w:w="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1774" w:type="dxa"/>
            <w:vMerge w:val="restart"/>
            <w:noWrap w:val="0"/>
            <w:vAlign w:val="center"/>
          </w:tcPr>
          <w:p>
            <w:pPr>
              <w:pStyle w:val="22"/>
              <w:bidi w:val="0"/>
              <w:rPr>
                <w:color w:val="auto"/>
                <w:highlight w:val="none"/>
              </w:rPr>
            </w:pPr>
            <w:r>
              <w:rPr>
                <w:rFonts w:hint="eastAsia"/>
                <w:color w:val="auto"/>
                <w:highlight w:val="none"/>
              </w:rPr>
              <w:t>指标</w:t>
            </w:r>
          </w:p>
        </w:tc>
        <w:tc>
          <w:tcPr>
            <w:tcW w:w="1109" w:type="dxa"/>
            <w:vMerge w:val="restart"/>
            <w:noWrap w:val="0"/>
            <w:vAlign w:val="center"/>
          </w:tcPr>
          <w:p>
            <w:pPr>
              <w:pStyle w:val="22"/>
              <w:bidi w:val="0"/>
              <w:rPr>
                <w:color w:val="auto"/>
                <w:highlight w:val="none"/>
              </w:rPr>
            </w:pPr>
            <w:r>
              <w:rPr>
                <w:rFonts w:hint="eastAsia"/>
                <w:color w:val="auto"/>
                <w:highlight w:val="none"/>
              </w:rPr>
              <w:t>统计值</w:t>
            </w:r>
          </w:p>
        </w:tc>
        <w:tc>
          <w:tcPr>
            <w:tcW w:w="4880" w:type="dxa"/>
            <w:gridSpan w:val="5"/>
            <w:noWrap w:val="0"/>
            <w:vAlign w:val="center"/>
          </w:tcPr>
          <w:p>
            <w:pPr>
              <w:pStyle w:val="22"/>
              <w:bidi w:val="0"/>
              <w:rPr>
                <w:color w:val="auto"/>
                <w:highlight w:val="none"/>
              </w:rPr>
            </w:pPr>
            <w:r>
              <w:rPr>
                <w:rFonts w:hint="eastAsia"/>
                <w:color w:val="auto"/>
                <w:highlight w:val="none"/>
              </w:rPr>
              <w:t>评估指标分值</w:t>
            </w:r>
          </w:p>
        </w:tc>
        <w:tc>
          <w:tcPr>
            <w:tcW w:w="666" w:type="dxa"/>
            <w:vMerge w:val="restart"/>
            <w:noWrap w:val="0"/>
            <w:vAlign w:val="center"/>
          </w:tcPr>
          <w:p>
            <w:pPr>
              <w:pStyle w:val="22"/>
              <w:bidi w:val="0"/>
              <w:rPr>
                <w:color w:val="auto"/>
                <w:highlight w:val="none"/>
              </w:rPr>
            </w:pPr>
            <w:r>
              <w:rPr>
                <w:rFonts w:hint="eastAsia"/>
                <w:color w:val="auto"/>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1774" w:type="dxa"/>
            <w:vMerge w:val="continue"/>
            <w:noWrap w:val="0"/>
            <w:vAlign w:val="center"/>
          </w:tcPr>
          <w:p>
            <w:pPr>
              <w:pStyle w:val="22"/>
              <w:bidi w:val="0"/>
              <w:rPr>
                <w:color w:val="auto"/>
                <w:highlight w:val="none"/>
              </w:rPr>
            </w:pPr>
          </w:p>
        </w:tc>
        <w:tc>
          <w:tcPr>
            <w:tcW w:w="1109" w:type="dxa"/>
            <w:vMerge w:val="continue"/>
            <w:noWrap w:val="0"/>
            <w:vAlign w:val="center"/>
          </w:tcPr>
          <w:p>
            <w:pPr>
              <w:pStyle w:val="22"/>
              <w:bidi w:val="0"/>
              <w:rPr>
                <w:color w:val="auto"/>
                <w:highlight w:val="none"/>
              </w:rPr>
            </w:pPr>
          </w:p>
        </w:tc>
        <w:tc>
          <w:tcPr>
            <w:tcW w:w="996" w:type="dxa"/>
            <w:noWrap w:val="0"/>
            <w:vAlign w:val="center"/>
          </w:tcPr>
          <w:p>
            <w:pPr>
              <w:pStyle w:val="22"/>
              <w:bidi w:val="0"/>
              <w:rPr>
                <w:color w:val="auto"/>
                <w:highlight w:val="none"/>
              </w:rPr>
            </w:pPr>
            <w:r>
              <w:rPr>
                <w:rFonts w:hint="eastAsia"/>
                <w:color w:val="auto"/>
                <w:highlight w:val="none"/>
              </w:rPr>
              <w:t>100</w:t>
            </w:r>
          </w:p>
        </w:tc>
        <w:tc>
          <w:tcPr>
            <w:tcW w:w="998" w:type="dxa"/>
            <w:noWrap w:val="0"/>
            <w:vAlign w:val="center"/>
          </w:tcPr>
          <w:p>
            <w:pPr>
              <w:pStyle w:val="22"/>
              <w:bidi w:val="0"/>
              <w:rPr>
                <w:color w:val="auto"/>
                <w:highlight w:val="none"/>
              </w:rPr>
            </w:pPr>
            <w:r>
              <w:rPr>
                <w:rFonts w:hint="eastAsia"/>
                <w:color w:val="auto"/>
                <w:highlight w:val="none"/>
              </w:rPr>
              <w:t>80</w:t>
            </w:r>
          </w:p>
        </w:tc>
        <w:tc>
          <w:tcPr>
            <w:tcW w:w="961" w:type="dxa"/>
            <w:noWrap w:val="0"/>
            <w:vAlign w:val="center"/>
          </w:tcPr>
          <w:p>
            <w:pPr>
              <w:pStyle w:val="22"/>
              <w:bidi w:val="0"/>
              <w:rPr>
                <w:color w:val="auto"/>
                <w:highlight w:val="none"/>
              </w:rPr>
            </w:pPr>
            <w:r>
              <w:rPr>
                <w:rFonts w:hint="eastAsia"/>
                <w:color w:val="auto"/>
                <w:highlight w:val="none"/>
              </w:rPr>
              <w:t>60</w:t>
            </w:r>
          </w:p>
        </w:tc>
        <w:tc>
          <w:tcPr>
            <w:tcW w:w="1018" w:type="dxa"/>
            <w:noWrap w:val="0"/>
            <w:vAlign w:val="center"/>
          </w:tcPr>
          <w:p>
            <w:pPr>
              <w:pStyle w:val="22"/>
              <w:bidi w:val="0"/>
              <w:rPr>
                <w:color w:val="auto"/>
                <w:highlight w:val="none"/>
              </w:rPr>
            </w:pPr>
            <w:r>
              <w:rPr>
                <w:rFonts w:hint="eastAsia"/>
                <w:color w:val="auto"/>
                <w:highlight w:val="none"/>
              </w:rPr>
              <w:t>40</w:t>
            </w:r>
          </w:p>
        </w:tc>
        <w:tc>
          <w:tcPr>
            <w:tcW w:w="907" w:type="dxa"/>
            <w:noWrap w:val="0"/>
            <w:vAlign w:val="center"/>
          </w:tcPr>
          <w:p>
            <w:pPr>
              <w:pStyle w:val="22"/>
              <w:bidi w:val="0"/>
              <w:rPr>
                <w:color w:val="auto"/>
                <w:highlight w:val="none"/>
              </w:rPr>
            </w:pPr>
            <w:r>
              <w:rPr>
                <w:rFonts w:hint="eastAsia"/>
                <w:color w:val="auto"/>
                <w:highlight w:val="none"/>
              </w:rPr>
              <w:t>20</w:t>
            </w:r>
          </w:p>
        </w:tc>
        <w:tc>
          <w:tcPr>
            <w:tcW w:w="666" w:type="dxa"/>
            <w:vMerge w:val="continue"/>
            <w:noWrap w:val="0"/>
            <w:vAlign w:val="center"/>
          </w:tcPr>
          <w:p>
            <w:pPr>
              <w:pStyle w:val="22"/>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1774" w:type="dxa"/>
            <w:noWrap w:val="0"/>
            <w:vAlign w:val="center"/>
          </w:tcPr>
          <w:p>
            <w:pPr>
              <w:pStyle w:val="22"/>
              <w:bidi w:val="0"/>
              <w:rPr>
                <w:color w:val="auto"/>
                <w:highlight w:val="none"/>
              </w:rPr>
            </w:pPr>
            <w:r>
              <w:rPr>
                <w:rFonts w:hint="eastAsia"/>
                <w:color w:val="auto"/>
                <w:highlight w:val="none"/>
              </w:rPr>
              <w:t>人均煤炭占有量（t/人）</w:t>
            </w:r>
          </w:p>
        </w:tc>
        <w:tc>
          <w:tcPr>
            <w:tcW w:w="1109"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500</w:t>
            </w:r>
          </w:p>
        </w:tc>
        <w:tc>
          <w:tcPr>
            <w:tcW w:w="996" w:type="dxa"/>
            <w:noWrap w:val="0"/>
            <w:vAlign w:val="center"/>
          </w:tcPr>
          <w:p>
            <w:pPr>
              <w:pStyle w:val="22"/>
              <w:bidi w:val="0"/>
              <w:rPr>
                <w:color w:val="auto"/>
                <w:highlight w:val="none"/>
              </w:rPr>
            </w:pPr>
            <w:r>
              <w:rPr>
                <w:rFonts w:hint="eastAsia"/>
                <w:color w:val="auto"/>
                <w:highlight w:val="none"/>
              </w:rPr>
              <w:t>&gt;270</w:t>
            </w:r>
          </w:p>
        </w:tc>
        <w:tc>
          <w:tcPr>
            <w:tcW w:w="998" w:type="dxa"/>
            <w:noWrap w:val="0"/>
            <w:vAlign w:val="center"/>
          </w:tcPr>
          <w:p>
            <w:pPr>
              <w:pStyle w:val="22"/>
              <w:bidi w:val="0"/>
              <w:rPr>
                <w:color w:val="auto"/>
                <w:highlight w:val="none"/>
              </w:rPr>
            </w:pPr>
            <w:r>
              <w:rPr>
                <w:rFonts w:hint="eastAsia"/>
                <w:color w:val="auto"/>
                <w:highlight w:val="none"/>
              </w:rPr>
              <w:t>200</w:t>
            </w:r>
          </w:p>
        </w:tc>
        <w:tc>
          <w:tcPr>
            <w:tcW w:w="961" w:type="dxa"/>
            <w:noWrap w:val="0"/>
            <w:vAlign w:val="center"/>
          </w:tcPr>
          <w:p>
            <w:pPr>
              <w:pStyle w:val="22"/>
              <w:bidi w:val="0"/>
              <w:rPr>
                <w:color w:val="auto"/>
                <w:highlight w:val="none"/>
              </w:rPr>
            </w:pPr>
            <w:r>
              <w:rPr>
                <w:rFonts w:hint="eastAsia"/>
                <w:color w:val="auto"/>
                <w:highlight w:val="none"/>
              </w:rPr>
              <w:t>150</w:t>
            </w:r>
          </w:p>
        </w:tc>
        <w:tc>
          <w:tcPr>
            <w:tcW w:w="1018" w:type="dxa"/>
            <w:noWrap w:val="0"/>
            <w:vAlign w:val="center"/>
          </w:tcPr>
          <w:p>
            <w:pPr>
              <w:pStyle w:val="22"/>
              <w:bidi w:val="0"/>
              <w:rPr>
                <w:color w:val="auto"/>
                <w:highlight w:val="none"/>
              </w:rPr>
            </w:pPr>
            <w:r>
              <w:rPr>
                <w:rFonts w:hint="eastAsia"/>
                <w:color w:val="auto"/>
                <w:highlight w:val="none"/>
              </w:rPr>
              <w:t>100</w:t>
            </w:r>
          </w:p>
        </w:tc>
        <w:tc>
          <w:tcPr>
            <w:tcW w:w="907" w:type="dxa"/>
            <w:noWrap w:val="0"/>
            <w:vAlign w:val="center"/>
          </w:tcPr>
          <w:p>
            <w:pPr>
              <w:pStyle w:val="22"/>
              <w:bidi w:val="0"/>
              <w:rPr>
                <w:color w:val="auto"/>
                <w:highlight w:val="none"/>
              </w:rPr>
            </w:pPr>
            <w:r>
              <w:rPr>
                <w:rFonts w:hint="eastAsia"/>
                <w:color w:val="auto"/>
                <w:highlight w:val="none"/>
              </w:rPr>
              <w:t>50</w:t>
            </w:r>
          </w:p>
        </w:tc>
        <w:tc>
          <w:tcPr>
            <w:tcW w:w="666" w:type="dxa"/>
            <w:noWrap w:val="0"/>
            <w:vAlign w:val="center"/>
          </w:tcPr>
          <w:p>
            <w:pPr>
              <w:pStyle w:val="22"/>
              <w:bidi w:val="0"/>
              <w:rPr>
                <w:color w:val="auto"/>
                <w:highlight w:val="none"/>
              </w:rPr>
            </w:pPr>
            <w:r>
              <w:rPr>
                <w:rFonts w:hint="eastAsia"/>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1774" w:type="dxa"/>
            <w:noWrap w:val="0"/>
            <w:vAlign w:val="center"/>
          </w:tcPr>
          <w:p>
            <w:pPr>
              <w:pStyle w:val="22"/>
              <w:bidi w:val="0"/>
              <w:rPr>
                <w:color w:val="auto"/>
                <w:highlight w:val="none"/>
              </w:rPr>
            </w:pPr>
            <w:r>
              <w:rPr>
                <w:rFonts w:hint="eastAsia"/>
                <w:color w:val="auto"/>
                <w:highlight w:val="none"/>
              </w:rPr>
              <w:t>储采比</w:t>
            </w:r>
          </w:p>
        </w:tc>
        <w:tc>
          <w:tcPr>
            <w:tcW w:w="1109"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130</w:t>
            </w:r>
          </w:p>
        </w:tc>
        <w:tc>
          <w:tcPr>
            <w:tcW w:w="996" w:type="dxa"/>
            <w:noWrap w:val="0"/>
            <w:vAlign w:val="center"/>
          </w:tcPr>
          <w:p>
            <w:pPr>
              <w:pStyle w:val="22"/>
              <w:bidi w:val="0"/>
              <w:rPr>
                <w:color w:val="auto"/>
                <w:highlight w:val="none"/>
              </w:rPr>
            </w:pPr>
            <w:r>
              <w:rPr>
                <w:rFonts w:hint="eastAsia"/>
                <w:color w:val="auto"/>
                <w:highlight w:val="none"/>
              </w:rPr>
              <w:t>＞211</w:t>
            </w:r>
          </w:p>
        </w:tc>
        <w:tc>
          <w:tcPr>
            <w:tcW w:w="998" w:type="dxa"/>
            <w:noWrap w:val="0"/>
            <w:vAlign w:val="center"/>
          </w:tcPr>
          <w:p>
            <w:pPr>
              <w:pStyle w:val="22"/>
              <w:bidi w:val="0"/>
              <w:rPr>
                <w:color w:val="auto"/>
                <w:highlight w:val="none"/>
              </w:rPr>
            </w:pPr>
            <w:r>
              <w:rPr>
                <w:rFonts w:hint="eastAsia"/>
                <w:color w:val="auto"/>
                <w:highlight w:val="none"/>
              </w:rPr>
              <w:t>170</w:t>
            </w:r>
          </w:p>
        </w:tc>
        <w:tc>
          <w:tcPr>
            <w:tcW w:w="961" w:type="dxa"/>
            <w:noWrap w:val="0"/>
            <w:vAlign w:val="center"/>
          </w:tcPr>
          <w:p>
            <w:pPr>
              <w:pStyle w:val="22"/>
              <w:bidi w:val="0"/>
              <w:rPr>
                <w:color w:val="auto"/>
                <w:highlight w:val="none"/>
              </w:rPr>
            </w:pPr>
            <w:r>
              <w:rPr>
                <w:rFonts w:hint="eastAsia"/>
                <w:color w:val="auto"/>
                <w:highlight w:val="none"/>
              </w:rPr>
              <w:t>125</w:t>
            </w:r>
          </w:p>
        </w:tc>
        <w:tc>
          <w:tcPr>
            <w:tcW w:w="1018" w:type="dxa"/>
            <w:noWrap w:val="0"/>
            <w:vAlign w:val="center"/>
          </w:tcPr>
          <w:p>
            <w:pPr>
              <w:pStyle w:val="22"/>
              <w:bidi w:val="0"/>
              <w:rPr>
                <w:color w:val="auto"/>
                <w:highlight w:val="none"/>
              </w:rPr>
            </w:pPr>
            <w:r>
              <w:rPr>
                <w:rFonts w:hint="eastAsia"/>
                <w:color w:val="auto"/>
                <w:highlight w:val="none"/>
              </w:rPr>
              <w:t>85</w:t>
            </w:r>
          </w:p>
        </w:tc>
        <w:tc>
          <w:tcPr>
            <w:tcW w:w="907" w:type="dxa"/>
            <w:noWrap w:val="0"/>
            <w:vAlign w:val="center"/>
          </w:tcPr>
          <w:p>
            <w:pPr>
              <w:pStyle w:val="22"/>
              <w:bidi w:val="0"/>
              <w:rPr>
                <w:color w:val="auto"/>
                <w:highlight w:val="none"/>
              </w:rPr>
            </w:pPr>
            <w:r>
              <w:rPr>
                <w:rFonts w:hint="eastAsia"/>
                <w:color w:val="auto"/>
                <w:highlight w:val="none"/>
              </w:rPr>
              <w:t>42</w:t>
            </w:r>
          </w:p>
        </w:tc>
        <w:tc>
          <w:tcPr>
            <w:tcW w:w="666"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60</w:t>
            </w:r>
          </w:p>
        </w:tc>
      </w:tr>
    </w:tbl>
    <w:p>
      <w:pPr>
        <w:bidi w:val="0"/>
        <w:rPr>
          <w:rFonts w:hint="eastAsia"/>
          <w:color w:val="auto"/>
          <w:highlight w:val="none"/>
          <w:lang w:eastAsia="zh-CN"/>
        </w:rPr>
      </w:pPr>
      <w:r>
        <w:rPr>
          <w:rFonts w:hint="eastAsia"/>
          <w:color w:val="auto"/>
          <w:highlight w:val="none"/>
          <w:lang w:eastAsia="zh-CN"/>
        </w:rPr>
        <w:t>在确定各因子分值后，根据模式计算得矿区矿产资源承载指数为</w:t>
      </w:r>
      <w:r>
        <w:rPr>
          <w:rFonts w:hint="eastAsia"/>
          <w:color w:val="auto"/>
          <w:highlight w:val="none"/>
          <w:lang w:val="en-US" w:eastAsia="zh-CN"/>
        </w:rPr>
        <w:t>80</w:t>
      </w:r>
      <w:r>
        <w:rPr>
          <w:rFonts w:hint="eastAsia"/>
          <w:color w:val="auto"/>
          <w:highlight w:val="none"/>
          <w:lang w:eastAsia="zh-CN"/>
        </w:rPr>
        <w:t>，</w:t>
      </w:r>
      <w:r>
        <w:rPr>
          <w:rFonts w:hint="eastAsia"/>
          <w:color w:val="auto"/>
          <w:highlight w:val="none"/>
          <w:u w:val="single"/>
          <w:lang w:eastAsia="zh-CN"/>
        </w:rPr>
        <w:t>属较高承载力水平</w:t>
      </w:r>
      <w:r>
        <w:rPr>
          <w:rFonts w:hint="eastAsia"/>
          <w:color w:val="auto"/>
          <w:highlight w:val="none"/>
          <w:lang w:eastAsia="zh-CN"/>
        </w:rPr>
        <w:t>。</w:t>
      </w:r>
    </w:p>
    <w:p>
      <w:pPr>
        <w:pStyle w:val="7"/>
        <w:bidi w:val="0"/>
        <w:rPr>
          <w:rFonts w:hint="default"/>
          <w:color w:val="auto"/>
          <w:highlight w:val="none"/>
          <w:lang w:val="en-US" w:eastAsia="zh-CN"/>
        </w:rPr>
      </w:pPr>
      <w:r>
        <w:rPr>
          <w:rFonts w:hint="eastAsia"/>
          <w:color w:val="auto"/>
          <w:highlight w:val="none"/>
          <w:lang w:val="en-US" w:eastAsia="zh-CN"/>
        </w:rPr>
        <w:t>6.3.2.4 大气环境承载力分析</w:t>
      </w:r>
    </w:p>
    <w:p>
      <w:pPr>
        <w:bidi w:val="0"/>
        <w:rPr>
          <w:color w:val="auto"/>
          <w:highlight w:val="none"/>
          <w:lang w:eastAsia="zh-CN"/>
        </w:rPr>
      </w:pPr>
      <w:r>
        <w:rPr>
          <w:rFonts w:hint="eastAsia"/>
          <w:color w:val="auto"/>
          <w:highlight w:val="none"/>
          <w:lang w:eastAsia="zh-CN"/>
        </w:rPr>
        <w:t>大气环境承载指数的指标分值，可根据污染物的排放强度与国家或地区的环境标准值来确定。大气环境标准值选取《环境空气质量标准》GB3095-2012的浓度限值。各指标统计值及分值如表</w:t>
      </w:r>
      <w:r>
        <w:rPr>
          <w:rFonts w:hint="eastAsia"/>
          <w:color w:val="auto"/>
          <w:highlight w:val="none"/>
          <w:lang w:val="en-US" w:eastAsia="zh-CN"/>
        </w:rPr>
        <w:t>6.3-8</w:t>
      </w:r>
      <w:r>
        <w:rPr>
          <w:rFonts w:hint="eastAsia"/>
          <w:color w:val="auto"/>
          <w:highlight w:val="none"/>
          <w:lang w:eastAsia="zh-CN"/>
        </w:rPr>
        <w:t>所示。</w:t>
      </w:r>
    </w:p>
    <w:p>
      <w:pPr>
        <w:pStyle w:val="22"/>
        <w:bidi w:val="0"/>
        <w:rPr>
          <w:color w:val="auto"/>
          <w:highlight w:val="none"/>
          <w:lang w:eastAsia="zh-CN"/>
        </w:rPr>
      </w:pPr>
      <w:r>
        <w:rPr>
          <w:rFonts w:hint="eastAsia"/>
          <w:color w:val="auto"/>
          <w:highlight w:val="none"/>
          <w:lang w:eastAsia="zh-CN"/>
        </w:rPr>
        <w:t>表</w:t>
      </w:r>
      <w:r>
        <w:rPr>
          <w:rFonts w:hint="eastAsia"/>
          <w:color w:val="auto"/>
          <w:highlight w:val="none"/>
          <w:lang w:val="en-US" w:eastAsia="zh-CN"/>
        </w:rPr>
        <w:t>6.3-8</w:t>
      </w:r>
      <w:r>
        <w:rPr>
          <w:rFonts w:hint="eastAsia"/>
          <w:color w:val="auto"/>
          <w:highlight w:val="none"/>
          <w:lang w:eastAsia="zh-CN"/>
        </w:rPr>
        <w:t xml:space="preserve">   评价区空气环境承载指标的统计值或评分</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1021"/>
        <w:gridCol w:w="3416"/>
        <w:gridCol w:w="811"/>
        <w:gridCol w:w="757"/>
        <w:gridCol w:w="888"/>
        <w:gridCol w:w="1015"/>
        <w:gridCol w:w="836"/>
        <w:gridCol w:w="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92" w:type="dxa"/>
            <w:vMerge w:val="restart"/>
            <w:noWrap w:val="0"/>
            <w:vAlign w:val="center"/>
          </w:tcPr>
          <w:p>
            <w:pPr>
              <w:pStyle w:val="22"/>
              <w:bidi w:val="0"/>
              <w:rPr>
                <w:color w:val="auto"/>
                <w:highlight w:val="none"/>
              </w:rPr>
            </w:pPr>
            <w:r>
              <w:rPr>
                <w:rFonts w:hint="eastAsia"/>
                <w:color w:val="auto"/>
                <w:highlight w:val="none"/>
              </w:rPr>
              <w:t>指标</w:t>
            </w:r>
          </w:p>
        </w:tc>
        <w:tc>
          <w:tcPr>
            <w:tcW w:w="2983" w:type="dxa"/>
            <w:vMerge w:val="restart"/>
            <w:noWrap w:val="0"/>
            <w:vAlign w:val="center"/>
          </w:tcPr>
          <w:p>
            <w:pPr>
              <w:pStyle w:val="22"/>
              <w:bidi w:val="0"/>
              <w:rPr>
                <w:color w:val="auto"/>
                <w:highlight w:val="none"/>
              </w:rPr>
            </w:pPr>
            <w:r>
              <w:rPr>
                <w:rFonts w:hint="eastAsia"/>
                <w:color w:val="auto"/>
                <w:highlight w:val="none"/>
              </w:rPr>
              <w:t>统计值</w:t>
            </w:r>
          </w:p>
        </w:tc>
        <w:tc>
          <w:tcPr>
            <w:tcW w:w="3760" w:type="dxa"/>
            <w:gridSpan w:val="5"/>
            <w:noWrap w:val="0"/>
            <w:vAlign w:val="top"/>
          </w:tcPr>
          <w:p>
            <w:pPr>
              <w:pStyle w:val="22"/>
              <w:bidi w:val="0"/>
              <w:rPr>
                <w:color w:val="auto"/>
                <w:highlight w:val="none"/>
              </w:rPr>
            </w:pPr>
            <w:r>
              <w:rPr>
                <w:rFonts w:hint="eastAsia"/>
                <w:color w:val="auto"/>
                <w:highlight w:val="none"/>
              </w:rPr>
              <w:t>评估指标分值</w:t>
            </w:r>
          </w:p>
        </w:tc>
        <w:tc>
          <w:tcPr>
            <w:tcW w:w="770" w:type="dxa"/>
            <w:vMerge w:val="restart"/>
            <w:noWrap w:val="0"/>
            <w:vAlign w:val="center"/>
          </w:tcPr>
          <w:p>
            <w:pPr>
              <w:pStyle w:val="22"/>
              <w:bidi w:val="0"/>
              <w:rPr>
                <w:color w:val="auto"/>
                <w:highlight w:val="none"/>
              </w:rPr>
            </w:pPr>
            <w:r>
              <w:rPr>
                <w:rFonts w:hint="eastAsia"/>
                <w:color w:val="auto"/>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92" w:type="dxa"/>
            <w:vMerge w:val="continue"/>
            <w:noWrap w:val="0"/>
            <w:vAlign w:val="center"/>
          </w:tcPr>
          <w:p>
            <w:pPr>
              <w:pStyle w:val="22"/>
              <w:bidi w:val="0"/>
              <w:rPr>
                <w:color w:val="auto"/>
                <w:highlight w:val="none"/>
              </w:rPr>
            </w:pPr>
          </w:p>
        </w:tc>
        <w:tc>
          <w:tcPr>
            <w:tcW w:w="2983" w:type="dxa"/>
            <w:vMerge w:val="continue"/>
            <w:noWrap w:val="0"/>
            <w:vAlign w:val="center"/>
          </w:tcPr>
          <w:p>
            <w:pPr>
              <w:pStyle w:val="22"/>
              <w:bidi w:val="0"/>
              <w:rPr>
                <w:color w:val="auto"/>
                <w:highlight w:val="none"/>
              </w:rPr>
            </w:pPr>
          </w:p>
        </w:tc>
        <w:tc>
          <w:tcPr>
            <w:tcW w:w="708" w:type="dxa"/>
            <w:noWrap w:val="0"/>
            <w:vAlign w:val="center"/>
          </w:tcPr>
          <w:p>
            <w:pPr>
              <w:pStyle w:val="22"/>
              <w:bidi w:val="0"/>
              <w:rPr>
                <w:color w:val="auto"/>
                <w:highlight w:val="none"/>
              </w:rPr>
            </w:pPr>
            <w:r>
              <w:rPr>
                <w:rFonts w:hint="eastAsia"/>
                <w:color w:val="auto"/>
                <w:highlight w:val="none"/>
              </w:rPr>
              <w:t>100</w:t>
            </w:r>
          </w:p>
        </w:tc>
        <w:tc>
          <w:tcPr>
            <w:tcW w:w="661" w:type="dxa"/>
            <w:noWrap w:val="0"/>
            <w:vAlign w:val="center"/>
          </w:tcPr>
          <w:p>
            <w:pPr>
              <w:pStyle w:val="22"/>
              <w:bidi w:val="0"/>
              <w:rPr>
                <w:color w:val="auto"/>
                <w:highlight w:val="none"/>
              </w:rPr>
            </w:pPr>
            <w:r>
              <w:rPr>
                <w:rFonts w:hint="eastAsia"/>
                <w:color w:val="auto"/>
                <w:highlight w:val="none"/>
              </w:rPr>
              <w:t>80</w:t>
            </w:r>
          </w:p>
        </w:tc>
        <w:tc>
          <w:tcPr>
            <w:tcW w:w="775" w:type="dxa"/>
            <w:noWrap w:val="0"/>
            <w:vAlign w:val="center"/>
          </w:tcPr>
          <w:p>
            <w:pPr>
              <w:pStyle w:val="22"/>
              <w:bidi w:val="0"/>
              <w:rPr>
                <w:color w:val="auto"/>
                <w:highlight w:val="none"/>
              </w:rPr>
            </w:pPr>
            <w:r>
              <w:rPr>
                <w:rFonts w:hint="eastAsia"/>
                <w:color w:val="auto"/>
                <w:highlight w:val="none"/>
              </w:rPr>
              <w:t>60</w:t>
            </w:r>
          </w:p>
        </w:tc>
        <w:tc>
          <w:tcPr>
            <w:tcW w:w="886" w:type="dxa"/>
            <w:noWrap w:val="0"/>
            <w:vAlign w:val="center"/>
          </w:tcPr>
          <w:p>
            <w:pPr>
              <w:pStyle w:val="22"/>
              <w:bidi w:val="0"/>
              <w:rPr>
                <w:color w:val="auto"/>
                <w:highlight w:val="none"/>
              </w:rPr>
            </w:pPr>
            <w:r>
              <w:rPr>
                <w:rFonts w:hint="eastAsia"/>
                <w:color w:val="auto"/>
                <w:highlight w:val="none"/>
              </w:rPr>
              <w:t>40</w:t>
            </w:r>
          </w:p>
        </w:tc>
        <w:tc>
          <w:tcPr>
            <w:tcW w:w="730" w:type="dxa"/>
            <w:noWrap w:val="0"/>
            <w:vAlign w:val="center"/>
          </w:tcPr>
          <w:p>
            <w:pPr>
              <w:pStyle w:val="22"/>
              <w:bidi w:val="0"/>
              <w:rPr>
                <w:color w:val="auto"/>
                <w:highlight w:val="none"/>
              </w:rPr>
            </w:pPr>
            <w:r>
              <w:rPr>
                <w:rFonts w:hint="eastAsia"/>
                <w:color w:val="auto"/>
                <w:highlight w:val="none"/>
              </w:rPr>
              <w:t>20</w:t>
            </w:r>
          </w:p>
        </w:tc>
        <w:tc>
          <w:tcPr>
            <w:tcW w:w="770" w:type="dxa"/>
            <w:vMerge w:val="continue"/>
            <w:noWrap w:val="0"/>
            <w:vAlign w:val="center"/>
          </w:tcPr>
          <w:p>
            <w:pPr>
              <w:pStyle w:val="22"/>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92" w:type="dxa"/>
            <w:noWrap w:val="0"/>
            <w:vAlign w:val="center"/>
          </w:tcPr>
          <w:p>
            <w:pPr>
              <w:pStyle w:val="22"/>
              <w:bidi w:val="0"/>
              <w:rPr>
                <w:color w:val="auto"/>
                <w:highlight w:val="none"/>
              </w:rPr>
            </w:pPr>
            <w:r>
              <w:rPr>
                <w:rFonts w:hint="eastAsia"/>
                <w:color w:val="auto"/>
                <w:highlight w:val="none"/>
              </w:rPr>
              <w:t>SO</w:t>
            </w:r>
            <w:r>
              <w:rPr>
                <w:rFonts w:hint="eastAsia"/>
                <w:color w:val="auto"/>
                <w:highlight w:val="none"/>
                <w:vertAlign w:val="subscript"/>
              </w:rPr>
              <w:t>2</w:t>
            </w:r>
          </w:p>
          <w:p>
            <w:pPr>
              <w:pStyle w:val="22"/>
              <w:bidi w:val="0"/>
              <w:rPr>
                <w:color w:val="auto"/>
                <w:highlight w:val="none"/>
              </w:rPr>
            </w:pPr>
            <w:r>
              <w:rPr>
                <w:rFonts w:hint="eastAsia"/>
                <w:color w:val="auto"/>
                <w:highlight w:val="none"/>
              </w:rPr>
              <w:t>μ</w:t>
            </w:r>
            <w:r>
              <w:rPr>
                <w:rFonts w:hint="eastAsia"/>
                <w:color w:val="auto"/>
                <w:highlight w:val="none"/>
                <w:lang w:eastAsia="zh-CN"/>
              </w:rPr>
              <w:t>g/m</w:t>
            </w:r>
            <w:r>
              <w:rPr>
                <w:color w:val="auto"/>
                <w:highlight w:val="none"/>
                <w:vertAlign w:val="superscript"/>
                <w:lang w:eastAsia="zh-CN"/>
              </w:rPr>
              <w:t>3</w:t>
            </w:r>
          </w:p>
        </w:tc>
        <w:tc>
          <w:tcPr>
            <w:tcW w:w="2983" w:type="dxa"/>
            <w:noWrap w:val="0"/>
            <w:vAlign w:val="center"/>
          </w:tcPr>
          <w:p>
            <w:pPr>
              <w:pStyle w:val="22"/>
              <w:bidi w:val="0"/>
              <w:rPr>
                <w:color w:val="auto"/>
                <w:highlight w:val="none"/>
                <w:lang w:eastAsia="zh-CN"/>
              </w:rPr>
            </w:pPr>
            <w:r>
              <w:rPr>
                <w:rFonts w:hint="eastAsia"/>
                <w:color w:val="auto"/>
                <w:highlight w:val="none"/>
                <w:lang w:eastAsia="zh-CN"/>
              </w:rPr>
              <w:t>基本不排放</w:t>
            </w:r>
          </w:p>
        </w:tc>
        <w:tc>
          <w:tcPr>
            <w:tcW w:w="708" w:type="dxa"/>
            <w:noWrap w:val="0"/>
            <w:vAlign w:val="center"/>
          </w:tcPr>
          <w:p>
            <w:pPr>
              <w:pStyle w:val="22"/>
              <w:bidi w:val="0"/>
              <w:rPr>
                <w:color w:val="auto"/>
                <w:highlight w:val="none"/>
              </w:rPr>
            </w:pPr>
            <w:r>
              <w:rPr>
                <w:rFonts w:hint="eastAsia"/>
                <w:color w:val="auto"/>
                <w:highlight w:val="none"/>
              </w:rPr>
              <w:t>&lt;20</w:t>
            </w:r>
          </w:p>
        </w:tc>
        <w:tc>
          <w:tcPr>
            <w:tcW w:w="661" w:type="dxa"/>
            <w:noWrap w:val="0"/>
            <w:vAlign w:val="center"/>
          </w:tcPr>
          <w:p>
            <w:pPr>
              <w:pStyle w:val="22"/>
              <w:bidi w:val="0"/>
              <w:rPr>
                <w:color w:val="auto"/>
                <w:highlight w:val="none"/>
              </w:rPr>
            </w:pPr>
            <w:r>
              <w:rPr>
                <w:rFonts w:hint="eastAsia"/>
                <w:color w:val="auto"/>
                <w:highlight w:val="none"/>
              </w:rPr>
              <w:t>60</w:t>
            </w:r>
          </w:p>
        </w:tc>
        <w:tc>
          <w:tcPr>
            <w:tcW w:w="775" w:type="dxa"/>
            <w:noWrap w:val="0"/>
            <w:vAlign w:val="center"/>
          </w:tcPr>
          <w:p>
            <w:pPr>
              <w:pStyle w:val="22"/>
              <w:bidi w:val="0"/>
              <w:rPr>
                <w:color w:val="auto"/>
                <w:highlight w:val="none"/>
              </w:rPr>
            </w:pPr>
            <w:r>
              <w:rPr>
                <w:rFonts w:hint="eastAsia"/>
                <w:color w:val="auto"/>
                <w:highlight w:val="none"/>
              </w:rPr>
              <w:t>72</w:t>
            </w:r>
          </w:p>
        </w:tc>
        <w:tc>
          <w:tcPr>
            <w:tcW w:w="886" w:type="dxa"/>
            <w:noWrap w:val="0"/>
            <w:vAlign w:val="center"/>
          </w:tcPr>
          <w:p>
            <w:pPr>
              <w:pStyle w:val="22"/>
              <w:bidi w:val="0"/>
              <w:rPr>
                <w:color w:val="auto"/>
                <w:highlight w:val="none"/>
              </w:rPr>
            </w:pPr>
            <w:r>
              <w:rPr>
                <w:rFonts w:hint="eastAsia"/>
                <w:color w:val="auto"/>
                <w:highlight w:val="none"/>
              </w:rPr>
              <w:t>84</w:t>
            </w:r>
          </w:p>
        </w:tc>
        <w:tc>
          <w:tcPr>
            <w:tcW w:w="730" w:type="dxa"/>
            <w:noWrap w:val="0"/>
            <w:vAlign w:val="center"/>
          </w:tcPr>
          <w:p>
            <w:pPr>
              <w:pStyle w:val="22"/>
              <w:bidi w:val="0"/>
              <w:rPr>
                <w:color w:val="auto"/>
                <w:highlight w:val="none"/>
              </w:rPr>
            </w:pPr>
            <w:r>
              <w:rPr>
                <w:rFonts w:hint="eastAsia"/>
                <w:color w:val="auto"/>
                <w:highlight w:val="none"/>
              </w:rPr>
              <w:t>96</w:t>
            </w:r>
          </w:p>
        </w:tc>
        <w:tc>
          <w:tcPr>
            <w:tcW w:w="770"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92" w:type="dxa"/>
            <w:noWrap w:val="0"/>
            <w:vAlign w:val="center"/>
          </w:tcPr>
          <w:p>
            <w:pPr>
              <w:pStyle w:val="22"/>
              <w:bidi w:val="0"/>
              <w:rPr>
                <w:color w:val="auto"/>
                <w:highlight w:val="none"/>
              </w:rPr>
            </w:pPr>
            <w:r>
              <w:rPr>
                <w:rFonts w:hint="eastAsia"/>
                <w:color w:val="auto"/>
                <w:highlight w:val="none"/>
              </w:rPr>
              <w:t>NO</w:t>
            </w:r>
            <w:r>
              <w:rPr>
                <w:rFonts w:hint="eastAsia"/>
                <w:color w:val="auto"/>
                <w:highlight w:val="none"/>
                <w:vertAlign w:val="subscript"/>
              </w:rPr>
              <w:t>x</w:t>
            </w:r>
          </w:p>
          <w:p>
            <w:pPr>
              <w:pStyle w:val="22"/>
              <w:bidi w:val="0"/>
              <w:rPr>
                <w:color w:val="auto"/>
                <w:highlight w:val="none"/>
              </w:rPr>
            </w:pPr>
            <w:r>
              <w:rPr>
                <w:rFonts w:hint="eastAsia"/>
                <w:color w:val="auto"/>
                <w:highlight w:val="none"/>
              </w:rPr>
              <w:t>μ</w:t>
            </w:r>
            <w:r>
              <w:rPr>
                <w:rFonts w:hint="eastAsia"/>
                <w:color w:val="auto"/>
                <w:highlight w:val="none"/>
                <w:lang w:eastAsia="zh-CN"/>
              </w:rPr>
              <w:t>g/m</w:t>
            </w:r>
            <w:r>
              <w:rPr>
                <w:color w:val="auto"/>
                <w:highlight w:val="none"/>
                <w:vertAlign w:val="superscript"/>
                <w:lang w:eastAsia="zh-CN"/>
              </w:rPr>
              <w:t>3</w:t>
            </w:r>
          </w:p>
        </w:tc>
        <w:tc>
          <w:tcPr>
            <w:tcW w:w="2983" w:type="dxa"/>
            <w:noWrap w:val="0"/>
            <w:vAlign w:val="center"/>
          </w:tcPr>
          <w:p>
            <w:pPr>
              <w:pStyle w:val="22"/>
              <w:bidi w:val="0"/>
              <w:rPr>
                <w:color w:val="auto"/>
                <w:highlight w:val="none"/>
                <w:lang w:eastAsia="zh-CN"/>
              </w:rPr>
            </w:pPr>
            <w:r>
              <w:rPr>
                <w:rFonts w:hint="eastAsia"/>
                <w:color w:val="auto"/>
                <w:highlight w:val="none"/>
                <w:lang w:eastAsia="zh-CN"/>
              </w:rPr>
              <w:t>基本不排放</w:t>
            </w:r>
          </w:p>
        </w:tc>
        <w:tc>
          <w:tcPr>
            <w:tcW w:w="708" w:type="dxa"/>
            <w:noWrap w:val="0"/>
            <w:vAlign w:val="center"/>
          </w:tcPr>
          <w:p>
            <w:pPr>
              <w:pStyle w:val="22"/>
              <w:bidi w:val="0"/>
              <w:rPr>
                <w:color w:val="auto"/>
                <w:highlight w:val="none"/>
              </w:rPr>
            </w:pPr>
            <w:r>
              <w:rPr>
                <w:rFonts w:hint="eastAsia"/>
                <w:color w:val="auto"/>
                <w:highlight w:val="none"/>
              </w:rPr>
              <w:t>&lt;25</w:t>
            </w:r>
          </w:p>
        </w:tc>
        <w:tc>
          <w:tcPr>
            <w:tcW w:w="661" w:type="dxa"/>
            <w:noWrap w:val="0"/>
            <w:vAlign w:val="center"/>
          </w:tcPr>
          <w:p>
            <w:pPr>
              <w:pStyle w:val="22"/>
              <w:bidi w:val="0"/>
              <w:rPr>
                <w:color w:val="auto"/>
                <w:highlight w:val="none"/>
              </w:rPr>
            </w:pPr>
            <w:r>
              <w:rPr>
                <w:rFonts w:hint="eastAsia"/>
                <w:color w:val="auto"/>
                <w:highlight w:val="none"/>
              </w:rPr>
              <w:t>50</w:t>
            </w:r>
          </w:p>
        </w:tc>
        <w:tc>
          <w:tcPr>
            <w:tcW w:w="775" w:type="dxa"/>
            <w:noWrap w:val="0"/>
            <w:vAlign w:val="center"/>
          </w:tcPr>
          <w:p>
            <w:pPr>
              <w:pStyle w:val="22"/>
              <w:bidi w:val="0"/>
              <w:rPr>
                <w:color w:val="auto"/>
                <w:highlight w:val="none"/>
              </w:rPr>
            </w:pPr>
            <w:r>
              <w:rPr>
                <w:rFonts w:hint="eastAsia"/>
                <w:color w:val="auto"/>
                <w:highlight w:val="none"/>
              </w:rPr>
              <w:t>60</w:t>
            </w:r>
          </w:p>
        </w:tc>
        <w:tc>
          <w:tcPr>
            <w:tcW w:w="886" w:type="dxa"/>
            <w:noWrap w:val="0"/>
            <w:vAlign w:val="center"/>
          </w:tcPr>
          <w:p>
            <w:pPr>
              <w:pStyle w:val="22"/>
              <w:bidi w:val="0"/>
              <w:rPr>
                <w:color w:val="auto"/>
                <w:highlight w:val="none"/>
              </w:rPr>
            </w:pPr>
            <w:r>
              <w:rPr>
                <w:rFonts w:hint="eastAsia"/>
                <w:color w:val="auto"/>
                <w:highlight w:val="none"/>
              </w:rPr>
              <w:t>70</w:t>
            </w:r>
          </w:p>
        </w:tc>
        <w:tc>
          <w:tcPr>
            <w:tcW w:w="730" w:type="dxa"/>
            <w:noWrap w:val="0"/>
            <w:vAlign w:val="center"/>
          </w:tcPr>
          <w:p>
            <w:pPr>
              <w:pStyle w:val="22"/>
              <w:bidi w:val="0"/>
              <w:rPr>
                <w:color w:val="auto"/>
                <w:highlight w:val="none"/>
              </w:rPr>
            </w:pPr>
            <w:r>
              <w:rPr>
                <w:rFonts w:hint="eastAsia"/>
                <w:color w:val="auto"/>
                <w:highlight w:val="none"/>
              </w:rPr>
              <w:t>80</w:t>
            </w:r>
          </w:p>
        </w:tc>
        <w:tc>
          <w:tcPr>
            <w:tcW w:w="770" w:type="dxa"/>
            <w:noWrap w:val="0"/>
            <w:vAlign w:val="center"/>
          </w:tcPr>
          <w:p>
            <w:pPr>
              <w:pStyle w:val="22"/>
              <w:bidi w:val="0"/>
              <w:rPr>
                <w:color w:val="auto"/>
                <w:highlight w:val="none"/>
              </w:rPr>
            </w:pPr>
            <w:r>
              <w:rPr>
                <w:rFonts w:hint="eastAsia"/>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0" w:hRule="atLeast"/>
          <w:tblHeader/>
          <w:jc w:val="center"/>
        </w:trPr>
        <w:tc>
          <w:tcPr>
            <w:tcW w:w="892" w:type="dxa"/>
            <w:noWrap w:val="0"/>
            <w:vAlign w:val="center"/>
          </w:tcPr>
          <w:p>
            <w:pPr>
              <w:pStyle w:val="22"/>
              <w:bidi w:val="0"/>
              <w:rPr>
                <w:color w:val="auto"/>
                <w:highlight w:val="none"/>
              </w:rPr>
            </w:pPr>
            <w:r>
              <w:rPr>
                <w:rFonts w:hint="eastAsia"/>
                <w:color w:val="auto"/>
                <w:highlight w:val="none"/>
              </w:rPr>
              <w:t>TPS</w:t>
            </w:r>
          </w:p>
          <w:p>
            <w:pPr>
              <w:pStyle w:val="22"/>
              <w:bidi w:val="0"/>
              <w:rPr>
                <w:color w:val="auto"/>
                <w:highlight w:val="none"/>
              </w:rPr>
            </w:pPr>
            <w:r>
              <w:rPr>
                <w:rFonts w:hint="eastAsia"/>
                <w:color w:val="auto"/>
                <w:highlight w:val="none"/>
              </w:rPr>
              <w:t>μ</w:t>
            </w:r>
            <w:r>
              <w:rPr>
                <w:rFonts w:hint="eastAsia"/>
                <w:color w:val="auto"/>
                <w:highlight w:val="none"/>
                <w:lang w:eastAsia="zh-CN"/>
              </w:rPr>
              <w:t>g/m</w:t>
            </w:r>
            <w:r>
              <w:rPr>
                <w:color w:val="auto"/>
                <w:highlight w:val="none"/>
                <w:vertAlign w:val="superscript"/>
                <w:lang w:eastAsia="zh-CN"/>
              </w:rPr>
              <w:t>3</w:t>
            </w:r>
          </w:p>
        </w:tc>
        <w:tc>
          <w:tcPr>
            <w:tcW w:w="2983" w:type="dxa"/>
            <w:noWrap w:val="0"/>
            <w:vAlign w:val="center"/>
          </w:tcPr>
          <w:p>
            <w:pPr>
              <w:pStyle w:val="22"/>
              <w:bidi w:val="0"/>
              <w:rPr>
                <w:color w:val="auto"/>
                <w:highlight w:val="none"/>
                <w:lang w:eastAsia="zh-CN"/>
              </w:rPr>
            </w:pPr>
            <w:r>
              <w:rPr>
                <w:rFonts w:hint="eastAsia"/>
                <w:color w:val="auto"/>
                <w:highlight w:val="none"/>
                <w:lang w:eastAsia="zh-CN"/>
              </w:rPr>
              <w:t>浓度变化范围49-340</w:t>
            </w:r>
            <w:r>
              <w:rPr>
                <w:rFonts w:hint="eastAsia"/>
                <w:color w:val="auto"/>
                <w:highlight w:val="none"/>
              </w:rPr>
              <w:t>μ</w:t>
            </w:r>
            <w:r>
              <w:rPr>
                <w:rFonts w:hint="eastAsia"/>
                <w:color w:val="auto"/>
                <w:highlight w:val="none"/>
                <w:lang w:eastAsia="zh-CN"/>
              </w:rPr>
              <w:t>g/m</w:t>
            </w:r>
            <w:r>
              <w:rPr>
                <w:color w:val="auto"/>
                <w:highlight w:val="none"/>
                <w:vertAlign w:val="superscript"/>
                <w:lang w:eastAsia="zh-CN"/>
              </w:rPr>
              <w:t>3</w:t>
            </w:r>
            <w:r>
              <w:rPr>
                <w:rFonts w:hint="eastAsia"/>
                <w:color w:val="auto"/>
                <w:highlight w:val="none"/>
                <w:lang w:eastAsia="zh-CN"/>
              </w:rPr>
              <w:t>，均值为180</w:t>
            </w:r>
            <w:r>
              <w:rPr>
                <w:rFonts w:hint="eastAsia"/>
                <w:color w:val="auto"/>
                <w:highlight w:val="none"/>
              </w:rPr>
              <w:t>μ</w:t>
            </w:r>
            <w:r>
              <w:rPr>
                <w:rFonts w:hint="eastAsia"/>
                <w:color w:val="auto"/>
                <w:highlight w:val="none"/>
                <w:lang w:eastAsia="zh-CN"/>
              </w:rPr>
              <w:t>g/m³</w:t>
            </w:r>
          </w:p>
        </w:tc>
        <w:tc>
          <w:tcPr>
            <w:tcW w:w="708" w:type="dxa"/>
            <w:noWrap w:val="0"/>
            <w:vAlign w:val="center"/>
          </w:tcPr>
          <w:p>
            <w:pPr>
              <w:pStyle w:val="22"/>
              <w:bidi w:val="0"/>
              <w:rPr>
                <w:color w:val="auto"/>
                <w:highlight w:val="none"/>
              </w:rPr>
            </w:pPr>
            <w:r>
              <w:rPr>
                <w:rFonts w:hint="eastAsia"/>
                <w:color w:val="auto"/>
                <w:highlight w:val="none"/>
              </w:rPr>
              <w:t>&lt;80</w:t>
            </w:r>
          </w:p>
        </w:tc>
        <w:tc>
          <w:tcPr>
            <w:tcW w:w="661" w:type="dxa"/>
            <w:noWrap w:val="0"/>
            <w:vAlign w:val="center"/>
          </w:tcPr>
          <w:p>
            <w:pPr>
              <w:pStyle w:val="22"/>
              <w:bidi w:val="0"/>
              <w:rPr>
                <w:color w:val="auto"/>
                <w:highlight w:val="none"/>
              </w:rPr>
            </w:pPr>
            <w:r>
              <w:rPr>
                <w:rFonts w:hint="eastAsia"/>
                <w:color w:val="auto"/>
                <w:highlight w:val="none"/>
              </w:rPr>
              <w:t>200</w:t>
            </w:r>
          </w:p>
        </w:tc>
        <w:tc>
          <w:tcPr>
            <w:tcW w:w="775" w:type="dxa"/>
            <w:noWrap w:val="0"/>
            <w:vAlign w:val="center"/>
          </w:tcPr>
          <w:p>
            <w:pPr>
              <w:pStyle w:val="22"/>
              <w:bidi w:val="0"/>
              <w:rPr>
                <w:color w:val="auto"/>
                <w:highlight w:val="none"/>
              </w:rPr>
            </w:pPr>
            <w:r>
              <w:rPr>
                <w:rFonts w:hint="eastAsia"/>
                <w:color w:val="auto"/>
                <w:highlight w:val="none"/>
              </w:rPr>
              <w:t>240</w:t>
            </w:r>
          </w:p>
        </w:tc>
        <w:tc>
          <w:tcPr>
            <w:tcW w:w="886" w:type="dxa"/>
            <w:noWrap w:val="0"/>
            <w:vAlign w:val="center"/>
          </w:tcPr>
          <w:p>
            <w:pPr>
              <w:pStyle w:val="22"/>
              <w:bidi w:val="0"/>
              <w:rPr>
                <w:color w:val="auto"/>
                <w:highlight w:val="none"/>
              </w:rPr>
            </w:pPr>
            <w:r>
              <w:rPr>
                <w:rFonts w:hint="eastAsia"/>
                <w:color w:val="auto"/>
                <w:highlight w:val="none"/>
              </w:rPr>
              <w:t>280</w:t>
            </w:r>
          </w:p>
        </w:tc>
        <w:tc>
          <w:tcPr>
            <w:tcW w:w="730" w:type="dxa"/>
            <w:noWrap w:val="0"/>
            <w:vAlign w:val="center"/>
          </w:tcPr>
          <w:p>
            <w:pPr>
              <w:pStyle w:val="22"/>
              <w:bidi w:val="0"/>
              <w:rPr>
                <w:color w:val="auto"/>
                <w:highlight w:val="none"/>
              </w:rPr>
            </w:pPr>
            <w:r>
              <w:rPr>
                <w:rFonts w:hint="eastAsia"/>
                <w:color w:val="auto"/>
                <w:highlight w:val="none"/>
              </w:rPr>
              <w:t>320</w:t>
            </w:r>
          </w:p>
        </w:tc>
        <w:tc>
          <w:tcPr>
            <w:tcW w:w="770"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80</w:t>
            </w:r>
          </w:p>
        </w:tc>
      </w:tr>
    </w:tbl>
    <w:p>
      <w:pPr>
        <w:bidi w:val="0"/>
        <w:rPr>
          <w:rFonts w:hint="eastAsia"/>
          <w:color w:val="auto"/>
          <w:highlight w:val="none"/>
          <w:lang w:eastAsia="zh-CN"/>
        </w:rPr>
      </w:pPr>
      <w:r>
        <w:rPr>
          <w:rFonts w:hint="eastAsia"/>
          <w:color w:val="auto"/>
          <w:highlight w:val="none"/>
          <w:lang w:eastAsia="zh-CN"/>
        </w:rPr>
        <w:t>在确定各因子分值后，根据模式计算得矿区空气环境承载指数为</w:t>
      </w:r>
      <w:r>
        <w:rPr>
          <w:rFonts w:hint="eastAsia"/>
          <w:color w:val="auto"/>
          <w:highlight w:val="none"/>
          <w:lang w:val="en-US" w:eastAsia="zh-CN"/>
        </w:rPr>
        <w:t>93.3</w:t>
      </w:r>
      <w:r>
        <w:rPr>
          <w:rFonts w:hint="eastAsia"/>
          <w:color w:val="auto"/>
          <w:highlight w:val="none"/>
          <w:lang w:eastAsia="zh-CN"/>
        </w:rPr>
        <w:t>，</w:t>
      </w:r>
      <w:r>
        <w:rPr>
          <w:rFonts w:hint="eastAsia"/>
          <w:color w:val="auto"/>
          <w:highlight w:val="none"/>
          <w:u w:val="single"/>
          <w:lang w:eastAsia="zh-CN"/>
        </w:rPr>
        <w:t>属高承载力水平</w:t>
      </w:r>
      <w:r>
        <w:rPr>
          <w:rFonts w:hint="eastAsia"/>
          <w:color w:val="auto"/>
          <w:highlight w:val="none"/>
          <w:lang w:eastAsia="zh-CN"/>
        </w:rPr>
        <w:t>。</w:t>
      </w:r>
    </w:p>
    <w:p>
      <w:pPr>
        <w:pStyle w:val="7"/>
        <w:bidi w:val="0"/>
        <w:rPr>
          <w:rFonts w:hint="default"/>
          <w:color w:val="auto"/>
          <w:highlight w:val="none"/>
          <w:lang w:val="en-US" w:eastAsia="zh-CN"/>
        </w:rPr>
      </w:pPr>
      <w:r>
        <w:rPr>
          <w:rFonts w:hint="eastAsia"/>
          <w:color w:val="auto"/>
          <w:highlight w:val="none"/>
          <w:lang w:val="en-US" w:eastAsia="zh-CN"/>
        </w:rPr>
        <w:t>6.3.2.5 水环境承载力分析</w:t>
      </w:r>
    </w:p>
    <w:p>
      <w:pPr>
        <w:bidi w:val="0"/>
        <w:rPr>
          <w:color w:val="auto"/>
          <w:highlight w:val="none"/>
          <w:lang w:eastAsia="zh-CN"/>
        </w:rPr>
      </w:pPr>
      <w:r>
        <w:rPr>
          <w:rFonts w:hint="eastAsia"/>
          <w:color w:val="auto"/>
          <w:highlight w:val="none"/>
          <w:lang w:eastAsia="zh-CN"/>
        </w:rPr>
        <w:t xml:space="preserve">煤矿区水污染的主要污染物为悬浮物、有机物、油类等。悬浮物是矿山废水中最主要的污染物，其直接排入河道将会导致河道淤塞，流入农田将降低土壤肥力导致农作物减产；耗氧有机物及毒性有机物进入水体后，水中微生物大量繁殖，使溶解氧含量降低，影响水中鱼类及其他水生植物的正常生长、良性繁殖乃至死亡，水体也会丧失自净能力而变得黑臭；油类污染物在水面形成油膜，阻碍大气中的氧进入水体，使水生生物因缺氧死亡。另外，矿山废水pH值一般在7-8之间，如果煤层为高硫煤层则表现为弱酸性，酸性废水污染更加严重，也是煤矿水污染的重要原因。基于以上原因，选取pH值、BOD（生化需氧量）、COD(化学需氧量)作为评价指标。 </w:t>
      </w:r>
    </w:p>
    <w:p>
      <w:pPr>
        <w:bidi w:val="0"/>
        <w:rPr>
          <w:color w:val="auto"/>
          <w:highlight w:val="none"/>
          <w:lang w:eastAsia="zh-CN"/>
        </w:rPr>
      </w:pPr>
      <w:r>
        <w:rPr>
          <w:rFonts w:hint="eastAsia"/>
          <w:color w:val="auto"/>
          <w:highlight w:val="none"/>
          <w:lang w:eastAsia="zh-CN"/>
        </w:rPr>
        <w:t>因此，水环境承载指数可表达为：</w:t>
      </w:r>
    </w:p>
    <w:p>
      <w:pPr>
        <w:jc w:val="center"/>
        <w:rPr>
          <w:color w:val="auto"/>
          <w:highlight w:val="none"/>
        </w:rPr>
      </w:pPr>
      <w:r>
        <w:rPr>
          <w:rFonts w:hint="eastAsia"/>
          <w:color w:val="auto"/>
          <w:highlight w:val="none"/>
        </w:rPr>
        <w:object>
          <v:shape id="_x0000_i1041" o:spt="75" type="#_x0000_t75" style="height:33.95pt;width:113.45pt;" o:ole="t" filled="f" o:preferrelative="t" stroked="f" coordsize="21600,21600">
            <v:path/>
            <v:fill on="f" focussize="0,0"/>
            <v:stroke on="f" joinstyle="miter"/>
            <v:imagedata r:id="rId180" o:title=""/>
            <o:lock v:ext="edit" aspectratio="t"/>
            <w10:wrap type="none"/>
            <w10:anchorlock/>
          </v:shape>
          <o:OLEObject Type="Embed" ProgID="Equation.3" ShapeID="_x0000_i1041" DrawAspect="Content" ObjectID="_1468075741" r:id="rId179">
            <o:LockedField>false</o:LockedField>
          </o:OLEObject>
        </w:object>
      </w:r>
    </w:p>
    <w:p>
      <w:pPr>
        <w:bidi w:val="0"/>
        <w:rPr>
          <w:rFonts w:hint="eastAsia"/>
          <w:color w:val="auto"/>
          <w:highlight w:val="none"/>
          <w:lang w:eastAsia="zh-CN"/>
        </w:rPr>
      </w:pPr>
      <w:r>
        <w:rPr>
          <w:rFonts w:hint="eastAsia"/>
          <w:color w:val="auto"/>
          <w:highlight w:val="none"/>
          <w:lang w:eastAsia="zh-CN"/>
        </w:rPr>
        <w:t>式中：</w:t>
      </w:r>
      <w:r>
        <w:rPr>
          <w:rFonts w:hint="eastAsia" w:ascii="Times New Roman" w:hAnsi="Times New Roman" w:cs="Times New Roman"/>
          <w:color w:val="auto"/>
          <w:szCs w:val="24"/>
          <w:highlight w:val="none"/>
          <w:lang w:eastAsia="zh-CN"/>
        </w:rPr>
        <w:object>
          <v:shape id="_x0000_i1042" o:spt="75" type="#_x0000_t75" style="height:15.6pt;width:33.95pt;" o:ole="t" filled="f" o:preferrelative="t" stroked="f" coordsize="21600,21600">
            <v:path/>
            <v:fill on="f" focussize="0,0"/>
            <v:stroke on="f" joinstyle="miter"/>
            <v:imagedata r:id="rId182" o:title=""/>
            <o:lock v:ext="edit" aspectratio="t"/>
            <w10:wrap type="none"/>
            <w10:anchorlock/>
          </v:shape>
          <o:OLEObject Type="Embed" ProgID="Equation.3" ShapeID="_x0000_i1042" DrawAspect="Content" ObjectID="_1468075742" r:id="rId181">
            <o:LockedField>false</o:LockedField>
          </o:OLEObject>
        </w:object>
      </w:r>
      <w:r>
        <w:rPr>
          <w:rFonts w:hint="eastAsia"/>
          <w:color w:val="auto"/>
          <w:highlight w:val="none"/>
          <w:lang w:eastAsia="zh-CN"/>
        </w:rPr>
        <w:t>——水环境承载指数；</w:t>
      </w:r>
    </w:p>
    <w:p>
      <w:pPr>
        <w:bidi w:val="0"/>
        <w:rPr>
          <w:color w:val="auto"/>
          <w:highlight w:val="none"/>
          <w:lang w:eastAsia="zh-CN"/>
        </w:rPr>
      </w:pPr>
      <w:r>
        <w:rPr>
          <w:rFonts w:hint="eastAsia" w:ascii="Times New Roman" w:hAnsi="Times New Roman" w:cs="Times New Roman"/>
          <w:color w:val="auto"/>
          <w:szCs w:val="24"/>
          <w:highlight w:val="none"/>
          <w:lang w:eastAsia="zh-CN"/>
        </w:rPr>
        <w:object>
          <v:shape id="_x0000_i1043" o:spt="75" type="#_x0000_t75" style="height:14.95pt;width:21.05pt;" o:ole="t" filled="f" o:preferrelative="t" stroked="f" coordsize="21600,21600">
            <v:path/>
            <v:fill on="f" focussize="0,0"/>
            <v:stroke on="f" joinstyle="miter"/>
            <v:imagedata r:id="rId184" o:title=""/>
            <o:lock v:ext="edit" aspectratio="t"/>
            <w10:wrap type="none"/>
            <w10:anchorlock/>
          </v:shape>
          <o:OLEObject Type="Embed" ProgID="Equation.3" ShapeID="_x0000_i1043" DrawAspect="Content" ObjectID="_1468075743" r:id="rId183">
            <o:LockedField>false</o:LockedField>
          </o:OLEObject>
        </w:object>
      </w:r>
      <w:r>
        <w:rPr>
          <w:rFonts w:hint="eastAsia"/>
          <w:color w:val="auto"/>
          <w:highlight w:val="none"/>
          <w:lang w:eastAsia="zh-CN"/>
        </w:rPr>
        <w:t>——水环境评价指标分值；</w:t>
      </w:r>
    </w:p>
    <w:p>
      <w:pPr>
        <w:bidi w:val="0"/>
        <w:rPr>
          <w:color w:val="auto"/>
          <w:highlight w:val="none"/>
          <w:lang w:eastAsia="zh-CN"/>
        </w:rPr>
      </w:pPr>
      <w:r>
        <w:rPr>
          <w:rFonts w:hint="eastAsia"/>
          <w:color w:val="auto"/>
          <w:highlight w:val="none"/>
        </w:rPr>
        <w:object>
          <v:shape id="_x0000_i1044" o:spt="75" type="#_x0000_t75" style="height:15.6pt;width:29.2pt;" o:ole="t" filled="f" o:preferrelative="t" stroked="f" coordsize="21600,21600">
            <v:path/>
            <v:fill on="f" focussize="0,0"/>
            <v:stroke on="f" joinstyle="miter"/>
            <v:imagedata r:id="rId186" o:title=""/>
            <o:lock v:ext="edit" aspectratio="t"/>
            <w10:wrap type="none"/>
            <w10:anchorlock/>
          </v:shape>
          <o:OLEObject Type="Embed" ProgID="Equation.3" ShapeID="_x0000_i1044" DrawAspect="Content" ObjectID="_1468075744" r:id="rId185">
            <o:LockedField>false</o:LockedField>
          </o:OLEObject>
        </w:object>
      </w:r>
      <w:r>
        <w:rPr>
          <w:rFonts w:hint="eastAsia"/>
          <w:color w:val="auto"/>
          <w:highlight w:val="none"/>
          <w:lang w:eastAsia="zh-CN"/>
        </w:rPr>
        <w:t>——水环境评价指标之权重；</w:t>
      </w:r>
    </w:p>
    <w:p>
      <w:pPr>
        <w:bidi w:val="0"/>
        <w:rPr>
          <w:rFonts w:ascii="Times New Roman" w:hAnsi="Times New Roman" w:cs="Times New Roman"/>
          <w:color w:val="auto"/>
          <w:szCs w:val="24"/>
          <w:highlight w:val="none"/>
          <w:lang w:eastAsia="zh-CN"/>
        </w:rPr>
      </w:pPr>
      <w:r>
        <w:rPr>
          <w:rFonts w:hint="eastAsia"/>
          <w:color w:val="auto"/>
          <w:highlight w:val="none"/>
          <w:lang w:eastAsia="zh-CN"/>
        </w:rPr>
        <w:t>指标的实测值通过各煤矿例行监测的监测数据获得，水环境标准值根据地方要求按照《地表水环境质量标准》(GB3838-2002)Ⅳ类标准（Ⅳ类标准主要适用于一般工业用水区及人体非直接接触的娱乐用水区）。各指标统计值及分值如表</w:t>
      </w:r>
      <w:r>
        <w:rPr>
          <w:rFonts w:hint="eastAsia"/>
          <w:color w:val="auto"/>
          <w:highlight w:val="none"/>
          <w:lang w:val="en-US" w:eastAsia="zh-CN"/>
        </w:rPr>
        <w:t>6.3-9</w:t>
      </w:r>
      <w:r>
        <w:rPr>
          <w:rFonts w:hint="eastAsia"/>
          <w:color w:val="auto"/>
          <w:highlight w:val="none"/>
          <w:lang w:eastAsia="zh-CN"/>
        </w:rPr>
        <w:t>所示。</w:t>
      </w:r>
    </w:p>
    <w:p>
      <w:pPr>
        <w:pStyle w:val="22"/>
        <w:bidi w:val="0"/>
        <w:rPr>
          <w:color w:val="auto"/>
          <w:highlight w:val="none"/>
          <w:lang w:eastAsia="zh-CN"/>
        </w:rPr>
      </w:pPr>
      <w:r>
        <w:rPr>
          <w:rFonts w:hint="eastAsia"/>
          <w:color w:val="auto"/>
          <w:highlight w:val="none"/>
          <w:lang w:eastAsia="zh-CN"/>
        </w:rPr>
        <w:t>表</w:t>
      </w:r>
      <w:r>
        <w:rPr>
          <w:rFonts w:hint="eastAsia"/>
          <w:color w:val="auto"/>
          <w:highlight w:val="none"/>
          <w:lang w:val="en-US" w:eastAsia="zh-CN"/>
        </w:rPr>
        <w:t>6.3-9</w:t>
      </w:r>
      <w:r>
        <w:rPr>
          <w:rFonts w:hint="eastAsia"/>
          <w:color w:val="auto"/>
          <w:highlight w:val="none"/>
          <w:lang w:eastAsia="zh-CN"/>
        </w:rPr>
        <w:t xml:space="preserve">   评价区水环境承载指标的统计值或评分</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926"/>
        <w:gridCol w:w="2309"/>
        <w:gridCol w:w="821"/>
        <w:gridCol w:w="1189"/>
        <w:gridCol w:w="1189"/>
        <w:gridCol w:w="1189"/>
        <w:gridCol w:w="1191"/>
        <w:gridCol w:w="8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811" w:type="dxa"/>
            <w:vMerge w:val="restart"/>
            <w:noWrap w:val="0"/>
            <w:vAlign w:val="center"/>
          </w:tcPr>
          <w:p>
            <w:pPr>
              <w:pStyle w:val="22"/>
              <w:bidi w:val="0"/>
              <w:rPr>
                <w:color w:val="auto"/>
                <w:highlight w:val="none"/>
              </w:rPr>
            </w:pPr>
            <w:r>
              <w:rPr>
                <w:rFonts w:hint="eastAsia"/>
                <w:color w:val="auto"/>
                <w:highlight w:val="none"/>
              </w:rPr>
              <w:t>指标</w:t>
            </w:r>
          </w:p>
        </w:tc>
        <w:tc>
          <w:tcPr>
            <w:tcW w:w="2022" w:type="dxa"/>
            <w:vMerge w:val="restart"/>
            <w:noWrap w:val="0"/>
            <w:vAlign w:val="center"/>
          </w:tcPr>
          <w:p>
            <w:pPr>
              <w:pStyle w:val="22"/>
              <w:bidi w:val="0"/>
              <w:rPr>
                <w:color w:val="auto"/>
                <w:highlight w:val="none"/>
              </w:rPr>
            </w:pPr>
            <w:r>
              <w:rPr>
                <w:rFonts w:hint="eastAsia"/>
                <w:color w:val="auto"/>
                <w:highlight w:val="none"/>
              </w:rPr>
              <w:t>统计值</w:t>
            </w:r>
          </w:p>
        </w:tc>
        <w:tc>
          <w:tcPr>
            <w:tcW w:w="4885" w:type="dxa"/>
            <w:gridSpan w:val="5"/>
            <w:noWrap w:val="0"/>
            <w:vAlign w:val="top"/>
          </w:tcPr>
          <w:p>
            <w:pPr>
              <w:pStyle w:val="22"/>
              <w:bidi w:val="0"/>
              <w:rPr>
                <w:color w:val="auto"/>
                <w:highlight w:val="none"/>
              </w:rPr>
            </w:pPr>
            <w:r>
              <w:rPr>
                <w:rFonts w:hint="eastAsia"/>
                <w:color w:val="auto"/>
                <w:highlight w:val="none"/>
              </w:rPr>
              <w:t>评估指标分值</w:t>
            </w:r>
          </w:p>
        </w:tc>
        <w:tc>
          <w:tcPr>
            <w:tcW w:w="711" w:type="dxa"/>
            <w:vMerge w:val="restart"/>
            <w:noWrap w:val="0"/>
            <w:vAlign w:val="center"/>
          </w:tcPr>
          <w:p>
            <w:pPr>
              <w:pStyle w:val="22"/>
              <w:bidi w:val="0"/>
              <w:rPr>
                <w:color w:val="auto"/>
                <w:highlight w:val="none"/>
              </w:rPr>
            </w:pPr>
            <w:r>
              <w:rPr>
                <w:rFonts w:hint="eastAsia"/>
                <w:color w:val="auto"/>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811" w:type="dxa"/>
            <w:vMerge w:val="continue"/>
            <w:noWrap w:val="0"/>
            <w:vAlign w:val="center"/>
          </w:tcPr>
          <w:p>
            <w:pPr>
              <w:pStyle w:val="22"/>
              <w:bidi w:val="0"/>
              <w:rPr>
                <w:color w:val="auto"/>
                <w:highlight w:val="none"/>
              </w:rPr>
            </w:pPr>
          </w:p>
        </w:tc>
        <w:tc>
          <w:tcPr>
            <w:tcW w:w="2022" w:type="dxa"/>
            <w:vMerge w:val="continue"/>
            <w:noWrap w:val="0"/>
            <w:vAlign w:val="center"/>
          </w:tcPr>
          <w:p>
            <w:pPr>
              <w:pStyle w:val="22"/>
              <w:bidi w:val="0"/>
              <w:rPr>
                <w:color w:val="auto"/>
                <w:highlight w:val="none"/>
              </w:rPr>
            </w:pPr>
          </w:p>
        </w:tc>
        <w:tc>
          <w:tcPr>
            <w:tcW w:w="719" w:type="dxa"/>
            <w:noWrap w:val="0"/>
            <w:vAlign w:val="center"/>
          </w:tcPr>
          <w:p>
            <w:pPr>
              <w:pStyle w:val="22"/>
              <w:bidi w:val="0"/>
              <w:rPr>
                <w:color w:val="auto"/>
                <w:highlight w:val="none"/>
              </w:rPr>
            </w:pPr>
            <w:r>
              <w:rPr>
                <w:rFonts w:hint="eastAsia"/>
                <w:color w:val="auto"/>
                <w:highlight w:val="none"/>
              </w:rPr>
              <w:t>100</w:t>
            </w:r>
          </w:p>
        </w:tc>
        <w:tc>
          <w:tcPr>
            <w:tcW w:w="1041" w:type="dxa"/>
            <w:noWrap w:val="0"/>
            <w:vAlign w:val="center"/>
          </w:tcPr>
          <w:p>
            <w:pPr>
              <w:pStyle w:val="22"/>
              <w:bidi w:val="0"/>
              <w:rPr>
                <w:color w:val="auto"/>
                <w:highlight w:val="none"/>
              </w:rPr>
            </w:pPr>
            <w:r>
              <w:rPr>
                <w:rFonts w:hint="eastAsia"/>
                <w:color w:val="auto"/>
                <w:highlight w:val="none"/>
              </w:rPr>
              <w:t>80</w:t>
            </w:r>
          </w:p>
        </w:tc>
        <w:tc>
          <w:tcPr>
            <w:tcW w:w="1041" w:type="dxa"/>
            <w:noWrap w:val="0"/>
            <w:vAlign w:val="center"/>
          </w:tcPr>
          <w:p>
            <w:pPr>
              <w:pStyle w:val="22"/>
              <w:bidi w:val="0"/>
              <w:rPr>
                <w:color w:val="auto"/>
                <w:highlight w:val="none"/>
              </w:rPr>
            </w:pPr>
            <w:r>
              <w:rPr>
                <w:rFonts w:hint="eastAsia"/>
                <w:color w:val="auto"/>
                <w:highlight w:val="none"/>
              </w:rPr>
              <w:t>60</w:t>
            </w:r>
          </w:p>
        </w:tc>
        <w:tc>
          <w:tcPr>
            <w:tcW w:w="1041" w:type="dxa"/>
            <w:noWrap w:val="0"/>
            <w:vAlign w:val="center"/>
          </w:tcPr>
          <w:p>
            <w:pPr>
              <w:pStyle w:val="22"/>
              <w:bidi w:val="0"/>
              <w:rPr>
                <w:color w:val="auto"/>
                <w:highlight w:val="none"/>
              </w:rPr>
            </w:pPr>
            <w:r>
              <w:rPr>
                <w:rFonts w:hint="eastAsia"/>
                <w:color w:val="auto"/>
                <w:highlight w:val="none"/>
              </w:rPr>
              <w:t>40</w:t>
            </w:r>
          </w:p>
        </w:tc>
        <w:tc>
          <w:tcPr>
            <w:tcW w:w="1043" w:type="dxa"/>
            <w:noWrap w:val="0"/>
            <w:vAlign w:val="center"/>
          </w:tcPr>
          <w:p>
            <w:pPr>
              <w:pStyle w:val="22"/>
              <w:bidi w:val="0"/>
              <w:rPr>
                <w:color w:val="auto"/>
                <w:highlight w:val="none"/>
              </w:rPr>
            </w:pPr>
            <w:r>
              <w:rPr>
                <w:rFonts w:hint="eastAsia"/>
                <w:color w:val="auto"/>
                <w:highlight w:val="none"/>
              </w:rPr>
              <w:t>20</w:t>
            </w:r>
          </w:p>
        </w:tc>
        <w:tc>
          <w:tcPr>
            <w:tcW w:w="711" w:type="dxa"/>
            <w:vMerge w:val="continue"/>
            <w:noWrap w:val="0"/>
            <w:vAlign w:val="center"/>
          </w:tcPr>
          <w:p>
            <w:pPr>
              <w:pStyle w:val="22"/>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811" w:type="dxa"/>
            <w:noWrap w:val="0"/>
            <w:vAlign w:val="center"/>
          </w:tcPr>
          <w:p>
            <w:pPr>
              <w:pStyle w:val="22"/>
              <w:bidi w:val="0"/>
              <w:rPr>
                <w:color w:val="auto"/>
                <w:highlight w:val="none"/>
              </w:rPr>
            </w:pPr>
            <w:r>
              <w:rPr>
                <w:rFonts w:hint="eastAsia"/>
                <w:color w:val="auto"/>
                <w:highlight w:val="none"/>
              </w:rPr>
              <w:t>COD</w:t>
            </w:r>
          </w:p>
          <w:p>
            <w:pPr>
              <w:pStyle w:val="22"/>
              <w:bidi w:val="0"/>
              <w:rPr>
                <w:color w:val="auto"/>
                <w:highlight w:val="none"/>
              </w:rPr>
            </w:pPr>
            <w:r>
              <w:rPr>
                <w:rFonts w:hint="eastAsia"/>
                <w:color w:val="auto"/>
                <w:highlight w:val="none"/>
              </w:rPr>
              <w:t>(mg/L)</w:t>
            </w:r>
          </w:p>
        </w:tc>
        <w:tc>
          <w:tcPr>
            <w:tcW w:w="2022" w:type="dxa"/>
            <w:noWrap w:val="0"/>
            <w:vAlign w:val="center"/>
          </w:tcPr>
          <w:p>
            <w:pPr>
              <w:pStyle w:val="22"/>
              <w:bidi w:val="0"/>
              <w:rPr>
                <w:color w:val="auto"/>
                <w:highlight w:val="none"/>
                <w:lang w:eastAsia="zh-CN"/>
              </w:rPr>
            </w:pPr>
            <w:r>
              <w:rPr>
                <w:rFonts w:hint="eastAsia"/>
                <w:color w:val="auto"/>
                <w:highlight w:val="none"/>
                <w:lang w:eastAsia="zh-CN"/>
              </w:rPr>
              <w:t>浓度变化范围10-30mg/L，平均值为11mg/L</w:t>
            </w:r>
          </w:p>
        </w:tc>
        <w:tc>
          <w:tcPr>
            <w:tcW w:w="719" w:type="dxa"/>
            <w:noWrap w:val="0"/>
            <w:vAlign w:val="center"/>
          </w:tcPr>
          <w:p>
            <w:pPr>
              <w:pStyle w:val="22"/>
              <w:bidi w:val="0"/>
              <w:rPr>
                <w:color w:val="auto"/>
                <w:highlight w:val="none"/>
              </w:rPr>
            </w:pPr>
            <w:r>
              <w:rPr>
                <w:rFonts w:hint="eastAsia"/>
                <w:color w:val="auto"/>
                <w:highlight w:val="none"/>
              </w:rPr>
              <w:t>15</w:t>
            </w:r>
          </w:p>
        </w:tc>
        <w:tc>
          <w:tcPr>
            <w:tcW w:w="1041" w:type="dxa"/>
            <w:noWrap w:val="0"/>
            <w:vAlign w:val="center"/>
          </w:tcPr>
          <w:p>
            <w:pPr>
              <w:pStyle w:val="22"/>
              <w:bidi w:val="0"/>
              <w:rPr>
                <w:color w:val="auto"/>
                <w:highlight w:val="none"/>
              </w:rPr>
            </w:pPr>
            <w:r>
              <w:rPr>
                <w:rFonts w:hint="eastAsia"/>
                <w:color w:val="auto"/>
                <w:highlight w:val="none"/>
              </w:rPr>
              <w:t>20</w:t>
            </w:r>
          </w:p>
        </w:tc>
        <w:tc>
          <w:tcPr>
            <w:tcW w:w="1041" w:type="dxa"/>
            <w:noWrap w:val="0"/>
            <w:vAlign w:val="center"/>
          </w:tcPr>
          <w:p>
            <w:pPr>
              <w:pStyle w:val="22"/>
              <w:bidi w:val="0"/>
              <w:rPr>
                <w:color w:val="auto"/>
                <w:highlight w:val="none"/>
              </w:rPr>
            </w:pPr>
            <w:r>
              <w:rPr>
                <w:rFonts w:hint="eastAsia"/>
                <w:color w:val="auto"/>
                <w:highlight w:val="none"/>
              </w:rPr>
              <w:t>30</w:t>
            </w:r>
          </w:p>
        </w:tc>
        <w:tc>
          <w:tcPr>
            <w:tcW w:w="1041" w:type="dxa"/>
            <w:noWrap w:val="0"/>
            <w:vAlign w:val="center"/>
          </w:tcPr>
          <w:p>
            <w:pPr>
              <w:pStyle w:val="22"/>
              <w:bidi w:val="0"/>
              <w:rPr>
                <w:color w:val="auto"/>
                <w:highlight w:val="none"/>
              </w:rPr>
            </w:pPr>
            <w:r>
              <w:rPr>
                <w:rFonts w:hint="eastAsia"/>
                <w:color w:val="auto"/>
                <w:highlight w:val="none"/>
              </w:rPr>
              <w:t>40</w:t>
            </w:r>
          </w:p>
        </w:tc>
        <w:tc>
          <w:tcPr>
            <w:tcW w:w="1043" w:type="dxa"/>
            <w:noWrap w:val="0"/>
            <w:vAlign w:val="center"/>
          </w:tcPr>
          <w:p>
            <w:pPr>
              <w:pStyle w:val="22"/>
              <w:bidi w:val="0"/>
              <w:rPr>
                <w:color w:val="auto"/>
                <w:highlight w:val="none"/>
              </w:rPr>
            </w:pPr>
            <w:r>
              <w:rPr>
                <w:rFonts w:hint="eastAsia"/>
                <w:color w:val="auto"/>
                <w:highlight w:val="none"/>
              </w:rPr>
              <w:t>50</w:t>
            </w:r>
          </w:p>
        </w:tc>
        <w:tc>
          <w:tcPr>
            <w:tcW w:w="711" w:type="dxa"/>
            <w:noWrap w:val="0"/>
            <w:vAlign w:val="center"/>
          </w:tcPr>
          <w:p>
            <w:pPr>
              <w:pStyle w:val="22"/>
              <w:bidi w:val="0"/>
              <w:rPr>
                <w:color w:val="auto"/>
                <w:highlight w:val="none"/>
              </w:rPr>
            </w:pPr>
            <w:r>
              <w:rPr>
                <w:rFonts w:hint="eastAsia"/>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811" w:type="dxa"/>
            <w:noWrap w:val="0"/>
            <w:vAlign w:val="center"/>
          </w:tcPr>
          <w:p>
            <w:pPr>
              <w:pStyle w:val="22"/>
              <w:bidi w:val="0"/>
              <w:rPr>
                <w:color w:val="auto"/>
                <w:highlight w:val="none"/>
              </w:rPr>
            </w:pPr>
            <w:r>
              <w:rPr>
                <w:rFonts w:hint="eastAsia"/>
                <w:color w:val="auto"/>
                <w:highlight w:val="none"/>
              </w:rPr>
              <w:t>BOD</w:t>
            </w:r>
            <w:r>
              <w:rPr>
                <w:rFonts w:hint="eastAsia"/>
                <w:color w:val="auto"/>
                <w:highlight w:val="none"/>
                <w:vertAlign w:val="subscript"/>
              </w:rPr>
              <w:t>5</w:t>
            </w:r>
          </w:p>
          <w:p>
            <w:pPr>
              <w:pStyle w:val="22"/>
              <w:bidi w:val="0"/>
              <w:rPr>
                <w:color w:val="auto"/>
                <w:highlight w:val="none"/>
              </w:rPr>
            </w:pPr>
            <w:r>
              <w:rPr>
                <w:rFonts w:hint="eastAsia"/>
                <w:color w:val="auto"/>
                <w:highlight w:val="none"/>
              </w:rPr>
              <w:t>(mg/L)</w:t>
            </w:r>
          </w:p>
        </w:tc>
        <w:tc>
          <w:tcPr>
            <w:tcW w:w="2022" w:type="dxa"/>
            <w:noWrap w:val="0"/>
            <w:vAlign w:val="center"/>
          </w:tcPr>
          <w:p>
            <w:pPr>
              <w:pStyle w:val="22"/>
              <w:bidi w:val="0"/>
              <w:rPr>
                <w:color w:val="auto"/>
                <w:highlight w:val="none"/>
                <w:lang w:eastAsia="zh-CN"/>
              </w:rPr>
            </w:pPr>
            <w:r>
              <w:rPr>
                <w:rFonts w:hint="eastAsia"/>
                <w:color w:val="auto"/>
                <w:highlight w:val="none"/>
                <w:lang w:eastAsia="zh-CN"/>
              </w:rPr>
              <w:t>浓度变化范围1.7-5mg/L，平均值为2.3</w:t>
            </w:r>
          </w:p>
        </w:tc>
        <w:tc>
          <w:tcPr>
            <w:tcW w:w="719" w:type="dxa"/>
            <w:noWrap w:val="0"/>
            <w:vAlign w:val="center"/>
          </w:tcPr>
          <w:p>
            <w:pPr>
              <w:pStyle w:val="22"/>
              <w:bidi w:val="0"/>
              <w:rPr>
                <w:color w:val="auto"/>
                <w:highlight w:val="none"/>
              </w:rPr>
            </w:pPr>
            <w:r>
              <w:rPr>
                <w:rFonts w:hint="eastAsia"/>
                <w:color w:val="auto"/>
                <w:highlight w:val="none"/>
              </w:rPr>
              <w:t>2</w:t>
            </w:r>
          </w:p>
        </w:tc>
        <w:tc>
          <w:tcPr>
            <w:tcW w:w="1041" w:type="dxa"/>
            <w:noWrap w:val="0"/>
            <w:vAlign w:val="center"/>
          </w:tcPr>
          <w:p>
            <w:pPr>
              <w:pStyle w:val="22"/>
              <w:bidi w:val="0"/>
              <w:rPr>
                <w:color w:val="auto"/>
                <w:highlight w:val="none"/>
              </w:rPr>
            </w:pPr>
            <w:r>
              <w:rPr>
                <w:rFonts w:hint="eastAsia"/>
                <w:color w:val="auto"/>
                <w:highlight w:val="none"/>
              </w:rPr>
              <w:t>3</w:t>
            </w:r>
          </w:p>
        </w:tc>
        <w:tc>
          <w:tcPr>
            <w:tcW w:w="1041" w:type="dxa"/>
            <w:noWrap w:val="0"/>
            <w:vAlign w:val="center"/>
          </w:tcPr>
          <w:p>
            <w:pPr>
              <w:pStyle w:val="22"/>
              <w:bidi w:val="0"/>
              <w:rPr>
                <w:color w:val="auto"/>
                <w:highlight w:val="none"/>
              </w:rPr>
            </w:pPr>
            <w:r>
              <w:rPr>
                <w:rFonts w:hint="eastAsia"/>
                <w:color w:val="auto"/>
                <w:highlight w:val="none"/>
              </w:rPr>
              <w:t>4</w:t>
            </w:r>
          </w:p>
        </w:tc>
        <w:tc>
          <w:tcPr>
            <w:tcW w:w="1041" w:type="dxa"/>
            <w:noWrap w:val="0"/>
            <w:vAlign w:val="center"/>
          </w:tcPr>
          <w:p>
            <w:pPr>
              <w:pStyle w:val="22"/>
              <w:bidi w:val="0"/>
              <w:rPr>
                <w:color w:val="auto"/>
                <w:highlight w:val="none"/>
              </w:rPr>
            </w:pPr>
            <w:r>
              <w:rPr>
                <w:rFonts w:hint="eastAsia"/>
                <w:color w:val="auto"/>
                <w:highlight w:val="none"/>
              </w:rPr>
              <w:t>6</w:t>
            </w:r>
          </w:p>
        </w:tc>
        <w:tc>
          <w:tcPr>
            <w:tcW w:w="1043" w:type="dxa"/>
            <w:noWrap w:val="0"/>
            <w:vAlign w:val="center"/>
          </w:tcPr>
          <w:p>
            <w:pPr>
              <w:pStyle w:val="22"/>
              <w:bidi w:val="0"/>
              <w:rPr>
                <w:color w:val="auto"/>
                <w:highlight w:val="none"/>
              </w:rPr>
            </w:pPr>
            <w:r>
              <w:rPr>
                <w:rFonts w:hint="eastAsia"/>
                <w:color w:val="auto"/>
                <w:highlight w:val="none"/>
              </w:rPr>
              <w:t>10</w:t>
            </w:r>
          </w:p>
        </w:tc>
        <w:tc>
          <w:tcPr>
            <w:tcW w:w="711" w:type="dxa"/>
            <w:noWrap w:val="0"/>
            <w:vAlign w:val="center"/>
          </w:tcPr>
          <w:p>
            <w:pPr>
              <w:pStyle w:val="22"/>
              <w:bidi w:val="0"/>
              <w:rPr>
                <w:rFonts w:hint="eastAsia" w:eastAsia="宋体"/>
                <w:color w:val="auto"/>
                <w:highlight w:val="none"/>
                <w:lang w:eastAsia="zh-CN"/>
              </w:rPr>
            </w:pPr>
            <w:r>
              <w:rPr>
                <w:rFonts w:hint="eastAsia"/>
                <w:color w:val="auto"/>
                <w:highlight w:val="none"/>
                <w:lang w:val="en-US" w:eastAsia="zh-CN"/>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811" w:type="dxa"/>
            <w:noWrap w:val="0"/>
            <w:vAlign w:val="center"/>
          </w:tcPr>
          <w:p>
            <w:pPr>
              <w:pStyle w:val="22"/>
              <w:bidi w:val="0"/>
              <w:rPr>
                <w:color w:val="auto"/>
                <w:highlight w:val="none"/>
              </w:rPr>
            </w:pPr>
            <w:r>
              <w:rPr>
                <w:rFonts w:hint="eastAsia"/>
                <w:color w:val="auto"/>
                <w:highlight w:val="none"/>
              </w:rPr>
              <w:t>pH</w:t>
            </w:r>
          </w:p>
        </w:tc>
        <w:tc>
          <w:tcPr>
            <w:tcW w:w="2022" w:type="dxa"/>
            <w:noWrap w:val="0"/>
            <w:vAlign w:val="center"/>
          </w:tcPr>
          <w:p>
            <w:pPr>
              <w:pStyle w:val="22"/>
              <w:bidi w:val="0"/>
              <w:rPr>
                <w:rFonts w:hint="default"/>
                <w:color w:val="auto"/>
                <w:highlight w:val="none"/>
                <w:lang w:val="en-US" w:eastAsia="zh-CN"/>
              </w:rPr>
            </w:pPr>
            <w:r>
              <w:rPr>
                <w:rFonts w:hint="eastAsia"/>
                <w:color w:val="auto"/>
                <w:highlight w:val="none"/>
                <w:lang w:eastAsia="zh-CN"/>
              </w:rPr>
              <w:t>浓度变化范围6-9，平均值为</w:t>
            </w:r>
            <w:r>
              <w:rPr>
                <w:rFonts w:hint="eastAsia"/>
                <w:color w:val="auto"/>
                <w:highlight w:val="none"/>
                <w:lang w:val="en-US" w:eastAsia="zh-CN"/>
              </w:rPr>
              <w:t>7.9</w:t>
            </w:r>
          </w:p>
        </w:tc>
        <w:tc>
          <w:tcPr>
            <w:tcW w:w="719" w:type="dxa"/>
            <w:noWrap w:val="0"/>
            <w:vAlign w:val="center"/>
          </w:tcPr>
          <w:p>
            <w:pPr>
              <w:pStyle w:val="22"/>
              <w:bidi w:val="0"/>
              <w:rPr>
                <w:color w:val="auto"/>
                <w:highlight w:val="none"/>
              </w:rPr>
            </w:pPr>
            <w:r>
              <w:rPr>
                <w:rFonts w:hint="eastAsia"/>
                <w:color w:val="auto"/>
                <w:highlight w:val="none"/>
              </w:rPr>
              <w:t>6-9</w:t>
            </w:r>
          </w:p>
        </w:tc>
        <w:tc>
          <w:tcPr>
            <w:tcW w:w="1041" w:type="dxa"/>
            <w:noWrap w:val="0"/>
            <w:vAlign w:val="center"/>
          </w:tcPr>
          <w:p>
            <w:pPr>
              <w:pStyle w:val="22"/>
              <w:bidi w:val="0"/>
              <w:rPr>
                <w:color w:val="auto"/>
                <w:highlight w:val="none"/>
              </w:rPr>
            </w:pPr>
            <w:r>
              <w:rPr>
                <w:rFonts w:hint="eastAsia"/>
                <w:color w:val="auto"/>
                <w:highlight w:val="none"/>
              </w:rPr>
              <w:t>超标率为10%</w:t>
            </w:r>
          </w:p>
        </w:tc>
        <w:tc>
          <w:tcPr>
            <w:tcW w:w="1041" w:type="dxa"/>
            <w:noWrap w:val="0"/>
            <w:vAlign w:val="center"/>
          </w:tcPr>
          <w:p>
            <w:pPr>
              <w:pStyle w:val="22"/>
              <w:bidi w:val="0"/>
              <w:rPr>
                <w:color w:val="auto"/>
                <w:highlight w:val="none"/>
              </w:rPr>
            </w:pPr>
            <w:r>
              <w:rPr>
                <w:rFonts w:hint="eastAsia"/>
                <w:color w:val="auto"/>
                <w:highlight w:val="none"/>
              </w:rPr>
              <w:t>超标率为30%</w:t>
            </w:r>
          </w:p>
        </w:tc>
        <w:tc>
          <w:tcPr>
            <w:tcW w:w="1041" w:type="dxa"/>
            <w:noWrap w:val="0"/>
            <w:vAlign w:val="center"/>
          </w:tcPr>
          <w:p>
            <w:pPr>
              <w:pStyle w:val="22"/>
              <w:bidi w:val="0"/>
              <w:rPr>
                <w:color w:val="auto"/>
                <w:highlight w:val="none"/>
              </w:rPr>
            </w:pPr>
            <w:r>
              <w:rPr>
                <w:rFonts w:hint="eastAsia"/>
                <w:color w:val="auto"/>
                <w:highlight w:val="none"/>
              </w:rPr>
              <w:t>超标率为50%</w:t>
            </w:r>
          </w:p>
        </w:tc>
        <w:tc>
          <w:tcPr>
            <w:tcW w:w="1043" w:type="dxa"/>
            <w:noWrap w:val="0"/>
            <w:vAlign w:val="center"/>
          </w:tcPr>
          <w:p>
            <w:pPr>
              <w:pStyle w:val="22"/>
              <w:bidi w:val="0"/>
              <w:rPr>
                <w:color w:val="auto"/>
                <w:highlight w:val="none"/>
              </w:rPr>
            </w:pPr>
            <w:r>
              <w:rPr>
                <w:rFonts w:hint="eastAsia"/>
                <w:color w:val="auto"/>
                <w:highlight w:val="none"/>
              </w:rPr>
              <w:t>超标率为70%</w:t>
            </w:r>
          </w:p>
        </w:tc>
        <w:tc>
          <w:tcPr>
            <w:tcW w:w="711" w:type="dxa"/>
            <w:noWrap w:val="0"/>
            <w:vAlign w:val="center"/>
          </w:tcPr>
          <w:p>
            <w:pPr>
              <w:pStyle w:val="22"/>
              <w:bidi w:val="0"/>
              <w:rPr>
                <w:color w:val="auto"/>
                <w:highlight w:val="none"/>
              </w:rPr>
            </w:pPr>
            <w:r>
              <w:rPr>
                <w:rFonts w:hint="eastAsia"/>
                <w:color w:val="auto"/>
                <w:highlight w:val="none"/>
              </w:rPr>
              <w:t>100</w:t>
            </w:r>
          </w:p>
        </w:tc>
      </w:tr>
    </w:tbl>
    <w:p>
      <w:pPr>
        <w:bidi w:val="0"/>
        <w:rPr>
          <w:color w:val="auto"/>
          <w:highlight w:val="none"/>
          <w:lang w:eastAsia="zh-CN"/>
        </w:rPr>
      </w:pPr>
      <w:r>
        <w:rPr>
          <w:rFonts w:hint="eastAsia"/>
          <w:color w:val="auto"/>
          <w:highlight w:val="none"/>
          <w:lang w:eastAsia="zh-CN"/>
        </w:rPr>
        <w:t>在确定各因子分值后，根据模式计算得矿区水环境承载指数为98.</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u w:val="single"/>
          <w:lang w:eastAsia="zh-CN"/>
        </w:rPr>
        <w:t>属高承载力水平</w:t>
      </w:r>
      <w:r>
        <w:rPr>
          <w:rFonts w:hint="eastAsia"/>
          <w:color w:val="auto"/>
          <w:highlight w:val="none"/>
          <w:lang w:eastAsia="zh-CN"/>
        </w:rPr>
        <w:t>。</w:t>
      </w:r>
    </w:p>
    <w:p>
      <w:pPr>
        <w:pStyle w:val="7"/>
        <w:bidi w:val="0"/>
        <w:rPr>
          <w:color w:val="auto"/>
          <w:highlight w:val="none"/>
          <w:lang w:eastAsia="zh-CN"/>
        </w:rPr>
      </w:pPr>
      <w:r>
        <w:rPr>
          <w:rFonts w:hint="eastAsia"/>
          <w:color w:val="auto"/>
          <w:highlight w:val="none"/>
          <w:lang w:val="en-US" w:eastAsia="zh-CN"/>
        </w:rPr>
        <w:t xml:space="preserve">6.3.2.6 </w:t>
      </w:r>
      <w:r>
        <w:rPr>
          <w:rFonts w:hint="eastAsia"/>
          <w:color w:val="auto"/>
          <w:highlight w:val="none"/>
          <w:lang w:eastAsia="zh-CN"/>
        </w:rPr>
        <w:t>土壤环境承载分析</w:t>
      </w:r>
    </w:p>
    <w:p>
      <w:pPr>
        <w:bidi w:val="0"/>
        <w:rPr>
          <w:color w:val="auto"/>
          <w:highlight w:val="none"/>
          <w:lang w:eastAsia="zh-CN"/>
        </w:rPr>
      </w:pPr>
      <w:r>
        <w:rPr>
          <w:rFonts w:hint="eastAsia"/>
          <w:color w:val="auto"/>
          <w:highlight w:val="none"/>
          <w:lang w:eastAsia="zh-CN"/>
        </w:rPr>
        <w:t>煤矿区固体废物的污染主要是煤矸石的污染。煤矸石对环境的影响首先表现为侵占土地，破坏自然景观，导致的植被覆盖率下降和由此引起的水土流失量增加；其次是自燃起火，排出大量烟尘、SO</w:t>
      </w:r>
      <w:r>
        <w:rPr>
          <w:rFonts w:hint="eastAsia"/>
          <w:color w:val="auto"/>
          <w:highlight w:val="none"/>
          <w:vertAlign w:val="subscript"/>
          <w:lang w:eastAsia="zh-CN"/>
        </w:rPr>
        <w:t>2</w:t>
      </w:r>
      <w:r>
        <w:rPr>
          <w:rFonts w:hint="eastAsia"/>
          <w:color w:val="auto"/>
          <w:highlight w:val="none"/>
          <w:lang w:eastAsia="zh-CN"/>
        </w:rPr>
        <w:t>、CO、H</w:t>
      </w:r>
      <w:r>
        <w:rPr>
          <w:rFonts w:hint="eastAsia"/>
          <w:color w:val="auto"/>
          <w:highlight w:val="none"/>
          <w:vertAlign w:val="subscript"/>
          <w:lang w:eastAsia="zh-CN"/>
        </w:rPr>
        <w:t>2</w:t>
      </w:r>
      <w:r>
        <w:rPr>
          <w:rFonts w:hint="eastAsia"/>
          <w:color w:val="auto"/>
          <w:highlight w:val="none"/>
          <w:lang w:eastAsia="zh-CN"/>
        </w:rPr>
        <w:t>S等有害气体，损害人体健康，抑制作为生长，腐蚀构筑物等。但是煤矸石又是可回收利用的资源，煤矸石的综合利用有着重要的经济效益、环境效益和社会效益。因此选择生活垃圾处置率、煤矸石综合利用率来作为固体废物污染状况指标。各指标统计值及分值如表</w:t>
      </w:r>
      <w:r>
        <w:rPr>
          <w:rFonts w:hint="eastAsia"/>
          <w:color w:val="auto"/>
          <w:highlight w:val="none"/>
          <w:lang w:val="en-US" w:eastAsia="zh-CN"/>
        </w:rPr>
        <w:t>6.3-10</w:t>
      </w:r>
      <w:r>
        <w:rPr>
          <w:rFonts w:hint="eastAsia"/>
          <w:color w:val="auto"/>
          <w:highlight w:val="none"/>
          <w:lang w:eastAsia="zh-CN"/>
        </w:rPr>
        <w:t>所示。</w:t>
      </w:r>
    </w:p>
    <w:p>
      <w:pPr>
        <w:pStyle w:val="22"/>
        <w:bidi w:val="0"/>
        <w:rPr>
          <w:color w:val="auto"/>
          <w:highlight w:val="none"/>
          <w:lang w:eastAsia="zh-CN"/>
        </w:rPr>
      </w:pPr>
      <w:r>
        <w:rPr>
          <w:rFonts w:hint="eastAsia"/>
          <w:color w:val="auto"/>
          <w:highlight w:val="none"/>
          <w:lang w:eastAsia="zh-CN"/>
        </w:rPr>
        <w:t>表</w:t>
      </w:r>
      <w:r>
        <w:rPr>
          <w:rFonts w:hint="eastAsia"/>
          <w:color w:val="auto"/>
          <w:highlight w:val="none"/>
          <w:lang w:val="en-US" w:eastAsia="zh-CN"/>
        </w:rPr>
        <w:t>6.3-10</w:t>
      </w:r>
      <w:r>
        <w:rPr>
          <w:rFonts w:hint="eastAsia"/>
          <w:color w:val="auto"/>
          <w:highlight w:val="none"/>
          <w:lang w:eastAsia="zh-CN"/>
        </w:rPr>
        <w:t xml:space="preserve">    评价区土壤环境承载指标的统计值或评分</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2545"/>
        <w:gridCol w:w="1142"/>
        <w:gridCol w:w="778"/>
        <w:gridCol w:w="1080"/>
        <w:gridCol w:w="1080"/>
        <w:gridCol w:w="1080"/>
        <w:gridCol w:w="1080"/>
        <w:gridCol w:w="8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2215" w:type="dxa"/>
            <w:vMerge w:val="restart"/>
            <w:noWrap w:val="0"/>
            <w:vAlign w:val="center"/>
          </w:tcPr>
          <w:p>
            <w:pPr>
              <w:pStyle w:val="22"/>
              <w:bidi w:val="0"/>
              <w:rPr>
                <w:color w:val="auto"/>
                <w:highlight w:val="none"/>
              </w:rPr>
            </w:pPr>
            <w:r>
              <w:rPr>
                <w:rFonts w:hint="eastAsia"/>
                <w:color w:val="auto"/>
                <w:highlight w:val="none"/>
              </w:rPr>
              <w:t>指标</w:t>
            </w:r>
          </w:p>
        </w:tc>
        <w:tc>
          <w:tcPr>
            <w:tcW w:w="994" w:type="dxa"/>
            <w:vMerge w:val="restart"/>
            <w:noWrap w:val="0"/>
            <w:vAlign w:val="center"/>
          </w:tcPr>
          <w:p>
            <w:pPr>
              <w:pStyle w:val="22"/>
              <w:bidi w:val="0"/>
              <w:rPr>
                <w:color w:val="auto"/>
                <w:highlight w:val="none"/>
              </w:rPr>
            </w:pPr>
            <w:r>
              <w:rPr>
                <w:rFonts w:hint="eastAsia"/>
                <w:color w:val="auto"/>
                <w:highlight w:val="none"/>
              </w:rPr>
              <w:t>统计值</w:t>
            </w:r>
          </w:p>
        </w:tc>
        <w:tc>
          <w:tcPr>
            <w:tcW w:w="4437" w:type="dxa"/>
            <w:gridSpan w:val="5"/>
            <w:noWrap w:val="0"/>
            <w:vAlign w:val="center"/>
          </w:tcPr>
          <w:p>
            <w:pPr>
              <w:pStyle w:val="22"/>
              <w:bidi w:val="0"/>
              <w:rPr>
                <w:color w:val="auto"/>
                <w:highlight w:val="none"/>
              </w:rPr>
            </w:pPr>
            <w:r>
              <w:rPr>
                <w:rFonts w:hint="eastAsia"/>
                <w:color w:val="auto"/>
                <w:highlight w:val="none"/>
              </w:rPr>
              <w:t>评估指标分值</w:t>
            </w:r>
          </w:p>
        </w:tc>
        <w:tc>
          <w:tcPr>
            <w:tcW w:w="732" w:type="dxa"/>
            <w:vMerge w:val="restart"/>
            <w:noWrap w:val="0"/>
            <w:vAlign w:val="center"/>
          </w:tcPr>
          <w:p>
            <w:pPr>
              <w:pStyle w:val="22"/>
              <w:bidi w:val="0"/>
              <w:rPr>
                <w:color w:val="auto"/>
                <w:highlight w:val="none"/>
              </w:rPr>
            </w:pPr>
            <w:r>
              <w:rPr>
                <w:rFonts w:hint="eastAsia"/>
                <w:color w:val="auto"/>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2215" w:type="dxa"/>
            <w:vMerge w:val="continue"/>
            <w:noWrap w:val="0"/>
            <w:vAlign w:val="center"/>
          </w:tcPr>
          <w:p>
            <w:pPr>
              <w:pStyle w:val="22"/>
              <w:bidi w:val="0"/>
              <w:rPr>
                <w:color w:val="auto"/>
                <w:highlight w:val="none"/>
              </w:rPr>
            </w:pPr>
          </w:p>
        </w:tc>
        <w:tc>
          <w:tcPr>
            <w:tcW w:w="994" w:type="dxa"/>
            <w:vMerge w:val="continue"/>
            <w:noWrap w:val="0"/>
            <w:vAlign w:val="center"/>
          </w:tcPr>
          <w:p>
            <w:pPr>
              <w:pStyle w:val="22"/>
              <w:bidi w:val="0"/>
              <w:rPr>
                <w:color w:val="auto"/>
                <w:highlight w:val="none"/>
              </w:rPr>
            </w:pPr>
          </w:p>
        </w:tc>
        <w:tc>
          <w:tcPr>
            <w:tcW w:w="677" w:type="dxa"/>
            <w:noWrap w:val="0"/>
            <w:vAlign w:val="center"/>
          </w:tcPr>
          <w:p>
            <w:pPr>
              <w:pStyle w:val="22"/>
              <w:bidi w:val="0"/>
              <w:rPr>
                <w:color w:val="auto"/>
                <w:highlight w:val="none"/>
              </w:rPr>
            </w:pPr>
            <w:r>
              <w:rPr>
                <w:rFonts w:hint="eastAsia"/>
                <w:color w:val="auto"/>
                <w:highlight w:val="none"/>
              </w:rPr>
              <w:t>100</w:t>
            </w:r>
          </w:p>
        </w:tc>
        <w:tc>
          <w:tcPr>
            <w:tcW w:w="940" w:type="dxa"/>
            <w:noWrap w:val="0"/>
            <w:vAlign w:val="center"/>
          </w:tcPr>
          <w:p>
            <w:pPr>
              <w:pStyle w:val="22"/>
              <w:bidi w:val="0"/>
              <w:rPr>
                <w:color w:val="auto"/>
                <w:highlight w:val="none"/>
              </w:rPr>
            </w:pPr>
            <w:r>
              <w:rPr>
                <w:rFonts w:hint="eastAsia"/>
                <w:color w:val="auto"/>
                <w:highlight w:val="none"/>
              </w:rPr>
              <w:t>80</w:t>
            </w:r>
          </w:p>
        </w:tc>
        <w:tc>
          <w:tcPr>
            <w:tcW w:w="940" w:type="dxa"/>
            <w:noWrap w:val="0"/>
            <w:vAlign w:val="center"/>
          </w:tcPr>
          <w:p>
            <w:pPr>
              <w:pStyle w:val="22"/>
              <w:bidi w:val="0"/>
              <w:rPr>
                <w:color w:val="auto"/>
                <w:highlight w:val="none"/>
              </w:rPr>
            </w:pPr>
            <w:r>
              <w:rPr>
                <w:rFonts w:hint="eastAsia"/>
                <w:color w:val="auto"/>
                <w:highlight w:val="none"/>
              </w:rPr>
              <w:t>60</w:t>
            </w:r>
          </w:p>
        </w:tc>
        <w:tc>
          <w:tcPr>
            <w:tcW w:w="940" w:type="dxa"/>
            <w:noWrap w:val="0"/>
            <w:vAlign w:val="center"/>
          </w:tcPr>
          <w:p>
            <w:pPr>
              <w:pStyle w:val="22"/>
              <w:bidi w:val="0"/>
              <w:rPr>
                <w:color w:val="auto"/>
                <w:highlight w:val="none"/>
              </w:rPr>
            </w:pPr>
            <w:r>
              <w:rPr>
                <w:rFonts w:hint="eastAsia"/>
                <w:color w:val="auto"/>
                <w:highlight w:val="none"/>
              </w:rPr>
              <w:t>40</w:t>
            </w:r>
          </w:p>
        </w:tc>
        <w:tc>
          <w:tcPr>
            <w:tcW w:w="940" w:type="dxa"/>
            <w:noWrap w:val="0"/>
            <w:vAlign w:val="center"/>
          </w:tcPr>
          <w:p>
            <w:pPr>
              <w:pStyle w:val="22"/>
              <w:bidi w:val="0"/>
              <w:rPr>
                <w:color w:val="auto"/>
                <w:highlight w:val="none"/>
              </w:rPr>
            </w:pPr>
            <w:r>
              <w:rPr>
                <w:rFonts w:hint="eastAsia"/>
                <w:color w:val="auto"/>
                <w:highlight w:val="none"/>
              </w:rPr>
              <w:t>20</w:t>
            </w:r>
          </w:p>
        </w:tc>
        <w:tc>
          <w:tcPr>
            <w:tcW w:w="732" w:type="dxa"/>
            <w:vMerge w:val="continue"/>
            <w:noWrap w:val="0"/>
            <w:vAlign w:val="center"/>
          </w:tcPr>
          <w:p>
            <w:pPr>
              <w:pStyle w:val="22"/>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2215" w:type="dxa"/>
            <w:noWrap w:val="0"/>
            <w:vAlign w:val="center"/>
          </w:tcPr>
          <w:p>
            <w:pPr>
              <w:pStyle w:val="22"/>
              <w:bidi w:val="0"/>
              <w:rPr>
                <w:color w:val="auto"/>
                <w:highlight w:val="none"/>
              </w:rPr>
            </w:pPr>
            <w:bookmarkStart w:id="572" w:name="_Hlk202689894"/>
            <w:r>
              <w:rPr>
                <w:rFonts w:hint="eastAsia"/>
                <w:color w:val="auto"/>
                <w:highlight w:val="none"/>
              </w:rPr>
              <w:t>生活垃圾处置率(%)</w:t>
            </w:r>
          </w:p>
        </w:tc>
        <w:tc>
          <w:tcPr>
            <w:tcW w:w="994"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c>
          <w:tcPr>
            <w:tcW w:w="677" w:type="dxa"/>
            <w:noWrap w:val="0"/>
            <w:vAlign w:val="center"/>
          </w:tcPr>
          <w:p>
            <w:pPr>
              <w:pStyle w:val="22"/>
              <w:bidi w:val="0"/>
              <w:rPr>
                <w:color w:val="auto"/>
                <w:highlight w:val="none"/>
              </w:rPr>
            </w:pPr>
            <w:r>
              <w:rPr>
                <w:rFonts w:hint="eastAsia"/>
                <w:color w:val="auto"/>
                <w:highlight w:val="none"/>
              </w:rPr>
              <w:t>100</w:t>
            </w:r>
          </w:p>
        </w:tc>
        <w:tc>
          <w:tcPr>
            <w:tcW w:w="940" w:type="dxa"/>
            <w:noWrap w:val="0"/>
            <w:vAlign w:val="center"/>
          </w:tcPr>
          <w:p>
            <w:pPr>
              <w:pStyle w:val="22"/>
              <w:bidi w:val="0"/>
              <w:rPr>
                <w:color w:val="auto"/>
                <w:highlight w:val="none"/>
              </w:rPr>
            </w:pPr>
            <w:r>
              <w:rPr>
                <w:rFonts w:hint="eastAsia"/>
                <w:color w:val="auto"/>
                <w:highlight w:val="none"/>
              </w:rPr>
              <w:t>80</w:t>
            </w:r>
          </w:p>
        </w:tc>
        <w:tc>
          <w:tcPr>
            <w:tcW w:w="940" w:type="dxa"/>
            <w:noWrap w:val="0"/>
            <w:vAlign w:val="center"/>
          </w:tcPr>
          <w:p>
            <w:pPr>
              <w:pStyle w:val="22"/>
              <w:bidi w:val="0"/>
              <w:rPr>
                <w:color w:val="auto"/>
                <w:highlight w:val="none"/>
              </w:rPr>
            </w:pPr>
            <w:r>
              <w:rPr>
                <w:rFonts w:hint="eastAsia"/>
                <w:color w:val="auto"/>
                <w:highlight w:val="none"/>
              </w:rPr>
              <w:t>60</w:t>
            </w:r>
          </w:p>
        </w:tc>
        <w:tc>
          <w:tcPr>
            <w:tcW w:w="940" w:type="dxa"/>
            <w:noWrap w:val="0"/>
            <w:vAlign w:val="center"/>
          </w:tcPr>
          <w:p>
            <w:pPr>
              <w:pStyle w:val="22"/>
              <w:bidi w:val="0"/>
              <w:rPr>
                <w:color w:val="auto"/>
                <w:highlight w:val="none"/>
              </w:rPr>
            </w:pPr>
            <w:r>
              <w:rPr>
                <w:rFonts w:hint="eastAsia"/>
                <w:color w:val="auto"/>
                <w:highlight w:val="none"/>
              </w:rPr>
              <w:t>40</w:t>
            </w:r>
          </w:p>
        </w:tc>
        <w:tc>
          <w:tcPr>
            <w:tcW w:w="940" w:type="dxa"/>
            <w:noWrap w:val="0"/>
            <w:vAlign w:val="center"/>
          </w:tcPr>
          <w:p>
            <w:pPr>
              <w:pStyle w:val="22"/>
              <w:bidi w:val="0"/>
              <w:rPr>
                <w:color w:val="auto"/>
                <w:highlight w:val="none"/>
              </w:rPr>
            </w:pPr>
            <w:r>
              <w:rPr>
                <w:rFonts w:hint="eastAsia"/>
                <w:color w:val="auto"/>
                <w:highlight w:val="none"/>
              </w:rPr>
              <w:t>20</w:t>
            </w:r>
          </w:p>
        </w:tc>
        <w:tc>
          <w:tcPr>
            <w:tcW w:w="732"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63" w:hRule="atLeast"/>
          <w:tblHeader/>
          <w:jc w:val="center"/>
        </w:trPr>
        <w:tc>
          <w:tcPr>
            <w:tcW w:w="2215" w:type="dxa"/>
            <w:noWrap w:val="0"/>
            <w:vAlign w:val="center"/>
          </w:tcPr>
          <w:p>
            <w:pPr>
              <w:pStyle w:val="22"/>
              <w:bidi w:val="0"/>
              <w:rPr>
                <w:color w:val="auto"/>
                <w:highlight w:val="none"/>
              </w:rPr>
            </w:pPr>
            <w:r>
              <w:rPr>
                <w:rFonts w:hint="eastAsia"/>
                <w:color w:val="auto"/>
                <w:highlight w:val="none"/>
              </w:rPr>
              <w:t>煤矸石综合利用率(%)</w:t>
            </w:r>
          </w:p>
        </w:tc>
        <w:tc>
          <w:tcPr>
            <w:tcW w:w="994"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c>
          <w:tcPr>
            <w:tcW w:w="677" w:type="dxa"/>
            <w:noWrap w:val="0"/>
            <w:vAlign w:val="center"/>
          </w:tcPr>
          <w:p>
            <w:pPr>
              <w:pStyle w:val="22"/>
              <w:bidi w:val="0"/>
              <w:rPr>
                <w:color w:val="auto"/>
                <w:highlight w:val="none"/>
              </w:rPr>
            </w:pPr>
            <w:r>
              <w:rPr>
                <w:rFonts w:hint="eastAsia"/>
                <w:color w:val="auto"/>
                <w:highlight w:val="none"/>
              </w:rPr>
              <w:t>100</w:t>
            </w:r>
          </w:p>
        </w:tc>
        <w:tc>
          <w:tcPr>
            <w:tcW w:w="940" w:type="dxa"/>
            <w:noWrap w:val="0"/>
            <w:vAlign w:val="center"/>
          </w:tcPr>
          <w:p>
            <w:pPr>
              <w:pStyle w:val="22"/>
              <w:bidi w:val="0"/>
              <w:rPr>
                <w:color w:val="auto"/>
                <w:highlight w:val="none"/>
              </w:rPr>
            </w:pPr>
            <w:r>
              <w:rPr>
                <w:rFonts w:hint="eastAsia"/>
                <w:color w:val="auto"/>
                <w:highlight w:val="none"/>
              </w:rPr>
              <w:t>80</w:t>
            </w:r>
          </w:p>
        </w:tc>
        <w:tc>
          <w:tcPr>
            <w:tcW w:w="940" w:type="dxa"/>
            <w:noWrap w:val="0"/>
            <w:vAlign w:val="center"/>
          </w:tcPr>
          <w:p>
            <w:pPr>
              <w:pStyle w:val="22"/>
              <w:bidi w:val="0"/>
              <w:rPr>
                <w:color w:val="auto"/>
                <w:highlight w:val="none"/>
              </w:rPr>
            </w:pPr>
            <w:r>
              <w:rPr>
                <w:rFonts w:hint="eastAsia"/>
                <w:color w:val="auto"/>
                <w:highlight w:val="none"/>
              </w:rPr>
              <w:t>75</w:t>
            </w:r>
          </w:p>
        </w:tc>
        <w:tc>
          <w:tcPr>
            <w:tcW w:w="940" w:type="dxa"/>
            <w:noWrap w:val="0"/>
            <w:vAlign w:val="center"/>
          </w:tcPr>
          <w:p>
            <w:pPr>
              <w:pStyle w:val="22"/>
              <w:bidi w:val="0"/>
              <w:rPr>
                <w:color w:val="auto"/>
                <w:highlight w:val="none"/>
              </w:rPr>
            </w:pPr>
            <w:r>
              <w:rPr>
                <w:rFonts w:hint="eastAsia"/>
                <w:color w:val="auto"/>
                <w:highlight w:val="none"/>
              </w:rPr>
              <w:t>60</w:t>
            </w:r>
          </w:p>
        </w:tc>
        <w:tc>
          <w:tcPr>
            <w:tcW w:w="940" w:type="dxa"/>
            <w:noWrap w:val="0"/>
            <w:vAlign w:val="center"/>
          </w:tcPr>
          <w:p>
            <w:pPr>
              <w:pStyle w:val="22"/>
              <w:bidi w:val="0"/>
              <w:rPr>
                <w:color w:val="auto"/>
                <w:highlight w:val="none"/>
              </w:rPr>
            </w:pPr>
            <w:r>
              <w:rPr>
                <w:rFonts w:hint="eastAsia"/>
                <w:color w:val="auto"/>
                <w:highlight w:val="none"/>
              </w:rPr>
              <w:t>50</w:t>
            </w:r>
          </w:p>
        </w:tc>
        <w:tc>
          <w:tcPr>
            <w:tcW w:w="732" w:type="dxa"/>
            <w:noWrap w:val="0"/>
            <w:vAlign w:val="center"/>
          </w:tcPr>
          <w:p>
            <w:pPr>
              <w:pStyle w:val="22"/>
              <w:bidi w:val="0"/>
              <w:rPr>
                <w:rFonts w:hint="default" w:eastAsia="宋体"/>
                <w:color w:val="auto"/>
                <w:highlight w:val="none"/>
                <w:lang w:val="en-US" w:eastAsia="zh-CN"/>
              </w:rPr>
            </w:pPr>
            <w:r>
              <w:rPr>
                <w:rFonts w:hint="eastAsia"/>
                <w:color w:val="auto"/>
                <w:highlight w:val="none"/>
                <w:lang w:val="en-US" w:eastAsia="zh-CN"/>
              </w:rPr>
              <w:t>100</w:t>
            </w:r>
          </w:p>
        </w:tc>
      </w:tr>
      <w:bookmarkEnd w:id="572"/>
    </w:tbl>
    <w:p>
      <w:pPr>
        <w:bidi w:val="0"/>
        <w:rPr>
          <w:rFonts w:hint="eastAsia"/>
          <w:color w:val="auto"/>
          <w:highlight w:val="none"/>
          <w:lang w:eastAsia="zh-CN"/>
        </w:rPr>
      </w:pPr>
      <w:r>
        <w:rPr>
          <w:rFonts w:hint="eastAsia"/>
          <w:color w:val="auto"/>
          <w:highlight w:val="none"/>
          <w:lang w:eastAsia="zh-CN"/>
        </w:rPr>
        <w:t>根据模式计算得矿区的土壤环境承载指数大小为</w:t>
      </w:r>
      <w:r>
        <w:rPr>
          <w:rFonts w:hint="eastAsia"/>
          <w:color w:val="auto"/>
          <w:highlight w:val="none"/>
          <w:lang w:val="en-US" w:eastAsia="zh-CN"/>
        </w:rPr>
        <w:t>100</w:t>
      </w:r>
      <w:r>
        <w:rPr>
          <w:rFonts w:hint="eastAsia"/>
          <w:color w:val="auto"/>
          <w:highlight w:val="none"/>
          <w:lang w:eastAsia="zh-CN"/>
        </w:rPr>
        <w:t>，属于</w:t>
      </w:r>
      <w:r>
        <w:rPr>
          <w:rFonts w:hint="eastAsia"/>
          <w:color w:val="auto"/>
          <w:highlight w:val="none"/>
          <w:u w:val="single"/>
          <w:lang w:eastAsia="zh-CN"/>
        </w:rPr>
        <w:t>高承载力水平</w:t>
      </w:r>
      <w:r>
        <w:rPr>
          <w:rFonts w:hint="eastAsia"/>
          <w:color w:val="auto"/>
          <w:highlight w:val="none"/>
          <w:lang w:eastAsia="zh-CN"/>
        </w:rPr>
        <w:t>。</w:t>
      </w:r>
    </w:p>
    <w:p>
      <w:pPr>
        <w:pStyle w:val="6"/>
        <w:bidi w:val="0"/>
        <w:rPr>
          <w:color w:val="auto"/>
          <w:highlight w:val="none"/>
        </w:rPr>
      </w:pPr>
      <w:bookmarkStart w:id="573" w:name="_Toc19732"/>
      <w:bookmarkStart w:id="574" w:name="_Toc4708"/>
      <w:r>
        <w:rPr>
          <w:rFonts w:hint="eastAsia"/>
          <w:color w:val="auto"/>
          <w:highlight w:val="none"/>
          <w:lang w:val="en-US" w:eastAsia="zh-CN"/>
        </w:rPr>
        <w:t>6.3.3</w:t>
      </w:r>
      <w:r>
        <w:rPr>
          <w:color w:val="auto"/>
          <w:highlight w:val="none"/>
        </w:rPr>
        <w:t>承载压力度评价</w:t>
      </w:r>
      <w:bookmarkEnd w:id="573"/>
      <w:bookmarkEnd w:id="574"/>
    </w:p>
    <w:p>
      <w:pPr>
        <w:bidi w:val="0"/>
        <w:rPr>
          <w:rFonts w:hint="eastAsia"/>
          <w:color w:val="auto"/>
          <w:highlight w:val="none"/>
          <w:lang w:eastAsia="zh-CN"/>
        </w:rPr>
      </w:pPr>
      <w:r>
        <w:rPr>
          <w:rFonts w:hint="eastAsia"/>
          <w:color w:val="auto"/>
          <w:highlight w:val="none"/>
          <w:lang w:eastAsia="zh-CN"/>
        </w:rPr>
        <w:t>从以上分析可以看出，评价区现有生态承载力评价结果为：评价区生态系统弹性度为</w:t>
      </w:r>
      <w:r>
        <w:rPr>
          <w:rFonts w:hint="eastAsia"/>
          <w:color w:val="auto"/>
          <w:highlight w:val="none"/>
          <w:lang w:val="en-US" w:eastAsia="zh-CN"/>
        </w:rPr>
        <w:t>77.9</w:t>
      </w:r>
      <w:r>
        <w:rPr>
          <w:rFonts w:hint="eastAsia"/>
          <w:color w:val="auto"/>
          <w:highlight w:val="none"/>
          <w:lang w:eastAsia="zh-CN"/>
        </w:rPr>
        <w:t>，处于较稳定水平。资源环境承载力评价中，水资源承载力</w:t>
      </w:r>
      <w:r>
        <w:rPr>
          <w:rFonts w:hint="eastAsia"/>
          <w:color w:val="auto"/>
          <w:highlight w:val="none"/>
          <w:lang w:val="en-US" w:eastAsia="zh-CN"/>
        </w:rPr>
        <w:t>95</w:t>
      </w:r>
      <w:r>
        <w:rPr>
          <w:rFonts w:hint="eastAsia"/>
          <w:color w:val="auto"/>
          <w:highlight w:val="none"/>
          <w:lang w:eastAsia="zh-CN"/>
        </w:rPr>
        <w:t>，处于高承载水平；土地资源承载力为五级（</w:t>
      </w:r>
      <w:r>
        <w:rPr>
          <w:rFonts w:hint="eastAsia"/>
          <w:color w:val="auto"/>
          <w:highlight w:val="none"/>
          <w:lang w:val="en-US" w:eastAsia="zh-CN"/>
        </w:rPr>
        <w:t>60</w:t>
      </w:r>
      <w:r>
        <w:rPr>
          <w:rFonts w:hint="eastAsia"/>
          <w:color w:val="auto"/>
          <w:highlight w:val="none"/>
          <w:lang w:eastAsia="zh-CN"/>
        </w:rPr>
        <w:t>），处于中等承载力水平；矿产资源承载力为</w:t>
      </w:r>
      <w:r>
        <w:rPr>
          <w:rFonts w:hint="eastAsia"/>
          <w:color w:val="auto"/>
          <w:highlight w:val="none"/>
          <w:lang w:val="en-US" w:eastAsia="zh-CN"/>
        </w:rPr>
        <w:t>80</w:t>
      </w:r>
      <w:r>
        <w:rPr>
          <w:rFonts w:hint="eastAsia"/>
          <w:color w:val="auto"/>
          <w:highlight w:val="none"/>
          <w:lang w:eastAsia="zh-CN"/>
        </w:rPr>
        <w:t>，为较高承载水平；大气环境承载力为</w:t>
      </w:r>
      <w:r>
        <w:rPr>
          <w:rFonts w:hint="eastAsia"/>
          <w:color w:val="auto"/>
          <w:highlight w:val="none"/>
          <w:lang w:val="en-US" w:eastAsia="zh-CN"/>
        </w:rPr>
        <w:t>93.3</w:t>
      </w:r>
      <w:r>
        <w:rPr>
          <w:rFonts w:hint="eastAsia"/>
          <w:color w:val="auto"/>
          <w:highlight w:val="none"/>
          <w:lang w:eastAsia="zh-CN"/>
        </w:rPr>
        <w:t>，为高承载力水平；水环境承载力为</w:t>
      </w:r>
      <w:r>
        <w:rPr>
          <w:rFonts w:hint="eastAsia"/>
          <w:color w:val="auto"/>
          <w:highlight w:val="none"/>
          <w:lang w:val="en-US" w:eastAsia="zh-CN"/>
        </w:rPr>
        <w:t>98.3</w:t>
      </w:r>
      <w:r>
        <w:rPr>
          <w:rFonts w:hint="eastAsia"/>
          <w:color w:val="auto"/>
          <w:highlight w:val="none"/>
          <w:lang w:eastAsia="zh-CN"/>
        </w:rPr>
        <w:t>，属于高承载力水平，土壤环境承载力为</w:t>
      </w:r>
      <w:r>
        <w:rPr>
          <w:rFonts w:hint="eastAsia"/>
          <w:color w:val="auto"/>
          <w:highlight w:val="none"/>
          <w:lang w:val="en-US" w:eastAsia="zh-CN"/>
        </w:rPr>
        <w:t>100</w:t>
      </w:r>
      <w:r>
        <w:rPr>
          <w:rFonts w:hint="eastAsia"/>
          <w:color w:val="auto"/>
          <w:highlight w:val="none"/>
          <w:lang w:eastAsia="zh-CN"/>
        </w:rPr>
        <w:t>，属于高承载力水平；评价区资源环境承载力总水平为</w:t>
      </w:r>
      <w:r>
        <w:rPr>
          <w:rFonts w:hint="eastAsia"/>
          <w:color w:val="auto"/>
          <w:highlight w:val="none"/>
          <w:lang w:val="en-US" w:eastAsia="zh-CN"/>
        </w:rPr>
        <w:t>86.4</w:t>
      </w:r>
      <w:r>
        <w:rPr>
          <w:rFonts w:hint="eastAsia"/>
          <w:color w:val="auto"/>
          <w:highlight w:val="none"/>
          <w:lang w:eastAsia="zh-CN"/>
        </w:rPr>
        <w:t>。评价结果基本符合评价区的实际情况，地区水资源较丰富，但是水资源利率较低，水利设施还有待完善。评价区内以农牧业经济为主，工业较不发达，对水资源的污染主要为生活废水的排放造成的，因此水环境及大气环境的承载能力较高。评价区的土壤以水稻土、紫色土为主，且多为林地，因此土地资源承载力不高。在今后发展中，可以依托矿山经济支持，在煤炭开采的同时重视矿区的环境状况，科学合理地运用现代先进的环保设备，一定程度上提高了矿区的环境质量和矿区环境的承载能力。但是随着矿区人口增加和经济的快速发展，还是会给生态环境带来了巨大负担，造成生态系统压力加大。</w:t>
      </w: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eastAsia="宋体"/>
          <w:color w:val="auto"/>
          <w:highlight w:val="none"/>
          <w:lang w:eastAsia="zh-CN"/>
        </w:rPr>
      </w:pPr>
    </w:p>
    <w:p>
      <w:pPr>
        <w:bidi w:val="0"/>
        <w:rPr>
          <w:color w:val="auto"/>
          <w:highlight w:val="none"/>
        </w:rPr>
      </w:pPr>
    </w:p>
    <w:p>
      <w:pPr>
        <w:spacing w:after="0"/>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575" w:name="_bookmark42"/>
      <w:bookmarkEnd w:id="575"/>
      <w:bookmarkStart w:id="576" w:name="7 预防和减轻不良环境影响的对策措施"/>
      <w:bookmarkEnd w:id="576"/>
      <w:bookmarkStart w:id="577" w:name="_Toc1620"/>
      <w:bookmarkStart w:id="578" w:name="_Toc3769"/>
      <w:r>
        <w:rPr>
          <w:color w:val="auto"/>
          <w:highlight w:val="none"/>
        </w:rPr>
        <w:t>预防和减轻不良环境影响的对策措施</w:t>
      </w:r>
      <w:bookmarkEnd w:id="577"/>
      <w:bookmarkEnd w:id="578"/>
    </w:p>
    <w:p>
      <w:pPr>
        <w:pStyle w:val="5"/>
        <w:numPr>
          <w:ilvl w:val="1"/>
          <w:numId w:val="5"/>
        </w:numPr>
        <w:bidi w:val="0"/>
        <w:rPr>
          <w:color w:val="auto"/>
          <w:highlight w:val="none"/>
        </w:rPr>
      </w:pPr>
      <w:bookmarkStart w:id="579" w:name="_bookmark43"/>
      <w:bookmarkEnd w:id="579"/>
      <w:bookmarkStart w:id="580" w:name="7.1 矿区生态综合整治"/>
      <w:bookmarkEnd w:id="580"/>
      <w:bookmarkStart w:id="581" w:name="_Toc1913"/>
      <w:bookmarkStart w:id="582" w:name="_Toc12717"/>
      <w:r>
        <w:rPr>
          <w:color w:val="auto"/>
          <w:highlight w:val="none"/>
        </w:rPr>
        <w:t>矿区生态</w:t>
      </w:r>
      <w:r>
        <w:rPr>
          <w:rFonts w:hint="eastAsia"/>
          <w:color w:val="auto"/>
          <w:highlight w:val="none"/>
          <w:lang w:eastAsia="zh-CN"/>
        </w:rPr>
        <w:t>环境影响消减措施及建议</w:t>
      </w:r>
      <w:bookmarkEnd w:id="581"/>
      <w:bookmarkEnd w:id="582"/>
    </w:p>
    <w:p>
      <w:pPr>
        <w:pStyle w:val="6"/>
        <w:numPr>
          <w:ilvl w:val="2"/>
          <w:numId w:val="5"/>
        </w:numPr>
        <w:bidi w:val="0"/>
        <w:rPr>
          <w:color w:val="auto"/>
          <w:highlight w:val="none"/>
        </w:rPr>
      </w:pPr>
      <w:bookmarkStart w:id="583" w:name="7.1.1 矿区生态环境补救措施"/>
      <w:bookmarkEnd w:id="583"/>
      <w:bookmarkStart w:id="584" w:name="7.1.1 矿区生态环境补救措施"/>
      <w:bookmarkEnd w:id="584"/>
      <w:bookmarkStart w:id="585" w:name="_Toc14488"/>
      <w:bookmarkStart w:id="586" w:name="_Toc18334"/>
      <w:r>
        <w:rPr>
          <w:rFonts w:hint="eastAsia"/>
          <w:color w:val="auto"/>
          <w:highlight w:val="none"/>
        </w:rPr>
        <w:t>项目矿区勘探期间生态影响消减措施</w:t>
      </w:r>
      <w:bookmarkEnd w:id="585"/>
      <w:bookmarkEnd w:id="586"/>
    </w:p>
    <w:p>
      <w:pPr>
        <w:pStyle w:val="7"/>
        <w:bidi w:val="0"/>
        <w:rPr>
          <w:color w:val="auto"/>
          <w:highlight w:val="none"/>
        </w:rPr>
      </w:pPr>
      <w:bookmarkStart w:id="587" w:name="_Toc88697674"/>
      <w:r>
        <w:rPr>
          <w:rFonts w:hint="eastAsia"/>
          <w:color w:val="auto"/>
          <w:highlight w:val="none"/>
          <w:lang w:val="en-US" w:eastAsia="zh-CN"/>
        </w:rPr>
        <w:t>7.1.1.1</w:t>
      </w:r>
      <w:r>
        <w:rPr>
          <w:rFonts w:hint="eastAsia"/>
          <w:color w:val="auto"/>
          <w:highlight w:val="none"/>
        </w:rPr>
        <w:t>施工方案的优化措施</w:t>
      </w:r>
      <w:bookmarkEnd w:id="587"/>
    </w:p>
    <w:p>
      <w:pPr>
        <w:bidi w:val="0"/>
        <w:rPr>
          <w:color w:val="auto"/>
          <w:highlight w:val="none"/>
        </w:rPr>
      </w:pPr>
      <w:r>
        <w:rPr>
          <w:rFonts w:hint="eastAsia"/>
          <w:color w:val="auto"/>
          <w:highlight w:val="none"/>
        </w:rPr>
        <w:t>大竹县煤炭矿区规划区内现设置有探矿权2个，根据《四川省达州市大竹县煤炭矿区总体规划》，规划在中山矿段拟新设1个探矿权，即四川省大竹县堡子煤矿煤炭延伸勘探勘查</w:t>
      </w:r>
      <w:r>
        <w:rPr>
          <w:color w:val="auto"/>
          <w:highlight w:val="none"/>
        </w:rPr>
        <w:t>，面积</w:t>
      </w:r>
      <w:r>
        <w:rPr>
          <w:rFonts w:hint="eastAsia"/>
          <w:color w:val="auto"/>
          <w:highlight w:val="none"/>
        </w:rPr>
        <w:t>9.8005</w:t>
      </w:r>
      <w:r>
        <w:rPr>
          <w:color w:val="auto"/>
          <w:highlight w:val="none"/>
        </w:rPr>
        <w:t>km</w:t>
      </w:r>
      <w:r>
        <w:rPr>
          <w:color w:val="auto"/>
          <w:highlight w:val="none"/>
          <w:vertAlign w:val="superscript"/>
        </w:rPr>
        <w:t>2</w:t>
      </w:r>
      <w:r>
        <w:rPr>
          <w:color w:val="auto"/>
          <w:highlight w:val="none"/>
        </w:rPr>
        <w:t>。</w:t>
      </w:r>
      <w:r>
        <w:rPr>
          <w:rFonts w:hint="eastAsia"/>
          <w:color w:val="auto"/>
          <w:highlight w:val="none"/>
        </w:rPr>
        <w:t>《四川省达州市大竹县煤炭矿区总体规划》未对矿区资源地质勘探中运输便道、勘探作业场地、钻孔规模等进行明确的说明，本次评价要求：项目矿区勘探作业前，必须结合勘探区的植被现状、既有道路等进行详细的线路规划及影响分析，具体要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项目矿区勘探作业实施前，必须做好勘探设计工作，就勘探运输便道、钻孔地点、勘探施工营地等进行详细规划及方案优化，做到最大限度地减少地表扰动面积及临时占地，如此减小项目实施对植被的影响；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项目矿区勘探实施前，就项目勘探规模进行环境影响分析，明确项目勘探作业期间的环境保护措施。</w:t>
      </w:r>
    </w:p>
    <w:p>
      <w:pPr>
        <w:pStyle w:val="7"/>
        <w:bidi w:val="0"/>
        <w:rPr>
          <w:color w:val="auto"/>
          <w:highlight w:val="none"/>
        </w:rPr>
      </w:pPr>
      <w:bookmarkStart w:id="588" w:name="_Toc88697675"/>
      <w:r>
        <w:rPr>
          <w:rFonts w:hint="eastAsia"/>
          <w:color w:val="auto"/>
          <w:highlight w:val="none"/>
          <w:lang w:val="en-US" w:eastAsia="zh-CN"/>
        </w:rPr>
        <w:t>7.1.1.2</w:t>
      </w:r>
      <w:r>
        <w:rPr>
          <w:rFonts w:hint="eastAsia"/>
          <w:color w:val="auto"/>
          <w:highlight w:val="none"/>
        </w:rPr>
        <w:t>生态保护及水土流失防治措施</w:t>
      </w:r>
      <w:bookmarkEnd w:id="588"/>
    </w:p>
    <w:p>
      <w:pPr>
        <w:bidi w:val="0"/>
        <w:rPr>
          <w:color w:val="auto"/>
          <w:highlight w:val="none"/>
        </w:rPr>
      </w:pPr>
      <w:r>
        <w:rPr>
          <w:rFonts w:hint="eastAsia"/>
          <w:color w:val="auto"/>
          <w:highlight w:val="none"/>
        </w:rPr>
        <w:t>项目矿区勘探作业期间，合理安排施工计划和作业时间，优化施工方案，勘探产生的废石尽量用于施工场地的维护，减少弃土石的临时堆放；严格按照施工设计方案确定地表占地面积，严格按照最小占地面积的原则进行地表清理；临时运输便道合理选线设计，尽量避免穿越林地及植被覆盖率高的区域，缩小运输便道的建设宽度，以减小植被破坏面积；地表钻探钻机坪的清理必须严格落实最小占地面积原则，减小地表裸露面积；加强施工人员的环境保护宣传教育，积极学习环境保护法规等，提高人员环保意识，禁止一切捕猎活动，禁止随意砍伐林木，禁止野外用火；钻探作业结束后及时对钻机坪进行表土回填，并在回填后进行植被恢复，可采取栽种柏木苗、桤木苗等，尽量恢复原有生境面貌；项目勘探作业中产生的废石、废泥浆等就近堆在钻探作业区内，不新增临时堆场；勘探详查工作结束后，及时积极进行迹地恢复，对地表扰动区按紧邻区域植被状况进行恢复：原区域为林地则恢复成林地，原区域为灌木林地则恢复为灌草丛。</w:t>
      </w:r>
    </w:p>
    <w:p>
      <w:pPr>
        <w:pStyle w:val="6"/>
        <w:numPr>
          <w:ilvl w:val="2"/>
          <w:numId w:val="5"/>
        </w:numPr>
        <w:bidi w:val="0"/>
        <w:rPr>
          <w:color w:val="auto"/>
          <w:highlight w:val="none"/>
        </w:rPr>
      </w:pPr>
      <w:bookmarkStart w:id="589" w:name="_Toc7732"/>
      <w:bookmarkStart w:id="590" w:name="_Toc27938"/>
      <w:r>
        <w:rPr>
          <w:rFonts w:hint="eastAsia"/>
          <w:color w:val="auto"/>
          <w:highlight w:val="none"/>
        </w:rPr>
        <w:t>项目规划建设期生态环境保护措施及建议</w:t>
      </w:r>
      <w:bookmarkEnd w:id="589"/>
      <w:bookmarkEnd w:id="590"/>
    </w:p>
    <w:p>
      <w:pPr>
        <w:pStyle w:val="7"/>
        <w:bidi w:val="0"/>
        <w:rPr>
          <w:color w:val="auto"/>
          <w:highlight w:val="none"/>
        </w:rPr>
      </w:pPr>
      <w:bookmarkStart w:id="591" w:name="_Toc88697677"/>
      <w:r>
        <w:rPr>
          <w:rFonts w:hint="eastAsia"/>
          <w:color w:val="auto"/>
          <w:highlight w:val="none"/>
          <w:lang w:val="en-US" w:eastAsia="zh-CN"/>
        </w:rPr>
        <w:t>7.1.2.1</w:t>
      </w:r>
      <w:r>
        <w:rPr>
          <w:rFonts w:hint="eastAsia"/>
          <w:color w:val="auto"/>
          <w:highlight w:val="none"/>
        </w:rPr>
        <w:t>施工管理方面的生态保护措施及建议</w:t>
      </w:r>
      <w:bookmarkEnd w:id="591"/>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加强环境保护宣传教育</w:t>
      </w:r>
    </w:p>
    <w:p>
      <w:pPr>
        <w:bidi w:val="0"/>
        <w:rPr>
          <w:color w:val="auto"/>
          <w:highlight w:val="none"/>
        </w:rPr>
      </w:pPr>
      <w:r>
        <w:rPr>
          <w:color w:val="auto"/>
          <w:highlight w:val="none"/>
        </w:rPr>
        <w:t>大力宣传《中华人民共和国森林法》、《中华人民共和国野生动物保护法》、《中华人民共和国环境保护法》等法律法规，以及国家和四川省关于保护自然生态系统和保护珍稀濒危动植物的有关政策的宣传教育，以提高施工人员的保护意识，防止乱砍滥伐林木、乱捕乱猎野生动物等现象发生。</w:t>
      </w:r>
    </w:p>
    <w:p>
      <w:pPr>
        <w:bidi w:val="0"/>
        <w:rPr>
          <w:color w:val="auto"/>
          <w:highlight w:val="none"/>
        </w:rPr>
      </w:pPr>
      <w:r>
        <w:rPr>
          <w:color w:val="auto"/>
          <w:highlight w:val="none"/>
        </w:rPr>
        <w:t>在施工区</w:t>
      </w:r>
      <w:r>
        <w:rPr>
          <w:rFonts w:hint="eastAsia"/>
          <w:color w:val="auto"/>
          <w:highlight w:val="none"/>
        </w:rPr>
        <w:t>（工业场地）</w:t>
      </w:r>
      <w:r>
        <w:rPr>
          <w:color w:val="auto"/>
          <w:highlight w:val="none"/>
        </w:rPr>
        <w:t>内设置一定数量的宣传牌和标语，提示野生动植物受国家法律保护，杜绝有意识捕食野生动物和减少无意识破坏野生动物及其生活环境，杜绝随意砍伐矿区及周边范围内的乔木。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加强环保制度建设及巡护工作</w:t>
      </w:r>
    </w:p>
    <w:p>
      <w:pPr>
        <w:bidi w:val="0"/>
        <w:rPr>
          <w:color w:val="auto"/>
          <w:highlight w:val="none"/>
        </w:rPr>
      </w:pPr>
      <w:r>
        <w:rPr>
          <w:color w:val="auto"/>
          <w:highlight w:val="none"/>
        </w:rPr>
        <w:t>建立完善的野生动植物保护、环境保护、野外（林区）用火等管理责任制度，明确职责，用制度管理施工和工作人员，以确保区域自然环境不被污染，野生动物不被偷猎，野生植物不遭破坏，森林火灾不发生。</w:t>
      </w:r>
    </w:p>
    <w:p>
      <w:pPr>
        <w:bidi w:val="0"/>
        <w:rPr>
          <w:color w:val="auto"/>
          <w:highlight w:val="none"/>
        </w:rPr>
      </w:pPr>
      <w:r>
        <w:rPr>
          <w:color w:val="auto"/>
          <w:highlight w:val="none"/>
        </w:rPr>
        <w:t>规划建设实施中，应在施工期间加强对施工区域的日常巡护工作，禁止施工人员或其他人员进入施工区域外的其他区域偷猎野生动物和盗伐林木。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严控施工占地范围，减少对植被的破坏</w:t>
      </w:r>
    </w:p>
    <w:p>
      <w:pPr>
        <w:bidi w:val="0"/>
        <w:rPr>
          <w:color w:val="auto"/>
          <w:highlight w:val="none"/>
        </w:rPr>
      </w:pPr>
      <w:r>
        <w:rPr>
          <w:color w:val="auto"/>
          <w:highlight w:val="none"/>
        </w:rPr>
        <w:t>严格按照矿区建设规划</w:t>
      </w:r>
      <w:r>
        <w:rPr>
          <w:rFonts w:hint="eastAsia"/>
          <w:color w:val="auto"/>
          <w:highlight w:val="none"/>
        </w:rPr>
        <w:t>实施，保留生产煤矿规划维持现状不变；升级改造煤矿，均在原有的工业场地基础上改造利用，不新增占地。规划施工期间，</w:t>
      </w:r>
      <w:r>
        <w:rPr>
          <w:color w:val="auto"/>
          <w:highlight w:val="none"/>
        </w:rPr>
        <w:t>不得在随意新增地表占地等；运输材料时必须充分利用现有的道路，应避免对道路两侧灌草丛等植被造成破坏。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外来物种入侵风险规避</w:t>
      </w:r>
    </w:p>
    <w:p>
      <w:pPr>
        <w:bidi w:val="0"/>
        <w:rPr>
          <w:color w:val="auto"/>
          <w:highlight w:val="none"/>
        </w:rPr>
      </w:pPr>
      <w:r>
        <w:rPr>
          <w:color w:val="auto"/>
          <w:highlight w:val="none"/>
        </w:rPr>
        <w:t>加强《全国生态环境保护纲要》和《国家林业局关于加强野生动物外来物种管理的通知》的宣传力度，提高施工人员保护野生动植物资源、维护生态安全的意识。施工方应与</w:t>
      </w:r>
      <w:r>
        <w:rPr>
          <w:rFonts w:hint="eastAsia"/>
          <w:color w:val="auto"/>
          <w:highlight w:val="none"/>
        </w:rPr>
        <w:t>大竹县</w:t>
      </w:r>
      <w:r>
        <w:rPr>
          <w:color w:val="auto"/>
          <w:highlight w:val="none"/>
        </w:rPr>
        <w:t>煤炭矿区管理部门共同建立有害生物检疫制度，做好施工人员和其他外来人员入境检查工作，禁止将外来物种带入区域内饲养或种植。加强施工人员和其他外来人员管理，严禁在矿区内及其周边地区开展外来物种的野外放生活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其他施工管理方面的建议</w:t>
      </w:r>
    </w:p>
    <w:p>
      <w:pPr>
        <w:bidi w:val="0"/>
        <w:rPr>
          <w:color w:val="auto"/>
          <w:highlight w:val="none"/>
        </w:rPr>
      </w:pPr>
      <w:r>
        <w:rPr>
          <w:b/>
          <w:bCs/>
          <w:color w:val="auto"/>
          <w:highlight w:val="none"/>
        </w:rPr>
        <w:t>防火管理：</w:t>
      </w:r>
      <w:r>
        <w:rPr>
          <w:color w:val="auto"/>
          <w:highlight w:val="none"/>
        </w:rPr>
        <w:t>矿区规划建设必须把火源管理放在首位，常抓不懈，杜绝隐患。要求施工人员积极贯彻《森林防火条例》，加强防火宣传教育，做好施工人员生产用火的火源管理。矿区管理单位、施工单位需联合组成领导小组随时巡查施工地，定期排查火灾隐患，把火灾发生率降至最低，同时制定火灾应急预警措施，确保森林防火工作顺利进行。</w:t>
      </w:r>
    </w:p>
    <w:p>
      <w:pPr>
        <w:bidi w:val="0"/>
        <w:rPr>
          <w:color w:val="auto"/>
          <w:highlight w:val="none"/>
        </w:rPr>
      </w:pPr>
      <w:r>
        <w:rPr>
          <w:b/>
          <w:bCs/>
          <w:color w:val="auto"/>
          <w:highlight w:val="none"/>
        </w:rPr>
        <w:t>外来人员及车辆管理：</w:t>
      </w:r>
      <w:r>
        <w:rPr>
          <w:color w:val="auto"/>
          <w:highlight w:val="none"/>
        </w:rPr>
        <w:t>项目规划建设期间，应严格按照施工计划组织施工人员进入施工区，不得擅入非施工区域进行活动。加强对施工人员的生态环境意识教育和管理，告诫施工人员在区域内盗猎（采）自然资源以及伤害国家保护资源会受到国家法律制裁。其余车辆无特殊情况，不得进入施工区；工程车必须按规定线路行驶，不得擅自改变路线和抛洒废弃物。</w:t>
      </w:r>
    </w:p>
    <w:p>
      <w:pPr>
        <w:pStyle w:val="7"/>
        <w:bidi w:val="0"/>
        <w:rPr>
          <w:color w:val="auto"/>
          <w:highlight w:val="none"/>
        </w:rPr>
      </w:pPr>
      <w:bookmarkStart w:id="592" w:name="_Toc88697678"/>
      <w:r>
        <w:rPr>
          <w:rFonts w:hint="eastAsia"/>
          <w:color w:val="auto"/>
          <w:highlight w:val="none"/>
          <w:lang w:val="en-US" w:eastAsia="zh-CN"/>
        </w:rPr>
        <w:t>7.1.2.2</w:t>
      </w:r>
      <w:r>
        <w:rPr>
          <w:rFonts w:hint="eastAsia"/>
          <w:color w:val="auto"/>
          <w:highlight w:val="none"/>
        </w:rPr>
        <w:t>土壤环境的生态保护措施</w:t>
      </w:r>
      <w:bookmarkEnd w:id="592"/>
    </w:p>
    <w:p>
      <w:pPr>
        <w:bidi w:val="0"/>
        <w:rPr>
          <w:color w:val="auto"/>
          <w:highlight w:val="none"/>
        </w:rPr>
      </w:pPr>
      <w:r>
        <w:rPr>
          <w:color w:val="auto"/>
          <w:highlight w:val="none"/>
        </w:rPr>
        <w:t>项目规划建设期间主要是工程建设中产生的废气、废水可能造成的土壤污染和地表开挖造成的水土流失，其生态保护措施有：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建设施工中，严格控制车辆的运行线路，依托现有道路运行，避免破坏周边土壤及植被。</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施工中注重水土保持，禁止随意弃渣，避免水土流失；根据当地气候条件合理安排工序和施工时间；大规模的地表开挖施工应避开雨季。</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搞好施工作业，严格控制占地范围。在工程施工过程中，一要严格按照设计的占地范围施工，禁止超范围开挖；施工废渣废料妥善处理，严禁向任何地方无序倾倒。</w:t>
      </w:r>
    </w:p>
    <w:p>
      <w:pPr>
        <w:pStyle w:val="7"/>
        <w:bidi w:val="0"/>
        <w:rPr>
          <w:color w:val="auto"/>
          <w:highlight w:val="none"/>
        </w:rPr>
      </w:pPr>
      <w:bookmarkStart w:id="593" w:name="_Toc88697679"/>
      <w:r>
        <w:rPr>
          <w:rFonts w:hint="eastAsia"/>
          <w:color w:val="auto"/>
          <w:highlight w:val="none"/>
          <w:lang w:val="en-US" w:eastAsia="zh-CN"/>
        </w:rPr>
        <w:t>7.1.2.3</w:t>
      </w:r>
      <w:r>
        <w:rPr>
          <w:rFonts w:hint="eastAsia"/>
          <w:color w:val="auto"/>
          <w:highlight w:val="none"/>
        </w:rPr>
        <w:t>规划建设中动物的生态保护措施</w:t>
      </w:r>
      <w:bookmarkEnd w:id="593"/>
    </w:p>
    <w:p>
      <w:pPr>
        <w:bidi w:val="0"/>
        <w:rPr>
          <w:color w:val="auto"/>
          <w:highlight w:val="none"/>
        </w:rPr>
      </w:pPr>
      <w:r>
        <w:rPr>
          <w:color w:val="auto"/>
          <w:highlight w:val="none"/>
        </w:rPr>
        <w:t>根据项目规划建设期间对区域野生动物的综合影响分析，针对各类动物提出有效的保护措施，以期在实际操作中具体落实，切实做到对评价区各类野生动物的保护。</w:t>
      </w:r>
    </w:p>
    <w:p>
      <w:pPr>
        <w:bidi w:val="0"/>
        <w:rPr>
          <w:color w:val="auto"/>
          <w:highlight w:val="none"/>
        </w:rPr>
      </w:pPr>
      <w:r>
        <w:rPr>
          <w:b/>
          <w:bCs/>
          <w:color w:val="auto"/>
          <w:highlight w:val="none"/>
        </w:rPr>
        <w:t>两栖动物的保护措施</w:t>
      </w:r>
      <w:r>
        <w:rPr>
          <w:rFonts w:hint="eastAsia"/>
          <w:b/>
          <w:bCs/>
          <w:color w:val="auto"/>
          <w:highlight w:val="none"/>
        </w:rPr>
        <w:t>：</w:t>
      </w:r>
      <w:r>
        <w:rPr>
          <w:color w:val="auto"/>
          <w:highlight w:val="none"/>
        </w:rPr>
        <w:t>项目规划建设施工过程中，首先要加强水土流失治理，尽量减少对两栖类动物栖息环境（灌丛、农田耕地等）的破坏，保护两栖动物的栖息地；做好宣传教育工作，禁止施工人员对两栖动物的捕捉；在施工建设过程中，应该随时加强在施工区域的巡护监管力度，发现捕捉两栖动物的行为要及时严肃处理。</w:t>
      </w:r>
    </w:p>
    <w:p>
      <w:pPr>
        <w:bidi w:val="0"/>
        <w:rPr>
          <w:color w:val="auto"/>
          <w:highlight w:val="none"/>
        </w:rPr>
      </w:pPr>
      <w:r>
        <w:rPr>
          <w:b/>
          <w:bCs/>
          <w:color w:val="auto"/>
          <w:highlight w:val="none"/>
        </w:rPr>
        <w:t>爬行动物的保护措施</w:t>
      </w:r>
      <w:r>
        <w:rPr>
          <w:rFonts w:hint="eastAsia"/>
          <w:b/>
          <w:bCs/>
          <w:color w:val="auto"/>
          <w:highlight w:val="none"/>
        </w:rPr>
        <w:t>：</w:t>
      </w:r>
      <w:r>
        <w:rPr>
          <w:color w:val="auto"/>
          <w:highlight w:val="none"/>
        </w:rPr>
        <w:t>规划建设期间应该加强对施工人员宣传爬行动物对农林业的积极作用，提高施工人员的认知水平，可以有效地减少人为捕杀。严禁出售蛇类食物和食品，特别是蛇类中的乌梢蛇、黑眉锦蛇等。明文禁止捕捉行为的发生。</w:t>
      </w:r>
    </w:p>
    <w:p>
      <w:pPr>
        <w:bidi w:val="0"/>
        <w:rPr>
          <w:color w:val="auto"/>
          <w:highlight w:val="none"/>
        </w:rPr>
      </w:pPr>
      <w:r>
        <w:rPr>
          <w:color w:val="auto"/>
          <w:highlight w:val="none"/>
        </w:rPr>
        <w:t>总之，两栖类、爬行类动物的迁移能力相对较弱，规划建设施工期间，应当防止对它们栖息地的破坏，严格控制施工占地范围，严防废机油泄漏、油污等对土壤环境造成污染。</w:t>
      </w:r>
    </w:p>
    <w:p>
      <w:pPr>
        <w:bidi w:val="0"/>
        <w:rPr>
          <w:color w:val="auto"/>
          <w:highlight w:val="none"/>
        </w:rPr>
      </w:pPr>
      <w:r>
        <w:rPr>
          <w:b/>
          <w:bCs/>
          <w:color w:val="auto"/>
          <w:highlight w:val="none"/>
        </w:rPr>
        <w:t>鸟类的保护措施</w:t>
      </w:r>
      <w:r>
        <w:rPr>
          <w:rFonts w:hint="eastAsia"/>
          <w:b/>
          <w:bCs/>
          <w:color w:val="auto"/>
          <w:highlight w:val="none"/>
        </w:rPr>
        <w:t>：</w:t>
      </w:r>
      <w:r>
        <w:rPr>
          <w:color w:val="auto"/>
          <w:highlight w:val="none"/>
        </w:rPr>
        <w:t>通过在施工区树立宣传牌，发放小册子和不定时的宣传会，增强施工和管理人员的环境保护意识，做到人人知晓鸟类保护的重要性；严格限定施工范围，缩减干扰区域，保护鸟类栖息环境；严禁捕猎区域的各种鸟类，禁止掏鸟蛋、端鸟窝、捉幼鸟、网捕等行为；禁止出售观赏鸟类和经济鸟类的行为；尽量减少施工对鸟类栖息地的破坏，特别是以森林和灌草丛为主要栖息地的鸟类，坚决禁止随意性的其他任何破坏行为；机械噪声较大的工程，尽量避免晨昏鸟类活动的高峰期，禁止夜间施工。</w:t>
      </w:r>
    </w:p>
    <w:p>
      <w:pPr>
        <w:bidi w:val="0"/>
        <w:rPr>
          <w:color w:val="auto"/>
          <w:highlight w:val="none"/>
        </w:rPr>
      </w:pPr>
      <w:r>
        <w:rPr>
          <w:b/>
          <w:bCs/>
          <w:color w:val="auto"/>
          <w:highlight w:val="none"/>
        </w:rPr>
        <w:t>兽类的保护措施</w:t>
      </w:r>
      <w:r>
        <w:rPr>
          <w:rFonts w:hint="eastAsia"/>
          <w:b/>
          <w:bCs/>
          <w:color w:val="auto"/>
          <w:highlight w:val="none"/>
        </w:rPr>
        <w:t>：</w:t>
      </w:r>
      <w:r>
        <w:rPr>
          <w:color w:val="auto"/>
          <w:highlight w:val="none"/>
        </w:rPr>
        <w:t>小型兽类繁殖能力较强，种群数量较大，不必采取特别的保护措施，但对工程废物和施工人员的生活垃圾需进行快速处理，尽量避免废物为鼠类等疫源性兽类提供生活环境，同时也可减少工程对小型兽类栖息地的破坏；对大中型兽类而言，应减少机械声、交通运输和人为活动的噪声干扰，严禁猎捕区域内的大中型兽类，禁止施工人员对具有经济价值和较高观赏价值兽类的捕捉。</w:t>
      </w:r>
    </w:p>
    <w:p>
      <w:pPr>
        <w:bidi w:val="0"/>
        <w:rPr>
          <w:color w:val="auto"/>
          <w:highlight w:val="none"/>
        </w:rPr>
      </w:pPr>
      <w:r>
        <w:rPr>
          <w:color w:val="auto"/>
          <w:highlight w:val="none"/>
        </w:rPr>
        <w:t>综上所述，项目规划建设施工期间对动物的保护措施集中在以下几个方面：</w:t>
      </w:r>
    </w:p>
    <w:p>
      <w:pPr>
        <w:bidi w:val="0"/>
        <w:rPr>
          <w:color w:val="auto"/>
          <w:highlight w:val="none"/>
        </w:rPr>
      </w:pPr>
      <w:r>
        <w:rPr>
          <w:rFonts w:hint="eastAsia"/>
          <w:color w:val="auto"/>
          <w:highlight w:val="none"/>
          <w:lang w:val="en-US" w:eastAsia="zh-CN"/>
        </w:rPr>
        <w:t>（1）</w:t>
      </w:r>
      <w:r>
        <w:rPr>
          <w:color w:val="auto"/>
          <w:highlight w:val="none"/>
        </w:rPr>
        <w:t>要合理规划和优化施工设计，严格控制，把占地控制在最合理、最小的范围内，降低对动物栖息地及栖息环境破坏的影响。加强污染控制，根据国家规定，做好水土保持工作，避免对评价区的环境和水体造成较大污染。</w:t>
      </w:r>
    </w:p>
    <w:p>
      <w:pPr>
        <w:bidi w:val="0"/>
        <w:rPr>
          <w:color w:val="auto"/>
          <w:highlight w:val="none"/>
        </w:rPr>
      </w:pPr>
      <w:r>
        <w:rPr>
          <w:rFonts w:hint="eastAsia"/>
          <w:color w:val="auto"/>
          <w:highlight w:val="none"/>
          <w:lang w:val="en-US" w:eastAsia="zh-CN"/>
        </w:rPr>
        <w:t>（2）</w:t>
      </w:r>
      <w:r>
        <w:rPr>
          <w:color w:val="auto"/>
          <w:highlight w:val="none"/>
        </w:rPr>
        <w:t>禁止人为猎捕，将评价区分布的两栖类、爬行类、鸟类和兽类列为非法猎捕的对象，加强对野生动物的巡护和监测，同时打击偷猎和野生动物贸易等违法行为；发现受伤动物（尤其是保护动物），及时送往野生动物救助点进行救助。</w:t>
      </w:r>
    </w:p>
    <w:p>
      <w:pPr>
        <w:bidi w:val="0"/>
        <w:rPr>
          <w:color w:val="auto"/>
          <w:highlight w:val="none"/>
        </w:rPr>
      </w:pPr>
      <w:r>
        <w:rPr>
          <w:rFonts w:hint="eastAsia"/>
          <w:color w:val="auto"/>
          <w:highlight w:val="none"/>
          <w:lang w:val="en-US" w:eastAsia="zh-CN"/>
        </w:rPr>
        <w:t>（3）</w:t>
      </w:r>
      <w:r>
        <w:rPr>
          <w:color w:val="auto"/>
          <w:highlight w:val="none"/>
        </w:rPr>
        <w:t>野生鸟类和哺乳动物大多在晨、昏（早晨、黄昏）或夜间外出觅食，正午是鸟类休息时间。为了减少施工开挖噪声对野生动物的惊扰，应做好开挖方式、数量、时间的计划，并力求避免在晨昏和正午开挖等。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在动物活动频繁区域，设置宣传牌，提高过往人员的保护意识等；施工期间采用噪音较小的施工设备，减少工程建设产生的噪音，在道路两旁设置禁鸣限速的警示牌，减少运输车辆产生的噪声。</w:t>
      </w:r>
    </w:p>
    <w:p>
      <w:pPr>
        <w:pStyle w:val="7"/>
        <w:bidi w:val="0"/>
        <w:rPr>
          <w:color w:val="auto"/>
          <w:highlight w:val="none"/>
        </w:rPr>
      </w:pPr>
      <w:bookmarkStart w:id="594" w:name="_Toc88697680"/>
      <w:r>
        <w:rPr>
          <w:rFonts w:hint="eastAsia"/>
          <w:color w:val="auto"/>
          <w:highlight w:val="none"/>
          <w:lang w:val="en-US" w:eastAsia="zh-CN"/>
        </w:rPr>
        <w:t>7.1.2.4</w:t>
      </w:r>
      <w:r>
        <w:rPr>
          <w:rFonts w:hint="eastAsia"/>
          <w:color w:val="auto"/>
          <w:highlight w:val="none"/>
        </w:rPr>
        <w:t>重点保护动物的保护措施</w:t>
      </w:r>
      <w:bookmarkEnd w:id="594"/>
    </w:p>
    <w:p>
      <w:pPr>
        <w:bidi w:val="0"/>
        <w:rPr>
          <w:color w:val="auto"/>
          <w:highlight w:val="none"/>
        </w:rPr>
      </w:pPr>
      <w:r>
        <w:rPr>
          <w:color w:val="auto"/>
          <w:highlight w:val="none"/>
        </w:rPr>
        <w:t>根据实地调查及访问、资料查阅，</w:t>
      </w:r>
      <w:r>
        <w:rPr>
          <w:rFonts w:hint="eastAsia"/>
          <w:color w:val="auto"/>
          <w:highlight w:val="none"/>
        </w:rPr>
        <w:t>大竹县</w:t>
      </w:r>
      <w:r>
        <w:rPr>
          <w:color w:val="auto"/>
          <w:highlight w:val="none"/>
        </w:rPr>
        <w:t>煤炭矿区总体规划项目评价区内无国家Ⅰ级保护动物，记录有国家Ⅱ级保护动物6种，四川省级保护动物8种。实地调查记录到</w:t>
      </w:r>
      <w:r>
        <w:rPr>
          <w:rFonts w:hint="eastAsia"/>
          <w:color w:val="auto"/>
          <w:highlight w:val="none"/>
        </w:rPr>
        <w:t>棕胸竹鸡</w:t>
      </w:r>
      <w:r>
        <w:rPr>
          <w:color w:val="auto"/>
          <w:highlight w:val="none"/>
        </w:rPr>
        <w:t>、灰胸竹鸡（Bambusicola thoracica）等。尽管项目</w:t>
      </w:r>
      <w:r>
        <w:rPr>
          <w:rFonts w:hint="eastAsia"/>
          <w:color w:val="auto"/>
          <w:highlight w:val="none"/>
        </w:rPr>
        <w:t>矿山工业场地及邻近区</w:t>
      </w:r>
      <w:r>
        <w:rPr>
          <w:color w:val="auto"/>
          <w:highlight w:val="none"/>
        </w:rPr>
        <w:t>不是这些保护动物的主要分布活动区，在施工期间仍需加强、有针对性的提出评价区重点保护动物的措施。</w:t>
      </w:r>
    </w:p>
    <w:p>
      <w:pPr>
        <w:bidi w:val="0"/>
        <w:rPr>
          <w:color w:val="auto"/>
          <w:highlight w:val="none"/>
        </w:rPr>
      </w:pPr>
      <w:r>
        <w:rPr>
          <w:color w:val="auto"/>
          <w:highlight w:val="none"/>
        </w:rPr>
        <w:t>对苍鹰、雀鹰等猛禽，由于其活动范围广，逃避能力强，无需采取特别的保护措施；对于灰胸竹鸡</w:t>
      </w:r>
      <w:r>
        <w:rPr>
          <w:rFonts w:hint="eastAsia"/>
          <w:color w:val="auto"/>
          <w:highlight w:val="none"/>
        </w:rPr>
        <w:t>、棕胸竹鸡等</w:t>
      </w:r>
      <w:r>
        <w:rPr>
          <w:color w:val="auto"/>
          <w:highlight w:val="none"/>
        </w:rPr>
        <w:t>，其主要在地面活动，且多成群结队，很容易被发现、捕捉、猎杀。因此，需广泛宣传野生动物法，禁止任何人以任何方式捕捉和猎杀。</w:t>
      </w:r>
    </w:p>
    <w:p>
      <w:pPr>
        <w:bidi w:val="0"/>
        <w:rPr>
          <w:color w:val="auto"/>
          <w:highlight w:val="none"/>
        </w:rPr>
      </w:pPr>
      <w:r>
        <w:rPr>
          <w:color w:val="auto"/>
          <w:highlight w:val="none"/>
        </w:rPr>
        <w:t>对保护兽类而言，主要禁止施工人员及其他人员上山捕猎，宣传教育与严厉打击同时实行，做到奖罚并举。</w:t>
      </w:r>
    </w:p>
    <w:p>
      <w:pPr>
        <w:pStyle w:val="7"/>
        <w:bidi w:val="0"/>
        <w:rPr>
          <w:color w:val="auto"/>
          <w:highlight w:val="none"/>
        </w:rPr>
      </w:pPr>
      <w:bookmarkStart w:id="595" w:name="_Toc88697681"/>
      <w:r>
        <w:rPr>
          <w:rFonts w:hint="eastAsia"/>
          <w:color w:val="auto"/>
          <w:highlight w:val="none"/>
          <w:lang w:val="en-US" w:eastAsia="zh-CN"/>
        </w:rPr>
        <w:t>7.1.2.5</w:t>
      </w:r>
      <w:r>
        <w:rPr>
          <w:rFonts w:hint="eastAsia"/>
          <w:color w:val="auto"/>
          <w:highlight w:val="none"/>
        </w:rPr>
        <w:t>规划建设中植物的保护措施</w:t>
      </w:r>
      <w:bookmarkEnd w:id="595"/>
    </w:p>
    <w:p>
      <w:pPr>
        <w:bidi w:val="0"/>
        <w:rPr>
          <w:color w:val="auto"/>
          <w:highlight w:val="none"/>
        </w:rPr>
      </w:pPr>
      <w:r>
        <w:rPr>
          <w:rFonts w:hint="eastAsia"/>
          <w:color w:val="auto"/>
          <w:highlight w:val="none"/>
        </w:rPr>
        <w:t>规划建设期间除了在工程管理方面尽量减少林木的砍伐和破坏外，还应采取一定的生态保护措施，已达到将施工建设对植物的影响降到最低。</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施工作业全部局限在现有工业场地内，严禁施工人员和器械超出施工区域对周边的植被、植物物种造成破坏，不应有其他越界破坏植被的施工活动。严禁施工材料的乱堆乱放、施工垃圾的随意堆放处置，以避免影响植物物种的生长。</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施工材料运输、地面开挖等施工活动将产生大量粉尘，粉尘随风四处扩散，附着于植物叶面，对周围植被生境产生不利影响。施工建设过程中应采取措施从根本上减少粉尘的污染。如配备洒水车定时洒水，防止粉尘飞扬；水泥等粉料采用封闭式运输。</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在施工期间应加强防火宣传教育，建立施工区森林防火、火警警报管理制度，作好施工人员的火源管理，严禁一切野外用火，杜绝火灾发生的可能性。</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施工单位及矿区管理人员应把保护行动落到实处：采用野生植物保护监督管理主体责任制，一旦发现破坏野生植物的行为，对其责任主体应严肃处理。</w:t>
      </w:r>
    </w:p>
    <w:p>
      <w:pPr>
        <w:pStyle w:val="7"/>
        <w:bidi w:val="0"/>
        <w:rPr>
          <w:color w:val="auto"/>
          <w:highlight w:val="none"/>
        </w:rPr>
      </w:pPr>
      <w:bookmarkStart w:id="596" w:name="_Toc88697682"/>
      <w:r>
        <w:rPr>
          <w:rFonts w:hint="eastAsia"/>
          <w:color w:val="auto"/>
          <w:highlight w:val="none"/>
          <w:lang w:val="en-US" w:eastAsia="zh-CN"/>
        </w:rPr>
        <w:t>7.1.26</w:t>
      </w:r>
      <w:r>
        <w:rPr>
          <w:rFonts w:hint="eastAsia"/>
          <w:color w:val="auto"/>
          <w:highlight w:val="none"/>
        </w:rPr>
        <w:t>重点保护植物的保护措施</w:t>
      </w:r>
      <w:bookmarkEnd w:id="596"/>
    </w:p>
    <w:p>
      <w:pPr>
        <w:bidi w:val="0"/>
        <w:rPr>
          <w:color w:val="auto"/>
          <w:highlight w:val="none"/>
        </w:rPr>
      </w:pPr>
      <w:r>
        <w:rPr>
          <w:color w:val="auto"/>
          <w:highlight w:val="none"/>
        </w:rPr>
        <w:t>经实地调查记录及资料查阅，</w:t>
      </w:r>
      <w:r>
        <w:rPr>
          <w:rFonts w:hint="eastAsia"/>
          <w:color w:val="auto"/>
          <w:highlight w:val="none"/>
        </w:rPr>
        <w:t>大竹县</w:t>
      </w:r>
      <w:r>
        <w:rPr>
          <w:color w:val="auto"/>
          <w:highlight w:val="none"/>
        </w:rPr>
        <w:t>煤炭矿区总体规划评价区内分布有保护植物11种，其中，国家Ⅰ级保护植物2种，为</w:t>
      </w:r>
      <w:r>
        <w:rPr>
          <w:rFonts w:hint="eastAsia"/>
          <w:color w:val="auto"/>
          <w:highlight w:val="none"/>
        </w:rPr>
        <w:t>水杉（Metasequoia glyptostroboides）及银杏（Ginkgo biloba L.）</w:t>
      </w:r>
      <w:r>
        <w:rPr>
          <w:color w:val="auto"/>
          <w:highlight w:val="none"/>
        </w:rPr>
        <w:t>，国家Ⅱ级保护植物9种，有连香树（Cercidiphyllum japonicum）、厚朴（Magnolia officinalis）、川黄檗（Phellodendron chinense）、白芨（Bletilla striata）等。</w:t>
      </w:r>
      <w:r>
        <w:rPr>
          <w:rFonts w:hint="eastAsia"/>
          <w:color w:val="auto"/>
          <w:highlight w:val="none"/>
        </w:rPr>
        <w:t>其中，银杏、水杉及厚朴为栽培种。</w:t>
      </w:r>
      <w:r>
        <w:rPr>
          <w:b/>
          <w:bCs/>
          <w:color w:val="auto"/>
          <w:highlight w:val="none"/>
          <w:u w:val="single"/>
        </w:rPr>
        <w:t>在项目规划建设占地区</w:t>
      </w:r>
      <w:r>
        <w:rPr>
          <w:rFonts w:hint="eastAsia"/>
          <w:b/>
          <w:bCs/>
          <w:color w:val="auto"/>
          <w:highlight w:val="none"/>
          <w:u w:val="single"/>
        </w:rPr>
        <w:t>（矿区工业场地）</w:t>
      </w:r>
      <w:r>
        <w:rPr>
          <w:b/>
          <w:bCs/>
          <w:color w:val="auto"/>
          <w:highlight w:val="none"/>
          <w:u w:val="single"/>
        </w:rPr>
        <w:t>内无野生保护植物</w:t>
      </w:r>
      <w:r>
        <w:rPr>
          <w:rFonts w:hint="eastAsia"/>
          <w:b/>
          <w:bCs/>
          <w:color w:val="auto"/>
          <w:highlight w:val="none"/>
          <w:u w:val="single"/>
        </w:rPr>
        <w:t>及古树名木</w:t>
      </w:r>
      <w:r>
        <w:rPr>
          <w:b/>
          <w:bCs/>
          <w:color w:val="auto"/>
          <w:highlight w:val="none"/>
          <w:u w:val="single"/>
        </w:rPr>
        <w:t>分布。</w:t>
      </w:r>
    </w:p>
    <w:p>
      <w:pPr>
        <w:bidi w:val="0"/>
        <w:rPr>
          <w:color w:val="auto"/>
          <w:highlight w:val="none"/>
        </w:rPr>
      </w:pPr>
      <w:r>
        <w:rPr>
          <w:color w:val="auto"/>
          <w:highlight w:val="none"/>
        </w:rPr>
        <w:t>尽管规划</w:t>
      </w:r>
      <w:r>
        <w:rPr>
          <w:rFonts w:hint="eastAsia"/>
          <w:color w:val="auto"/>
          <w:highlight w:val="none"/>
        </w:rPr>
        <w:t>建设占地</w:t>
      </w:r>
      <w:r>
        <w:rPr>
          <w:color w:val="auto"/>
          <w:highlight w:val="none"/>
        </w:rPr>
        <w:t>区内无野生保护植物的存在，但也应根据相关规定，加强重点保护植物的生态保护措施和工作</w:t>
      </w:r>
      <w:r>
        <w:rPr>
          <w:rFonts w:hint="eastAsia"/>
          <w:color w:val="auto"/>
          <w:highlight w:val="none"/>
        </w:rPr>
        <w:t>。</w:t>
      </w:r>
      <w:r>
        <w:rPr>
          <w:color w:val="auto"/>
          <w:highlight w:val="none"/>
        </w:rPr>
        <w:t>1）若在施工过程中，发现疑似国家重点野生保护植物，要立即报告并组织鉴别，并采取相应措施加以保护。2）对评价区内较大的柏木、栎类等乔木树种建议在施工过程中采取避让形式，尽量减少对大树的砍伐。</w:t>
      </w:r>
    </w:p>
    <w:p>
      <w:pPr>
        <w:pStyle w:val="6"/>
        <w:numPr>
          <w:ilvl w:val="2"/>
          <w:numId w:val="5"/>
        </w:numPr>
        <w:bidi w:val="0"/>
        <w:rPr>
          <w:color w:val="auto"/>
          <w:highlight w:val="none"/>
        </w:rPr>
      </w:pPr>
      <w:bookmarkStart w:id="597" w:name="_Toc24891"/>
      <w:bookmarkStart w:id="598" w:name="_Toc30895"/>
      <w:r>
        <w:rPr>
          <w:rFonts w:hint="eastAsia"/>
          <w:color w:val="auto"/>
          <w:highlight w:val="none"/>
        </w:rPr>
        <w:t>项目运营期间生态保护措施及建议</w:t>
      </w:r>
      <w:bookmarkEnd w:id="597"/>
      <w:bookmarkEnd w:id="598"/>
    </w:p>
    <w:p>
      <w:pPr>
        <w:pStyle w:val="7"/>
        <w:bidi w:val="0"/>
        <w:rPr>
          <w:color w:val="auto"/>
          <w:highlight w:val="none"/>
        </w:rPr>
      </w:pPr>
      <w:bookmarkStart w:id="599" w:name="_Toc88697684"/>
      <w:r>
        <w:rPr>
          <w:rFonts w:hint="eastAsia"/>
          <w:color w:val="auto"/>
          <w:highlight w:val="none"/>
          <w:lang w:val="en-US" w:eastAsia="zh-CN"/>
        </w:rPr>
        <w:t>7.1.3.1</w:t>
      </w:r>
      <w:r>
        <w:rPr>
          <w:rFonts w:hint="eastAsia"/>
          <w:color w:val="auto"/>
          <w:highlight w:val="none"/>
        </w:rPr>
        <w:t>宣传管理方面的生态保护措施</w:t>
      </w:r>
      <w:bookmarkEnd w:id="599"/>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加强生态保护宣传及教育</w:t>
      </w:r>
    </w:p>
    <w:p>
      <w:pPr>
        <w:bidi w:val="0"/>
        <w:rPr>
          <w:color w:val="auto"/>
          <w:highlight w:val="none"/>
        </w:rPr>
      </w:pPr>
      <w:r>
        <w:rPr>
          <w:color w:val="auto"/>
          <w:highlight w:val="none"/>
        </w:rPr>
        <w:t>为提高</w:t>
      </w:r>
      <w:r>
        <w:rPr>
          <w:rFonts w:hint="eastAsia"/>
          <w:color w:val="auto"/>
          <w:highlight w:val="none"/>
        </w:rPr>
        <w:t>大竹县</w:t>
      </w:r>
      <w:r>
        <w:rPr>
          <w:color w:val="auto"/>
          <w:highlight w:val="none"/>
        </w:rPr>
        <w:t>煤炭矿区生产生活人员的生态意识，塑造生态文明，应加强对其的生态教育和矿区自身的管理，主要措施有：不随意进入林区，严禁捕猎，加大对废石及煤矸石的回收利用和处理处置的基本知识的宣传。</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火灾防范措施</w:t>
      </w:r>
    </w:p>
    <w:p>
      <w:pPr>
        <w:bidi w:val="0"/>
        <w:rPr>
          <w:color w:val="auto"/>
          <w:highlight w:val="none"/>
        </w:rPr>
      </w:pPr>
      <w:r>
        <w:rPr>
          <w:color w:val="auto"/>
          <w:highlight w:val="none"/>
        </w:rPr>
        <w:t>建立区域森林防火、火警警报管理制度，做好火源管理，严禁一切野外用火，以避免森林火灾的发生和及时发现森林火灾。一旦发生火灾事故，立即启动应急预案，及时扑救，造成的生态破坏，需建立相关补偿机制，促进生态修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生态巡护</w:t>
      </w:r>
    </w:p>
    <w:p>
      <w:pPr>
        <w:bidi w:val="0"/>
        <w:rPr>
          <w:color w:val="auto"/>
          <w:highlight w:val="none"/>
        </w:rPr>
      </w:pPr>
      <w:r>
        <w:rPr>
          <w:color w:val="auto"/>
          <w:highlight w:val="none"/>
        </w:rPr>
        <w:t>矿区运营期间，由于大量的车辆与工作人员进入矿区，会对区内野生动植物造成一定的威胁。为了降低其威胁，需对工人和该地居民进行生态教育和加强巡山保护工作。同时，定期（特别是</w:t>
      </w:r>
      <w:r>
        <w:rPr>
          <w:rFonts w:hint="eastAsia"/>
          <w:color w:val="auto"/>
          <w:highlight w:val="none"/>
        </w:rPr>
        <w:t>雨季</w:t>
      </w:r>
      <w:r>
        <w:rPr>
          <w:color w:val="auto"/>
          <w:highlight w:val="none"/>
        </w:rPr>
        <w:t>）对矿区进行巡护，排查地质灾害。</w:t>
      </w:r>
    </w:p>
    <w:p>
      <w:pPr>
        <w:pStyle w:val="7"/>
        <w:bidi w:val="0"/>
        <w:rPr>
          <w:color w:val="auto"/>
          <w:highlight w:val="none"/>
        </w:rPr>
      </w:pPr>
      <w:bookmarkStart w:id="600" w:name="_Toc88697685"/>
      <w:r>
        <w:rPr>
          <w:rFonts w:hint="eastAsia"/>
          <w:color w:val="auto"/>
          <w:highlight w:val="none"/>
          <w:lang w:val="en-US" w:eastAsia="zh-CN"/>
        </w:rPr>
        <w:t>7.1.3.2</w:t>
      </w:r>
      <w:r>
        <w:rPr>
          <w:rFonts w:hint="eastAsia"/>
          <w:color w:val="auto"/>
          <w:highlight w:val="none"/>
        </w:rPr>
        <w:t>野生动物的生态保护措施</w:t>
      </w:r>
      <w:bookmarkEnd w:id="600"/>
    </w:p>
    <w:p>
      <w:pPr>
        <w:bidi w:val="0"/>
        <w:rPr>
          <w:color w:val="auto"/>
          <w:highlight w:val="none"/>
        </w:rPr>
      </w:pPr>
      <w:r>
        <w:rPr>
          <w:color w:val="auto"/>
          <w:highlight w:val="none"/>
        </w:rPr>
        <w:t>项目规划进入运营期后，施工人员撤离，应及时进行植被恢复，增加森林覆盖率。加强野生动物保护管理，禁止矿山人员和附近居民捕猎区域的野生动物；加强对生态保护教育工作，同时在一些动物可能出现的地方或矿区工作人员经过的公路沿线设立保护野生动物等宣传标牌；建立野生动物救助点，发现受伤动物，及时送往野生动物救助点进行救助；实施严格的监管监控，避免造成外来生物入侵。</w:t>
      </w:r>
    </w:p>
    <w:p>
      <w:pPr>
        <w:pStyle w:val="7"/>
        <w:bidi w:val="0"/>
        <w:rPr>
          <w:color w:val="auto"/>
          <w:highlight w:val="none"/>
        </w:rPr>
      </w:pPr>
      <w:bookmarkStart w:id="601" w:name="_Toc88697686"/>
      <w:r>
        <w:rPr>
          <w:rFonts w:hint="eastAsia"/>
          <w:color w:val="auto"/>
          <w:highlight w:val="none"/>
          <w:lang w:val="en-US" w:eastAsia="zh-CN"/>
        </w:rPr>
        <w:t>7.1.3.3</w:t>
      </w:r>
      <w:r>
        <w:rPr>
          <w:rFonts w:hint="eastAsia"/>
          <w:color w:val="auto"/>
          <w:highlight w:val="none"/>
        </w:rPr>
        <w:t>野生植物的生态保护措施</w:t>
      </w:r>
      <w:bookmarkEnd w:id="601"/>
    </w:p>
    <w:p>
      <w:pPr>
        <w:bidi w:val="0"/>
        <w:rPr>
          <w:color w:val="auto"/>
          <w:highlight w:val="none"/>
        </w:rPr>
      </w:pPr>
      <w:r>
        <w:rPr>
          <w:color w:val="auto"/>
          <w:highlight w:val="none"/>
        </w:rPr>
        <w:t>项目规划建设完成后，须对破坏的植被进行修复和补偿，主要以乡土植物或重点保护植物人工培育幼苗为主，严禁引种外来物种。</w:t>
      </w:r>
      <w:r>
        <w:rPr>
          <w:rFonts w:hint="eastAsia"/>
          <w:color w:val="auto"/>
          <w:highlight w:val="none"/>
        </w:rPr>
        <w:t>加强矿山工业场地内的绿化工作，可种植柏木、圆柏、银杏、水杉等。</w:t>
      </w:r>
    </w:p>
    <w:p>
      <w:pPr>
        <w:bidi w:val="0"/>
        <w:rPr>
          <w:color w:val="auto"/>
          <w:highlight w:val="none"/>
        </w:rPr>
      </w:pPr>
      <w:r>
        <w:rPr>
          <w:color w:val="auto"/>
          <w:highlight w:val="none"/>
        </w:rPr>
        <w:t>强化野生植物和动物栖息地保护管理，严禁在矿区内实施伐树、砍柴、挖药等活动；加强区域植物检疫工作，防止外来病虫害危害区域植物资源（尤其是马尾松林）和栖息地环境。</w:t>
      </w:r>
    </w:p>
    <w:p>
      <w:pPr>
        <w:pStyle w:val="7"/>
        <w:bidi w:val="0"/>
        <w:rPr>
          <w:color w:val="auto"/>
          <w:highlight w:val="none"/>
        </w:rPr>
      </w:pPr>
      <w:bookmarkStart w:id="602" w:name="_Toc88697687"/>
      <w:r>
        <w:rPr>
          <w:rFonts w:hint="eastAsia"/>
          <w:color w:val="auto"/>
          <w:highlight w:val="none"/>
          <w:lang w:val="en-US" w:eastAsia="zh-CN"/>
        </w:rPr>
        <w:t>7.1.3.4</w:t>
      </w:r>
      <w:r>
        <w:rPr>
          <w:rFonts w:hint="eastAsia"/>
          <w:color w:val="auto"/>
          <w:highlight w:val="none"/>
        </w:rPr>
        <w:t>重点保护动植物的保护措施</w:t>
      </w:r>
      <w:bookmarkEnd w:id="602"/>
    </w:p>
    <w:p>
      <w:pPr>
        <w:bidi w:val="0"/>
        <w:rPr>
          <w:color w:val="auto"/>
          <w:highlight w:val="none"/>
        </w:rPr>
      </w:pPr>
      <w:r>
        <w:rPr>
          <w:color w:val="auto"/>
          <w:highlight w:val="none"/>
        </w:rPr>
        <w:t>项目规划建设完成进入运营期后，对区域重点保护动植物的影响来源于矿区工作人员的长期活动，对此，</w:t>
      </w:r>
      <w:r>
        <w:rPr>
          <w:rFonts w:hint="eastAsia"/>
          <w:color w:val="auto"/>
          <w:highlight w:val="none"/>
        </w:rPr>
        <w:t>大竹县</w:t>
      </w:r>
      <w:r>
        <w:rPr>
          <w:color w:val="auto"/>
          <w:highlight w:val="none"/>
        </w:rPr>
        <w:t>煤炭矿区运营期间应做好宣传、巡护、监测等保护措施，具体有：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对每位工作人员</w:t>
      </w:r>
      <w:r>
        <w:rPr>
          <w:rFonts w:hint="eastAsia"/>
          <w:color w:val="auto"/>
          <w:highlight w:val="none"/>
        </w:rPr>
        <w:t>及矿工</w:t>
      </w:r>
      <w:r>
        <w:rPr>
          <w:color w:val="auto"/>
          <w:highlight w:val="none"/>
        </w:rPr>
        <w:t>发放野生保护动植物保护宣传手册或者管理生活区域上增设报刊亭，摆放保护宣传手册，介绍野生保护动植物的保护价值、紧迫性、意义等，增强工作人员的保护意识；注明伤害保护动植物需承担的法律责任。</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为便于</w:t>
      </w:r>
      <w:r>
        <w:rPr>
          <w:rFonts w:hint="eastAsia"/>
          <w:color w:val="auto"/>
          <w:highlight w:val="none"/>
        </w:rPr>
        <w:t>大竹县各</w:t>
      </w:r>
      <w:r>
        <w:rPr>
          <w:color w:val="auto"/>
          <w:highlight w:val="none"/>
        </w:rPr>
        <w:t>煤炭矿区运营期间的保护管理，建议在敏感位置建设大型警示牌和禁鸣牌，并落实专业管理人员和巡护人员长期保护和监测。</w:t>
      </w:r>
    </w:p>
    <w:p>
      <w:pPr>
        <w:pStyle w:val="7"/>
        <w:bidi w:val="0"/>
        <w:rPr>
          <w:rFonts w:hint="eastAsia"/>
          <w:color w:val="auto"/>
          <w:highlight w:val="none"/>
          <w:lang w:eastAsia="zh-CN"/>
        </w:rPr>
      </w:pPr>
      <w:r>
        <w:rPr>
          <w:rFonts w:hint="eastAsia"/>
          <w:color w:val="auto"/>
          <w:highlight w:val="none"/>
          <w:lang w:val="en-US" w:eastAsia="zh-CN"/>
        </w:rPr>
        <w:t>7.1.3.5</w:t>
      </w:r>
      <w:r>
        <w:rPr>
          <w:rFonts w:hint="eastAsia"/>
          <w:color w:val="auto"/>
          <w:highlight w:val="none"/>
          <w:lang w:eastAsia="zh-CN"/>
        </w:rPr>
        <w:t>地表沉陷及矸石场影响消减措施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地表沉陷</w:t>
      </w:r>
    </w:p>
    <w:p>
      <w:pPr>
        <w:bidi w:val="0"/>
        <w:rPr>
          <w:color w:val="auto"/>
          <w:highlight w:val="none"/>
        </w:rPr>
      </w:pPr>
      <w:r>
        <w:rPr>
          <w:color w:val="auto"/>
          <w:highlight w:val="none"/>
        </w:rPr>
        <w:t>针对不同地层构造和土层厚度，地表深陷处理方案及工艺如下：</w:t>
      </w:r>
    </w:p>
    <w:p>
      <w:pPr>
        <w:bidi w:val="0"/>
        <w:rPr>
          <w:color w:val="auto"/>
          <w:highlight w:val="none"/>
        </w:rPr>
      </w:pPr>
      <w:r>
        <w:rPr>
          <w:color w:val="auto"/>
          <w:highlight w:val="none"/>
        </w:rPr>
        <w:t>对轻度破坏，裂缝较小的土地，主要采用黄土填堵方法。即将裂缝挖开，采用黄土填堵、夯实，要求密度达1.40t/m</w:t>
      </w:r>
      <w:r>
        <w:rPr>
          <w:color w:val="auto"/>
          <w:highlight w:val="none"/>
          <w:vertAlign w:val="superscript"/>
        </w:rPr>
        <w:t>3</w:t>
      </w:r>
      <w:r>
        <w:rPr>
          <w:color w:val="auto"/>
          <w:highlight w:val="none"/>
        </w:rPr>
        <w:t>以上。此种方法土方工程量较少，经济可行，土地类型和土壤理化性态基本不变。</w:t>
      </w:r>
    </w:p>
    <w:p>
      <w:pPr>
        <w:bidi w:val="0"/>
        <w:rPr>
          <w:color w:val="auto"/>
          <w:highlight w:val="none"/>
        </w:rPr>
      </w:pPr>
      <w:r>
        <w:rPr>
          <w:color w:val="auto"/>
          <w:highlight w:val="none"/>
        </w:rPr>
        <w:t>对破坏程度较大土层的土地，充填步骤如下：</w:t>
      </w:r>
    </w:p>
    <w:p>
      <w:pPr>
        <w:bidi w:val="0"/>
        <w:rPr>
          <w:color w:val="auto"/>
          <w:highlight w:val="none"/>
        </w:rPr>
      </w:pPr>
      <w:r>
        <w:rPr>
          <w:rFonts w:hint="eastAsia"/>
          <w:color w:val="auto"/>
          <w:highlight w:val="none"/>
          <w:lang w:val="en-US" w:eastAsia="zh-CN"/>
        </w:rPr>
        <w:t>①</w:t>
      </w:r>
      <w:r>
        <w:rPr>
          <w:color w:val="auto"/>
          <w:highlight w:val="none"/>
        </w:rPr>
        <w:t>剥离裂缝地周围和需要削高垫低部位的表层土壤并就近堆放，剥离厚度为表层土壤厚度。</w:t>
      </w:r>
    </w:p>
    <w:p>
      <w:pPr>
        <w:bidi w:val="0"/>
        <w:rPr>
          <w:color w:val="auto"/>
          <w:highlight w:val="none"/>
        </w:rPr>
      </w:pPr>
      <w:r>
        <w:rPr>
          <w:rFonts w:hint="eastAsia"/>
          <w:color w:val="auto"/>
          <w:highlight w:val="none"/>
          <w:lang w:val="en-US" w:eastAsia="zh-CN"/>
        </w:rPr>
        <w:t>②</w:t>
      </w:r>
      <w:r>
        <w:rPr>
          <w:color w:val="auto"/>
          <w:highlight w:val="none"/>
        </w:rPr>
        <w:t>在复垦场地附近上坡方向就近选取土作为回填物。</w:t>
      </w:r>
    </w:p>
    <w:p>
      <w:pPr>
        <w:bidi w:val="0"/>
        <w:rPr>
          <w:color w:val="auto"/>
          <w:highlight w:val="none"/>
        </w:rPr>
      </w:pPr>
      <w:r>
        <w:rPr>
          <w:rFonts w:hint="eastAsia"/>
          <w:color w:val="auto"/>
          <w:highlight w:val="none"/>
          <w:lang w:val="en-US" w:eastAsia="zh-CN"/>
        </w:rPr>
        <w:t>③</w:t>
      </w:r>
      <w:r>
        <w:rPr>
          <w:color w:val="auto"/>
          <w:highlight w:val="none"/>
        </w:rPr>
        <w:t>将回填物对沉陷裂缝进行填充，在充填部位或削高垫低部位覆盖耕层土壤。对于还未稳定的沉陷区域，应略比周围田面高出5~10cm，待其稳定沉实后可与周围地面基本齐平。</w:t>
      </w:r>
    </w:p>
    <w:p>
      <w:pPr>
        <w:bidi w:val="0"/>
        <w:rPr>
          <w:color w:val="auto"/>
          <w:highlight w:val="none"/>
        </w:rPr>
      </w:pPr>
      <w:r>
        <w:rPr>
          <w:rFonts w:hint="eastAsia"/>
          <w:color w:val="auto"/>
          <w:highlight w:val="none"/>
          <w:lang w:val="en-US" w:eastAsia="zh-CN"/>
        </w:rPr>
        <w:t>④</w:t>
      </w:r>
      <w:r>
        <w:rPr>
          <w:color w:val="auto"/>
          <w:highlight w:val="none"/>
        </w:rPr>
        <w:t>对于表层土壤质量较差的地块，直接剥离就近生土充填裂缝，不进行表土单独剥离。为减少对土壤理化性质的影响，裂缝处理应尽量采取简易的人工裂缝填充方法，以避免机械裂缝填充造成土壤紧实度加大。对无法采取简易人工裂缝处理的区域，可以对机械复垦后的土地采取土地深翻、土壤熟化等措施减缓、恢复和提高土壤肥力。</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排矸场</w:t>
      </w:r>
    </w:p>
    <w:p>
      <w:pPr>
        <w:bidi w:val="0"/>
        <w:rPr>
          <w:color w:val="auto"/>
          <w:highlight w:val="none"/>
        </w:rPr>
      </w:pPr>
      <w:r>
        <w:rPr>
          <w:rFonts w:hint="eastAsia"/>
          <w:color w:val="auto"/>
          <w:highlight w:val="none"/>
          <w:lang w:eastAsia="zh-CN"/>
        </w:rPr>
        <w:t>规划矿区</w:t>
      </w:r>
      <w:r>
        <w:rPr>
          <w:color w:val="auto"/>
          <w:highlight w:val="none"/>
        </w:rPr>
        <w:t>各矿井现有排矸场占地面积约</w:t>
      </w:r>
      <w:r>
        <w:rPr>
          <w:rFonts w:hint="eastAsia"/>
          <w:color w:val="auto"/>
          <w:highlight w:val="none"/>
          <w:lang w:val="en-US" w:eastAsia="zh-CN"/>
        </w:rPr>
        <w:t>15.96</w:t>
      </w:r>
      <w:r>
        <w:rPr>
          <w:color w:val="auto"/>
          <w:highlight w:val="none"/>
        </w:rPr>
        <w:t>hm</w:t>
      </w:r>
      <w:r>
        <w:rPr>
          <w:color w:val="auto"/>
          <w:highlight w:val="none"/>
          <w:vertAlign w:val="superscript"/>
        </w:rPr>
        <w:t>2</w:t>
      </w:r>
      <w:r>
        <w:rPr>
          <w:color w:val="auto"/>
          <w:highlight w:val="none"/>
        </w:rPr>
        <w:t>。据调查，</w:t>
      </w:r>
      <w:r>
        <w:rPr>
          <w:rFonts w:hint="eastAsia"/>
          <w:color w:val="auto"/>
          <w:highlight w:val="none"/>
          <w:lang w:eastAsia="zh-CN"/>
        </w:rPr>
        <w:t>当前各矿井均已有</w:t>
      </w:r>
      <w:r>
        <w:rPr>
          <w:color w:val="auto"/>
          <w:highlight w:val="none"/>
        </w:rPr>
        <w:t>矸石综合利用方案</w:t>
      </w:r>
      <w:r>
        <w:rPr>
          <w:rFonts w:hint="eastAsia"/>
          <w:color w:val="auto"/>
          <w:highlight w:val="none"/>
          <w:lang w:eastAsia="zh-CN"/>
        </w:rPr>
        <w:t>，各矿井排矸场均为早年已建矸石场（规划实施均不新增或扩建矸石场），早年由于管理的不到位及防治措施的不足，对周围生态环境有一定程度的破坏，近年加强管理后各矿井矸石场原有的矸石基本都以综合利用处置了，停产的矿井也没有新的矸石产生，在生产的矿井矸石基本能做到即产即处置。</w:t>
      </w:r>
      <w:r>
        <w:rPr>
          <w:color w:val="auto"/>
          <w:highlight w:val="none"/>
        </w:rPr>
        <w:t>本环评要求矿区</w:t>
      </w:r>
      <w:r>
        <w:rPr>
          <w:rFonts w:hint="eastAsia"/>
          <w:color w:val="auto"/>
          <w:highlight w:val="none"/>
          <w:lang w:eastAsia="zh-CN"/>
        </w:rPr>
        <w:t>各</w:t>
      </w:r>
      <w:r>
        <w:rPr>
          <w:color w:val="auto"/>
          <w:highlight w:val="none"/>
        </w:rPr>
        <w:t>矿井</w:t>
      </w:r>
      <w:r>
        <w:rPr>
          <w:rFonts w:hint="eastAsia"/>
          <w:color w:val="auto"/>
          <w:highlight w:val="none"/>
          <w:lang w:eastAsia="zh-CN"/>
        </w:rPr>
        <w:t>严格</w:t>
      </w:r>
      <w:r>
        <w:rPr>
          <w:color w:val="auto"/>
          <w:highlight w:val="none"/>
        </w:rPr>
        <w:t>按照《煤矸石综合利用管理办法》，各矿现有排矸场作为矸石周转场地，占地面积不超过3a存矸量。</w:t>
      </w:r>
    </w:p>
    <w:p>
      <w:pPr>
        <w:pStyle w:val="6"/>
        <w:numPr>
          <w:ilvl w:val="2"/>
          <w:numId w:val="5"/>
        </w:numPr>
        <w:bidi w:val="0"/>
        <w:rPr>
          <w:color w:val="auto"/>
          <w:highlight w:val="none"/>
        </w:rPr>
      </w:pPr>
      <w:bookmarkStart w:id="603" w:name="7.1.2 矿区生态环境防治措施"/>
      <w:bookmarkEnd w:id="603"/>
      <w:bookmarkStart w:id="604" w:name="7.1.2 矿区生态环境防治措施"/>
      <w:bookmarkEnd w:id="604"/>
      <w:bookmarkStart w:id="605" w:name="_Toc21442"/>
      <w:bookmarkStart w:id="606" w:name="_Toc6129"/>
      <w:r>
        <w:rPr>
          <w:color w:val="auto"/>
          <w:highlight w:val="none"/>
        </w:rPr>
        <w:t>服务期满后生态保护措施</w:t>
      </w:r>
      <w:bookmarkEnd w:id="605"/>
      <w:bookmarkEnd w:id="606"/>
    </w:p>
    <w:p>
      <w:pPr>
        <w:bidi w:val="0"/>
        <w:rPr>
          <w:color w:val="auto"/>
          <w:highlight w:val="none"/>
        </w:rPr>
      </w:pPr>
      <w:r>
        <w:rPr>
          <w:color w:val="auto"/>
          <w:highlight w:val="none"/>
        </w:rPr>
        <w:t>矿山服务期满后，废水、废石、噪声等均不再产生和排放，污染影响大部分消失，残余的影响以生态环境影响为主。生态保护措施主要针对地下开采硐口区、运输道路的生态复垦。矿山服务期满时，其对区域生态环境的影响已经减弱甚至消失。</w:t>
      </w:r>
    </w:p>
    <w:p>
      <w:pPr>
        <w:bidi w:val="0"/>
        <w:rPr>
          <w:color w:val="auto"/>
          <w:highlight w:val="none"/>
        </w:rPr>
      </w:pPr>
      <w:r>
        <w:rPr>
          <w:color w:val="auto"/>
          <w:highlight w:val="none"/>
        </w:rPr>
        <w:t>矿山服务期满后，采矿权人必须依法办理闭矿或停办手续，并对矿区生态进行重建，落实污染防治和生态恢复计划，对矿山边坡进行治理以及植被的恢复。规划要求采取以下生态保护措施：</w:t>
      </w:r>
    </w:p>
    <w:p>
      <w:pPr>
        <w:bidi w:val="0"/>
        <w:rPr>
          <w:color w:val="auto"/>
          <w:highlight w:val="none"/>
        </w:rPr>
      </w:pPr>
      <w:r>
        <w:rPr>
          <w:rFonts w:hint="eastAsia"/>
          <w:color w:val="auto"/>
          <w:highlight w:val="none"/>
        </w:rPr>
        <w:t>（1）</w:t>
      </w:r>
      <w:r>
        <w:rPr>
          <w:color w:val="auto"/>
          <w:highlight w:val="none"/>
        </w:rPr>
        <w:t>矿山各种建筑设施中不再使用的房屋设施要立即拆除。</w:t>
      </w:r>
    </w:p>
    <w:p>
      <w:pPr>
        <w:bidi w:val="0"/>
        <w:rPr>
          <w:color w:val="auto"/>
          <w:highlight w:val="none"/>
        </w:rPr>
      </w:pPr>
      <w:r>
        <w:rPr>
          <w:rFonts w:hint="eastAsia"/>
          <w:color w:val="auto"/>
          <w:highlight w:val="none"/>
        </w:rPr>
        <w:t>（2）</w:t>
      </w:r>
      <w:r>
        <w:rPr>
          <w:color w:val="auto"/>
          <w:highlight w:val="none"/>
        </w:rPr>
        <w:t>项目区因地制宜的开展复垦工程，覆盖300~500mm的表土，种植速生、草灌为主的乡土品种，合理安排复垦区的保水和排水。</w:t>
      </w:r>
    </w:p>
    <w:p>
      <w:pPr>
        <w:bidi w:val="0"/>
        <w:rPr>
          <w:color w:val="auto"/>
          <w:highlight w:val="none"/>
        </w:rPr>
      </w:pPr>
      <w:r>
        <w:rPr>
          <w:rFonts w:hint="eastAsia"/>
          <w:color w:val="auto"/>
          <w:highlight w:val="none"/>
        </w:rPr>
        <w:t>（3）</w:t>
      </w:r>
      <w:r>
        <w:rPr>
          <w:color w:val="auto"/>
          <w:highlight w:val="none"/>
        </w:rPr>
        <w:t>废弃地复垦应纳入矿山日常生产与管理；矿山生产过程中应采取种植植物和覆盖等复垦措施，对矿山永久性坡面进行稳定化处理，防止水土流失和滑坡待其服务期满后，应及时封场和复垦，防止水土流失及风蚀扬尘等。采用生物工程进行废弃地复垦时，宜对土壤重构、地形、景观进行优化设计，对物种选择、配置及种植方式进行优化。</w:t>
      </w:r>
    </w:p>
    <w:p>
      <w:pPr>
        <w:bidi w:val="0"/>
        <w:rPr>
          <w:color w:val="auto"/>
          <w:highlight w:val="none"/>
        </w:rPr>
      </w:pPr>
      <w:r>
        <w:rPr>
          <w:rFonts w:hint="eastAsia"/>
          <w:color w:val="auto"/>
          <w:highlight w:val="none"/>
        </w:rPr>
        <w:t>（4）</w:t>
      </w:r>
      <w:r>
        <w:rPr>
          <w:color w:val="auto"/>
          <w:highlight w:val="none"/>
        </w:rPr>
        <w:t>加强生态系统的监测。制定生态系统监测方案，监测内容应包括污染水平和生态系统功能、结构方面的变化，及时提供信息，以保证在生态系统变化未达到允许水平之前，及时采取有效措施。</w:t>
      </w:r>
    </w:p>
    <w:p>
      <w:pPr>
        <w:bidi w:val="0"/>
        <w:rPr>
          <w:color w:val="auto"/>
          <w:highlight w:val="none"/>
        </w:rPr>
      </w:pPr>
      <w:r>
        <w:rPr>
          <w:rFonts w:hint="eastAsia"/>
          <w:color w:val="auto"/>
          <w:highlight w:val="none"/>
        </w:rPr>
        <w:t>（5）</w:t>
      </w:r>
      <w:r>
        <w:rPr>
          <w:color w:val="auto"/>
          <w:highlight w:val="none"/>
        </w:rPr>
        <w:t>矿区在开采完毕后，及时实施封禁管育恢复植被措施，不准在封禁区从事不利于植被恢复的为人活动，并对局部破坏地与荒地进行补植，封育期5年。</w:t>
      </w:r>
    </w:p>
    <w:p>
      <w:pPr>
        <w:pStyle w:val="6"/>
        <w:numPr>
          <w:ilvl w:val="2"/>
          <w:numId w:val="5"/>
        </w:numPr>
        <w:bidi w:val="0"/>
        <w:rPr>
          <w:color w:val="auto"/>
          <w:highlight w:val="none"/>
        </w:rPr>
      </w:pPr>
      <w:bookmarkStart w:id="607" w:name="_Toc4576"/>
      <w:bookmarkStart w:id="608" w:name="_Toc17354"/>
      <w:r>
        <w:rPr>
          <w:rFonts w:hint="eastAsia"/>
          <w:color w:val="auto"/>
          <w:highlight w:val="none"/>
        </w:rPr>
        <w:t>生态管理与监测措施</w:t>
      </w:r>
      <w:bookmarkEnd w:id="607"/>
      <w:bookmarkEnd w:id="608"/>
    </w:p>
    <w:p>
      <w:pPr>
        <w:pStyle w:val="7"/>
        <w:bidi w:val="0"/>
        <w:rPr>
          <w:color w:val="auto"/>
          <w:highlight w:val="none"/>
        </w:rPr>
      </w:pPr>
      <w:bookmarkStart w:id="609" w:name="_Toc88697690"/>
      <w:r>
        <w:rPr>
          <w:rFonts w:hint="eastAsia"/>
          <w:color w:val="auto"/>
          <w:highlight w:val="none"/>
          <w:lang w:val="en-US" w:eastAsia="zh-CN"/>
        </w:rPr>
        <w:t>7.1.5.1</w:t>
      </w:r>
      <w:r>
        <w:rPr>
          <w:rFonts w:hint="eastAsia"/>
          <w:color w:val="auto"/>
          <w:highlight w:val="none"/>
        </w:rPr>
        <w:t>生态管理</w:t>
      </w:r>
      <w:bookmarkEnd w:id="609"/>
    </w:p>
    <w:p>
      <w:pPr>
        <w:bidi w:val="0"/>
        <w:rPr>
          <w:color w:val="auto"/>
          <w:highlight w:val="none"/>
        </w:rPr>
      </w:pPr>
      <w:r>
        <w:rPr>
          <w:color w:val="auto"/>
          <w:highlight w:val="none"/>
        </w:rPr>
        <w:t>本次针对</w:t>
      </w:r>
      <w:r>
        <w:rPr>
          <w:rFonts w:hint="eastAsia"/>
          <w:color w:val="auto"/>
          <w:highlight w:val="none"/>
        </w:rPr>
        <w:t>大竹县</w:t>
      </w:r>
      <w:r>
        <w:rPr>
          <w:color w:val="auto"/>
          <w:highlight w:val="none"/>
        </w:rPr>
        <w:t>煤炭矿区总体规划的评价，要求</w:t>
      </w:r>
      <w:r>
        <w:rPr>
          <w:rFonts w:hint="eastAsia"/>
          <w:color w:val="auto"/>
          <w:highlight w:val="none"/>
        </w:rPr>
        <w:t>大竹县各</w:t>
      </w:r>
      <w:r>
        <w:rPr>
          <w:color w:val="auto"/>
          <w:highlight w:val="none"/>
        </w:rPr>
        <w:t>煤炭矿区在规划施工和运营期间应成立生态环境保护管理监督小组并制定生态环境保护管理制度，实行责任到人、制度上墙；严格监督管理，使各项保护措施及制度落实到位。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加强法制教育。定期组织员工学习《中华人民共和国森林法》、《中华人民共和国野生植物保护条例》等法律法规，提高工作人员的保护意识。在施工场地等区域设立一定数量的野生动植物保护警示标牌，起到保护宣传的作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加强制度建设。建立环境保护、环境宣传、监督等管理制度，并明确职责，并严格贯彻落实。</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加强生态监测。配备或聘请生态监测人员，制定生态监测方案，加强对区域自然资源、动植物多样性、生态系统等的监测工作。根据监测结果，综合分析，适时提出科学、合理的保护措施。</w:t>
      </w:r>
    </w:p>
    <w:p>
      <w:pPr>
        <w:pStyle w:val="7"/>
        <w:bidi w:val="0"/>
        <w:rPr>
          <w:color w:val="auto"/>
          <w:highlight w:val="none"/>
        </w:rPr>
      </w:pPr>
      <w:bookmarkStart w:id="610" w:name="_Toc88697691"/>
      <w:r>
        <w:rPr>
          <w:rFonts w:hint="eastAsia"/>
          <w:color w:val="auto"/>
          <w:highlight w:val="none"/>
          <w:lang w:val="en-US" w:eastAsia="zh-CN"/>
        </w:rPr>
        <w:t>7.1.5.2</w:t>
      </w:r>
      <w:r>
        <w:rPr>
          <w:rFonts w:hint="eastAsia"/>
          <w:color w:val="auto"/>
          <w:highlight w:val="none"/>
        </w:rPr>
        <w:t>生态监测</w:t>
      </w:r>
      <w:bookmarkEnd w:id="610"/>
    </w:p>
    <w:p>
      <w:pPr>
        <w:bidi w:val="0"/>
        <w:rPr>
          <w:color w:val="auto"/>
          <w:highlight w:val="none"/>
        </w:rPr>
      </w:pPr>
      <w:r>
        <w:rPr>
          <w:rFonts w:hint="eastAsia"/>
          <w:color w:val="auto"/>
          <w:highlight w:val="none"/>
        </w:rPr>
        <w:t>大竹县</w:t>
      </w:r>
      <w:r>
        <w:rPr>
          <w:color w:val="auto"/>
          <w:highlight w:val="none"/>
        </w:rPr>
        <w:t>煤炭矿区的运营客观上增强了区域的可进入性，为了保证项目的有效管理，必须在项目运营期间加强生态监测与监理力度，并建设一定的生态监测管理设施。坚持定期对区域生态环境现状进行监测，特别是加强矿区附近区域的监测工作，以便根据监测结果对区域生态环境保护的管理工作提供科学参考。建立项目对野生动植物影响的生态监测体系和制度，明确监测任务、监测人员、监测时间及频次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生态监测内容</w:t>
      </w:r>
    </w:p>
    <w:p>
      <w:pPr>
        <w:bidi w:val="0"/>
        <w:rPr>
          <w:color w:val="auto"/>
          <w:highlight w:val="none"/>
        </w:rPr>
      </w:pPr>
      <w:r>
        <w:rPr>
          <w:color w:val="auto"/>
          <w:highlight w:val="none"/>
        </w:rPr>
        <w:t>监测内容包括评价区域及周边区域环境野生动植物种类、数量、种群密度、受威胁情况、栖息地恢复状况等；生态系统结构及功能的变化；重点保护野生动植物的组成及数量、分布。同时，开展周边土壤、空气、水质量的监测。</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监测方法</w:t>
      </w:r>
    </w:p>
    <w:p>
      <w:pPr>
        <w:bidi w:val="0"/>
        <w:rPr>
          <w:color w:val="auto"/>
          <w:highlight w:val="none"/>
        </w:rPr>
      </w:pPr>
      <w:r>
        <w:rPr>
          <w:color w:val="auto"/>
          <w:highlight w:val="none"/>
        </w:rPr>
        <w:t>植物监测以固定样方进行监测；野生动物多样性的监测主要通过设置调查样线进行观察记录（记录种类、数量、距离、活动痕迹、粪便、时间等调查参数）；小兽类则主要通过在矿区及周边区域随机选择样地以“铗夜法”记录各类生境中的小兽类数量、种类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技术要求</w:t>
      </w:r>
    </w:p>
    <w:p>
      <w:pPr>
        <w:bidi w:val="0"/>
        <w:rPr>
          <w:color w:val="auto"/>
          <w:highlight w:val="none"/>
        </w:rPr>
      </w:pPr>
      <w:r>
        <w:rPr>
          <w:b/>
          <w:bCs/>
          <w:color w:val="auto"/>
          <w:highlight w:val="none"/>
        </w:rPr>
        <w:t>样线调查：</w:t>
      </w:r>
      <w:r>
        <w:rPr>
          <w:color w:val="auto"/>
          <w:highlight w:val="none"/>
        </w:rPr>
        <w:t>沿着选定的样线调查植物的组成及分布，统计兽类、鸟类、两栖类和爬行类的物种、数量及出现频率。</w:t>
      </w:r>
      <w:r>
        <w:rPr>
          <w:b/>
          <w:bCs/>
          <w:color w:val="auto"/>
          <w:highlight w:val="none"/>
        </w:rPr>
        <w:t>样方调查：</w:t>
      </w:r>
      <w:r>
        <w:rPr>
          <w:color w:val="auto"/>
          <w:highlight w:val="none"/>
        </w:rPr>
        <w:t>植物样方调查主要记录植物种类、郁闭度、冠幅、胸径、物候相、盖度、多度等指标；</w:t>
      </w:r>
      <w:r>
        <w:rPr>
          <w:b/>
          <w:bCs/>
          <w:color w:val="auto"/>
          <w:highlight w:val="none"/>
        </w:rPr>
        <w:t>小型兽类样方：</w:t>
      </w:r>
      <w:r>
        <w:rPr>
          <w:color w:val="auto"/>
          <w:highlight w:val="none"/>
        </w:rPr>
        <w:t>采用“铗夜法”调查小型兽类动物种类、数量等。</w:t>
      </w:r>
      <w:r>
        <w:rPr>
          <w:b/>
          <w:bCs/>
          <w:color w:val="auto"/>
          <w:highlight w:val="none"/>
        </w:rPr>
        <w:t>访问：</w:t>
      </w:r>
      <w:r>
        <w:rPr>
          <w:color w:val="auto"/>
          <w:highlight w:val="none"/>
        </w:rPr>
        <w:t>为了对评价区域有更深入的了解和掌握，通过访问当地居民等方法对调查结果进行修正，特别是动物调查将是非常有效和必要的。</w:t>
      </w:r>
    </w:p>
    <w:p>
      <w:pPr>
        <w:pStyle w:val="6"/>
        <w:numPr>
          <w:ilvl w:val="2"/>
          <w:numId w:val="5"/>
        </w:numPr>
        <w:bidi w:val="0"/>
        <w:rPr>
          <w:color w:val="auto"/>
          <w:highlight w:val="none"/>
        </w:rPr>
      </w:pPr>
      <w:bookmarkStart w:id="611" w:name="_Toc28043"/>
      <w:bookmarkStart w:id="612" w:name="_Toc1183"/>
      <w:r>
        <w:rPr>
          <w:rFonts w:hint="eastAsia"/>
          <w:color w:val="auto"/>
          <w:highlight w:val="none"/>
        </w:rPr>
        <w:t>生态恢复与补偿措施</w:t>
      </w:r>
      <w:bookmarkEnd w:id="611"/>
      <w:bookmarkEnd w:id="612"/>
    </w:p>
    <w:p>
      <w:pPr>
        <w:pStyle w:val="7"/>
        <w:bidi w:val="0"/>
        <w:rPr>
          <w:rFonts w:eastAsia="仿宋_GB2312"/>
          <w:b/>
          <w:bCs/>
          <w:color w:val="auto"/>
          <w:highlight w:val="none"/>
        </w:rPr>
      </w:pPr>
      <w:bookmarkStart w:id="613" w:name="_Toc88697693"/>
      <w:r>
        <w:rPr>
          <w:rFonts w:hint="eastAsia" w:eastAsia="仿宋_GB2312"/>
          <w:b/>
          <w:bCs/>
          <w:color w:val="auto"/>
          <w:highlight w:val="none"/>
          <w:lang w:val="en-US" w:eastAsia="zh-CN"/>
        </w:rPr>
        <w:t>7.1.6.1</w:t>
      </w:r>
      <w:r>
        <w:rPr>
          <w:rFonts w:hint="eastAsia" w:eastAsia="仿宋_GB2312"/>
          <w:b/>
          <w:bCs/>
          <w:color w:val="auto"/>
          <w:highlight w:val="none"/>
        </w:rPr>
        <w:t>生态保护与恢复工程及措施</w:t>
      </w:r>
      <w:bookmarkEnd w:id="613"/>
    </w:p>
    <w:p>
      <w:pPr>
        <w:bidi w:val="0"/>
        <w:rPr>
          <w:color w:val="auto"/>
          <w:highlight w:val="none"/>
        </w:rPr>
      </w:pPr>
      <w:r>
        <w:rPr>
          <w:color w:val="auto"/>
          <w:highlight w:val="none"/>
        </w:rPr>
        <w:t>项目规划建设完成后，应根据占地情况等进行相应的生态恢复，做好占地区的植被恢复工作：依据灌草相结合的植物配置方式进行人工造林和利用人工培育的保护植物幼苗进行绿化，并加以宣传保护。</w:t>
      </w:r>
      <w:r>
        <w:rPr>
          <w:rFonts w:hint="eastAsia"/>
          <w:color w:val="auto"/>
          <w:highlight w:val="none"/>
        </w:rPr>
        <w:t>如在工业场地周围、道路两旁及建筑物周围，种植一些枝叶茂密的针叶木、灌木，并注意高矮搭配，形成一定宽度的除尘、吸声林带。</w:t>
      </w:r>
    </w:p>
    <w:p>
      <w:pPr>
        <w:bidi w:val="0"/>
        <w:rPr>
          <w:color w:val="auto"/>
          <w:highlight w:val="none"/>
        </w:rPr>
      </w:pPr>
      <w:r>
        <w:rPr>
          <w:color w:val="auto"/>
          <w:highlight w:val="none"/>
        </w:rPr>
        <w:t>此外，生态保护工程还包括设立野生动物救助点、生态巡护管理处、生态恢复及监测、防火监控系统、警示标牌工程等。其中，野生动物救助点、生态巡护管理处建议设置在行政设施区域与居民区。</w:t>
      </w:r>
    </w:p>
    <w:p>
      <w:pPr>
        <w:pStyle w:val="7"/>
        <w:bidi w:val="0"/>
        <w:rPr>
          <w:rFonts w:eastAsia="仿宋_GB2312"/>
          <w:b/>
          <w:bCs/>
          <w:color w:val="auto"/>
          <w:highlight w:val="none"/>
        </w:rPr>
      </w:pPr>
      <w:bookmarkStart w:id="614" w:name="_Toc88697694"/>
      <w:r>
        <w:rPr>
          <w:rFonts w:hint="eastAsia" w:eastAsia="仿宋_GB2312"/>
          <w:b/>
          <w:bCs/>
          <w:color w:val="auto"/>
          <w:highlight w:val="none"/>
          <w:lang w:val="en-US" w:eastAsia="zh-CN"/>
        </w:rPr>
        <w:t>7.1.6.2</w:t>
      </w:r>
      <w:r>
        <w:rPr>
          <w:rFonts w:hint="eastAsia" w:eastAsia="仿宋_GB2312"/>
          <w:b/>
          <w:bCs/>
          <w:color w:val="auto"/>
          <w:highlight w:val="none"/>
        </w:rPr>
        <w:t>四川五峰山国家森林公园补偿措施</w:t>
      </w:r>
      <w:bookmarkEnd w:id="614"/>
    </w:p>
    <w:p>
      <w:pPr>
        <w:bidi w:val="0"/>
        <w:rPr>
          <w:color w:val="auto"/>
          <w:highlight w:val="none"/>
        </w:rPr>
      </w:pPr>
      <w:r>
        <w:rPr>
          <w:rFonts w:hint="eastAsia"/>
          <w:color w:val="auto"/>
          <w:highlight w:val="none"/>
        </w:rPr>
        <w:t>大竹县</w:t>
      </w:r>
      <w:r>
        <w:rPr>
          <w:color w:val="auto"/>
          <w:highlight w:val="none"/>
        </w:rPr>
        <w:t>煤炭矿区总体规划项目</w:t>
      </w:r>
      <w:r>
        <w:rPr>
          <w:rFonts w:hint="eastAsia"/>
          <w:color w:val="auto"/>
          <w:highlight w:val="none"/>
        </w:rPr>
        <w:t>华家沟煤矿</w:t>
      </w:r>
      <w:r>
        <w:rPr>
          <w:color w:val="auto"/>
          <w:highlight w:val="none"/>
        </w:rPr>
        <w:t>临近</w:t>
      </w:r>
      <w:r>
        <w:rPr>
          <w:rFonts w:hint="eastAsia"/>
          <w:color w:val="auto"/>
          <w:highlight w:val="none"/>
        </w:rPr>
        <w:t>四川五峰山</w:t>
      </w:r>
      <w:r>
        <w:rPr>
          <w:color w:val="auto"/>
          <w:highlight w:val="none"/>
        </w:rPr>
        <w:t>国家森林公园，但是距离较近，因此在施工建设及运营期间将对森林公园内的动植物，尤其是动物资源产生一定的影响和保护管理压力，提高保护管理成本。因此，在规划施工建设期间需增加保护宣传牌、警示牌等标牌工作，专人负责生态保护与监理；施工及运营期进行生物多样性监测等。</w:t>
      </w:r>
    </w:p>
    <w:p>
      <w:pPr>
        <w:bidi w:val="0"/>
        <w:rPr>
          <w:color w:val="auto"/>
          <w:highlight w:val="none"/>
        </w:rPr>
      </w:pPr>
      <w:r>
        <w:rPr>
          <w:color w:val="auto"/>
          <w:highlight w:val="none"/>
        </w:rPr>
        <w:t>项目矿区管理方应与</w:t>
      </w:r>
      <w:r>
        <w:rPr>
          <w:rFonts w:hint="eastAsia"/>
          <w:color w:val="auto"/>
          <w:highlight w:val="none"/>
        </w:rPr>
        <w:t>五峰山</w:t>
      </w:r>
      <w:r>
        <w:rPr>
          <w:color w:val="auto"/>
          <w:highlight w:val="none"/>
        </w:rPr>
        <w:t>国家森林公园主管部门协商，提出具体的补偿费用，用于支持森林公园的长期管理和保护监测费用。</w:t>
      </w:r>
    </w:p>
    <w:p>
      <w:pPr>
        <w:pStyle w:val="7"/>
        <w:bidi w:val="0"/>
        <w:rPr>
          <w:rFonts w:eastAsia="仿宋_GB2312"/>
          <w:b/>
          <w:bCs/>
          <w:color w:val="auto"/>
          <w:highlight w:val="none"/>
        </w:rPr>
      </w:pPr>
      <w:bookmarkStart w:id="615" w:name="_Toc88697695"/>
      <w:r>
        <w:rPr>
          <w:rFonts w:hint="eastAsia" w:eastAsia="仿宋_GB2312"/>
          <w:b/>
          <w:bCs/>
          <w:color w:val="auto"/>
          <w:highlight w:val="none"/>
          <w:lang w:val="en-US" w:eastAsia="zh-CN"/>
        </w:rPr>
        <w:t>7.1.6.3</w:t>
      </w:r>
      <w:r>
        <w:rPr>
          <w:rFonts w:hint="eastAsia" w:eastAsia="仿宋_GB2312"/>
          <w:b/>
          <w:bCs/>
          <w:color w:val="auto"/>
          <w:highlight w:val="none"/>
        </w:rPr>
        <w:t>项目规划建设影响后评估</w:t>
      </w:r>
      <w:bookmarkEnd w:id="615"/>
    </w:p>
    <w:p>
      <w:pPr>
        <w:bidi w:val="0"/>
        <w:rPr>
          <w:color w:val="auto"/>
          <w:highlight w:val="none"/>
        </w:rPr>
      </w:pPr>
      <w:r>
        <w:rPr>
          <w:color w:val="auto"/>
          <w:highlight w:val="none"/>
        </w:rPr>
        <w:t>本次评价主要针对</w:t>
      </w:r>
      <w:r>
        <w:rPr>
          <w:rFonts w:hint="eastAsia"/>
          <w:color w:val="auto"/>
          <w:highlight w:val="none"/>
        </w:rPr>
        <w:t>大竹县</w:t>
      </w:r>
      <w:r>
        <w:rPr>
          <w:color w:val="auto"/>
          <w:highlight w:val="none"/>
        </w:rPr>
        <w:t>煤炭矿区总体规划环境影响评价中的区域生态环境影响评价，以整个矿区的规划为主体进行的整体性评价。虽然</w:t>
      </w:r>
      <w:r>
        <w:rPr>
          <w:rFonts w:hint="eastAsia"/>
          <w:color w:val="auto"/>
          <w:highlight w:val="none"/>
        </w:rPr>
        <w:t>大竹县</w:t>
      </w:r>
      <w:r>
        <w:rPr>
          <w:color w:val="auto"/>
          <w:highlight w:val="none"/>
        </w:rPr>
        <w:t>煤炭矿区项目</w:t>
      </w:r>
      <w:r>
        <w:rPr>
          <w:rFonts w:hint="eastAsia"/>
          <w:color w:val="auto"/>
          <w:highlight w:val="none"/>
        </w:rPr>
        <w:t>针对部分煤矿进行改造升级</w:t>
      </w:r>
      <w:r>
        <w:rPr>
          <w:color w:val="auto"/>
          <w:highlight w:val="none"/>
        </w:rPr>
        <w:t>，但是仍然存在一定的施工规模，规划建设必然对区域内生态环境产生一定的影响。在项目运营期中，由于矿区开采量的升级，所以区域内的车辆与工作人员将会有一定的增加，也会对区域内的生态环境造成一定的影响。</w:t>
      </w:r>
    </w:p>
    <w:p>
      <w:pPr>
        <w:bidi w:val="0"/>
        <w:rPr>
          <w:color w:val="auto"/>
          <w:highlight w:val="none"/>
        </w:rPr>
      </w:pPr>
      <w:r>
        <w:rPr>
          <w:color w:val="auto"/>
          <w:highlight w:val="none"/>
        </w:rPr>
        <w:t>为了客观、科学和全面评估项目规划对区域生态环境以及</w:t>
      </w:r>
      <w:r>
        <w:rPr>
          <w:rFonts w:hint="eastAsia"/>
          <w:color w:val="auto"/>
          <w:highlight w:val="none"/>
        </w:rPr>
        <w:t>五峰山</w:t>
      </w:r>
      <w:r>
        <w:rPr>
          <w:color w:val="auto"/>
          <w:highlight w:val="none"/>
        </w:rPr>
        <w:t>国家森林公园的影响和规划的保护管理措施对区域生态环境的作用，在项目规划建设完成投入使用一段时间后，有必要从生态保护角度对项目规划建设进行后评估。</w:t>
      </w:r>
    </w:p>
    <w:p>
      <w:pPr>
        <w:bidi w:val="0"/>
        <w:rPr>
          <w:color w:val="auto"/>
          <w:highlight w:val="none"/>
        </w:rPr>
      </w:pPr>
      <w:r>
        <w:rPr>
          <w:color w:val="auto"/>
          <w:highlight w:val="none"/>
        </w:rPr>
        <w:t>后评估主要内容包括：1）评估宣传牌、警示标牌、植被恢复等保护工程建设情况，分析这些工程对保护野生动物、植物的实际效果；2）评估生态监测工程建设和生态监测工作开展情况，对不符合要求的监测项目和工作内容及时进行调整。3）评估区内各类生态系统及野生脊椎动物种群数量、群落结构的变化情况，并长期监测和跟踪观察珍稀保护动物的活动范围和痕迹变化，随时改进对它们的保护措施。</w:t>
      </w:r>
      <w:r>
        <w:rPr>
          <w:rFonts w:hint="eastAsia"/>
          <w:color w:val="auto"/>
          <w:highlight w:val="none"/>
        </w:rPr>
        <w:t>4）开展矿山开采对五峰山国家森林公园的影响评估。</w:t>
      </w:r>
    </w:p>
    <w:p>
      <w:pPr>
        <w:bidi w:val="0"/>
        <w:rPr>
          <w:color w:val="auto"/>
          <w:highlight w:val="none"/>
        </w:rPr>
      </w:pPr>
      <w:r>
        <w:rPr>
          <w:color w:val="auto"/>
          <w:highlight w:val="none"/>
        </w:rPr>
        <w:t>后评估工作由专业机构及单位承担完成。</w:t>
      </w:r>
      <w:bookmarkStart w:id="616" w:name="_Hlk23007816"/>
      <w:r>
        <w:rPr>
          <w:color w:val="auto"/>
          <w:highlight w:val="none"/>
        </w:rPr>
        <w:t>评估时，要深入实地进行细致的调查、分析和研究，并形成后评估报告，作出客观、科学、合理的评价，提出相应的改进措施和建议。</w:t>
      </w:r>
      <w:bookmarkEnd w:id="616"/>
    </w:p>
    <w:p>
      <w:pPr>
        <w:pStyle w:val="6"/>
        <w:numPr>
          <w:ilvl w:val="2"/>
          <w:numId w:val="5"/>
        </w:numPr>
        <w:bidi w:val="0"/>
        <w:rPr>
          <w:color w:val="auto"/>
          <w:highlight w:val="none"/>
        </w:rPr>
      </w:pPr>
      <w:bookmarkStart w:id="617" w:name="_Toc5033"/>
      <w:bookmarkStart w:id="618" w:name="_Toc20650"/>
      <w:r>
        <w:rPr>
          <w:rFonts w:hint="eastAsia"/>
          <w:color w:val="auto"/>
          <w:highlight w:val="none"/>
        </w:rPr>
        <w:t>生态保护与恢复措施投资估算</w:t>
      </w:r>
      <w:bookmarkEnd w:id="617"/>
      <w:bookmarkEnd w:id="618"/>
    </w:p>
    <w:p>
      <w:pPr>
        <w:bidi w:val="0"/>
        <w:rPr>
          <w:color w:val="auto"/>
          <w:highlight w:val="none"/>
        </w:rPr>
      </w:pPr>
      <w:r>
        <w:rPr>
          <w:color w:val="auto"/>
          <w:highlight w:val="none"/>
        </w:rPr>
        <w:t>根据现行工程造价指标及类似保护和监测工作经费开支情况，完成前述生态保护与恢复工程，预估建设费用约157.5万元，主要用于生态监测、保护宣传、规划后评估等。</w:t>
      </w:r>
      <w:r>
        <w:rPr>
          <w:rFonts w:hint="eastAsia"/>
          <w:color w:val="auto"/>
          <w:highlight w:val="none"/>
        </w:rPr>
        <w:t>为了保护环境，达到环境目标要求，并使本项目对周围环境的影响尽可能减小，</w:t>
      </w:r>
      <w:r>
        <w:rPr>
          <w:color w:val="auto"/>
          <w:highlight w:val="none"/>
        </w:rPr>
        <w:t>项目矿区管理单位应预留项目的生态保护措施费用，并将其列入项目建设成本，切实按照相关环境评估报告开展项目规划建设期间及矿区运营期间的生态保护措施，签订承诺函，履行职责与义务。</w:t>
      </w:r>
    </w:p>
    <w:p>
      <w:pPr>
        <w:pStyle w:val="22"/>
        <w:bidi w:val="0"/>
        <w:rPr>
          <w:color w:val="auto"/>
          <w:highlight w:val="none"/>
        </w:rPr>
      </w:pPr>
      <w:r>
        <w:rPr>
          <w:rFonts w:hint="eastAsia"/>
          <w:color w:val="auto"/>
          <w:highlight w:val="none"/>
        </w:rPr>
        <w:t>表</w:t>
      </w:r>
      <w:r>
        <w:rPr>
          <w:rFonts w:hint="eastAsia"/>
          <w:color w:val="auto"/>
          <w:highlight w:val="none"/>
          <w:lang w:val="en-US" w:eastAsia="zh-CN"/>
        </w:rPr>
        <w:t>7.1</w:t>
      </w:r>
      <w:r>
        <w:rPr>
          <w:rFonts w:hint="eastAsia"/>
          <w:color w:val="auto"/>
          <w:highlight w:val="none"/>
        </w:rPr>
        <w:t>-</w:t>
      </w:r>
      <w:r>
        <w:rPr>
          <w:rFonts w:hint="eastAsia"/>
          <w:color w:val="auto"/>
          <w:highlight w:val="none"/>
          <w:lang w:val="en-US" w:eastAsia="zh-CN"/>
        </w:rPr>
        <w:t>1</w:t>
      </w:r>
      <w:r>
        <w:rPr>
          <w:rFonts w:hint="eastAsia"/>
          <w:color w:val="auto"/>
          <w:highlight w:val="none"/>
        </w:rPr>
        <w:t xml:space="preserve"> 生态保护及恢复措施实施费用估算（单位：万元）</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487"/>
        <w:gridCol w:w="812"/>
        <w:gridCol w:w="812"/>
        <w:gridCol w:w="957"/>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494" w:type="pct"/>
            <w:shd w:val="clear" w:color="auto" w:fill="auto"/>
            <w:noWrap/>
            <w:vAlign w:val="center"/>
          </w:tcPr>
          <w:p>
            <w:pPr>
              <w:pStyle w:val="22"/>
              <w:bidi w:val="0"/>
              <w:rPr>
                <w:color w:val="auto"/>
                <w:highlight w:val="none"/>
              </w:rPr>
            </w:pPr>
            <w:r>
              <w:rPr>
                <w:color w:val="auto"/>
                <w:highlight w:val="none"/>
              </w:rPr>
              <w:t>序号</w:t>
            </w:r>
          </w:p>
        </w:tc>
        <w:tc>
          <w:tcPr>
            <w:tcW w:w="1292" w:type="pct"/>
            <w:shd w:val="clear" w:color="auto" w:fill="auto"/>
            <w:noWrap/>
            <w:vAlign w:val="center"/>
          </w:tcPr>
          <w:p>
            <w:pPr>
              <w:pStyle w:val="22"/>
              <w:bidi w:val="0"/>
              <w:rPr>
                <w:color w:val="auto"/>
                <w:highlight w:val="none"/>
              </w:rPr>
            </w:pPr>
            <w:r>
              <w:rPr>
                <w:color w:val="auto"/>
                <w:highlight w:val="none"/>
              </w:rPr>
              <w:t>项目</w:t>
            </w:r>
          </w:p>
        </w:tc>
        <w:tc>
          <w:tcPr>
            <w:tcW w:w="422" w:type="pct"/>
            <w:shd w:val="clear" w:color="auto" w:fill="auto"/>
            <w:noWrap/>
            <w:vAlign w:val="center"/>
          </w:tcPr>
          <w:p>
            <w:pPr>
              <w:pStyle w:val="22"/>
              <w:bidi w:val="0"/>
              <w:rPr>
                <w:color w:val="auto"/>
                <w:highlight w:val="none"/>
              </w:rPr>
            </w:pPr>
            <w:r>
              <w:rPr>
                <w:color w:val="auto"/>
                <w:highlight w:val="none"/>
              </w:rPr>
              <w:t>单位</w:t>
            </w:r>
          </w:p>
        </w:tc>
        <w:tc>
          <w:tcPr>
            <w:tcW w:w="422" w:type="pct"/>
            <w:vAlign w:val="center"/>
          </w:tcPr>
          <w:p>
            <w:pPr>
              <w:pStyle w:val="22"/>
              <w:bidi w:val="0"/>
              <w:rPr>
                <w:color w:val="auto"/>
                <w:highlight w:val="none"/>
              </w:rPr>
            </w:pPr>
            <w:r>
              <w:rPr>
                <w:color w:val="auto"/>
                <w:highlight w:val="none"/>
              </w:rPr>
              <w:t>数量</w:t>
            </w:r>
          </w:p>
        </w:tc>
        <w:tc>
          <w:tcPr>
            <w:tcW w:w="497" w:type="pct"/>
            <w:shd w:val="clear" w:color="auto" w:fill="auto"/>
            <w:vAlign w:val="center"/>
          </w:tcPr>
          <w:p>
            <w:pPr>
              <w:pStyle w:val="22"/>
              <w:bidi w:val="0"/>
              <w:rPr>
                <w:color w:val="auto"/>
                <w:highlight w:val="none"/>
              </w:rPr>
            </w:pPr>
            <w:r>
              <w:rPr>
                <w:color w:val="auto"/>
                <w:highlight w:val="none"/>
              </w:rPr>
              <w:t>投资</w:t>
            </w:r>
          </w:p>
        </w:tc>
        <w:tc>
          <w:tcPr>
            <w:tcW w:w="1873" w:type="pct"/>
            <w:shd w:val="clear" w:color="auto" w:fill="auto"/>
            <w:noWrap/>
            <w:vAlign w:val="center"/>
          </w:tcPr>
          <w:p>
            <w:pPr>
              <w:pStyle w:val="22"/>
              <w:bidi w:val="0"/>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1</w:t>
            </w:r>
          </w:p>
        </w:tc>
        <w:tc>
          <w:tcPr>
            <w:tcW w:w="1292" w:type="pct"/>
            <w:shd w:val="clear" w:color="auto" w:fill="auto"/>
            <w:noWrap/>
            <w:vAlign w:val="center"/>
          </w:tcPr>
          <w:p>
            <w:pPr>
              <w:pStyle w:val="22"/>
              <w:bidi w:val="0"/>
              <w:rPr>
                <w:color w:val="auto"/>
                <w:highlight w:val="none"/>
              </w:rPr>
            </w:pPr>
            <w:r>
              <w:rPr>
                <w:color w:val="auto"/>
                <w:highlight w:val="none"/>
              </w:rPr>
              <w:t>保护与恢复工程</w:t>
            </w:r>
          </w:p>
        </w:tc>
        <w:tc>
          <w:tcPr>
            <w:tcW w:w="422" w:type="pct"/>
            <w:shd w:val="clear" w:color="auto" w:fill="auto"/>
            <w:noWrap/>
            <w:vAlign w:val="center"/>
          </w:tcPr>
          <w:p>
            <w:pPr>
              <w:pStyle w:val="22"/>
              <w:bidi w:val="0"/>
              <w:rPr>
                <w:color w:val="auto"/>
                <w:highlight w:val="none"/>
              </w:rPr>
            </w:pPr>
            <w:r>
              <w:rPr>
                <w:color w:val="auto"/>
                <w:highlight w:val="none"/>
              </w:rPr>
              <w:t>　</w:t>
            </w:r>
          </w:p>
        </w:tc>
        <w:tc>
          <w:tcPr>
            <w:tcW w:w="422" w:type="pct"/>
            <w:vAlign w:val="center"/>
          </w:tcPr>
          <w:p>
            <w:pPr>
              <w:pStyle w:val="22"/>
              <w:bidi w:val="0"/>
              <w:rPr>
                <w:color w:val="auto"/>
                <w:highlight w:val="none"/>
              </w:rPr>
            </w:pPr>
            <w:r>
              <w:rPr>
                <w:color w:val="auto"/>
                <w:highlight w:val="none"/>
              </w:rPr>
              <w:t>　</w:t>
            </w:r>
          </w:p>
        </w:tc>
        <w:tc>
          <w:tcPr>
            <w:tcW w:w="497" w:type="pct"/>
            <w:shd w:val="clear" w:color="auto" w:fill="auto"/>
            <w:noWrap/>
            <w:vAlign w:val="center"/>
          </w:tcPr>
          <w:p>
            <w:pPr>
              <w:pStyle w:val="22"/>
              <w:bidi w:val="0"/>
              <w:rPr>
                <w:color w:val="auto"/>
                <w:highlight w:val="none"/>
              </w:rPr>
            </w:pPr>
            <w:r>
              <w:rPr>
                <w:color w:val="auto"/>
                <w:highlight w:val="none"/>
              </w:rPr>
              <w:t>48.5</w:t>
            </w:r>
          </w:p>
        </w:tc>
        <w:tc>
          <w:tcPr>
            <w:tcW w:w="1873" w:type="pct"/>
            <w:shd w:val="clear" w:color="auto" w:fill="auto"/>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（1）</w:t>
            </w:r>
          </w:p>
        </w:tc>
        <w:tc>
          <w:tcPr>
            <w:tcW w:w="1292" w:type="pct"/>
            <w:shd w:val="clear" w:color="auto" w:fill="auto"/>
            <w:noWrap/>
            <w:vAlign w:val="center"/>
          </w:tcPr>
          <w:p>
            <w:pPr>
              <w:pStyle w:val="22"/>
              <w:bidi w:val="0"/>
              <w:rPr>
                <w:color w:val="auto"/>
                <w:highlight w:val="none"/>
              </w:rPr>
            </w:pPr>
            <w:r>
              <w:rPr>
                <w:color w:val="auto"/>
                <w:highlight w:val="none"/>
              </w:rPr>
              <w:t>野生动物救助点</w:t>
            </w:r>
          </w:p>
        </w:tc>
        <w:tc>
          <w:tcPr>
            <w:tcW w:w="422" w:type="pct"/>
            <w:shd w:val="clear" w:color="auto" w:fill="auto"/>
            <w:noWrap/>
            <w:vAlign w:val="center"/>
          </w:tcPr>
          <w:p>
            <w:pPr>
              <w:pStyle w:val="22"/>
              <w:bidi w:val="0"/>
              <w:rPr>
                <w:color w:val="auto"/>
                <w:highlight w:val="none"/>
              </w:rPr>
            </w:pPr>
            <w:r>
              <w:rPr>
                <w:color w:val="auto"/>
                <w:highlight w:val="none"/>
              </w:rPr>
              <w:t>个</w:t>
            </w:r>
          </w:p>
        </w:tc>
        <w:tc>
          <w:tcPr>
            <w:tcW w:w="422" w:type="pct"/>
            <w:vAlign w:val="center"/>
          </w:tcPr>
          <w:p>
            <w:pPr>
              <w:pStyle w:val="22"/>
              <w:bidi w:val="0"/>
              <w:rPr>
                <w:color w:val="auto"/>
                <w:highlight w:val="none"/>
              </w:rPr>
            </w:pPr>
            <w:r>
              <w:rPr>
                <w:color w:val="auto"/>
                <w:highlight w:val="none"/>
              </w:rPr>
              <w:t>14</w:t>
            </w:r>
          </w:p>
        </w:tc>
        <w:tc>
          <w:tcPr>
            <w:tcW w:w="497" w:type="pct"/>
            <w:shd w:val="clear" w:color="auto" w:fill="auto"/>
            <w:noWrap/>
            <w:vAlign w:val="center"/>
          </w:tcPr>
          <w:p>
            <w:pPr>
              <w:pStyle w:val="22"/>
              <w:bidi w:val="0"/>
              <w:rPr>
                <w:color w:val="auto"/>
                <w:highlight w:val="none"/>
              </w:rPr>
            </w:pPr>
            <w:r>
              <w:rPr>
                <w:color w:val="auto"/>
                <w:highlight w:val="none"/>
              </w:rPr>
              <w:t>20.0</w:t>
            </w:r>
          </w:p>
        </w:tc>
        <w:tc>
          <w:tcPr>
            <w:tcW w:w="1873" w:type="pct"/>
            <w:shd w:val="clear" w:color="auto" w:fill="auto"/>
            <w:vAlign w:val="center"/>
          </w:tcPr>
          <w:p>
            <w:pPr>
              <w:pStyle w:val="22"/>
              <w:bidi w:val="0"/>
              <w:rPr>
                <w:color w:val="auto"/>
                <w:highlight w:val="none"/>
              </w:rPr>
            </w:pPr>
            <w:r>
              <w:rPr>
                <w:color w:val="auto"/>
                <w:highlight w:val="none"/>
              </w:rPr>
              <w:t>位于矿山办公区域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（2）</w:t>
            </w:r>
          </w:p>
        </w:tc>
        <w:tc>
          <w:tcPr>
            <w:tcW w:w="1292" w:type="pct"/>
            <w:shd w:val="clear" w:color="auto" w:fill="auto"/>
            <w:noWrap/>
            <w:vAlign w:val="center"/>
          </w:tcPr>
          <w:p>
            <w:pPr>
              <w:pStyle w:val="22"/>
              <w:bidi w:val="0"/>
              <w:rPr>
                <w:color w:val="auto"/>
                <w:highlight w:val="none"/>
              </w:rPr>
            </w:pPr>
            <w:r>
              <w:rPr>
                <w:color w:val="auto"/>
                <w:highlight w:val="none"/>
              </w:rPr>
              <w:t>生态巡护管理</w:t>
            </w:r>
          </w:p>
        </w:tc>
        <w:tc>
          <w:tcPr>
            <w:tcW w:w="422" w:type="pct"/>
            <w:shd w:val="clear" w:color="auto" w:fill="auto"/>
            <w:noWrap/>
            <w:vAlign w:val="center"/>
          </w:tcPr>
          <w:p>
            <w:pPr>
              <w:pStyle w:val="22"/>
              <w:bidi w:val="0"/>
              <w:rPr>
                <w:color w:val="auto"/>
                <w:highlight w:val="none"/>
              </w:rPr>
            </w:pPr>
            <w:r>
              <w:rPr>
                <w:color w:val="auto"/>
                <w:highlight w:val="none"/>
              </w:rPr>
              <w:t>处</w:t>
            </w:r>
          </w:p>
        </w:tc>
        <w:tc>
          <w:tcPr>
            <w:tcW w:w="422" w:type="pct"/>
            <w:vAlign w:val="center"/>
          </w:tcPr>
          <w:p>
            <w:pPr>
              <w:pStyle w:val="22"/>
              <w:bidi w:val="0"/>
              <w:rPr>
                <w:color w:val="auto"/>
                <w:highlight w:val="none"/>
              </w:rPr>
            </w:pPr>
            <w:r>
              <w:rPr>
                <w:color w:val="auto"/>
                <w:highlight w:val="none"/>
              </w:rPr>
              <w:t>14</w:t>
            </w:r>
          </w:p>
        </w:tc>
        <w:tc>
          <w:tcPr>
            <w:tcW w:w="497" w:type="pct"/>
            <w:shd w:val="clear" w:color="auto" w:fill="auto"/>
            <w:noWrap/>
            <w:vAlign w:val="center"/>
          </w:tcPr>
          <w:p>
            <w:pPr>
              <w:pStyle w:val="22"/>
              <w:bidi w:val="0"/>
              <w:rPr>
                <w:color w:val="auto"/>
                <w:highlight w:val="none"/>
              </w:rPr>
            </w:pPr>
            <w:r>
              <w:rPr>
                <w:color w:val="auto"/>
                <w:highlight w:val="none"/>
              </w:rPr>
              <w:t>28.5</w:t>
            </w:r>
          </w:p>
        </w:tc>
        <w:tc>
          <w:tcPr>
            <w:tcW w:w="1873" w:type="pct"/>
            <w:shd w:val="clear" w:color="auto" w:fill="auto"/>
            <w:vAlign w:val="center"/>
          </w:tcPr>
          <w:p>
            <w:pPr>
              <w:pStyle w:val="22"/>
              <w:bidi w:val="0"/>
              <w:rPr>
                <w:color w:val="auto"/>
                <w:highlight w:val="none"/>
              </w:rPr>
            </w:pPr>
            <w:r>
              <w:rPr>
                <w:color w:val="auto"/>
                <w:highlight w:val="none"/>
              </w:rPr>
              <w:t>位于矿山办公区域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（3）</w:t>
            </w:r>
          </w:p>
        </w:tc>
        <w:tc>
          <w:tcPr>
            <w:tcW w:w="1292" w:type="pct"/>
            <w:shd w:val="clear" w:color="auto" w:fill="auto"/>
            <w:noWrap/>
            <w:vAlign w:val="center"/>
          </w:tcPr>
          <w:p>
            <w:pPr>
              <w:pStyle w:val="22"/>
              <w:bidi w:val="0"/>
              <w:rPr>
                <w:color w:val="auto"/>
                <w:highlight w:val="none"/>
              </w:rPr>
            </w:pPr>
            <w:r>
              <w:rPr>
                <w:color w:val="auto"/>
                <w:highlight w:val="none"/>
              </w:rPr>
              <w:t>植被恢复、绿化</w:t>
            </w:r>
          </w:p>
        </w:tc>
        <w:tc>
          <w:tcPr>
            <w:tcW w:w="422" w:type="pct"/>
            <w:shd w:val="clear" w:color="auto" w:fill="auto"/>
            <w:noWrap/>
            <w:vAlign w:val="center"/>
          </w:tcPr>
          <w:p>
            <w:pPr>
              <w:pStyle w:val="22"/>
              <w:bidi w:val="0"/>
              <w:rPr>
                <w:color w:val="auto"/>
                <w:highlight w:val="none"/>
              </w:rPr>
            </w:pPr>
          </w:p>
        </w:tc>
        <w:tc>
          <w:tcPr>
            <w:tcW w:w="422" w:type="pct"/>
            <w:vAlign w:val="center"/>
          </w:tcPr>
          <w:p>
            <w:pPr>
              <w:pStyle w:val="22"/>
              <w:bidi w:val="0"/>
              <w:rPr>
                <w:color w:val="auto"/>
                <w:highlight w:val="none"/>
              </w:rPr>
            </w:pPr>
          </w:p>
        </w:tc>
        <w:tc>
          <w:tcPr>
            <w:tcW w:w="497" w:type="pct"/>
            <w:shd w:val="clear" w:color="auto" w:fill="auto"/>
            <w:noWrap/>
            <w:vAlign w:val="center"/>
          </w:tcPr>
          <w:p>
            <w:pPr>
              <w:pStyle w:val="22"/>
              <w:bidi w:val="0"/>
              <w:rPr>
                <w:color w:val="auto"/>
                <w:highlight w:val="none"/>
              </w:rPr>
            </w:pPr>
            <w:r>
              <w:rPr>
                <w:color w:val="auto"/>
                <w:highlight w:val="none"/>
              </w:rPr>
              <w:t>/</w:t>
            </w:r>
          </w:p>
        </w:tc>
        <w:tc>
          <w:tcPr>
            <w:tcW w:w="1873" w:type="pct"/>
            <w:shd w:val="clear" w:color="auto" w:fill="auto"/>
            <w:vAlign w:val="center"/>
          </w:tcPr>
          <w:p>
            <w:pPr>
              <w:pStyle w:val="22"/>
              <w:bidi w:val="0"/>
              <w:rPr>
                <w:color w:val="auto"/>
                <w:highlight w:val="none"/>
              </w:rPr>
            </w:pPr>
            <w:r>
              <w:rPr>
                <w:color w:val="auto"/>
                <w:highlight w:val="none"/>
              </w:rPr>
              <w:t>计入项目规划主体投资金额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2</w:t>
            </w:r>
          </w:p>
        </w:tc>
        <w:tc>
          <w:tcPr>
            <w:tcW w:w="1292" w:type="pct"/>
            <w:shd w:val="clear" w:color="auto" w:fill="auto"/>
            <w:noWrap/>
            <w:vAlign w:val="center"/>
          </w:tcPr>
          <w:p>
            <w:pPr>
              <w:pStyle w:val="22"/>
              <w:bidi w:val="0"/>
              <w:rPr>
                <w:color w:val="auto"/>
                <w:highlight w:val="none"/>
              </w:rPr>
            </w:pPr>
            <w:r>
              <w:rPr>
                <w:color w:val="auto"/>
                <w:highlight w:val="none"/>
              </w:rPr>
              <w:t>监测工程</w:t>
            </w:r>
          </w:p>
        </w:tc>
        <w:tc>
          <w:tcPr>
            <w:tcW w:w="422" w:type="pct"/>
            <w:shd w:val="clear" w:color="auto" w:fill="auto"/>
            <w:noWrap/>
            <w:vAlign w:val="center"/>
          </w:tcPr>
          <w:p>
            <w:pPr>
              <w:pStyle w:val="22"/>
              <w:bidi w:val="0"/>
              <w:rPr>
                <w:color w:val="auto"/>
                <w:highlight w:val="none"/>
              </w:rPr>
            </w:pPr>
            <w:r>
              <w:rPr>
                <w:color w:val="auto"/>
                <w:highlight w:val="none"/>
              </w:rPr>
              <w:t>　</w:t>
            </w:r>
          </w:p>
        </w:tc>
        <w:tc>
          <w:tcPr>
            <w:tcW w:w="422" w:type="pct"/>
            <w:vAlign w:val="center"/>
          </w:tcPr>
          <w:p>
            <w:pPr>
              <w:pStyle w:val="22"/>
              <w:bidi w:val="0"/>
              <w:rPr>
                <w:color w:val="auto"/>
                <w:highlight w:val="none"/>
              </w:rPr>
            </w:pPr>
            <w:r>
              <w:rPr>
                <w:color w:val="auto"/>
                <w:highlight w:val="none"/>
              </w:rPr>
              <w:t>　</w:t>
            </w:r>
          </w:p>
        </w:tc>
        <w:tc>
          <w:tcPr>
            <w:tcW w:w="497" w:type="pct"/>
            <w:shd w:val="clear" w:color="auto" w:fill="auto"/>
            <w:noWrap/>
            <w:vAlign w:val="center"/>
          </w:tcPr>
          <w:p>
            <w:pPr>
              <w:pStyle w:val="22"/>
              <w:bidi w:val="0"/>
              <w:rPr>
                <w:color w:val="auto"/>
                <w:highlight w:val="none"/>
              </w:rPr>
            </w:pPr>
            <w:r>
              <w:rPr>
                <w:color w:val="auto"/>
                <w:highlight w:val="none"/>
              </w:rPr>
              <w:t xml:space="preserve">40.0 </w:t>
            </w:r>
          </w:p>
        </w:tc>
        <w:tc>
          <w:tcPr>
            <w:tcW w:w="1873" w:type="pct"/>
            <w:shd w:val="clear" w:color="auto" w:fill="auto"/>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（1）</w:t>
            </w:r>
          </w:p>
        </w:tc>
        <w:tc>
          <w:tcPr>
            <w:tcW w:w="1292" w:type="pct"/>
            <w:shd w:val="clear" w:color="auto" w:fill="auto"/>
            <w:noWrap/>
            <w:vAlign w:val="center"/>
          </w:tcPr>
          <w:p>
            <w:pPr>
              <w:pStyle w:val="22"/>
              <w:bidi w:val="0"/>
              <w:rPr>
                <w:color w:val="auto"/>
                <w:highlight w:val="none"/>
              </w:rPr>
            </w:pPr>
            <w:r>
              <w:rPr>
                <w:color w:val="auto"/>
                <w:highlight w:val="none"/>
              </w:rPr>
              <w:t>生态监测</w:t>
            </w:r>
          </w:p>
        </w:tc>
        <w:tc>
          <w:tcPr>
            <w:tcW w:w="422" w:type="pct"/>
            <w:shd w:val="clear" w:color="auto" w:fill="auto"/>
            <w:noWrap/>
            <w:vAlign w:val="center"/>
          </w:tcPr>
          <w:p>
            <w:pPr>
              <w:pStyle w:val="22"/>
              <w:bidi w:val="0"/>
              <w:rPr>
                <w:color w:val="auto"/>
                <w:highlight w:val="none"/>
              </w:rPr>
            </w:pPr>
          </w:p>
        </w:tc>
        <w:tc>
          <w:tcPr>
            <w:tcW w:w="422" w:type="pct"/>
            <w:vAlign w:val="center"/>
          </w:tcPr>
          <w:p>
            <w:pPr>
              <w:pStyle w:val="22"/>
              <w:bidi w:val="0"/>
              <w:rPr>
                <w:color w:val="auto"/>
                <w:highlight w:val="none"/>
              </w:rPr>
            </w:pPr>
          </w:p>
        </w:tc>
        <w:tc>
          <w:tcPr>
            <w:tcW w:w="497" w:type="pct"/>
            <w:shd w:val="clear" w:color="auto" w:fill="auto"/>
            <w:noWrap/>
            <w:vAlign w:val="center"/>
          </w:tcPr>
          <w:p>
            <w:pPr>
              <w:pStyle w:val="22"/>
              <w:bidi w:val="0"/>
              <w:rPr>
                <w:color w:val="auto"/>
                <w:highlight w:val="none"/>
              </w:rPr>
            </w:pPr>
            <w:r>
              <w:rPr>
                <w:color w:val="auto"/>
                <w:highlight w:val="none"/>
              </w:rPr>
              <w:t>40.0</w:t>
            </w:r>
          </w:p>
        </w:tc>
        <w:tc>
          <w:tcPr>
            <w:tcW w:w="1873" w:type="pct"/>
            <w:shd w:val="clear" w:color="auto" w:fill="auto"/>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3</w:t>
            </w:r>
          </w:p>
        </w:tc>
        <w:tc>
          <w:tcPr>
            <w:tcW w:w="1292" w:type="pct"/>
            <w:shd w:val="clear" w:color="auto" w:fill="auto"/>
            <w:noWrap/>
            <w:vAlign w:val="center"/>
          </w:tcPr>
          <w:p>
            <w:pPr>
              <w:pStyle w:val="22"/>
              <w:bidi w:val="0"/>
              <w:rPr>
                <w:color w:val="auto"/>
                <w:highlight w:val="none"/>
              </w:rPr>
            </w:pPr>
            <w:r>
              <w:rPr>
                <w:color w:val="auto"/>
                <w:highlight w:val="none"/>
              </w:rPr>
              <w:t>宣传教育工程</w:t>
            </w:r>
          </w:p>
        </w:tc>
        <w:tc>
          <w:tcPr>
            <w:tcW w:w="422" w:type="pct"/>
            <w:shd w:val="clear" w:color="auto" w:fill="auto"/>
            <w:noWrap/>
            <w:vAlign w:val="center"/>
          </w:tcPr>
          <w:p>
            <w:pPr>
              <w:pStyle w:val="22"/>
              <w:bidi w:val="0"/>
              <w:rPr>
                <w:color w:val="auto"/>
                <w:highlight w:val="none"/>
              </w:rPr>
            </w:pPr>
            <w:r>
              <w:rPr>
                <w:color w:val="auto"/>
                <w:highlight w:val="none"/>
              </w:rPr>
              <w:t>　</w:t>
            </w:r>
          </w:p>
        </w:tc>
        <w:tc>
          <w:tcPr>
            <w:tcW w:w="422" w:type="pct"/>
            <w:vAlign w:val="center"/>
          </w:tcPr>
          <w:p>
            <w:pPr>
              <w:pStyle w:val="22"/>
              <w:bidi w:val="0"/>
              <w:rPr>
                <w:color w:val="auto"/>
                <w:highlight w:val="none"/>
              </w:rPr>
            </w:pPr>
            <w:r>
              <w:rPr>
                <w:color w:val="auto"/>
                <w:highlight w:val="none"/>
              </w:rPr>
              <w:t>　</w:t>
            </w:r>
          </w:p>
        </w:tc>
        <w:tc>
          <w:tcPr>
            <w:tcW w:w="497" w:type="pct"/>
            <w:shd w:val="clear" w:color="auto" w:fill="auto"/>
            <w:noWrap/>
            <w:vAlign w:val="center"/>
          </w:tcPr>
          <w:p>
            <w:pPr>
              <w:pStyle w:val="22"/>
              <w:bidi w:val="0"/>
              <w:rPr>
                <w:color w:val="auto"/>
                <w:highlight w:val="none"/>
              </w:rPr>
            </w:pPr>
            <w:r>
              <w:rPr>
                <w:color w:val="auto"/>
                <w:highlight w:val="none"/>
              </w:rPr>
              <w:t xml:space="preserve">19.0 </w:t>
            </w:r>
          </w:p>
        </w:tc>
        <w:tc>
          <w:tcPr>
            <w:tcW w:w="1873" w:type="pct"/>
            <w:shd w:val="clear" w:color="auto" w:fill="auto"/>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（1）</w:t>
            </w:r>
          </w:p>
        </w:tc>
        <w:tc>
          <w:tcPr>
            <w:tcW w:w="1292" w:type="pct"/>
            <w:shd w:val="clear" w:color="auto" w:fill="auto"/>
            <w:noWrap/>
            <w:vAlign w:val="center"/>
          </w:tcPr>
          <w:p>
            <w:pPr>
              <w:pStyle w:val="22"/>
              <w:bidi w:val="0"/>
              <w:rPr>
                <w:color w:val="auto"/>
                <w:highlight w:val="none"/>
              </w:rPr>
            </w:pPr>
            <w:r>
              <w:rPr>
                <w:color w:val="auto"/>
                <w:highlight w:val="none"/>
              </w:rPr>
              <w:t>生态宣传教育</w:t>
            </w:r>
          </w:p>
        </w:tc>
        <w:tc>
          <w:tcPr>
            <w:tcW w:w="422" w:type="pct"/>
            <w:shd w:val="clear" w:color="auto" w:fill="auto"/>
            <w:noWrap/>
            <w:vAlign w:val="center"/>
          </w:tcPr>
          <w:p>
            <w:pPr>
              <w:pStyle w:val="22"/>
              <w:bidi w:val="0"/>
              <w:rPr>
                <w:color w:val="auto"/>
                <w:highlight w:val="none"/>
              </w:rPr>
            </w:pPr>
          </w:p>
        </w:tc>
        <w:tc>
          <w:tcPr>
            <w:tcW w:w="422" w:type="pct"/>
            <w:vAlign w:val="center"/>
          </w:tcPr>
          <w:p>
            <w:pPr>
              <w:pStyle w:val="22"/>
              <w:bidi w:val="0"/>
              <w:rPr>
                <w:color w:val="auto"/>
                <w:highlight w:val="none"/>
              </w:rPr>
            </w:pPr>
          </w:p>
        </w:tc>
        <w:tc>
          <w:tcPr>
            <w:tcW w:w="497" w:type="pct"/>
            <w:shd w:val="clear" w:color="auto" w:fill="auto"/>
            <w:noWrap/>
            <w:vAlign w:val="center"/>
          </w:tcPr>
          <w:p>
            <w:pPr>
              <w:pStyle w:val="22"/>
              <w:bidi w:val="0"/>
              <w:rPr>
                <w:color w:val="auto"/>
                <w:highlight w:val="none"/>
              </w:rPr>
            </w:pPr>
            <w:r>
              <w:rPr>
                <w:color w:val="auto"/>
                <w:highlight w:val="none"/>
              </w:rPr>
              <w:t xml:space="preserve">9.0 </w:t>
            </w:r>
          </w:p>
        </w:tc>
        <w:tc>
          <w:tcPr>
            <w:tcW w:w="1873" w:type="pct"/>
            <w:shd w:val="clear" w:color="auto" w:fill="auto"/>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（2）</w:t>
            </w:r>
          </w:p>
        </w:tc>
        <w:tc>
          <w:tcPr>
            <w:tcW w:w="1292" w:type="pct"/>
            <w:shd w:val="clear" w:color="auto" w:fill="auto"/>
            <w:noWrap/>
            <w:vAlign w:val="center"/>
          </w:tcPr>
          <w:p>
            <w:pPr>
              <w:pStyle w:val="22"/>
              <w:bidi w:val="0"/>
              <w:rPr>
                <w:color w:val="auto"/>
                <w:highlight w:val="none"/>
              </w:rPr>
            </w:pPr>
            <w:r>
              <w:rPr>
                <w:color w:val="auto"/>
                <w:highlight w:val="none"/>
              </w:rPr>
              <w:t>警示标志标牌</w:t>
            </w:r>
          </w:p>
        </w:tc>
        <w:tc>
          <w:tcPr>
            <w:tcW w:w="422" w:type="pct"/>
            <w:shd w:val="clear" w:color="auto" w:fill="auto"/>
            <w:noWrap/>
            <w:vAlign w:val="center"/>
          </w:tcPr>
          <w:p>
            <w:pPr>
              <w:pStyle w:val="22"/>
              <w:bidi w:val="0"/>
              <w:rPr>
                <w:color w:val="auto"/>
                <w:highlight w:val="none"/>
              </w:rPr>
            </w:pPr>
            <w:r>
              <w:rPr>
                <w:color w:val="auto"/>
                <w:highlight w:val="none"/>
              </w:rPr>
              <w:t>套</w:t>
            </w:r>
          </w:p>
        </w:tc>
        <w:tc>
          <w:tcPr>
            <w:tcW w:w="422" w:type="pct"/>
            <w:vAlign w:val="center"/>
          </w:tcPr>
          <w:p>
            <w:pPr>
              <w:pStyle w:val="22"/>
              <w:bidi w:val="0"/>
              <w:rPr>
                <w:color w:val="auto"/>
                <w:highlight w:val="none"/>
              </w:rPr>
            </w:pPr>
            <w:r>
              <w:rPr>
                <w:color w:val="auto"/>
                <w:highlight w:val="none"/>
              </w:rPr>
              <w:t>14</w:t>
            </w:r>
          </w:p>
        </w:tc>
        <w:tc>
          <w:tcPr>
            <w:tcW w:w="497" w:type="pct"/>
            <w:shd w:val="clear" w:color="auto" w:fill="auto"/>
            <w:noWrap/>
            <w:vAlign w:val="center"/>
          </w:tcPr>
          <w:p>
            <w:pPr>
              <w:pStyle w:val="22"/>
              <w:bidi w:val="0"/>
              <w:rPr>
                <w:color w:val="auto"/>
                <w:highlight w:val="none"/>
              </w:rPr>
            </w:pPr>
            <w:r>
              <w:rPr>
                <w:color w:val="auto"/>
                <w:highlight w:val="none"/>
              </w:rPr>
              <w:t xml:space="preserve">10.0 </w:t>
            </w:r>
          </w:p>
        </w:tc>
        <w:tc>
          <w:tcPr>
            <w:tcW w:w="1873" w:type="pct"/>
            <w:shd w:val="clear" w:color="auto" w:fill="auto"/>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4</w:t>
            </w:r>
          </w:p>
        </w:tc>
        <w:tc>
          <w:tcPr>
            <w:tcW w:w="1292" w:type="pct"/>
            <w:shd w:val="clear" w:color="auto" w:fill="auto"/>
            <w:noWrap/>
            <w:vAlign w:val="center"/>
          </w:tcPr>
          <w:p>
            <w:pPr>
              <w:pStyle w:val="22"/>
              <w:bidi w:val="0"/>
              <w:rPr>
                <w:color w:val="auto"/>
                <w:highlight w:val="none"/>
              </w:rPr>
            </w:pPr>
            <w:r>
              <w:rPr>
                <w:color w:val="auto"/>
                <w:highlight w:val="none"/>
              </w:rPr>
              <w:t>工程建设后评估</w:t>
            </w:r>
          </w:p>
        </w:tc>
        <w:tc>
          <w:tcPr>
            <w:tcW w:w="422" w:type="pct"/>
            <w:shd w:val="clear" w:color="auto" w:fill="auto"/>
            <w:noWrap/>
            <w:vAlign w:val="center"/>
          </w:tcPr>
          <w:p>
            <w:pPr>
              <w:pStyle w:val="22"/>
              <w:bidi w:val="0"/>
              <w:rPr>
                <w:color w:val="auto"/>
                <w:highlight w:val="none"/>
              </w:rPr>
            </w:pPr>
            <w:r>
              <w:rPr>
                <w:color w:val="auto"/>
                <w:highlight w:val="none"/>
              </w:rPr>
              <w:t>次</w:t>
            </w:r>
          </w:p>
        </w:tc>
        <w:tc>
          <w:tcPr>
            <w:tcW w:w="422" w:type="pct"/>
            <w:vAlign w:val="center"/>
          </w:tcPr>
          <w:p>
            <w:pPr>
              <w:pStyle w:val="22"/>
              <w:bidi w:val="0"/>
              <w:rPr>
                <w:color w:val="auto"/>
                <w:highlight w:val="none"/>
              </w:rPr>
            </w:pPr>
            <w:r>
              <w:rPr>
                <w:color w:val="auto"/>
                <w:highlight w:val="none"/>
              </w:rPr>
              <w:t>1</w:t>
            </w:r>
          </w:p>
        </w:tc>
        <w:tc>
          <w:tcPr>
            <w:tcW w:w="497" w:type="pct"/>
            <w:shd w:val="clear" w:color="auto" w:fill="auto"/>
            <w:noWrap/>
            <w:vAlign w:val="center"/>
          </w:tcPr>
          <w:p>
            <w:pPr>
              <w:pStyle w:val="22"/>
              <w:bidi w:val="0"/>
              <w:rPr>
                <w:color w:val="auto"/>
                <w:highlight w:val="none"/>
              </w:rPr>
            </w:pPr>
            <w:r>
              <w:rPr>
                <w:color w:val="auto"/>
                <w:highlight w:val="none"/>
              </w:rPr>
              <w:t>50.0</w:t>
            </w:r>
          </w:p>
        </w:tc>
        <w:tc>
          <w:tcPr>
            <w:tcW w:w="1873" w:type="pct"/>
            <w:shd w:val="clear" w:color="auto" w:fill="auto"/>
            <w:noWrap/>
            <w:vAlign w:val="center"/>
          </w:tcPr>
          <w:p>
            <w:pPr>
              <w:pStyle w:val="22"/>
              <w:bidi w:val="0"/>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pct"/>
            <w:shd w:val="clear" w:color="auto" w:fill="auto"/>
            <w:noWrap/>
            <w:vAlign w:val="center"/>
          </w:tcPr>
          <w:p>
            <w:pPr>
              <w:pStyle w:val="22"/>
              <w:bidi w:val="0"/>
              <w:rPr>
                <w:color w:val="auto"/>
                <w:highlight w:val="none"/>
              </w:rPr>
            </w:pPr>
            <w:r>
              <w:rPr>
                <w:color w:val="auto"/>
                <w:highlight w:val="none"/>
              </w:rPr>
              <w:t>（1）</w:t>
            </w:r>
          </w:p>
        </w:tc>
        <w:tc>
          <w:tcPr>
            <w:tcW w:w="1292" w:type="pct"/>
            <w:shd w:val="clear" w:color="auto" w:fill="auto"/>
            <w:noWrap/>
            <w:vAlign w:val="center"/>
          </w:tcPr>
          <w:p>
            <w:pPr>
              <w:pStyle w:val="22"/>
              <w:bidi w:val="0"/>
              <w:rPr>
                <w:color w:val="auto"/>
                <w:highlight w:val="none"/>
              </w:rPr>
            </w:pPr>
            <w:r>
              <w:rPr>
                <w:color w:val="auto"/>
                <w:highlight w:val="none"/>
              </w:rPr>
              <w:t>规划建设后评估</w:t>
            </w:r>
          </w:p>
        </w:tc>
        <w:tc>
          <w:tcPr>
            <w:tcW w:w="422" w:type="pct"/>
            <w:shd w:val="clear" w:color="auto" w:fill="auto"/>
            <w:noWrap/>
            <w:vAlign w:val="center"/>
          </w:tcPr>
          <w:p>
            <w:pPr>
              <w:pStyle w:val="22"/>
              <w:bidi w:val="0"/>
              <w:rPr>
                <w:color w:val="auto"/>
                <w:highlight w:val="none"/>
              </w:rPr>
            </w:pPr>
            <w:r>
              <w:rPr>
                <w:color w:val="auto"/>
                <w:highlight w:val="none"/>
              </w:rPr>
              <w:t>次</w:t>
            </w:r>
          </w:p>
        </w:tc>
        <w:tc>
          <w:tcPr>
            <w:tcW w:w="422" w:type="pct"/>
            <w:vAlign w:val="center"/>
          </w:tcPr>
          <w:p>
            <w:pPr>
              <w:pStyle w:val="22"/>
              <w:bidi w:val="0"/>
              <w:rPr>
                <w:color w:val="auto"/>
                <w:highlight w:val="none"/>
              </w:rPr>
            </w:pPr>
            <w:r>
              <w:rPr>
                <w:color w:val="auto"/>
                <w:highlight w:val="none"/>
              </w:rPr>
              <w:t>1</w:t>
            </w:r>
          </w:p>
        </w:tc>
        <w:tc>
          <w:tcPr>
            <w:tcW w:w="497" w:type="pct"/>
            <w:shd w:val="clear" w:color="auto" w:fill="auto"/>
            <w:noWrap/>
            <w:vAlign w:val="center"/>
          </w:tcPr>
          <w:p>
            <w:pPr>
              <w:pStyle w:val="22"/>
              <w:bidi w:val="0"/>
              <w:rPr>
                <w:color w:val="auto"/>
                <w:highlight w:val="none"/>
              </w:rPr>
            </w:pPr>
            <w:r>
              <w:rPr>
                <w:color w:val="auto"/>
                <w:highlight w:val="none"/>
              </w:rPr>
              <w:t>50.0</w:t>
            </w:r>
          </w:p>
        </w:tc>
        <w:tc>
          <w:tcPr>
            <w:tcW w:w="1873" w:type="pct"/>
            <w:shd w:val="clear" w:color="auto" w:fill="auto"/>
            <w:noWrap/>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6" w:type="pct"/>
            <w:gridSpan w:val="2"/>
            <w:shd w:val="clear" w:color="auto" w:fill="auto"/>
            <w:noWrap/>
            <w:vAlign w:val="center"/>
          </w:tcPr>
          <w:p>
            <w:pPr>
              <w:pStyle w:val="22"/>
              <w:bidi w:val="0"/>
              <w:rPr>
                <w:color w:val="auto"/>
                <w:highlight w:val="none"/>
              </w:rPr>
            </w:pPr>
            <w:r>
              <w:rPr>
                <w:color w:val="auto"/>
                <w:highlight w:val="none"/>
              </w:rPr>
              <w:t>合计</w:t>
            </w:r>
          </w:p>
        </w:tc>
        <w:tc>
          <w:tcPr>
            <w:tcW w:w="422" w:type="pct"/>
            <w:shd w:val="clear" w:color="auto" w:fill="auto"/>
            <w:noWrap/>
            <w:vAlign w:val="center"/>
          </w:tcPr>
          <w:p>
            <w:pPr>
              <w:pStyle w:val="22"/>
              <w:bidi w:val="0"/>
              <w:rPr>
                <w:color w:val="auto"/>
                <w:highlight w:val="none"/>
              </w:rPr>
            </w:pPr>
          </w:p>
        </w:tc>
        <w:tc>
          <w:tcPr>
            <w:tcW w:w="422" w:type="pct"/>
            <w:vAlign w:val="center"/>
          </w:tcPr>
          <w:p>
            <w:pPr>
              <w:pStyle w:val="22"/>
              <w:bidi w:val="0"/>
              <w:rPr>
                <w:color w:val="auto"/>
                <w:highlight w:val="none"/>
              </w:rPr>
            </w:pPr>
          </w:p>
        </w:tc>
        <w:tc>
          <w:tcPr>
            <w:tcW w:w="497" w:type="pct"/>
            <w:shd w:val="clear" w:color="auto" w:fill="auto"/>
            <w:noWrap/>
            <w:vAlign w:val="center"/>
          </w:tcPr>
          <w:p>
            <w:pPr>
              <w:pStyle w:val="22"/>
              <w:bidi w:val="0"/>
              <w:rPr>
                <w:color w:val="auto"/>
                <w:highlight w:val="none"/>
              </w:rPr>
            </w:pPr>
            <w:r>
              <w:rPr>
                <w:color w:val="auto"/>
                <w:highlight w:val="none"/>
              </w:rPr>
              <w:t>157.5</w:t>
            </w:r>
          </w:p>
        </w:tc>
        <w:tc>
          <w:tcPr>
            <w:tcW w:w="1873" w:type="pct"/>
            <w:shd w:val="clear" w:color="auto" w:fill="auto"/>
            <w:noWrap/>
            <w:vAlign w:val="center"/>
          </w:tcPr>
          <w:p>
            <w:pPr>
              <w:pStyle w:val="22"/>
              <w:bidi w:val="0"/>
              <w:rPr>
                <w:color w:val="auto"/>
                <w:highlight w:val="none"/>
              </w:rPr>
            </w:pPr>
          </w:p>
        </w:tc>
      </w:tr>
    </w:tbl>
    <w:p>
      <w:pPr>
        <w:bidi w:val="0"/>
        <w:rPr>
          <w:color w:val="auto"/>
          <w:highlight w:val="none"/>
        </w:rPr>
      </w:pPr>
    </w:p>
    <w:p>
      <w:pPr>
        <w:pStyle w:val="5"/>
        <w:numPr>
          <w:ilvl w:val="1"/>
          <w:numId w:val="14"/>
        </w:numPr>
        <w:bidi w:val="0"/>
        <w:ind w:left="0" w:leftChars="0" w:firstLine="0" w:firstLineChars="0"/>
        <w:rPr>
          <w:color w:val="auto"/>
          <w:highlight w:val="none"/>
        </w:rPr>
      </w:pPr>
      <w:bookmarkStart w:id="619" w:name="7.2 水污染防治"/>
      <w:bookmarkEnd w:id="619"/>
      <w:bookmarkStart w:id="620" w:name="_bookmark44"/>
      <w:bookmarkEnd w:id="620"/>
      <w:bookmarkStart w:id="621" w:name="_Toc23644"/>
      <w:bookmarkStart w:id="622" w:name="_Toc21989"/>
      <w:r>
        <w:rPr>
          <w:color w:val="auto"/>
          <w:highlight w:val="none"/>
        </w:rPr>
        <w:t>水污染防治</w:t>
      </w:r>
      <w:bookmarkEnd w:id="621"/>
      <w:bookmarkEnd w:id="622"/>
    </w:p>
    <w:p>
      <w:pPr>
        <w:pStyle w:val="6"/>
        <w:numPr>
          <w:ilvl w:val="2"/>
          <w:numId w:val="14"/>
        </w:numPr>
        <w:bidi w:val="0"/>
        <w:rPr>
          <w:color w:val="auto"/>
          <w:highlight w:val="none"/>
        </w:rPr>
      </w:pPr>
      <w:bookmarkStart w:id="623" w:name="7.2.1 地表水"/>
      <w:bookmarkEnd w:id="623"/>
      <w:bookmarkStart w:id="624" w:name="7.2.1 地表水"/>
      <w:bookmarkEnd w:id="624"/>
      <w:bookmarkStart w:id="625" w:name="_Toc22404"/>
      <w:bookmarkStart w:id="626" w:name="_Toc4502"/>
      <w:r>
        <w:rPr>
          <w:color w:val="auto"/>
          <w:highlight w:val="none"/>
        </w:rPr>
        <w:t>地表水</w:t>
      </w:r>
      <w:bookmarkEnd w:id="625"/>
      <w:bookmarkEnd w:id="626"/>
    </w:p>
    <w:p>
      <w:pPr>
        <w:pStyle w:val="7"/>
        <w:numPr>
          <w:ilvl w:val="3"/>
          <w:numId w:val="14"/>
        </w:numPr>
        <w:bidi w:val="0"/>
        <w:rPr>
          <w:color w:val="auto"/>
          <w:highlight w:val="none"/>
        </w:rPr>
      </w:pPr>
      <w:r>
        <w:rPr>
          <w:color w:val="auto"/>
          <w:highlight w:val="none"/>
        </w:rPr>
        <w:t>污染防治与控制的设计原则</w:t>
      </w:r>
    </w:p>
    <w:p>
      <w:pPr>
        <w:bidi w:val="0"/>
        <w:rPr>
          <w:color w:val="auto"/>
          <w:highlight w:val="none"/>
        </w:rPr>
      </w:pPr>
      <w:r>
        <w:rPr>
          <w:color w:val="auto"/>
          <w:highlight w:val="none"/>
        </w:rPr>
        <w:t>矿区排水规划首先考虑生活污水、井下排水全部复用，实现“零排放”</w:t>
      </w:r>
      <w:r>
        <w:rPr>
          <w:rFonts w:hint="eastAsia"/>
          <w:color w:val="auto"/>
          <w:highlight w:val="none"/>
          <w:lang w:eastAsia="zh-CN"/>
        </w:rPr>
        <w:t>的可能性</w:t>
      </w:r>
      <w:r>
        <w:rPr>
          <w:color w:val="auto"/>
          <w:highlight w:val="none"/>
        </w:rPr>
        <w:t>。矿区污水处理应采用国内先进技术、成熟工艺、适合当地情况的处理系统，要充分考虑水的循环利用。清洁水直接回用或经简单处理达标后回用。杜绝不符合标准的废水外排，既节约水资源，又避免对区域地表水环境造成污染。</w:t>
      </w:r>
    </w:p>
    <w:p>
      <w:pPr>
        <w:pStyle w:val="7"/>
        <w:numPr>
          <w:ilvl w:val="3"/>
          <w:numId w:val="14"/>
        </w:numPr>
        <w:bidi w:val="0"/>
        <w:rPr>
          <w:color w:val="auto"/>
          <w:highlight w:val="none"/>
        </w:rPr>
      </w:pPr>
      <w:r>
        <w:rPr>
          <w:color w:val="auto"/>
          <w:highlight w:val="none"/>
        </w:rPr>
        <w:t>规划建设期水污染控制方案</w:t>
      </w:r>
    </w:p>
    <w:p>
      <w:pPr>
        <w:bidi w:val="0"/>
        <w:rPr>
          <w:color w:val="auto"/>
          <w:highlight w:val="none"/>
        </w:rPr>
      </w:pPr>
      <w:r>
        <w:rPr>
          <w:color w:val="auto"/>
          <w:highlight w:val="none"/>
        </w:rPr>
        <w:t>施工废水：施工废水可在施工场周围设拦水沟对其拦截，并设沉淀池进行处理，处理后的水可全部回用于建设施工；对于井筒施工含水层涌水和井筒淋水，亦可采用地面沉淀池沉淀处理，可用于施工场地洒水、施工生产用水等，尽量做到不外排。</w:t>
      </w:r>
    </w:p>
    <w:p>
      <w:pPr>
        <w:bidi w:val="0"/>
        <w:rPr>
          <w:color w:val="auto"/>
          <w:highlight w:val="none"/>
        </w:rPr>
      </w:pPr>
      <w:r>
        <w:rPr>
          <w:color w:val="auto"/>
          <w:highlight w:val="none"/>
        </w:rPr>
        <w:t>生活污水：利用现有煤矿企业的生活污水处理设施进行处理，处理达标后用于绿化、</w:t>
      </w:r>
      <w:r>
        <w:rPr>
          <w:rFonts w:hint="eastAsia"/>
          <w:color w:val="auto"/>
          <w:highlight w:val="none"/>
          <w:lang w:eastAsia="zh-CN"/>
        </w:rPr>
        <w:t>农肥、</w:t>
      </w:r>
      <w:r>
        <w:rPr>
          <w:color w:val="auto"/>
          <w:highlight w:val="none"/>
        </w:rPr>
        <w:t>洒水。</w:t>
      </w:r>
    </w:p>
    <w:p>
      <w:pPr>
        <w:pStyle w:val="7"/>
        <w:numPr>
          <w:ilvl w:val="3"/>
          <w:numId w:val="14"/>
        </w:numPr>
        <w:bidi w:val="0"/>
        <w:rPr>
          <w:color w:val="auto"/>
          <w:highlight w:val="none"/>
        </w:rPr>
      </w:pPr>
      <w:r>
        <w:rPr>
          <w:color w:val="auto"/>
          <w:highlight w:val="none"/>
        </w:rPr>
        <w:t>规划运行期污水处理工程控制方案</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矿井涌水</w:t>
      </w:r>
    </w:p>
    <w:p>
      <w:pPr>
        <w:bidi w:val="0"/>
        <w:rPr>
          <w:rFonts w:hint="default"/>
          <w:color w:val="auto"/>
          <w:highlight w:val="none"/>
          <w:lang w:val="en-US"/>
        </w:rPr>
      </w:pPr>
      <w:r>
        <w:rPr>
          <w:color w:val="auto"/>
          <w:highlight w:val="none"/>
        </w:rPr>
        <w:t>矿区各矿井工业场地分别设矿井水处理间对井下排水进行净化处理，规划规模根据井下涌水量确定。采用“</w:t>
      </w:r>
      <w:r>
        <w:rPr>
          <w:rFonts w:hint="eastAsia"/>
          <w:color w:val="auto"/>
          <w:highlight w:val="none"/>
          <w:lang w:eastAsia="zh-CN"/>
        </w:rPr>
        <w:t>絮凝沉淀</w:t>
      </w:r>
      <w:r>
        <w:rPr>
          <w:rFonts w:hint="eastAsia"/>
          <w:color w:val="auto"/>
          <w:highlight w:val="none"/>
          <w:lang w:val="en-US" w:eastAsia="zh-CN"/>
        </w:rPr>
        <w:t>+过滤消毒</w:t>
      </w:r>
      <w:r>
        <w:rPr>
          <w:color w:val="auto"/>
          <w:highlight w:val="none"/>
        </w:rPr>
        <w:t>”水处理工艺处理后可回用于井下洒水</w:t>
      </w:r>
      <w:r>
        <w:rPr>
          <w:rFonts w:hint="eastAsia"/>
          <w:color w:val="auto"/>
          <w:highlight w:val="none"/>
          <w:lang w:eastAsia="zh-CN"/>
        </w:rPr>
        <w:t>、农灌、绿化、消防</w:t>
      </w:r>
      <w:r>
        <w:rPr>
          <w:color w:val="auto"/>
          <w:highlight w:val="none"/>
        </w:rPr>
        <w:t>和选煤厂生产用水</w:t>
      </w:r>
      <w:r>
        <w:rPr>
          <w:rFonts w:hint="eastAsia"/>
          <w:color w:val="auto"/>
          <w:highlight w:val="none"/>
          <w:lang w:eastAsia="zh-CN"/>
        </w:rPr>
        <w:t>等，回用率要求达到</w:t>
      </w:r>
      <w:r>
        <w:rPr>
          <w:rFonts w:hint="eastAsia"/>
          <w:color w:val="auto"/>
          <w:highlight w:val="none"/>
          <w:lang w:val="en-US" w:eastAsia="zh-CN"/>
        </w:rPr>
        <w:t>80%以上，</w:t>
      </w:r>
      <w:r>
        <w:rPr>
          <w:rFonts w:hint="eastAsia"/>
          <w:color w:val="auto"/>
          <w:highlight w:val="none"/>
          <w:lang w:eastAsia="zh-CN"/>
        </w:rPr>
        <w:t>多余废水达标排放进入周边受纳水体，本次评价根据环环评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生活用水</w:t>
      </w:r>
    </w:p>
    <w:p>
      <w:pPr>
        <w:bidi w:val="0"/>
        <w:rPr>
          <w:color w:val="auto"/>
          <w:highlight w:val="none"/>
        </w:rPr>
      </w:pPr>
      <w:r>
        <w:rPr>
          <w:color w:val="auto"/>
          <w:highlight w:val="none"/>
        </w:rPr>
        <w:t>对煤矿生活污水最低限度应进行二级生化并作消毒处理，再根据复用途径决定是否进行深度处理。接触氧化法二级生化处理技术成熟，处理效果好，对煤矿工业场地生活污水处理适应性强，目前在全国各地矿区应用广泛。因此评价建议各企业独立分散的生活污水处理宜选用接触氧化法处理工艺，接触氧化和消毒处理后的生活污水可用作生态、灌溉用水。本次评价要求矿区生活污水全部回用，实现零排放。</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选煤厂煤泥水处理</w:t>
      </w:r>
    </w:p>
    <w:p>
      <w:pPr>
        <w:bidi w:val="0"/>
        <w:rPr>
          <w:color w:val="auto"/>
          <w:highlight w:val="none"/>
        </w:rPr>
      </w:pPr>
      <w:r>
        <w:rPr>
          <w:color w:val="auto"/>
          <w:highlight w:val="none"/>
        </w:rPr>
        <w:t>选煤厂煤泥水均要实现厂内一级闭路循环，并设置事故浓缩池或沉淀池，严禁煤泥水外排。</w:t>
      </w:r>
    </w:p>
    <w:p>
      <w:pPr>
        <w:bidi w:val="0"/>
        <w:rPr>
          <w:color w:val="auto"/>
          <w:highlight w:val="none"/>
        </w:rPr>
      </w:pPr>
      <w:r>
        <w:rPr>
          <w:rFonts w:hint="eastAsia"/>
          <w:color w:val="auto"/>
          <w:highlight w:val="none"/>
        </w:rPr>
        <w:t>（4）生产废水处理措施</w:t>
      </w:r>
    </w:p>
    <w:p>
      <w:pPr>
        <w:bidi w:val="0"/>
        <w:rPr>
          <w:color w:val="auto"/>
          <w:highlight w:val="none"/>
        </w:rPr>
      </w:pPr>
      <w:r>
        <w:rPr>
          <w:rFonts w:hint="eastAsia"/>
          <w:color w:val="auto"/>
          <w:highlight w:val="none"/>
        </w:rPr>
        <w:t>矿井的机修车间有少量的酸碱生产废水排放，该类废水建议统一收集暂存，定期外运交由有资质的单位处置。</w:t>
      </w:r>
    </w:p>
    <w:p>
      <w:pPr>
        <w:bidi w:val="0"/>
        <w:rPr>
          <w:color w:val="auto"/>
          <w:highlight w:val="none"/>
        </w:rPr>
      </w:pPr>
      <w:r>
        <w:rPr>
          <w:rFonts w:hint="eastAsia"/>
          <w:color w:val="auto"/>
          <w:highlight w:val="none"/>
        </w:rPr>
        <w:t>（5）工业场地雨水处理措施</w:t>
      </w:r>
    </w:p>
    <w:p>
      <w:pPr>
        <w:bidi w:val="0"/>
        <w:rPr>
          <w:color w:val="auto"/>
          <w:highlight w:val="none"/>
        </w:rPr>
      </w:pPr>
      <w:r>
        <w:rPr>
          <w:rFonts w:hint="eastAsia"/>
          <w:color w:val="auto"/>
          <w:highlight w:val="none"/>
        </w:rPr>
        <w:t>各矿井工业场地及生活区范围内降雨汇集形成的径流，采用在不同地段分别设置排水地沟，或利用场地的自然坡降汇集入场区主排水沟渠，并在排出口附近设置一定容积的雨水沉淀池经沉淀处理后就近直接排入工业场地附近的冲沟或溪沟内。</w:t>
      </w:r>
    </w:p>
    <w:p>
      <w:pPr>
        <w:bidi w:val="0"/>
        <w:rPr>
          <w:color w:val="auto"/>
          <w:highlight w:val="none"/>
        </w:rPr>
      </w:pPr>
      <w:r>
        <w:rPr>
          <w:rFonts w:hint="eastAsia"/>
          <w:color w:val="auto"/>
          <w:highlight w:val="none"/>
        </w:rPr>
        <w:t>（6）洗选废水处理措施</w:t>
      </w:r>
    </w:p>
    <w:p>
      <w:pPr>
        <w:bidi w:val="0"/>
        <w:rPr>
          <w:rFonts w:hint="eastAsia" w:eastAsia="宋体"/>
          <w:color w:val="auto"/>
          <w:highlight w:val="none"/>
          <w:lang w:eastAsia="zh-CN"/>
        </w:rPr>
      </w:pPr>
      <w:r>
        <w:rPr>
          <w:rFonts w:hint="eastAsia"/>
          <w:color w:val="auto"/>
          <w:highlight w:val="none"/>
        </w:rPr>
        <w:t>区内选煤厂已全部实现洗煤用水封闭循环使用，只补充一定量的新水（系统为缺少运行状态），以补充产品带走的水量等损失，即各区内各选煤厂对洗煤废水进行沉淀、浓缩后，将一些固体悬浮物质分离出来，产生的清水则通过清水泵抽回生产系统作为循环水使用，可使洗煤生产用水减少95%以上，达到提高精煤的生产效率和能源的利用率，可更好的保护环境。</w:t>
      </w:r>
    </w:p>
    <w:p>
      <w:pPr>
        <w:pStyle w:val="7"/>
        <w:numPr>
          <w:ilvl w:val="3"/>
          <w:numId w:val="14"/>
        </w:numPr>
        <w:bidi w:val="0"/>
        <w:rPr>
          <w:color w:val="auto"/>
          <w:highlight w:val="none"/>
        </w:rPr>
      </w:pPr>
      <w:r>
        <w:rPr>
          <w:color w:val="auto"/>
          <w:highlight w:val="none"/>
        </w:rPr>
        <w:t>污废水回用途径分析</w:t>
      </w:r>
    </w:p>
    <w:p>
      <w:pPr>
        <w:bidi w:val="0"/>
        <w:rPr>
          <w:color w:val="auto"/>
          <w:highlight w:val="none"/>
        </w:rPr>
      </w:pPr>
      <w:r>
        <w:rPr>
          <w:color w:val="auto"/>
          <w:highlight w:val="none"/>
        </w:rPr>
        <w:t>环评要求矿区内生产、生活污废水处理率100%，</w:t>
      </w:r>
      <w:r>
        <w:rPr>
          <w:rFonts w:hint="eastAsia"/>
          <w:color w:val="auto"/>
          <w:highlight w:val="none"/>
          <w:lang w:eastAsia="zh-CN"/>
        </w:rPr>
        <w:t>矿井水回用率</w:t>
      </w:r>
      <w:r>
        <w:rPr>
          <w:rFonts w:hint="eastAsia"/>
          <w:color w:val="auto"/>
          <w:highlight w:val="none"/>
          <w:lang w:val="en-US" w:eastAsia="zh-CN"/>
        </w:rPr>
        <w:t>80%以上，洗选废水一级闭路循环，生活废水回用率100%</w:t>
      </w:r>
      <w:r>
        <w:rPr>
          <w:color w:val="auto"/>
          <w:highlight w:val="none"/>
        </w:rPr>
        <w:t>。综合利用的途径为：</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矿井水</w:t>
      </w:r>
    </w:p>
    <w:p>
      <w:pPr>
        <w:bidi w:val="0"/>
        <w:rPr>
          <w:color w:val="auto"/>
          <w:highlight w:val="none"/>
        </w:rPr>
      </w:pPr>
      <w:r>
        <w:rPr>
          <w:color w:val="auto"/>
          <w:highlight w:val="none"/>
        </w:rPr>
        <w:t>矿区内矿井水执行“分级处理、分质回用”的原则。矿井水处理后的中水主要有以下途径：</w:t>
      </w:r>
    </w:p>
    <w:p>
      <w:pPr>
        <w:bidi w:val="0"/>
        <w:rPr>
          <w:color w:val="auto"/>
          <w:highlight w:val="none"/>
        </w:rPr>
      </w:pPr>
      <w:r>
        <w:rPr>
          <w:rFonts w:hint="eastAsia"/>
          <w:color w:val="auto"/>
          <w:highlight w:val="none"/>
          <w:lang w:eastAsia="zh-CN"/>
        </w:rPr>
        <w:t>①</w:t>
      </w:r>
      <w:r>
        <w:rPr>
          <w:color w:val="auto"/>
          <w:highlight w:val="none"/>
        </w:rPr>
        <w:t>回用水水质要求较低的可用于矿井井下消防、井下洒水降尘、黄泥灌浆、</w:t>
      </w:r>
      <w:r>
        <w:rPr>
          <w:rFonts w:hint="eastAsia"/>
          <w:color w:val="auto"/>
          <w:highlight w:val="none"/>
          <w:lang w:eastAsia="zh-CN"/>
        </w:rPr>
        <w:t>洗</w:t>
      </w:r>
      <w:r>
        <w:rPr>
          <w:color w:val="auto"/>
          <w:highlight w:val="none"/>
        </w:rPr>
        <w:t>选厂补充用水等；</w:t>
      </w:r>
    </w:p>
    <w:p>
      <w:pPr>
        <w:bidi w:val="0"/>
        <w:rPr>
          <w:color w:val="auto"/>
          <w:highlight w:val="none"/>
        </w:rPr>
      </w:pPr>
      <w:r>
        <w:rPr>
          <w:rFonts w:hint="eastAsia"/>
          <w:color w:val="auto"/>
          <w:highlight w:val="none"/>
          <w:lang w:eastAsia="zh-CN"/>
        </w:rPr>
        <w:t>②</w:t>
      </w:r>
      <w:r>
        <w:rPr>
          <w:color w:val="auto"/>
          <w:highlight w:val="none"/>
        </w:rPr>
        <w:t>区域内修建中水回用配套设施，可将水回用于周边林草地、耕地灌溉和矸石场生态恢复，从而可有效提高水回用率。</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生活污水</w:t>
      </w:r>
    </w:p>
    <w:p>
      <w:pPr>
        <w:bidi w:val="0"/>
        <w:rPr>
          <w:color w:val="auto"/>
          <w:highlight w:val="none"/>
        </w:rPr>
      </w:pPr>
      <w:r>
        <w:rPr>
          <w:color w:val="auto"/>
          <w:highlight w:val="none"/>
        </w:rPr>
        <w:t>生活污水经过处理后回用于矿区场地绿化</w:t>
      </w:r>
      <w:r>
        <w:rPr>
          <w:rFonts w:hint="eastAsia"/>
          <w:color w:val="auto"/>
          <w:highlight w:val="none"/>
          <w:lang w:eastAsia="zh-CN"/>
        </w:rPr>
        <w:t>、农灌</w:t>
      </w:r>
      <w:r>
        <w:rPr>
          <w:color w:val="auto"/>
          <w:highlight w:val="none"/>
        </w:rPr>
        <w:t>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选煤厂生产用水</w:t>
      </w:r>
    </w:p>
    <w:p>
      <w:pPr>
        <w:bidi w:val="0"/>
        <w:rPr>
          <w:color w:val="auto"/>
          <w:highlight w:val="none"/>
        </w:rPr>
      </w:pPr>
      <w:r>
        <w:rPr>
          <w:color w:val="auto"/>
          <w:highlight w:val="none"/>
        </w:rPr>
        <w:t>选煤厂生产补充水优先采用处理后的生活污水和矿井水，洗煤用水净化处理后循环使用，采用洗水全闭路循环的工艺流程，原煤脱泥后产生的煤泥水经末煤脱水筛、离心机、絮凝、浓缩、压滤工艺，并设置事故浓缩池或沉淀池，严禁煤泥水外排。</w:t>
      </w:r>
    </w:p>
    <w:p>
      <w:pPr>
        <w:bidi w:val="0"/>
        <w:rPr>
          <w:color w:val="auto"/>
          <w:highlight w:val="none"/>
        </w:rPr>
      </w:pPr>
      <w:r>
        <w:rPr>
          <w:color w:val="auto"/>
          <w:highlight w:val="none"/>
        </w:rPr>
        <w:t>矿井水资源化途径见图7.2-1。</w:t>
      </w:r>
    </w:p>
    <w:p>
      <w:pPr>
        <w:pStyle w:val="10"/>
        <w:spacing w:before="9"/>
        <w:ind w:left="0"/>
        <w:rPr>
          <w:color w:val="auto"/>
          <w:sz w:val="12"/>
          <w:highlight w:val="none"/>
        </w:rPr>
      </w:pPr>
      <w:r>
        <w:rPr>
          <w:color w:val="auto"/>
          <w:highlight w:val="none"/>
        </w:rPr>
        <w:drawing>
          <wp:anchor distT="0" distB="0" distL="0" distR="0" simplePos="0" relativeHeight="251660288" behindDoc="0" locked="0" layoutInCell="1" allowOverlap="1">
            <wp:simplePos x="0" y="0"/>
            <wp:positionH relativeFrom="page">
              <wp:posOffset>1181100</wp:posOffset>
            </wp:positionH>
            <wp:positionV relativeFrom="paragraph">
              <wp:posOffset>127635</wp:posOffset>
            </wp:positionV>
            <wp:extent cx="5219065" cy="2486025"/>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pic:cNvPicPr>
                      <a:picLocks noChangeAspect="1"/>
                    </pic:cNvPicPr>
                  </pic:nvPicPr>
                  <pic:blipFill>
                    <a:blip r:embed="rId187" cstate="print"/>
                    <a:stretch>
                      <a:fillRect/>
                    </a:stretch>
                  </pic:blipFill>
                  <pic:spPr>
                    <a:xfrm>
                      <a:off x="0" y="0"/>
                      <a:ext cx="5219086" cy="2486025"/>
                    </a:xfrm>
                    <a:prstGeom prst="rect">
                      <a:avLst/>
                    </a:prstGeom>
                  </pic:spPr>
                </pic:pic>
              </a:graphicData>
            </a:graphic>
          </wp:anchor>
        </w:drawing>
      </w:r>
    </w:p>
    <w:p>
      <w:pPr>
        <w:pStyle w:val="22"/>
        <w:bidi w:val="0"/>
        <w:rPr>
          <w:b/>
          <w:color w:val="auto"/>
          <w:sz w:val="21"/>
          <w:highlight w:val="none"/>
        </w:rPr>
      </w:pPr>
      <w:r>
        <w:rPr>
          <w:b/>
          <w:color w:val="auto"/>
          <w:sz w:val="21"/>
          <w:highlight w:val="none"/>
        </w:rPr>
        <w:t>图</w:t>
      </w:r>
      <w:r>
        <w:rPr>
          <w:b/>
          <w:color w:val="auto"/>
          <w:spacing w:val="-61"/>
          <w:sz w:val="21"/>
          <w:highlight w:val="none"/>
        </w:rPr>
        <w:t xml:space="preserve"> </w:t>
      </w:r>
      <w:r>
        <w:rPr>
          <w:rFonts w:ascii="Times New Roman" w:eastAsia="Times New Roman"/>
          <w:b/>
          <w:color w:val="auto"/>
          <w:sz w:val="21"/>
          <w:highlight w:val="none"/>
        </w:rPr>
        <w:t>7.2-1</w:t>
      </w:r>
      <w:r>
        <w:rPr>
          <w:rFonts w:ascii="Times New Roman" w:eastAsia="Times New Roman"/>
          <w:b/>
          <w:color w:val="auto"/>
          <w:sz w:val="21"/>
          <w:highlight w:val="none"/>
        </w:rPr>
        <w:tab/>
      </w:r>
      <w:r>
        <w:rPr>
          <w:b/>
          <w:color w:val="auto"/>
          <w:sz w:val="21"/>
          <w:highlight w:val="none"/>
        </w:rPr>
        <w:t>矿</w:t>
      </w:r>
      <w:r>
        <w:rPr>
          <w:b/>
          <w:color w:val="auto"/>
          <w:spacing w:val="4"/>
          <w:sz w:val="21"/>
          <w:highlight w:val="none"/>
        </w:rPr>
        <w:t>井</w:t>
      </w:r>
      <w:r>
        <w:rPr>
          <w:b/>
          <w:color w:val="auto"/>
          <w:sz w:val="21"/>
          <w:highlight w:val="none"/>
        </w:rPr>
        <w:t>水资源化</w:t>
      </w:r>
      <w:r>
        <w:rPr>
          <w:b/>
          <w:color w:val="auto"/>
          <w:spacing w:val="4"/>
          <w:sz w:val="21"/>
          <w:highlight w:val="none"/>
        </w:rPr>
        <w:t>途</w:t>
      </w:r>
      <w:r>
        <w:rPr>
          <w:b/>
          <w:color w:val="auto"/>
          <w:sz w:val="21"/>
          <w:highlight w:val="none"/>
        </w:rPr>
        <w:t>径图</w:t>
      </w:r>
    </w:p>
    <w:p>
      <w:pPr>
        <w:pStyle w:val="10"/>
        <w:spacing w:before="7"/>
        <w:ind w:left="0"/>
        <w:rPr>
          <w:b/>
          <w:color w:val="auto"/>
          <w:sz w:val="22"/>
          <w:highlight w:val="none"/>
        </w:rPr>
      </w:pPr>
    </w:p>
    <w:p>
      <w:pPr>
        <w:pStyle w:val="6"/>
        <w:numPr>
          <w:ilvl w:val="2"/>
          <w:numId w:val="14"/>
        </w:numPr>
        <w:bidi w:val="0"/>
        <w:rPr>
          <w:color w:val="auto"/>
          <w:highlight w:val="none"/>
        </w:rPr>
      </w:pPr>
      <w:bookmarkStart w:id="627" w:name="7.2.2 地下水"/>
      <w:bookmarkEnd w:id="627"/>
      <w:bookmarkStart w:id="628" w:name="7.2.2 地下水"/>
      <w:bookmarkEnd w:id="628"/>
      <w:bookmarkStart w:id="629" w:name="_Toc4867"/>
      <w:bookmarkStart w:id="630" w:name="_Toc9735"/>
      <w:r>
        <w:rPr>
          <w:color w:val="auto"/>
          <w:highlight w:val="none"/>
        </w:rPr>
        <w:t>地下水</w:t>
      </w:r>
      <w:bookmarkEnd w:id="629"/>
      <w:bookmarkEnd w:id="630"/>
    </w:p>
    <w:p>
      <w:pPr>
        <w:bidi w:val="0"/>
        <w:rPr>
          <w:color w:val="auto"/>
          <w:highlight w:val="none"/>
        </w:rPr>
      </w:pPr>
      <w:r>
        <w:rPr>
          <w:color w:val="auto"/>
          <w:highlight w:val="none"/>
        </w:rPr>
        <w:t>为有效保护项目区地下水资源，减缓煤炭开采对地下水水量及水质不良影响，防治措施如下：</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源头控制措施</w:t>
      </w:r>
    </w:p>
    <w:p>
      <w:pPr>
        <w:bidi w:val="0"/>
        <w:rPr>
          <w:color w:val="auto"/>
          <w:highlight w:val="none"/>
        </w:rPr>
      </w:pPr>
      <w:r>
        <w:rPr>
          <w:color w:val="auto"/>
          <w:highlight w:val="none"/>
        </w:rPr>
        <w:t>危废暂存间等设施地面采取防渗，做到从源头上减少污染物产生；矿井水处理站、生活污水处理站、选煤厂浓缩池底进行防渗处理。可采用天然材料或人工材料构筑防渗层。防渗层厚度应相当于渗透系数1.0×10-7cm/s和厚度1.5m的粘土层的防渗性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分区防治措施</w:t>
      </w:r>
    </w:p>
    <w:p>
      <w:pPr>
        <w:bidi w:val="0"/>
        <w:rPr>
          <w:color w:val="auto"/>
          <w:highlight w:val="none"/>
        </w:rPr>
      </w:pPr>
      <w:r>
        <w:rPr>
          <w:rFonts w:hint="eastAsia"/>
          <w:color w:val="auto"/>
          <w:highlight w:val="none"/>
          <w:lang w:eastAsia="zh-CN"/>
        </w:rPr>
        <w:t>①</w:t>
      </w:r>
      <w:r>
        <w:rPr>
          <w:color w:val="auto"/>
          <w:highlight w:val="none"/>
        </w:rPr>
        <w:t>污染防治分区的划分</w:t>
      </w:r>
    </w:p>
    <w:p>
      <w:pPr>
        <w:bidi w:val="0"/>
        <w:rPr>
          <w:color w:val="auto"/>
          <w:highlight w:val="none"/>
        </w:rPr>
      </w:pPr>
      <w:r>
        <w:rPr>
          <w:color w:val="auto"/>
          <w:highlight w:val="none"/>
        </w:rPr>
        <w:t>根据相关的标准和规范，对可能泄漏污染物的地面单元进行防渗处理，将危废暂存间、废水处理站、生活污水处理站、选煤厂浓缩池作为重点防治区； 将其他区域等划分为一般防治区。</w:t>
      </w:r>
    </w:p>
    <w:p>
      <w:pPr>
        <w:bidi w:val="0"/>
        <w:rPr>
          <w:color w:val="auto"/>
          <w:highlight w:val="none"/>
        </w:rPr>
      </w:pPr>
      <w:r>
        <w:rPr>
          <w:rFonts w:hint="eastAsia"/>
          <w:color w:val="auto"/>
          <w:highlight w:val="none"/>
          <w:lang w:eastAsia="zh-CN"/>
        </w:rPr>
        <w:t>②</w:t>
      </w:r>
      <w:r>
        <w:rPr>
          <w:color w:val="auto"/>
          <w:highlight w:val="none"/>
        </w:rPr>
        <w:t>防治措施</w:t>
      </w:r>
    </w:p>
    <w:p>
      <w:pPr>
        <w:bidi w:val="0"/>
        <w:rPr>
          <w:color w:val="auto"/>
          <w:highlight w:val="none"/>
        </w:rPr>
      </w:pPr>
      <w:r>
        <w:rPr>
          <w:color w:val="auto"/>
          <w:highlight w:val="none"/>
        </w:rPr>
        <w:t>各煤矿废渣堆放区应选择经过防渗处理后、不被洪水淹没、工程地质条件稳定的地段，防止有害物质渗透、扩散、流失、污染环境。废渣堆放应与周围的自然环境相协调，防止废渣风化自燃，并应在其上植树和种草，恢复植被。</w:t>
      </w:r>
    </w:p>
    <w:p>
      <w:pPr>
        <w:bidi w:val="0"/>
        <w:rPr>
          <w:color w:val="auto"/>
          <w:highlight w:val="none"/>
        </w:rPr>
      </w:pPr>
      <w:r>
        <w:rPr>
          <w:color w:val="auto"/>
          <w:highlight w:val="none"/>
        </w:rPr>
        <w:t>矿山的开采范围应与河流及水利工程设施保持一定安全距离，禁止在河床岸坡或泄洪滩地上堆放或贮存废渣。</w:t>
      </w:r>
    </w:p>
    <w:p>
      <w:pPr>
        <w:bidi w:val="0"/>
        <w:rPr>
          <w:color w:val="auto"/>
          <w:highlight w:val="none"/>
        </w:rPr>
      </w:pPr>
      <w:r>
        <w:rPr>
          <w:color w:val="auto"/>
          <w:highlight w:val="none"/>
        </w:rPr>
        <w:t>事故状态下，矿产资源的开采可能会对地下水水质造成一定程度的污染， 这种污染具有突发性、瞬时性等特点。因此，为避免矿产资源开采突发事故污染地下水水质，评价建议各矿山根据自身特点，依据规模设计建设事故池，且在生产中必须加强监控和管理，制定各类风险事故情况下的应急预案，以确保地下水水质不受污染。</w:t>
      </w:r>
    </w:p>
    <w:p>
      <w:pPr>
        <w:pStyle w:val="5"/>
        <w:numPr>
          <w:ilvl w:val="1"/>
          <w:numId w:val="14"/>
        </w:numPr>
        <w:bidi w:val="0"/>
        <w:rPr>
          <w:color w:val="auto"/>
          <w:highlight w:val="none"/>
        </w:rPr>
      </w:pPr>
      <w:bookmarkStart w:id="631" w:name="7.3 大气污染防治"/>
      <w:bookmarkEnd w:id="631"/>
      <w:bookmarkStart w:id="632" w:name="_bookmark45"/>
      <w:bookmarkEnd w:id="632"/>
      <w:bookmarkStart w:id="633" w:name="_Toc661"/>
      <w:bookmarkStart w:id="634" w:name="_Toc26136"/>
      <w:r>
        <w:rPr>
          <w:color w:val="auto"/>
          <w:highlight w:val="none"/>
        </w:rPr>
        <w:t>大气污染防治</w:t>
      </w:r>
      <w:bookmarkEnd w:id="633"/>
      <w:bookmarkEnd w:id="634"/>
    </w:p>
    <w:p>
      <w:pPr>
        <w:pStyle w:val="6"/>
        <w:numPr>
          <w:ilvl w:val="2"/>
          <w:numId w:val="14"/>
        </w:numPr>
        <w:bidi w:val="0"/>
        <w:rPr>
          <w:color w:val="auto"/>
          <w:highlight w:val="none"/>
        </w:rPr>
      </w:pPr>
      <w:bookmarkStart w:id="635" w:name="7.3.1 建设期的大气污染防治对策"/>
      <w:bookmarkEnd w:id="635"/>
      <w:bookmarkStart w:id="636" w:name="7.3.1 建设期的大气污染防治对策"/>
      <w:bookmarkEnd w:id="636"/>
      <w:bookmarkStart w:id="637" w:name="_Toc29161"/>
      <w:bookmarkStart w:id="638" w:name="_Toc4833"/>
      <w:r>
        <w:rPr>
          <w:color w:val="auto"/>
          <w:highlight w:val="none"/>
        </w:rPr>
        <w:t>建设期的大气污染防治对策</w:t>
      </w:r>
      <w:bookmarkEnd w:id="637"/>
      <w:bookmarkEnd w:id="638"/>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土石方开挖避免在大风天气进行，完工后及时回填、平整场地；工业场地辅助配套工程施工，首先做好路面硬覆盖；易产生扬尘的建筑材料采用封闭车辆运输；设置围布、挡板，禁止高空抛撒建筑垃圾和起尘的料、渣土的外溢；施工扬尘防治，关键要加强施工管理，管理到位，可以有效减轻对环境的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可采取以下措施抑制施工扬尘：通过合理布置施工场地，使堆场、混凝土搅拌场等扬尘大的场地远离临时居民点，施工场地定期洒水抑尘，在大风期间加大洒水量和洒水次数，减小扬尘影响范围；土石方开挖避免在大风天气进行，完工后及时回填、平整场地；土方和物料临时堆放场表面遮盖或定期洒水；进场道路路面硬化，并及时清扫和洒水；易产生扬尘的建筑材料采用封闭车辆运输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对于施工废气，可以通过加强对施工车辆的检修和维护、严禁使用超期服役和尾气超标的车辆、选用优质燃油等措施，减小施工机械和车辆的废气排放。</w:t>
      </w:r>
    </w:p>
    <w:p>
      <w:pPr>
        <w:pStyle w:val="6"/>
        <w:numPr>
          <w:ilvl w:val="2"/>
          <w:numId w:val="14"/>
        </w:numPr>
        <w:bidi w:val="0"/>
        <w:rPr>
          <w:color w:val="auto"/>
          <w:highlight w:val="none"/>
        </w:rPr>
      </w:pPr>
      <w:bookmarkStart w:id="639" w:name="7.3.2 运营期的大气污染防治对策"/>
      <w:bookmarkEnd w:id="639"/>
      <w:bookmarkStart w:id="640" w:name="7.3.2 运营期的大气污染防治对策"/>
      <w:bookmarkEnd w:id="640"/>
      <w:bookmarkStart w:id="641" w:name="_Toc13672"/>
      <w:bookmarkStart w:id="642" w:name="_Toc24020"/>
      <w:r>
        <w:rPr>
          <w:color w:val="auto"/>
          <w:highlight w:val="none"/>
        </w:rPr>
        <w:t>运营期的大气污染防治对策</w:t>
      </w:r>
      <w:bookmarkEnd w:id="641"/>
      <w:bookmarkEnd w:id="642"/>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工业场地原煤转载点、选煤厂准备车间和主厂房等易产生扬尘的工作环节设置集尘罩、袋式防爆除尘器和喷雾洒水装置，抑制和减少煤粉尘的污染。</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场内煤炭运输采用全封闭式输煤栈桥，减少扬尘。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运矸道路定期清扫和洒水降尘。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排土场所采取洒水降尘和分层碾压措施，并在四周种植防护林带，剥离物储满后进行覆土绿化。</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胶带输送机应采用罩密封的方法，对破碎站、转载点采取密封，并用除尘器进行除尘。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储煤过程粉尘防治措施</w:t>
      </w:r>
      <w:r>
        <w:rPr>
          <w:rFonts w:hint="eastAsia"/>
          <w:color w:val="auto"/>
          <w:highlight w:val="none"/>
          <w:lang w:eastAsia="zh-CN"/>
        </w:rPr>
        <w:t>。</w:t>
      </w:r>
      <w:r>
        <w:rPr>
          <w:color w:val="auto"/>
          <w:highlight w:val="none"/>
        </w:rPr>
        <w:t>为防止运输过程煤尘污染，输送系统应采用封闭运行方式，并设置喷水除尘设施；碎煤机、转运站、原煤仓等应分别设有集中除尘设施。</w:t>
      </w:r>
    </w:p>
    <w:p>
      <w:pPr>
        <w:pStyle w:val="5"/>
        <w:numPr>
          <w:ilvl w:val="1"/>
          <w:numId w:val="14"/>
        </w:numPr>
        <w:bidi w:val="0"/>
        <w:rPr>
          <w:color w:val="auto"/>
          <w:highlight w:val="none"/>
        </w:rPr>
      </w:pPr>
      <w:bookmarkStart w:id="643" w:name="_bookmark46"/>
      <w:bookmarkEnd w:id="643"/>
      <w:bookmarkStart w:id="644" w:name="7.4 固体废物处置"/>
      <w:bookmarkEnd w:id="644"/>
      <w:bookmarkStart w:id="645" w:name="_Toc20907"/>
      <w:bookmarkStart w:id="646" w:name="_Toc16958"/>
      <w:r>
        <w:rPr>
          <w:color w:val="auto"/>
          <w:highlight w:val="none"/>
        </w:rPr>
        <w:t>固体废物处置</w:t>
      </w:r>
      <w:bookmarkEnd w:id="645"/>
      <w:bookmarkEnd w:id="646"/>
    </w:p>
    <w:p>
      <w:pPr>
        <w:pStyle w:val="6"/>
        <w:numPr>
          <w:ilvl w:val="2"/>
          <w:numId w:val="14"/>
        </w:numPr>
        <w:bidi w:val="0"/>
        <w:rPr>
          <w:color w:val="auto"/>
          <w:highlight w:val="none"/>
        </w:rPr>
      </w:pPr>
      <w:bookmarkStart w:id="647" w:name="7.4.1 煤矸石处置措施"/>
      <w:bookmarkEnd w:id="647"/>
      <w:bookmarkStart w:id="648" w:name="7.4.1 煤矸石处置措施"/>
      <w:bookmarkEnd w:id="648"/>
      <w:bookmarkStart w:id="649" w:name="_Toc24145"/>
      <w:bookmarkStart w:id="650" w:name="_Toc12903"/>
      <w:r>
        <w:rPr>
          <w:color w:val="auto"/>
          <w:highlight w:val="none"/>
        </w:rPr>
        <w:t>煤矸石处置措施</w:t>
      </w:r>
      <w:bookmarkEnd w:id="649"/>
      <w:bookmarkEnd w:id="650"/>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矸石处置措施</w:t>
      </w:r>
    </w:p>
    <w:p>
      <w:pPr>
        <w:bidi w:val="0"/>
        <w:rPr>
          <w:color w:val="auto"/>
          <w:highlight w:val="none"/>
        </w:rPr>
      </w:pPr>
      <w:r>
        <w:rPr>
          <w:color w:val="auto"/>
          <w:highlight w:val="none"/>
        </w:rPr>
        <w:t>根据现场勘查，矿区内生产矿井矸石利用率低，产生的矸石未得到有效利用。根据《煤矸石综合利用管理办法》（2014年修订版），国家鼓励煤矿企业产生的煤矸石可以进行井下充填、生产建筑材料、以及土地复垦。除此之外，结合煤炭开采，产生的矸石也可以用于塌陷区填充、铺路等。</w:t>
      </w:r>
    </w:p>
    <w:p>
      <w:pPr>
        <w:bidi w:val="0"/>
        <w:rPr>
          <w:color w:val="auto"/>
          <w:highlight w:val="none"/>
        </w:rPr>
      </w:pPr>
      <w:r>
        <w:rPr>
          <w:color w:val="auto"/>
          <w:highlight w:val="none"/>
        </w:rPr>
        <w:t>《煤矸石综合利用技术政策要点》中指出：积极推广使用新型建筑材料，大力发展矸石空心砖等新型建筑材料，在煤矸石贮存、排放的周边地区，鼓励现有粘土烧结砖生产企业，通过改进生产工艺与装备提高煤矸石的掺加量，限制和逐步淘汰实心粘土砖；推广利用煤矸石为原料，部分或全部代替粘土配置水泥生产，烧制硅酸盐水泥熟料。</w:t>
      </w:r>
    </w:p>
    <w:p>
      <w:pPr>
        <w:bidi w:val="0"/>
        <w:rPr>
          <w:color w:val="auto"/>
          <w:highlight w:val="none"/>
        </w:rPr>
      </w:pPr>
      <w:r>
        <w:rPr>
          <w:color w:val="auto"/>
          <w:highlight w:val="none"/>
        </w:rPr>
        <w:t>矿区内各矿井煤矸石产生量约</w:t>
      </w:r>
      <w:r>
        <w:rPr>
          <w:rFonts w:hint="eastAsia"/>
          <w:color w:val="auto"/>
          <w:highlight w:val="none"/>
          <w:lang w:val="en-US" w:eastAsia="zh-CN"/>
        </w:rPr>
        <w:t>58.5万</w:t>
      </w:r>
      <w:r>
        <w:rPr>
          <w:color w:val="auto"/>
          <w:highlight w:val="none"/>
        </w:rPr>
        <w:t>t/a，不属于放射性物质，主要为砂质泥岩、砂泥岩、泥岩及砂岩，可为建材原料综合利用。</w:t>
      </w:r>
    </w:p>
    <w:p>
      <w:pPr>
        <w:bidi w:val="0"/>
        <w:rPr>
          <w:color w:val="auto"/>
          <w:highlight w:val="none"/>
        </w:rPr>
      </w:pPr>
      <w:r>
        <w:rPr>
          <w:color w:val="auto"/>
          <w:highlight w:val="none"/>
        </w:rPr>
        <w:t>本次评价按照《煤矸石综合利用管理办法》的规定要求，对矸石综合利用提出以下要求：</w:t>
      </w:r>
    </w:p>
    <w:p>
      <w:pPr>
        <w:bidi w:val="0"/>
        <w:rPr>
          <w:color w:val="auto"/>
          <w:highlight w:val="none"/>
        </w:rPr>
      </w:pPr>
      <w:r>
        <w:rPr>
          <w:rFonts w:hint="eastAsia"/>
          <w:color w:val="auto"/>
          <w:highlight w:val="none"/>
          <w:lang w:eastAsia="zh-CN"/>
        </w:rPr>
        <w:t>①</w:t>
      </w:r>
      <w:r>
        <w:rPr>
          <w:color w:val="auto"/>
          <w:highlight w:val="none"/>
        </w:rPr>
        <w:t>各矿井排矸场服务年限不超过3.0a；</w:t>
      </w:r>
    </w:p>
    <w:p>
      <w:pPr>
        <w:bidi w:val="0"/>
        <w:rPr>
          <w:color w:val="auto"/>
          <w:highlight w:val="none"/>
        </w:rPr>
      </w:pPr>
      <w:r>
        <w:rPr>
          <w:rFonts w:hint="eastAsia"/>
          <w:color w:val="auto"/>
          <w:highlight w:val="none"/>
          <w:lang w:eastAsia="zh-CN"/>
        </w:rPr>
        <w:t>②</w:t>
      </w:r>
      <w:r>
        <w:rPr>
          <w:color w:val="auto"/>
          <w:highlight w:val="none"/>
        </w:rPr>
        <w:t>矸石可用于露天采砂坑回填、塌陷区治理；</w:t>
      </w:r>
    </w:p>
    <w:p>
      <w:pPr>
        <w:bidi w:val="0"/>
        <w:rPr>
          <w:color w:val="auto"/>
          <w:highlight w:val="none"/>
        </w:rPr>
      </w:pPr>
      <w:r>
        <w:rPr>
          <w:rFonts w:hint="eastAsia"/>
          <w:color w:val="auto"/>
          <w:highlight w:val="none"/>
          <w:lang w:eastAsia="zh-CN"/>
        </w:rPr>
        <w:t>③</w:t>
      </w:r>
      <w:r>
        <w:rPr>
          <w:color w:val="auto"/>
          <w:highlight w:val="none"/>
        </w:rPr>
        <w:t>进场道路、场地道路修筑时</w:t>
      </w:r>
      <w:r>
        <w:rPr>
          <w:rFonts w:hint="eastAsia"/>
          <w:color w:val="auto"/>
          <w:highlight w:val="none"/>
          <w:lang w:eastAsia="zh-CN"/>
        </w:rPr>
        <w:t>可</w:t>
      </w:r>
      <w:r>
        <w:rPr>
          <w:color w:val="auto"/>
          <w:highlight w:val="none"/>
        </w:rPr>
        <w:t>采用矸石。</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排矸场</w:t>
      </w:r>
    </w:p>
    <w:p>
      <w:pPr>
        <w:bidi w:val="0"/>
        <w:rPr>
          <w:rFonts w:hint="eastAsia" w:eastAsia="宋体"/>
          <w:color w:val="auto"/>
          <w:highlight w:val="none"/>
          <w:lang w:eastAsia="zh-CN"/>
        </w:rPr>
      </w:pPr>
      <w:r>
        <w:rPr>
          <w:rFonts w:hint="eastAsia"/>
          <w:color w:val="auto"/>
          <w:highlight w:val="none"/>
          <w:lang w:eastAsia="zh-CN"/>
        </w:rPr>
        <w:t>①</w:t>
      </w:r>
      <w:r>
        <w:rPr>
          <w:color w:val="auto"/>
          <w:highlight w:val="none"/>
        </w:rPr>
        <w:t>矸石场选址</w:t>
      </w:r>
      <w:r>
        <w:rPr>
          <w:rFonts w:hint="eastAsia"/>
          <w:color w:val="auto"/>
          <w:highlight w:val="none"/>
          <w:lang w:eastAsia="zh-CN"/>
        </w:rPr>
        <w:t>：</w:t>
      </w:r>
    </w:p>
    <w:p>
      <w:pPr>
        <w:bidi w:val="0"/>
        <w:rPr>
          <w:color w:val="auto"/>
          <w:highlight w:val="none"/>
        </w:rPr>
      </w:pPr>
      <w:r>
        <w:rPr>
          <w:rFonts w:hint="eastAsia"/>
          <w:color w:val="auto"/>
          <w:highlight w:val="none"/>
          <w:lang w:val="en-US" w:eastAsia="zh-CN"/>
        </w:rPr>
        <w:t>A.</w:t>
      </w:r>
      <w:r>
        <w:rPr>
          <w:color w:val="auto"/>
          <w:highlight w:val="none"/>
        </w:rPr>
        <w:t>排矸场场址的选择应符合当地城乡建设总体规划要求；</w:t>
      </w:r>
    </w:p>
    <w:p>
      <w:pPr>
        <w:bidi w:val="0"/>
        <w:rPr>
          <w:color w:val="auto"/>
          <w:highlight w:val="none"/>
        </w:rPr>
      </w:pPr>
      <w:r>
        <w:rPr>
          <w:rFonts w:hint="eastAsia"/>
          <w:color w:val="auto"/>
          <w:highlight w:val="none"/>
          <w:lang w:val="en-US" w:eastAsia="zh-CN"/>
        </w:rPr>
        <w:t>B.</w:t>
      </w:r>
      <w:r>
        <w:rPr>
          <w:color w:val="auto"/>
          <w:highlight w:val="none"/>
        </w:rPr>
        <w:t>排矸场应选在工业区和居民集中区主导下风向，距居民集中区</w:t>
      </w:r>
      <w:r>
        <w:rPr>
          <w:rFonts w:hint="eastAsia"/>
          <w:color w:val="auto"/>
          <w:highlight w:val="none"/>
          <w:lang w:val="en-US" w:eastAsia="zh-CN"/>
        </w:rPr>
        <w:t>:</w:t>
      </w:r>
      <w:r>
        <w:rPr>
          <w:color w:val="auto"/>
          <w:highlight w:val="none"/>
        </w:rPr>
        <w:t>500m以外；</w:t>
      </w:r>
    </w:p>
    <w:p>
      <w:pPr>
        <w:bidi w:val="0"/>
        <w:rPr>
          <w:color w:val="auto"/>
          <w:highlight w:val="none"/>
        </w:rPr>
      </w:pPr>
      <w:r>
        <w:rPr>
          <w:rFonts w:hint="eastAsia"/>
          <w:color w:val="auto"/>
          <w:highlight w:val="none"/>
          <w:lang w:val="en-US" w:eastAsia="zh-CN"/>
        </w:rPr>
        <w:t>C.</w:t>
      </w:r>
      <w:r>
        <w:rPr>
          <w:color w:val="auto"/>
          <w:highlight w:val="none"/>
        </w:rPr>
        <w:t>排矸场要选在承载力要求的地基上，以避免地基下沉的影响，特别是不均匀或局部下沉的影响；</w:t>
      </w:r>
    </w:p>
    <w:p>
      <w:pPr>
        <w:bidi w:val="0"/>
        <w:rPr>
          <w:color w:val="auto"/>
          <w:highlight w:val="none"/>
        </w:rPr>
      </w:pPr>
      <w:r>
        <w:rPr>
          <w:rFonts w:hint="eastAsia"/>
          <w:color w:val="auto"/>
          <w:highlight w:val="none"/>
          <w:lang w:val="en-US" w:eastAsia="zh-CN"/>
        </w:rPr>
        <w:t>D.</w:t>
      </w:r>
      <w:r>
        <w:rPr>
          <w:color w:val="auto"/>
          <w:highlight w:val="none"/>
        </w:rPr>
        <w:t>排矸场应避开断层、断层破碎带、溶洞区，以及天然滑坡或泥石流影响区；</w:t>
      </w:r>
    </w:p>
    <w:p>
      <w:pPr>
        <w:bidi w:val="0"/>
        <w:rPr>
          <w:color w:val="auto"/>
          <w:highlight w:val="none"/>
        </w:rPr>
      </w:pPr>
      <w:r>
        <w:rPr>
          <w:rFonts w:hint="eastAsia"/>
          <w:color w:val="auto"/>
          <w:highlight w:val="none"/>
          <w:lang w:val="en-US" w:eastAsia="zh-CN"/>
        </w:rPr>
        <w:t>E.</w:t>
      </w:r>
      <w:r>
        <w:rPr>
          <w:color w:val="auto"/>
          <w:highlight w:val="none"/>
        </w:rPr>
        <w:t>排矸场禁止选在江河、湖泊、水库最高水位线以下的滩地和洪泛区；</w:t>
      </w:r>
    </w:p>
    <w:p>
      <w:pPr>
        <w:bidi w:val="0"/>
        <w:rPr>
          <w:color w:val="auto"/>
          <w:highlight w:val="none"/>
        </w:rPr>
      </w:pPr>
      <w:r>
        <w:rPr>
          <w:rFonts w:hint="eastAsia"/>
          <w:color w:val="auto"/>
          <w:highlight w:val="none"/>
          <w:lang w:val="en-US" w:eastAsia="zh-CN"/>
        </w:rPr>
        <w:t>F.</w:t>
      </w:r>
      <w:r>
        <w:rPr>
          <w:color w:val="auto"/>
          <w:highlight w:val="none"/>
        </w:rPr>
        <w:t>排矸场禁止选自然保护区、风景名胜区和其他需要特别保护的区域。</w:t>
      </w:r>
    </w:p>
    <w:p>
      <w:pPr>
        <w:bidi w:val="0"/>
        <w:rPr>
          <w:rFonts w:hint="eastAsia" w:eastAsia="宋体"/>
          <w:color w:val="auto"/>
          <w:highlight w:val="none"/>
          <w:lang w:eastAsia="zh-CN"/>
        </w:rPr>
      </w:pPr>
      <w:r>
        <w:rPr>
          <w:rFonts w:hint="eastAsia"/>
          <w:color w:val="auto"/>
          <w:highlight w:val="none"/>
          <w:lang w:eastAsia="zh-CN"/>
        </w:rPr>
        <w:t>②</w:t>
      </w:r>
      <w:r>
        <w:rPr>
          <w:color w:val="auto"/>
          <w:highlight w:val="none"/>
        </w:rPr>
        <w:t>排矸场污染防治措施</w:t>
      </w:r>
      <w:r>
        <w:rPr>
          <w:rFonts w:hint="eastAsia"/>
          <w:color w:val="auto"/>
          <w:highlight w:val="none"/>
          <w:lang w:eastAsia="zh-CN"/>
        </w:rPr>
        <w:t>：</w:t>
      </w:r>
    </w:p>
    <w:p>
      <w:pPr>
        <w:bidi w:val="0"/>
        <w:rPr>
          <w:color w:val="auto"/>
          <w:highlight w:val="none"/>
        </w:rPr>
      </w:pPr>
      <w:r>
        <w:rPr>
          <w:rFonts w:hint="eastAsia"/>
          <w:color w:val="auto"/>
          <w:highlight w:val="none"/>
          <w:lang w:val="en-US" w:eastAsia="zh-CN"/>
        </w:rPr>
        <w:t>A.</w:t>
      </w:r>
      <w:r>
        <w:rPr>
          <w:color w:val="auto"/>
          <w:highlight w:val="none"/>
        </w:rPr>
        <w:t>防止矸石自燃措施</w:t>
      </w:r>
      <w:r>
        <w:rPr>
          <w:rFonts w:hint="eastAsia"/>
          <w:color w:val="auto"/>
          <w:highlight w:val="none"/>
          <w:lang w:eastAsia="zh-CN"/>
        </w:rPr>
        <w:t>。</w:t>
      </w:r>
      <w:r>
        <w:rPr>
          <w:color w:val="auto"/>
          <w:highlight w:val="none"/>
        </w:rPr>
        <w:t>为避免矸石场自燃，需在矸石场设置防灭火措施，用石灰乳喷洒矸石场表面，土、碾压等。</w:t>
      </w:r>
    </w:p>
    <w:p>
      <w:pPr>
        <w:bidi w:val="0"/>
        <w:rPr>
          <w:color w:val="auto"/>
          <w:highlight w:val="none"/>
        </w:rPr>
      </w:pPr>
      <w:r>
        <w:rPr>
          <w:rFonts w:hint="eastAsia"/>
          <w:color w:val="auto"/>
          <w:highlight w:val="none"/>
          <w:lang w:val="en-US" w:eastAsia="zh-CN"/>
        </w:rPr>
        <w:t>B.</w:t>
      </w:r>
      <w:r>
        <w:rPr>
          <w:color w:val="auto"/>
          <w:highlight w:val="none"/>
        </w:rPr>
        <w:t>粉尘污染防治</w:t>
      </w:r>
      <w:r>
        <w:rPr>
          <w:rFonts w:hint="eastAsia"/>
          <w:color w:val="auto"/>
          <w:highlight w:val="none"/>
          <w:lang w:eastAsia="zh-CN"/>
        </w:rPr>
        <w:t>。</w:t>
      </w:r>
      <w:r>
        <w:rPr>
          <w:color w:val="auto"/>
          <w:highlight w:val="none"/>
        </w:rPr>
        <w:t>在排矸场布设洒水除尘装置，定期洒水；排矸场周边进行绿化，可有效防止排矸场起尘。</w:t>
      </w:r>
    </w:p>
    <w:p>
      <w:pPr>
        <w:bidi w:val="0"/>
        <w:rPr>
          <w:color w:val="auto"/>
          <w:highlight w:val="none"/>
        </w:rPr>
      </w:pPr>
      <w:r>
        <w:rPr>
          <w:rFonts w:hint="eastAsia"/>
          <w:color w:val="auto"/>
          <w:highlight w:val="none"/>
          <w:lang w:val="en-US" w:eastAsia="zh-CN"/>
        </w:rPr>
        <w:t>C.</w:t>
      </w:r>
      <w:r>
        <w:rPr>
          <w:color w:val="auto"/>
          <w:highlight w:val="none"/>
        </w:rPr>
        <w:t>水体污染防治</w:t>
      </w:r>
      <w:r>
        <w:rPr>
          <w:rFonts w:hint="eastAsia"/>
          <w:color w:val="auto"/>
          <w:highlight w:val="none"/>
          <w:lang w:eastAsia="zh-CN"/>
        </w:rPr>
        <w:t>。</w:t>
      </w:r>
      <w:r>
        <w:rPr>
          <w:color w:val="auto"/>
          <w:highlight w:val="none"/>
        </w:rPr>
        <w:t>为了防止暴雨冲刷矸石污染环境，在矸石场四周设置集水沟；截水沟收集的雨水经沉淀处理后回用与排矸场洒水。为防止滑坡，造成水土流失，在排矸场修筑拦矸墙。</w:t>
      </w:r>
    </w:p>
    <w:p>
      <w:pPr>
        <w:pStyle w:val="6"/>
        <w:numPr>
          <w:ilvl w:val="2"/>
          <w:numId w:val="14"/>
        </w:numPr>
        <w:bidi w:val="0"/>
        <w:rPr>
          <w:color w:val="auto"/>
          <w:highlight w:val="none"/>
        </w:rPr>
      </w:pPr>
      <w:bookmarkStart w:id="651" w:name="7.4.2 其他固体废物处置措施"/>
      <w:bookmarkEnd w:id="651"/>
      <w:bookmarkStart w:id="652" w:name="7.4.2 其他固体废物处置措施"/>
      <w:bookmarkEnd w:id="652"/>
      <w:bookmarkStart w:id="653" w:name="_Toc4878"/>
      <w:bookmarkStart w:id="654" w:name="_Toc539"/>
      <w:r>
        <w:rPr>
          <w:color w:val="auto"/>
          <w:highlight w:val="none"/>
        </w:rPr>
        <w:t>其他固体废物处置措施</w:t>
      </w:r>
      <w:bookmarkEnd w:id="653"/>
      <w:bookmarkEnd w:id="654"/>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生活垃圾、生活污水处理站污泥（干化后污泥含水率小于60%），经收集后定期运至周边生活垃圾填埋场处置；</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检修车间废油收集暂存后，交由有资质的单位处理或，暂存车间地面铺设人工防渗膜，防渗系数不小于 1×10</w:t>
      </w:r>
      <w:r>
        <w:rPr>
          <w:color w:val="auto"/>
          <w:highlight w:val="none"/>
          <w:vertAlign w:val="superscript"/>
        </w:rPr>
        <w:t>-7</w:t>
      </w:r>
      <w:r>
        <w:rPr>
          <w:color w:val="auto"/>
          <w:highlight w:val="none"/>
        </w:rPr>
        <w:t>cm/s，定期交由有资质单位回收；</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矿井水处理站污泥可作为副产品外售或回收利用。</w:t>
      </w:r>
    </w:p>
    <w:p>
      <w:pPr>
        <w:pStyle w:val="5"/>
        <w:numPr>
          <w:ilvl w:val="1"/>
          <w:numId w:val="14"/>
        </w:numPr>
        <w:bidi w:val="0"/>
        <w:rPr>
          <w:color w:val="auto"/>
          <w:highlight w:val="none"/>
        </w:rPr>
      </w:pPr>
      <w:bookmarkStart w:id="655" w:name="_bookmark47"/>
      <w:bookmarkEnd w:id="655"/>
      <w:bookmarkStart w:id="656" w:name="7.5 矿区噪声控制"/>
      <w:bookmarkEnd w:id="656"/>
      <w:bookmarkStart w:id="657" w:name="_Toc27449"/>
      <w:bookmarkStart w:id="658" w:name="_Toc17892"/>
      <w:r>
        <w:rPr>
          <w:color w:val="auto"/>
          <w:highlight w:val="none"/>
        </w:rPr>
        <w:t>矿区噪声控制</w:t>
      </w:r>
      <w:bookmarkEnd w:id="657"/>
      <w:bookmarkEnd w:id="658"/>
    </w:p>
    <w:p>
      <w:pPr>
        <w:pStyle w:val="6"/>
        <w:numPr>
          <w:ilvl w:val="2"/>
          <w:numId w:val="14"/>
        </w:numPr>
        <w:bidi w:val="0"/>
        <w:rPr>
          <w:color w:val="auto"/>
          <w:highlight w:val="none"/>
        </w:rPr>
      </w:pPr>
      <w:bookmarkStart w:id="659" w:name="7.5.1 合理规划布局"/>
      <w:bookmarkEnd w:id="659"/>
      <w:bookmarkStart w:id="660" w:name="7.5.1 合理规划布局"/>
      <w:bookmarkEnd w:id="660"/>
      <w:bookmarkStart w:id="661" w:name="_Toc26505"/>
      <w:bookmarkStart w:id="662" w:name="_Toc11327"/>
      <w:r>
        <w:rPr>
          <w:color w:val="auto"/>
          <w:highlight w:val="none"/>
        </w:rPr>
        <w:t>合理规划布局</w:t>
      </w:r>
      <w:bookmarkEnd w:id="661"/>
      <w:bookmarkEnd w:id="662"/>
    </w:p>
    <w:p>
      <w:pPr>
        <w:bidi w:val="0"/>
        <w:rPr>
          <w:color w:val="auto"/>
          <w:highlight w:val="none"/>
        </w:rPr>
      </w:pPr>
      <w:r>
        <w:rPr>
          <w:color w:val="auto"/>
          <w:highlight w:val="none"/>
        </w:rPr>
        <w:t>噪声污染是一种局部区域性的污染，因此区域的总体布局十分重要。规划布局中要将工业用地、公共设施用地等较嘈杂的用地与办公用地等需要安静的用地分隔开来布局，进区企业也要注意将生产区与办公区分离开来。</w:t>
      </w:r>
    </w:p>
    <w:p>
      <w:pPr>
        <w:bidi w:val="0"/>
        <w:rPr>
          <w:color w:val="auto"/>
          <w:highlight w:val="none"/>
        </w:rPr>
      </w:pPr>
      <w:r>
        <w:rPr>
          <w:color w:val="auto"/>
          <w:highlight w:val="none"/>
        </w:rPr>
        <w:t>进区企业应将运行噪声高的设备尽可能远离厂界，利用距离衰减来降低噪声。对于那些不可能远离厂界和噪声敏感点的设备噪声，在设计时尽可能利用厂房建筑物来阻隔噪声对厂界外环境的影响，如果不能利用距离和现成的建筑物来控制设备噪声的影响，就必须采取相应的噪声治理措施。</w:t>
      </w:r>
    </w:p>
    <w:p>
      <w:pPr>
        <w:pStyle w:val="6"/>
        <w:numPr>
          <w:ilvl w:val="2"/>
          <w:numId w:val="14"/>
        </w:numPr>
        <w:bidi w:val="0"/>
        <w:rPr>
          <w:color w:val="auto"/>
          <w:highlight w:val="none"/>
        </w:rPr>
      </w:pPr>
      <w:bookmarkStart w:id="663" w:name="7.5.2 矿区噪声防治对策"/>
      <w:bookmarkEnd w:id="663"/>
      <w:bookmarkStart w:id="664" w:name="7.5.2 矿区噪声防治对策"/>
      <w:bookmarkEnd w:id="664"/>
      <w:bookmarkStart w:id="665" w:name="_Toc27278"/>
      <w:bookmarkStart w:id="666" w:name="_Toc18061"/>
      <w:r>
        <w:rPr>
          <w:color w:val="auto"/>
          <w:highlight w:val="none"/>
        </w:rPr>
        <w:t>矿区噪声防治对策</w:t>
      </w:r>
      <w:bookmarkEnd w:id="665"/>
      <w:bookmarkEnd w:id="666"/>
    </w:p>
    <w:p>
      <w:pPr>
        <w:pStyle w:val="7"/>
        <w:numPr>
          <w:ilvl w:val="3"/>
          <w:numId w:val="14"/>
        </w:numPr>
        <w:bidi w:val="0"/>
        <w:rPr>
          <w:color w:val="auto"/>
          <w:highlight w:val="none"/>
        </w:rPr>
      </w:pPr>
      <w:r>
        <w:rPr>
          <w:color w:val="auto"/>
          <w:highlight w:val="none"/>
        </w:rPr>
        <w:t>矿区噪声污染防治</w:t>
      </w:r>
    </w:p>
    <w:p>
      <w:pPr>
        <w:bidi w:val="0"/>
        <w:rPr>
          <w:color w:val="auto"/>
          <w:highlight w:val="none"/>
        </w:rPr>
      </w:pPr>
      <w:r>
        <w:rPr>
          <w:color w:val="auto"/>
          <w:highlight w:val="none"/>
        </w:rPr>
        <w:t>矿区主要噪声源包括井口风机、锅炉风机、提升绞车、水泵胶带输送机等设备。对矿区噪声采取的防治措施主要是：选用低噪声设备，根据声源特征分别采取消声、吸声、隔声及减振等措施，对难以采取控制措施的偶发性噪声源，拟从工业场地总平面布置上着手，使其尽量远离办公区和人员居住区等噪声敏感点。采取这些措施后工业场地厂界噪声可满足《工业企业厂界环境噪声排放标准》（GB12348-2008）。</w:t>
      </w:r>
    </w:p>
    <w:p>
      <w:pPr>
        <w:pStyle w:val="7"/>
        <w:numPr>
          <w:ilvl w:val="3"/>
          <w:numId w:val="14"/>
        </w:numPr>
        <w:bidi w:val="0"/>
        <w:rPr>
          <w:color w:val="auto"/>
          <w:highlight w:val="none"/>
        </w:rPr>
      </w:pPr>
      <w:r>
        <w:rPr>
          <w:color w:val="auto"/>
          <w:highlight w:val="none"/>
        </w:rPr>
        <w:t>选煤厂噪声污染防治对策</w:t>
      </w:r>
    </w:p>
    <w:p>
      <w:pPr>
        <w:bidi w:val="0"/>
        <w:rPr>
          <w:color w:val="auto"/>
          <w:highlight w:val="none"/>
        </w:rPr>
      </w:pPr>
      <w:r>
        <w:rPr>
          <w:color w:val="auto"/>
          <w:highlight w:val="none"/>
        </w:rPr>
        <w:t>为了使厂界噪声达到《工业企业厂界环境噪声排放标准》（ GB12348- 2008）。设计主要从声源、传播途径、个人保护三个途径对噪声进行防治：</w:t>
      </w:r>
    </w:p>
    <w:p>
      <w:pPr>
        <w:bidi w:val="0"/>
        <w:rPr>
          <w:color w:val="auto"/>
          <w:highlight w:val="none"/>
        </w:rPr>
      </w:pPr>
      <w:r>
        <w:rPr>
          <w:rFonts w:hint="eastAsia"/>
          <w:color w:val="auto"/>
          <w:highlight w:val="none"/>
          <w:lang w:eastAsia="zh-CN"/>
        </w:rPr>
        <w:t>①</w:t>
      </w:r>
      <w:r>
        <w:rPr>
          <w:color w:val="auto"/>
          <w:highlight w:val="none"/>
        </w:rPr>
        <w:t>使用零部件加工精良、结构合理的低噪声设备。</w:t>
      </w:r>
    </w:p>
    <w:p>
      <w:pPr>
        <w:bidi w:val="0"/>
        <w:rPr>
          <w:color w:val="auto"/>
          <w:highlight w:val="none"/>
        </w:rPr>
      </w:pPr>
      <w:r>
        <w:rPr>
          <w:rFonts w:hint="eastAsia"/>
          <w:color w:val="auto"/>
          <w:highlight w:val="none"/>
          <w:lang w:eastAsia="zh-CN"/>
        </w:rPr>
        <w:t>②</w:t>
      </w:r>
      <w:r>
        <w:rPr>
          <w:color w:val="auto"/>
          <w:highlight w:val="none"/>
        </w:rPr>
        <w:t>为筛分破碎等震动较强的设备加装减振器。</w:t>
      </w:r>
    </w:p>
    <w:p>
      <w:pPr>
        <w:bidi w:val="0"/>
        <w:rPr>
          <w:color w:val="auto"/>
          <w:highlight w:val="none"/>
        </w:rPr>
      </w:pPr>
      <w:r>
        <w:rPr>
          <w:rFonts w:hint="eastAsia"/>
          <w:color w:val="auto"/>
          <w:highlight w:val="none"/>
          <w:lang w:eastAsia="zh-CN"/>
        </w:rPr>
        <w:t>③</w:t>
      </w:r>
      <w:r>
        <w:rPr>
          <w:color w:val="auto"/>
          <w:highlight w:val="none"/>
        </w:rPr>
        <w:t>可利用加减振板或缓冲台阶减轻大块物料冲击溜槽的强度。</w:t>
      </w:r>
    </w:p>
    <w:p>
      <w:pPr>
        <w:bidi w:val="0"/>
        <w:rPr>
          <w:color w:val="auto"/>
          <w:highlight w:val="none"/>
        </w:rPr>
      </w:pPr>
      <w:r>
        <w:rPr>
          <w:rFonts w:hint="eastAsia"/>
          <w:color w:val="auto"/>
          <w:highlight w:val="none"/>
          <w:lang w:eastAsia="zh-CN"/>
        </w:rPr>
        <w:t>④</w:t>
      </w:r>
      <w:r>
        <w:rPr>
          <w:color w:val="auto"/>
          <w:highlight w:val="none"/>
        </w:rPr>
        <w:t>在空压机等进排气管内加消声器。</w:t>
      </w:r>
    </w:p>
    <w:p>
      <w:pPr>
        <w:bidi w:val="0"/>
        <w:rPr>
          <w:color w:val="auto"/>
          <w:highlight w:val="none"/>
        </w:rPr>
      </w:pPr>
      <w:r>
        <w:rPr>
          <w:rFonts w:hint="eastAsia"/>
          <w:color w:val="auto"/>
          <w:highlight w:val="none"/>
          <w:lang w:eastAsia="zh-CN"/>
        </w:rPr>
        <w:t>⑤</w:t>
      </w:r>
      <w:r>
        <w:rPr>
          <w:color w:val="auto"/>
          <w:highlight w:val="none"/>
        </w:rPr>
        <w:t>合理布置生产车间和办公室的位置，将噪声较大的车间与办公室、实验室分区布置。</w:t>
      </w:r>
    </w:p>
    <w:p>
      <w:pPr>
        <w:bidi w:val="0"/>
        <w:rPr>
          <w:color w:val="auto"/>
          <w:highlight w:val="none"/>
        </w:rPr>
      </w:pPr>
      <w:r>
        <w:rPr>
          <w:rFonts w:hint="eastAsia"/>
          <w:color w:val="auto"/>
          <w:highlight w:val="none"/>
          <w:lang w:eastAsia="zh-CN"/>
        </w:rPr>
        <w:t>⑥</w:t>
      </w:r>
      <w:r>
        <w:rPr>
          <w:color w:val="auto"/>
          <w:highlight w:val="none"/>
        </w:rPr>
        <w:t>建筑物周围空地种植防尘隔声林灌草带。</w:t>
      </w:r>
    </w:p>
    <w:p>
      <w:pPr>
        <w:bidi w:val="0"/>
        <w:rPr>
          <w:color w:val="auto"/>
          <w:highlight w:val="none"/>
        </w:rPr>
      </w:pPr>
      <w:r>
        <w:rPr>
          <w:rFonts w:hint="eastAsia"/>
          <w:color w:val="auto"/>
          <w:highlight w:val="none"/>
          <w:lang w:eastAsia="zh-CN"/>
        </w:rPr>
        <w:t>⑥</w:t>
      </w:r>
      <w:r>
        <w:rPr>
          <w:color w:val="auto"/>
          <w:highlight w:val="none"/>
        </w:rPr>
        <w:t>产生强噪声车间内建隔声间或为受强噪声干扰的工人佩带耳塞、耳罩。</w:t>
      </w:r>
    </w:p>
    <w:p>
      <w:pPr>
        <w:bidi w:val="0"/>
        <w:rPr>
          <w:color w:val="auto"/>
          <w:highlight w:val="none"/>
        </w:rPr>
      </w:pPr>
      <w:r>
        <w:rPr>
          <w:rFonts w:hint="eastAsia"/>
          <w:color w:val="auto"/>
          <w:highlight w:val="none"/>
          <w:lang w:eastAsia="zh-CN"/>
        </w:rPr>
        <w:t>⑦</w:t>
      </w:r>
      <w:r>
        <w:rPr>
          <w:color w:val="auto"/>
          <w:highlight w:val="none"/>
        </w:rPr>
        <w:t>选煤厂噪声设备均布置在车间或密闭建筑体内，车间和建筑体有部分吸声能力，且声强也将随着传播距离的增加而逐渐衰减。</w:t>
      </w:r>
    </w:p>
    <w:p>
      <w:pPr>
        <w:pStyle w:val="5"/>
        <w:numPr>
          <w:ilvl w:val="1"/>
          <w:numId w:val="14"/>
        </w:numPr>
        <w:bidi w:val="0"/>
        <w:rPr>
          <w:color w:val="auto"/>
          <w:highlight w:val="none"/>
        </w:rPr>
      </w:pPr>
      <w:bookmarkStart w:id="667" w:name="_bookmark48"/>
      <w:bookmarkEnd w:id="667"/>
      <w:bookmarkStart w:id="668" w:name="7.6 矿区受影响居民搬迁安置原则及建议方案"/>
      <w:bookmarkEnd w:id="668"/>
      <w:bookmarkStart w:id="669" w:name="_Toc23764"/>
      <w:bookmarkStart w:id="670" w:name="_Toc29108"/>
      <w:r>
        <w:rPr>
          <w:color w:val="auto"/>
          <w:highlight w:val="none"/>
        </w:rPr>
        <w:t>矿区受影响居民搬迁安置原则及建议方案</w:t>
      </w:r>
      <w:bookmarkEnd w:id="669"/>
      <w:bookmarkEnd w:id="670"/>
    </w:p>
    <w:p>
      <w:pPr>
        <w:bidi w:val="0"/>
        <w:rPr>
          <w:color w:val="auto"/>
          <w:highlight w:val="none"/>
        </w:rPr>
      </w:pPr>
      <w:r>
        <w:rPr>
          <w:color w:val="auto"/>
          <w:highlight w:val="none"/>
        </w:rPr>
        <w:t>根据前述分析，矿区范围内及周边受采煤沉陷影响程度均为极小，不涉及工程搬迁。</w:t>
      </w:r>
    </w:p>
    <w:p>
      <w:pPr>
        <w:pStyle w:val="5"/>
        <w:numPr>
          <w:ilvl w:val="1"/>
          <w:numId w:val="14"/>
        </w:numPr>
        <w:bidi w:val="0"/>
        <w:rPr>
          <w:color w:val="auto"/>
          <w:highlight w:val="none"/>
        </w:rPr>
      </w:pPr>
      <w:bookmarkStart w:id="671" w:name="7.7 矿区资源综合利用"/>
      <w:bookmarkEnd w:id="671"/>
      <w:bookmarkStart w:id="672" w:name="_bookmark49"/>
      <w:bookmarkEnd w:id="672"/>
      <w:bookmarkStart w:id="673" w:name="_Toc2932"/>
      <w:bookmarkStart w:id="674" w:name="_Toc14959"/>
      <w:r>
        <w:rPr>
          <w:color w:val="auto"/>
          <w:highlight w:val="none"/>
        </w:rPr>
        <w:t>矿区资源综合利用</w:t>
      </w:r>
      <w:bookmarkEnd w:id="673"/>
      <w:bookmarkEnd w:id="674"/>
    </w:p>
    <w:p>
      <w:pPr>
        <w:pStyle w:val="7"/>
        <w:numPr>
          <w:ilvl w:val="2"/>
          <w:numId w:val="14"/>
        </w:numPr>
        <w:bidi w:val="0"/>
        <w:outlineLvl w:val="2"/>
        <w:rPr>
          <w:color w:val="auto"/>
          <w:highlight w:val="none"/>
        </w:rPr>
      </w:pPr>
      <w:bookmarkStart w:id="675" w:name="7.7.1 水资源综合利用"/>
      <w:bookmarkEnd w:id="675"/>
      <w:bookmarkStart w:id="676" w:name="7.7.1 水资源综合利用"/>
      <w:bookmarkEnd w:id="676"/>
      <w:bookmarkStart w:id="677" w:name="_Toc20747"/>
      <w:bookmarkStart w:id="678" w:name="_Toc4165"/>
      <w:r>
        <w:rPr>
          <w:color w:val="auto"/>
          <w:highlight w:val="none"/>
        </w:rPr>
        <w:t>水资源综合利用</w:t>
      </w:r>
      <w:bookmarkEnd w:id="677"/>
      <w:bookmarkEnd w:id="678"/>
    </w:p>
    <w:p>
      <w:pPr>
        <w:bidi w:val="0"/>
        <w:rPr>
          <w:color w:val="auto"/>
          <w:highlight w:val="none"/>
        </w:rPr>
      </w:pPr>
      <w:r>
        <w:rPr>
          <w:color w:val="auto"/>
          <w:highlight w:val="none"/>
        </w:rPr>
        <w:t>本环评对水资源的高效利用提出以下综合利用方案。</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井下排水（矿井水）</w:t>
      </w:r>
    </w:p>
    <w:p>
      <w:pPr>
        <w:bidi w:val="0"/>
        <w:rPr>
          <w:color w:val="auto"/>
          <w:highlight w:val="none"/>
        </w:rPr>
      </w:pPr>
      <w:r>
        <w:rPr>
          <w:color w:val="auto"/>
          <w:highlight w:val="none"/>
        </w:rPr>
        <w:t>矿井产生的井下排水提升至地面后，通过常规处理、消毒后，回用于矿井井下消防洒水、建材厂等水质要求较低场所，其他经深度处理后回用矿区生活用水，回用以外的少量外排。矿井水深度处理产生的脱盐浓水则主要用于选煤厂生产补充水、黄泥灌浆用水</w:t>
      </w:r>
      <w:r>
        <w:rPr>
          <w:rFonts w:hint="eastAsia"/>
          <w:color w:val="auto"/>
          <w:highlight w:val="none"/>
          <w:lang w:eastAsia="zh-CN"/>
        </w:rPr>
        <w:t>、消防</w:t>
      </w:r>
      <w:r>
        <w:rPr>
          <w:color w:val="auto"/>
          <w:highlight w:val="none"/>
        </w:rPr>
        <w:t>和洒水</w:t>
      </w:r>
      <w:r>
        <w:rPr>
          <w:rFonts w:hint="eastAsia"/>
          <w:color w:val="auto"/>
          <w:highlight w:val="none"/>
          <w:lang w:eastAsia="zh-CN"/>
        </w:rPr>
        <w:t>降尘</w:t>
      </w:r>
      <w:r>
        <w:rPr>
          <w:color w:val="auto"/>
          <w:highlight w:val="none"/>
        </w:rPr>
        <w:t>等，不外排。</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生活污废水</w:t>
      </w:r>
    </w:p>
    <w:p>
      <w:pPr>
        <w:bidi w:val="0"/>
        <w:rPr>
          <w:color w:val="auto"/>
          <w:highlight w:val="none"/>
        </w:rPr>
      </w:pPr>
      <w:r>
        <w:rPr>
          <w:color w:val="auto"/>
          <w:highlight w:val="none"/>
        </w:rPr>
        <w:t>矿区内规划矿井的生活污水经处理后主要用于抑尘洒水</w:t>
      </w:r>
      <w:r>
        <w:rPr>
          <w:rFonts w:hint="eastAsia"/>
          <w:color w:val="auto"/>
          <w:highlight w:val="none"/>
          <w:lang w:eastAsia="zh-CN"/>
        </w:rPr>
        <w:t>、绿化、农肥等</w:t>
      </w:r>
      <w:r>
        <w:rPr>
          <w:color w:val="auto"/>
          <w:highlight w:val="none"/>
        </w:rPr>
        <w:t>。</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选煤厂生产用水</w:t>
      </w:r>
    </w:p>
    <w:p>
      <w:pPr>
        <w:bidi w:val="0"/>
        <w:rPr>
          <w:color w:val="auto"/>
          <w:highlight w:val="none"/>
        </w:rPr>
      </w:pPr>
      <w:r>
        <w:rPr>
          <w:color w:val="auto"/>
          <w:highlight w:val="none"/>
        </w:rPr>
        <w:t>选煤厂生产补充水优先采用处理后的生活污水和井下排水，洗煤用水净化处理后循环使用，实现洗水一级闭路循环。</w:t>
      </w:r>
    </w:p>
    <w:p>
      <w:pPr>
        <w:pStyle w:val="6"/>
        <w:numPr>
          <w:ilvl w:val="2"/>
          <w:numId w:val="14"/>
        </w:numPr>
        <w:bidi w:val="0"/>
        <w:rPr>
          <w:color w:val="auto"/>
          <w:highlight w:val="none"/>
        </w:rPr>
      </w:pPr>
      <w:bookmarkStart w:id="679" w:name="7.7.2 节水措施"/>
      <w:bookmarkEnd w:id="679"/>
      <w:bookmarkStart w:id="680" w:name="7.7.2 节水措施"/>
      <w:bookmarkEnd w:id="680"/>
      <w:bookmarkStart w:id="681" w:name="_Toc24722"/>
      <w:bookmarkStart w:id="682" w:name="_Toc22749"/>
      <w:r>
        <w:rPr>
          <w:color w:val="auto"/>
          <w:highlight w:val="none"/>
        </w:rPr>
        <w:t>节水措施</w:t>
      </w:r>
      <w:bookmarkEnd w:id="681"/>
      <w:bookmarkEnd w:id="682"/>
    </w:p>
    <w:p>
      <w:pPr>
        <w:pStyle w:val="7"/>
        <w:numPr>
          <w:ilvl w:val="3"/>
          <w:numId w:val="14"/>
        </w:numPr>
        <w:bidi w:val="0"/>
        <w:rPr>
          <w:color w:val="auto"/>
          <w:highlight w:val="none"/>
        </w:rPr>
      </w:pPr>
      <w:r>
        <w:rPr>
          <w:color w:val="auto"/>
          <w:highlight w:val="none"/>
        </w:rPr>
        <w:t>工业节水</w:t>
      </w:r>
    </w:p>
    <w:p>
      <w:pPr>
        <w:bidi w:val="0"/>
        <w:rPr>
          <w:color w:val="auto"/>
          <w:highlight w:val="none"/>
        </w:rPr>
      </w:pPr>
      <w:r>
        <w:rPr>
          <w:color w:val="auto"/>
          <w:highlight w:val="none"/>
        </w:rPr>
        <w:t>应把提高矿区内工业用水重复利用率作为工业节水的重点，严格按照用水定额规范用水，通过先进工艺设备、污水回用系统配套相应管理措施的实施，促进节水型生产模式的形成，提高矿区内工业生产用水的循环利用。</w:t>
      </w:r>
    </w:p>
    <w:p>
      <w:pPr>
        <w:bidi w:val="0"/>
        <w:rPr>
          <w:color w:val="auto"/>
          <w:highlight w:val="none"/>
        </w:rPr>
      </w:pPr>
      <w:r>
        <w:rPr>
          <w:color w:val="auto"/>
          <w:highlight w:val="none"/>
        </w:rPr>
        <w:t>本次评价根据节约水资源、减少水污染的原则，提出在其工程设计过程中，应本着节约用水、一水多用、循环使用和废水回收利用的原则，矿区内各个用水单位建立严格的节水制度，采用可行的节水措施，进行全矿区水务管理和水量平衡。具体措施包括：</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煤矿选煤厂洗选水处理系统采用高效浓缩机，且尾煤采用压滤机回收。煤泥水达到100%闭路循环，不外排；</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在用水建筑物入口处设水表，建筑物内选用节水型卫生器具，并设随时关断阀门，卫生器具及管道随时检查和防漏</w:t>
      </w:r>
      <w:r>
        <w:rPr>
          <w:rFonts w:hint="eastAsia"/>
          <w:color w:val="auto"/>
          <w:highlight w:val="none"/>
          <w:lang w:eastAsia="zh-CN"/>
        </w:rPr>
        <w:t>。</w:t>
      </w:r>
    </w:p>
    <w:p>
      <w:pPr>
        <w:pStyle w:val="7"/>
        <w:numPr>
          <w:ilvl w:val="3"/>
          <w:numId w:val="14"/>
        </w:numPr>
        <w:bidi w:val="0"/>
        <w:rPr>
          <w:color w:val="auto"/>
          <w:highlight w:val="none"/>
        </w:rPr>
      </w:pPr>
      <w:r>
        <w:rPr>
          <w:color w:val="auto"/>
          <w:highlight w:val="none"/>
        </w:rPr>
        <w:t>生活节水</w:t>
      </w:r>
    </w:p>
    <w:p>
      <w:pPr>
        <w:bidi w:val="0"/>
        <w:rPr>
          <w:color w:val="auto"/>
          <w:highlight w:val="none"/>
        </w:rPr>
      </w:pPr>
      <w:r>
        <w:rPr>
          <w:color w:val="auto"/>
          <w:highlight w:val="none"/>
        </w:rPr>
        <w:t>在各矿井生活区采用先进节水技术，减少无效或低效耗水，推广使用节水器具；鼓励使用无污或少污洗涤用品；加强需水管理，制定合理水价政策，积极开展节水宣传，实施计划定额用水和普及节水器具，利用污水处理后回用水冲厕。将生产生活污水回收经处理达标后用于绿化和浇洒道路，减少新鲜用水量。规划矿区节水器具普及率应达80%以上。</w:t>
      </w:r>
    </w:p>
    <w:p>
      <w:pPr>
        <w:pStyle w:val="5"/>
        <w:numPr>
          <w:ilvl w:val="1"/>
          <w:numId w:val="14"/>
        </w:numPr>
        <w:bidi w:val="0"/>
        <w:rPr>
          <w:color w:val="auto"/>
          <w:highlight w:val="none"/>
        </w:rPr>
      </w:pPr>
      <w:bookmarkStart w:id="683" w:name="_bookmark50"/>
      <w:bookmarkEnd w:id="683"/>
      <w:bookmarkStart w:id="684" w:name="7.8 矿区重大环境风险防范对策"/>
      <w:bookmarkEnd w:id="684"/>
      <w:bookmarkStart w:id="685" w:name="_Toc4259"/>
      <w:bookmarkStart w:id="686" w:name="_Toc5280"/>
      <w:r>
        <w:rPr>
          <w:color w:val="auto"/>
          <w:highlight w:val="none"/>
        </w:rPr>
        <w:t>矿区重大环境风险防范对策</w:t>
      </w:r>
      <w:bookmarkEnd w:id="685"/>
      <w:bookmarkEnd w:id="686"/>
    </w:p>
    <w:p>
      <w:pPr>
        <w:pStyle w:val="6"/>
        <w:numPr>
          <w:ilvl w:val="2"/>
          <w:numId w:val="14"/>
        </w:numPr>
        <w:bidi w:val="0"/>
        <w:rPr>
          <w:color w:val="auto"/>
          <w:highlight w:val="none"/>
        </w:rPr>
      </w:pPr>
      <w:bookmarkStart w:id="687" w:name="7.8.1 风险防范措施"/>
      <w:bookmarkEnd w:id="687"/>
      <w:bookmarkStart w:id="688" w:name="7.8.1 风险防范措施"/>
      <w:bookmarkEnd w:id="688"/>
      <w:bookmarkStart w:id="689" w:name="_Toc9487"/>
      <w:bookmarkStart w:id="690" w:name="_Toc1543"/>
      <w:r>
        <w:rPr>
          <w:color w:val="auto"/>
          <w:highlight w:val="none"/>
        </w:rPr>
        <w:t>风险防范措施</w:t>
      </w:r>
      <w:bookmarkEnd w:id="689"/>
      <w:bookmarkEnd w:id="690"/>
    </w:p>
    <w:p>
      <w:pPr>
        <w:pStyle w:val="7"/>
        <w:numPr>
          <w:ilvl w:val="3"/>
          <w:numId w:val="14"/>
        </w:numPr>
        <w:bidi w:val="0"/>
        <w:rPr>
          <w:color w:val="auto"/>
          <w:highlight w:val="none"/>
        </w:rPr>
      </w:pPr>
      <w:r>
        <w:rPr>
          <w:color w:val="auto"/>
          <w:highlight w:val="none"/>
        </w:rPr>
        <w:t>废污水处理站风险防范措施</w:t>
      </w:r>
    </w:p>
    <w:p>
      <w:pPr>
        <w:bidi w:val="0"/>
        <w:rPr>
          <w:color w:val="auto"/>
          <w:highlight w:val="none"/>
        </w:rPr>
      </w:pPr>
      <w:r>
        <w:rPr>
          <w:color w:val="auto"/>
          <w:highlight w:val="none"/>
        </w:rPr>
        <w:t>矿区内各规划矿井发生污废水事故排放的几率小，但实施过程中仍需加强重视。本次环评提出的防范措施主要有：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矿坑水处理站</w:t>
      </w:r>
    </w:p>
    <w:p>
      <w:pPr>
        <w:bidi w:val="0"/>
        <w:rPr>
          <w:color w:val="auto"/>
          <w:highlight w:val="none"/>
        </w:rPr>
      </w:pPr>
      <w:r>
        <w:rPr>
          <w:rFonts w:hint="eastAsia"/>
          <w:color w:val="auto"/>
          <w:highlight w:val="none"/>
          <w:lang w:eastAsia="zh-CN"/>
        </w:rPr>
        <w:t>①</w:t>
      </w:r>
      <w:r>
        <w:rPr>
          <w:color w:val="auto"/>
          <w:highlight w:val="none"/>
        </w:rPr>
        <w:t>设置在线监控系统，监控 CODcr、SS 出口浓度；</w:t>
      </w:r>
    </w:p>
    <w:p>
      <w:pPr>
        <w:bidi w:val="0"/>
        <w:rPr>
          <w:color w:val="auto"/>
          <w:highlight w:val="none"/>
        </w:rPr>
      </w:pPr>
      <w:r>
        <w:rPr>
          <w:rFonts w:hint="eastAsia"/>
          <w:color w:val="auto"/>
          <w:highlight w:val="none"/>
          <w:lang w:eastAsia="zh-CN"/>
        </w:rPr>
        <w:t>②</w:t>
      </w:r>
      <w:r>
        <w:rPr>
          <w:color w:val="auto"/>
          <w:highlight w:val="none"/>
        </w:rPr>
        <w:t>专人负责，定期对管线及设备进行巡检。</w:t>
      </w:r>
    </w:p>
    <w:p>
      <w:pPr>
        <w:bidi w:val="0"/>
        <w:rPr>
          <w:color w:val="auto"/>
          <w:highlight w:val="none"/>
        </w:rPr>
      </w:pPr>
      <w:r>
        <w:rPr>
          <w:rFonts w:hint="eastAsia"/>
          <w:color w:val="auto"/>
          <w:highlight w:val="none"/>
          <w:lang w:eastAsia="zh-CN"/>
        </w:rPr>
        <w:t>③</w:t>
      </w:r>
      <w:r>
        <w:rPr>
          <w:color w:val="auto"/>
          <w:highlight w:val="none"/>
        </w:rPr>
        <w:t>制定了《消防安全管理办法》、《工作人员作业规程》、《岗位责任制》等相关制度与规程；</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生活污水处理站</w:t>
      </w:r>
    </w:p>
    <w:p>
      <w:pPr>
        <w:bidi w:val="0"/>
        <w:rPr>
          <w:color w:val="auto"/>
          <w:highlight w:val="none"/>
        </w:rPr>
      </w:pPr>
      <w:r>
        <w:rPr>
          <w:rFonts w:hint="eastAsia"/>
          <w:color w:val="auto"/>
          <w:highlight w:val="none"/>
          <w:lang w:eastAsia="zh-CN"/>
        </w:rPr>
        <w:t>①</w:t>
      </w:r>
      <w:r>
        <w:rPr>
          <w:color w:val="auto"/>
          <w:highlight w:val="none"/>
        </w:rPr>
        <w:t>设置在线监控系统，监控 CODcr 出口浓度；</w:t>
      </w:r>
    </w:p>
    <w:p>
      <w:pPr>
        <w:bidi w:val="0"/>
        <w:rPr>
          <w:color w:val="auto"/>
          <w:highlight w:val="none"/>
        </w:rPr>
      </w:pPr>
      <w:r>
        <w:rPr>
          <w:rFonts w:hint="eastAsia"/>
          <w:color w:val="auto"/>
          <w:highlight w:val="none"/>
          <w:lang w:eastAsia="zh-CN"/>
        </w:rPr>
        <w:t>②</w:t>
      </w:r>
      <w:r>
        <w:rPr>
          <w:color w:val="auto"/>
          <w:highlight w:val="none"/>
        </w:rPr>
        <w:t>专人负责，定期对管线及设备进行巡检。</w:t>
      </w:r>
    </w:p>
    <w:p>
      <w:pPr>
        <w:bidi w:val="0"/>
        <w:rPr>
          <w:color w:val="auto"/>
          <w:highlight w:val="none"/>
        </w:rPr>
      </w:pPr>
      <w:r>
        <w:rPr>
          <w:rFonts w:hint="eastAsia"/>
          <w:color w:val="auto"/>
          <w:highlight w:val="none"/>
          <w:lang w:eastAsia="zh-CN"/>
        </w:rPr>
        <w:t>③</w:t>
      </w:r>
      <w:r>
        <w:rPr>
          <w:color w:val="auto"/>
          <w:highlight w:val="none"/>
        </w:rPr>
        <w:t>制定了《消防安全管理办法》、《工作人员作业规程》、《岗位责任制》等相关制度与规程。</w:t>
      </w:r>
    </w:p>
    <w:p>
      <w:pPr>
        <w:pStyle w:val="7"/>
        <w:numPr>
          <w:ilvl w:val="3"/>
          <w:numId w:val="14"/>
        </w:numPr>
        <w:bidi w:val="0"/>
        <w:rPr>
          <w:color w:val="auto"/>
          <w:highlight w:val="none"/>
        </w:rPr>
      </w:pPr>
      <w:r>
        <w:rPr>
          <w:color w:val="auto"/>
          <w:highlight w:val="none"/>
        </w:rPr>
        <w:t>矸石坝垮塌风险防范</w:t>
      </w:r>
    </w:p>
    <w:p>
      <w:pPr>
        <w:bidi w:val="0"/>
        <w:rPr>
          <w:color w:val="auto"/>
          <w:highlight w:val="none"/>
        </w:rPr>
      </w:pPr>
      <w:r>
        <w:rPr>
          <w:color w:val="auto"/>
          <w:highlight w:val="none"/>
        </w:rPr>
        <w:t>各矿临时排矸场修筑挡矸坝和防洪截排水沟，并在营运期保证排水沟畅通，以减少暴雨对矸石堆的冲刷，提高挡矸坝的抗冲刷能力，防止垮塌风险发生。</w:t>
      </w:r>
    </w:p>
    <w:p>
      <w:pPr>
        <w:bidi w:val="0"/>
        <w:rPr>
          <w:color w:val="auto"/>
          <w:highlight w:val="none"/>
        </w:rPr>
      </w:pPr>
      <w:r>
        <w:rPr>
          <w:color w:val="auto"/>
          <w:highlight w:val="none"/>
        </w:rPr>
        <w:t>挡矸坝必须严格按照设计规范要求进行设计，并保证施工质量。此外，各矿井业主应及时将煤矸石运走制砖综合利用，减少煤矸石堆存量来降低溃坝风险。</w:t>
      </w:r>
    </w:p>
    <w:p>
      <w:pPr>
        <w:pStyle w:val="7"/>
        <w:numPr>
          <w:ilvl w:val="3"/>
          <w:numId w:val="14"/>
        </w:numPr>
        <w:bidi w:val="0"/>
        <w:rPr>
          <w:color w:val="auto"/>
          <w:highlight w:val="none"/>
        </w:rPr>
      </w:pPr>
      <w:r>
        <w:rPr>
          <w:color w:val="auto"/>
          <w:highlight w:val="none"/>
        </w:rPr>
        <w:t>选煤厂风险防范措施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设备故障措施</w:t>
      </w:r>
    </w:p>
    <w:p>
      <w:pPr>
        <w:bidi w:val="0"/>
        <w:rPr>
          <w:color w:val="auto"/>
          <w:highlight w:val="none"/>
        </w:rPr>
      </w:pPr>
      <w:r>
        <w:rPr>
          <w:color w:val="auto"/>
          <w:highlight w:val="none"/>
        </w:rPr>
        <w:t>煤泥浓缩机是洗煤厂最主要的煤泥水处理设备，须设置备用设备，当在运行的浓缩机出现故障时，可切换至备用浓缩机中，对故障设备进行检修处理。压滤机须设置备用设备，一旦压滤机发生故障，可启用备用设备。</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设备检修与停电事故</w:t>
      </w:r>
    </w:p>
    <w:p>
      <w:pPr>
        <w:bidi w:val="0"/>
        <w:rPr>
          <w:color w:val="auto"/>
          <w:highlight w:val="none"/>
        </w:rPr>
      </w:pPr>
      <w:r>
        <w:rPr>
          <w:color w:val="auto"/>
          <w:highlight w:val="none"/>
        </w:rPr>
        <w:t>设备检修及停电时的退水进入循环池中。洗煤厂采用双电源，尽量避免停电现象发生。因本洗煤生产线浓缩池和循环水池考虑了容纳系统的全部倒回水量，所以停车停电时，也能保正没有洗煤水外排。</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管理措施</w:t>
      </w:r>
    </w:p>
    <w:p>
      <w:pPr>
        <w:bidi w:val="0"/>
        <w:rPr>
          <w:color w:val="auto"/>
          <w:highlight w:val="none"/>
        </w:rPr>
      </w:pPr>
      <w:r>
        <w:rPr>
          <w:color w:val="auto"/>
          <w:highlight w:val="none"/>
        </w:rPr>
        <w:t>为了充分保证煤泥水闭路循环不外排，杜绝污染事故的发生，除采取以上措施外，严格管理和健全的管理措施十分重要。在生产运营期，必须做到以下几点：</w:t>
      </w:r>
    </w:p>
    <w:p>
      <w:pPr>
        <w:bidi w:val="0"/>
        <w:rPr>
          <w:color w:val="auto"/>
          <w:highlight w:val="none"/>
        </w:rPr>
      </w:pPr>
      <w:r>
        <w:rPr>
          <w:color w:val="auto"/>
          <w:highlight w:val="none"/>
        </w:rPr>
        <w:t>①设严格煤泥水系统的管理，加强对职工的培训教育，严格限制生产用水量，实行系统排水厂长负责制；</w:t>
      </w:r>
    </w:p>
    <w:p>
      <w:pPr>
        <w:bidi w:val="0"/>
        <w:rPr>
          <w:color w:val="auto"/>
          <w:highlight w:val="none"/>
        </w:rPr>
      </w:pPr>
      <w:r>
        <w:rPr>
          <w:color w:val="auto"/>
          <w:highlight w:val="none"/>
        </w:rPr>
        <w:t>②严格执行各项生产及环境管理制度，对煤泥水处理在用及备用设备设立运行卡，定期进行检查、维护，做到勤查、勤记、勤养护；结合浓缩机运行情况对絮凝剂进行持续改进。避免出现在用及备用设备同时事故的状态。</w:t>
      </w:r>
    </w:p>
    <w:p>
      <w:pPr>
        <w:bidi w:val="0"/>
        <w:rPr>
          <w:color w:val="auto"/>
          <w:highlight w:val="none"/>
        </w:rPr>
      </w:pPr>
      <w:r>
        <w:rPr>
          <w:color w:val="auto"/>
          <w:highlight w:val="none"/>
        </w:rPr>
        <w:t>③按照监测计划定期组织进行洗煤厂内的污染源监测，对不达标环保设施立即寻找原因，及时处理；</w:t>
      </w:r>
    </w:p>
    <w:p>
      <w:pPr>
        <w:bidi w:val="0"/>
        <w:rPr>
          <w:color w:val="auto"/>
          <w:highlight w:val="none"/>
        </w:rPr>
      </w:pPr>
      <w:r>
        <w:rPr>
          <w:color w:val="auto"/>
          <w:highlight w:val="none"/>
        </w:rPr>
        <w:t>④不断加强技术培训，组织企业内部之间技术交流，提高业务水平，保持企业内部职工素质稳定；</w:t>
      </w:r>
    </w:p>
    <w:p>
      <w:pPr>
        <w:bidi w:val="0"/>
        <w:rPr>
          <w:color w:val="auto"/>
          <w:highlight w:val="none"/>
        </w:rPr>
      </w:pPr>
      <w:r>
        <w:rPr>
          <w:color w:val="auto"/>
          <w:highlight w:val="none"/>
        </w:rPr>
        <w:t>⑤重视群众监督作用，提高企业职工环境意识，鼓励职工及外部人员对生产状况提出意见，提高企业环境管理水平；</w:t>
      </w:r>
    </w:p>
    <w:p>
      <w:pPr>
        <w:bidi w:val="0"/>
        <w:rPr>
          <w:color w:val="auto"/>
          <w:highlight w:val="none"/>
        </w:rPr>
      </w:pPr>
      <w:r>
        <w:rPr>
          <w:color w:val="auto"/>
          <w:highlight w:val="none"/>
        </w:rPr>
        <w:t>⑥积极配合环保部门的检查、验收；</w:t>
      </w:r>
    </w:p>
    <w:p>
      <w:pPr>
        <w:bidi w:val="0"/>
        <w:rPr>
          <w:color w:val="auto"/>
          <w:highlight w:val="none"/>
        </w:rPr>
      </w:pPr>
      <w:r>
        <w:rPr>
          <w:color w:val="auto"/>
          <w:highlight w:val="none"/>
        </w:rPr>
        <w:t>⑦加强生产过程管理和设备的检修工作。</w:t>
      </w:r>
    </w:p>
    <w:p>
      <w:pPr>
        <w:bidi w:val="0"/>
        <w:rPr>
          <w:color w:val="auto"/>
          <w:highlight w:val="none"/>
        </w:rPr>
      </w:pPr>
      <w:r>
        <w:rPr>
          <w:color w:val="auto"/>
          <w:highlight w:val="none"/>
        </w:rPr>
        <w:t>⑧地面除绿化区域外应进行硬化；于此同时建设单位应委托有环境风险事故应急预案编制资质的单位针对矿产资源开发特点及区域内环境特征编写环境风险事故应急预案。</w:t>
      </w:r>
    </w:p>
    <w:p>
      <w:pPr>
        <w:pStyle w:val="6"/>
        <w:numPr>
          <w:ilvl w:val="2"/>
          <w:numId w:val="14"/>
        </w:numPr>
        <w:bidi w:val="0"/>
        <w:rPr>
          <w:color w:val="auto"/>
          <w:highlight w:val="none"/>
        </w:rPr>
      </w:pPr>
      <w:bookmarkStart w:id="691" w:name="7.8.2 应急预案"/>
      <w:bookmarkEnd w:id="691"/>
      <w:bookmarkStart w:id="692" w:name="7.8.2 应急预案"/>
      <w:bookmarkEnd w:id="692"/>
      <w:bookmarkStart w:id="693" w:name="_Toc21449"/>
      <w:bookmarkStart w:id="694" w:name="_Toc30786"/>
      <w:r>
        <w:rPr>
          <w:color w:val="auto"/>
          <w:highlight w:val="none"/>
        </w:rPr>
        <w:t>应急预案</w:t>
      </w:r>
      <w:bookmarkEnd w:id="693"/>
      <w:bookmarkEnd w:id="694"/>
    </w:p>
    <w:p>
      <w:pPr>
        <w:bidi w:val="0"/>
        <w:rPr>
          <w:color w:val="auto"/>
          <w:highlight w:val="none"/>
        </w:rPr>
      </w:pPr>
      <w:r>
        <w:rPr>
          <w:color w:val="auto"/>
          <w:highlight w:val="none"/>
        </w:rPr>
        <w:t>据调查，矿区大部分矿井尚未编制突发环境事件风险评估，本次评价要求各矿须尽快完成风险评估及备案手续。</w:t>
      </w:r>
    </w:p>
    <w:p>
      <w:pPr>
        <w:pStyle w:val="7"/>
        <w:numPr>
          <w:ilvl w:val="3"/>
          <w:numId w:val="14"/>
        </w:numPr>
        <w:bidi w:val="0"/>
        <w:rPr>
          <w:color w:val="auto"/>
          <w:highlight w:val="none"/>
        </w:rPr>
      </w:pPr>
      <w:r>
        <w:rPr>
          <w:color w:val="auto"/>
          <w:highlight w:val="none"/>
        </w:rPr>
        <w:t>组织机构及职责</w:t>
      </w:r>
    </w:p>
    <w:p>
      <w:pPr>
        <w:bidi w:val="0"/>
        <w:rPr>
          <w:color w:val="auto"/>
          <w:highlight w:val="none"/>
        </w:rPr>
      </w:pPr>
      <w:r>
        <w:rPr>
          <w:color w:val="auto"/>
          <w:highlight w:val="none"/>
        </w:rPr>
        <w:t>矿区管理机构应设置专门的组织负责建设期及运营期的环境安全。职责包括：</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负责统一协调突发环境事件的应对工作，负责应急统一指挥，同时还负责与外界保持紧密联系，将事态的发展向外部的保障机构发出信号，并及时将反馈信息应用于事故应急的领导和指挥当中。</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保证应对事故的各项资源，包括建立企业救援队，并与社会可利用资源建立长期合作关系；当内部资源不足、不能应对环境事故时，需要区域内其他部门增援时，由环境安全管理部门提出增援请求。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当事故处理终止或者处理过程中，要向公众及时、准确地发布反应环境风险事故的信息，引导正确的舆论导向，对社会和公众负责。</w:t>
      </w:r>
    </w:p>
    <w:p>
      <w:pPr>
        <w:pStyle w:val="7"/>
        <w:numPr>
          <w:ilvl w:val="3"/>
          <w:numId w:val="14"/>
        </w:numPr>
        <w:bidi w:val="0"/>
        <w:rPr>
          <w:color w:val="auto"/>
          <w:highlight w:val="none"/>
        </w:rPr>
      </w:pPr>
      <w:r>
        <w:rPr>
          <w:color w:val="auto"/>
          <w:highlight w:val="none"/>
        </w:rPr>
        <w:t>应急预案内容</w:t>
      </w:r>
    </w:p>
    <w:p>
      <w:pPr>
        <w:bidi w:val="0"/>
        <w:rPr>
          <w:color w:val="auto"/>
          <w:highlight w:val="none"/>
        </w:rPr>
      </w:pPr>
      <w:r>
        <w:rPr>
          <w:color w:val="auto"/>
          <w:highlight w:val="none"/>
        </w:rPr>
        <w:t>从应急工作程序上，可以分为预防预警、应急响应、应急处理、应急终止、信息发布五个步骤。环境事故应急预案应对以下内容进行细化，并明确各项工作的负责人：</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预防预警</w:t>
      </w:r>
    </w:p>
    <w:p>
      <w:pPr>
        <w:bidi w:val="0"/>
        <w:rPr>
          <w:color w:val="auto"/>
          <w:highlight w:val="none"/>
        </w:rPr>
      </w:pPr>
      <w:r>
        <w:rPr>
          <w:color w:val="auto"/>
          <w:highlight w:val="none"/>
        </w:rPr>
        <w:t>预防和预警是处理环境风险事故突发事件的必要前提。根据突发时间的严重性、紧急程度和可能涉及的范围，划分预警级别，并根据事态的发展情况和采取措施的效果，提高或者降低应急预警级别。</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应急响应</w:t>
      </w:r>
    </w:p>
    <w:p>
      <w:pPr>
        <w:bidi w:val="0"/>
        <w:rPr>
          <w:color w:val="auto"/>
          <w:highlight w:val="none"/>
        </w:rPr>
      </w:pPr>
      <w:r>
        <w:rPr>
          <w:color w:val="auto"/>
          <w:highlight w:val="none"/>
        </w:rPr>
        <w:t>环境安全突发事件发生后，应立即启动并实施响应的应急预案，及时向</w:t>
      </w:r>
      <w:r>
        <w:rPr>
          <w:rFonts w:hint="eastAsia"/>
          <w:color w:val="auto"/>
          <w:highlight w:val="none"/>
          <w:lang w:eastAsia="zh-CN"/>
        </w:rPr>
        <w:t>大竹生态环境局、</w:t>
      </w:r>
      <w:r>
        <w:rPr>
          <w:color w:val="auto"/>
          <w:highlight w:val="none"/>
        </w:rPr>
        <w:t>达州市生态环境局上报，必要时上报四川省生态环境局；同时，启动应急专业指挥机构；应急救援力量应立即开展产应急救援工作；需要其他应急救援力量支援时，应及时向生态环境部门提出申请。</w:t>
      </w:r>
    </w:p>
    <w:p>
      <w:pPr>
        <w:bidi w:val="0"/>
        <w:rPr>
          <w:color w:val="auto"/>
          <w:highlight w:val="none"/>
        </w:rPr>
      </w:pPr>
      <w:r>
        <w:rPr>
          <w:color w:val="auto"/>
          <w:highlight w:val="none"/>
        </w:rPr>
        <w:t>当矿区范围发生自然灾害时，建设单位应配合政府部门做好救灾行动，最大限度地降低灾害所造成的损失及生态环境不良影响。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应急处理</w:t>
      </w:r>
    </w:p>
    <w:p>
      <w:pPr>
        <w:bidi w:val="0"/>
        <w:rPr>
          <w:color w:val="auto"/>
          <w:highlight w:val="none"/>
        </w:rPr>
      </w:pPr>
      <w:r>
        <w:rPr>
          <w:color w:val="auto"/>
          <w:highlight w:val="none"/>
        </w:rPr>
        <w:t>对主要可能发生的环境风险事故，在做响应救援方案的同时，还需要进行环境监测方案的编制。</w:t>
      </w:r>
    </w:p>
    <w:p>
      <w:pPr>
        <w:bidi w:val="0"/>
        <w:rPr>
          <w:color w:val="auto"/>
          <w:highlight w:val="none"/>
        </w:rPr>
      </w:pPr>
      <w:r>
        <w:rPr>
          <w:color w:val="auto"/>
          <w:highlight w:val="none"/>
        </w:rPr>
        <w:t>当环境风险事故发生时，通过监测结果，综合分析突发环境事件污染变化趋势，并通过专家咨询和论证的方式，预测并报告突发环境事件的发展情况和污染物的变化情况，作为突发的环境事件应急决策的依据。</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应急终止</w:t>
      </w:r>
    </w:p>
    <w:p>
      <w:pPr>
        <w:bidi w:val="0"/>
        <w:rPr>
          <w:color w:val="auto"/>
          <w:highlight w:val="none"/>
        </w:rPr>
      </w:pPr>
      <w:r>
        <w:rPr>
          <w:color w:val="auto"/>
          <w:highlight w:val="none"/>
        </w:rPr>
        <w:t>应急终止续经现场救援指挥部确认，由现场救援指挥部向所属各专业应急救援队伍下达应急终止命令。</w:t>
      </w:r>
    </w:p>
    <w:p>
      <w:pPr>
        <w:bidi w:val="0"/>
        <w:rPr>
          <w:color w:val="auto"/>
          <w:highlight w:val="none"/>
        </w:rPr>
      </w:pPr>
      <w:r>
        <w:rPr>
          <w:color w:val="auto"/>
          <w:highlight w:val="none"/>
        </w:rPr>
        <w:t>应急终止后，各项目建设单位仍需继续进行环境跟踪监测及评价的工作，直至其他补救工作无需继续进行为止。</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信息发布</w:t>
      </w:r>
    </w:p>
    <w:p>
      <w:pPr>
        <w:bidi w:val="0"/>
        <w:rPr>
          <w:color w:val="auto"/>
          <w:highlight w:val="none"/>
        </w:rPr>
      </w:pPr>
      <w:r>
        <w:rPr>
          <w:color w:val="auto"/>
          <w:highlight w:val="none"/>
        </w:rPr>
        <w:t>突发环境风险事件终止后，要通过报纸、广播、电视及网络等媒体方式，及时发布准确、权威的信息，正确引导社会舆论，增强环境风险应急措施的透明度。</w:t>
      </w:r>
    </w:p>
    <w:p>
      <w:pPr>
        <w:pStyle w:val="6"/>
        <w:numPr>
          <w:ilvl w:val="2"/>
          <w:numId w:val="14"/>
        </w:numPr>
        <w:bidi w:val="0"/>
        <w:rPr>
          <w:color w:val="auto"/>
          <w:highlight w:val="none"/>
        </w:rPr>
      </w:pPr>
      <w:bookmarkStart w:id="695" w:name="7.8.3 应急组织培训"/>
      <w:bookmarkEnd w:id="695"/>
      <w:bookmarkStart w:id="696" w:name="7.8.3 应急组织培训"/>
      <w:bookmarkEnd w:id="696"/>
      <w:bookmarkStart w:id="697" w:name="_Toc25743"/>
      <w:bookmarkStart w:id="698" w:name="_Toc16943"/>
      <w:r>
        <w:rPr>
          <w:color w:val="auto"/>
          <w:highlight w:val="none"/>
        </w:rPr>
        <w:t>应急组织培训</w:t>
      </w:r>
      <w:bookmarkEnd w:id="697"/>
      <w:bookmarkEnd w:id="698"/>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应急救援人员的培训</w:t>
      </w:r>
    </w:p>
    <w:p>
      <w:pPr>
        <w:bidi w:val="0"/>
        <w:rPr>
          <w:color w:val="auto"/>
          <w:highlight w:val="none"/>
        </w:rPr>
      </w:pPr>
      <w:r>
        <w:rPr>
          <w:color w:val="auto"/>
          <w:highlight w:val="none"/>
        </w:rPr>
        <w:t>由应急救援指挥对救援专业队成员每年进行一次应急培训，学习救援专业知识和有可能出现的新情况的处理办法。每个人都应做到熟知救援内容，明确自己的分工，成为重大事故应急救援的骨干力量。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员工应急响应的培训</w:t>
      </w:r>
    </w:p>
    <w:p>
      <w:pPr>
        <w:bidi w:val="0"/>
        <w:rPr>
          <w:color w:val="auto"/>
          <w:highlight w:val="none"/>
        </w:rPr>
      </w:pPr>
      <w:r>
        <w:rPr>
          <w:color w:val="auto"/>
          <w:highlight w:val="none"/>
        </w:rPr>
        <w:t>由应急救援指挥办公室对所有员工每年进行一次应急响应培训，了解事故应急预案响应条件，能够在现场第一时间做出判断事故大小，是否符合事故应急预案响应条件，以便下步工作的顺利进行。</w:t>
      </w:r>
    </w:p>
    <w:p>
      <w:pPr>
        <w:bidi w:val="0"/>
        <w:rPr>
          <w:color w:val="auto"/>
          <w:highlight w:val="none"/>
        </w:rPr>
      </w:pPr>
      <w:r>
        <w:rPr>
          <w:color w:val="auto"/>
          <w:highlight w:val="none"/>
        </w:rPr>
        <w:t>同时，各矿山综合办公室应在宣传栏中将相关应急救援的知识、技术等予以公告。</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预案演练</w:t>
      </w:r>
    </w:p>
    <w:p>
      <w:pPr>
        <w:bidi w:val="0"/>
        <w:rPr>
          <w:color w:val="auto"/>
          <w:highlight w:val="none"/>
        </w:rPr>
      </w:pPr>
      <w:r>
        <w:rPr>
          <w:color w:val="auto"/>
          <w:highlight w:val="none"/>
        </w:rPr>
        <w:t>每年进行一次预案演练，年初安全环保室编制演练计划，负责跟踪落实演练计划的执行及效果评价。演练前由办公室编制好演练方案，报安全环保部门审核，演练结束后进行总结评价。</w:t>
      </w:r>
    </w:p>
    <w:p>
      <w:pPr>
        <w:pStyle w:val="6"/>
        <w:numPr>
          <w:ilvl w:val="2"/>
          <w:numId w:val="14"/>
        </w:numPr>
        <w:bidi w:val="0"/>
        <w:rPr>
          <w:color w:val="auto"/>
          <w:highlight w:val="none"/>
        </w:rPr>
      </w:pPr>
      <w:bookmarkStart w:id="699" w:name="7.8.4 监督管理"/>
      <w:bookmarkEnd w:id="699"/>
      <w:bookmarkStart w:id="700" w:name="7.8.4 监督管理"/>
      <w:bookmarkEnd w:id="700"/>
      <w:bookmarkStart w:id="701" w:name="_Toc31493"/>
      <w:bookmarkStart w:id="702" w:name="_Toc25679"/>
      <w:r>
        <w:rPr>
          <w:color w:val="auto"/>
          <w:highlight w:val="none"/>
        </w:rPr>
        <w:t>监督管理</w:t>
      </w:r>
      <w:bookmarkEnd w:id="701"/>
      <w:bookmarkEnd w:id="702"/>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宣传及培训</w:t>
      </w:r>
    </w:p>
    <w:p>
      <w:pPr>
        <w:bidi w:val="0"/>
        <w:rPr>
          <w:color w:val="auto"/>
          <w:highlight w:val="none"/>
        </w:rPr>
      </w:pPr>
      <w:r>
        <w:rPr>
          <w:color w:val="auto"/>
          <w:highlight w:val="none"/>
        </w:rPr>
        <w:t>矿区各项目应加强环境保护科普选创教育工作，普及环境污染事件预防常识，增强公众的防范意识和相关心里准备，提高公众的防范能力。</w:t>
      </w:r>
    </w:p>
    <w:p>
      <w:pPr>
        <w:bidi w:val="0"/>
        <w:rPr>
          <w:color w:val="auto"/>
          <w:highlight w:val="none"/>
        </w:rPr>
      </w:pPr>
      <w:r>
        <w:rPr>
          <w:color w:val="auto"/>
          <w:highlight w:val="none"/>
        </w:rPr>
        <w:t>企业内工作人员应积极主动接受日常培训，企业应针对重要保护目标加强工作人员的培训工作。</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预案演练</w:t>
      </w:r>
    </w:p>
    <w:p>
      <w:pPr>
        <w:bidi w:val="0"/>
        <w:rPr>
          <w:color w:val="auto"/>
          <w:highlight w:val="none"/>
        </w:rPr>
      </w:pPr>
      <w:r>
        <w:rPr>
          <w:color w:val="auto"/>
          <w:highlight w:val="none"/>
        </w:rPr>
        <w:t>按照环境应急预案及相关单项预案，各项目建设单位应定期组织不同类型的环境风险应急实战演练，提高防范和处置突发环境事件的技能。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监督和评价</w:t>
      </w:r>
    </w:p>
    <w:p>
      <w:pPr>
        <w:bidi w:val="0"/>
        <w:rPr>
          <w:color w:val="auto"/>
          <w:highlight w:val="none"/>
        </w:rPr>
      </w:pPr>
      <w:r>
        <w:rPr>
          <w:color w:val="auto"/>
          <w:highlight w:val="none"/>
        </w:rPr>
        <w:t>为保证环境应急体系始终处于良好的备战状态，并实现持续发展，各项目建设单位应在环境应急能力评价体系中实现自上而下的监督、检查和考核机制。监督和评价内容包括：应急机构的设置、应急工作程序的建立和执行情况、应急救援队伍的建设、应急人员培训和考核情况、应急装备使用和经费管理情况。</w:t>
      </w:r>
    </w:p>
    <w:p>
      <w:pPr>
        <w:bidi w:val="0"/>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703" w:name="8 矿区总体规划环境合理性综合论证"/>
      <w:bookmarkEnd w:id="703"/>
      <w:bookmarkStart w:id="704" w:name="_bookmark51"/>
      <w:bookmarkEnd w:id="704"/>
      <w:bookmarkStart w:id="705" w:name="_Toc10527"/>
      <w:bookmarkStart w:id="706" w:name="_Toc11851"/>
      <w:r>
        <w:rPr>
          <w:color w:val="auto"/>
          <w:highlight w:val="none"/>
        </w:rPr>
        <w:t>矿区总体规划环境合理性综合论证</w:t>
      </w:r>
      <w:bookmarkEnd w:id="705"/>
      <w:bookmarkEnd w:id="706"/>
    </w:p>
    <w:p>
      <w:pPr>
        <w:pStyle w:val="5"/>
        <w:numPr>
          <w:ilvl w:val="1"/>
          <w:numId w:val="5"/>
        </w:numPr>
        <w:bidi w:val="0"/>
        <w:rPr>
          <w:color w:val="auto"/>
          <w:highlight w:val="none"/>
        </w:rPr>
      </w:pPr>
      <w:bookmarkStart w:id="707" w:name="8.1 规划方案的环境合理性"/>
      <w:bookmarkEnd w:id="707"/>
      <w:bookmarkStart w:id="708" w:name="_bookmark52"/>
      <w:bookmarkEnd w:id="708"/>
      <w:bookmarkStart w:id="709" w:name="_Toc32689"/>
      <w:bookmarkStart w:id="710" w:name="_Toc5711"/>
      <w:r>
        <w:rPr>
          <w:color w:val="auto"/>
          <w:highlight w:val="none"/>
        </w:rPr>
        <w:t>规划方案的环境合理性</w:t>
      </w:r>
      <w:bookmarkEnd w:id="709"/>
      <w:bookmarkEnd w:id="710"/>
    </w:p>
    <w:p>
      <w:pPr>
        <w:pStyle w:val="6"/>
        <w:numPr>
          <w:ilvl w:val="2"/>
          <w:numId w:val="5"/>
        </w:numPr>
        <w:bidi w:val="0"/>
        <w:rPr>
          <w:color w:val="auto"/>
          <w:highlight w:val="none"/>
        </w:rPr>
      </w:pPr>
      <w:bookmarkStart w:id="711" w:name="8.1.1 规划目标的环境合理性"/>
      <w:bookmarkEnd w:id="711"/>
      <w:bookmarkStart w:id="712" w:name="8.1.1 规划目标的环境合理性"/>
      <w:bookmarkEnd w:id="712"/>
      <w:bookmarkStart w:id="713" w:name="_Toc22862"/>
      <w:bookmarkStart w:id="714" w:name="_Toc26439"/>
      <w:r>
        <w:rPr>
          <w:color w:val="auto"/>
          <w:highlight w:val="none"/>
        </w:rPr>
        <w:t>规划目标的环境合理性</w:t>
      </w:r>
      <w:bookmarkEnd w:id="713"/>
      <w:bookmarkEnd w:id="714"/>
    </w:p>
    <w:p>
      <w:pPr>
        <w:bidi w:val="0"/>
        <w:rPr>
          <w:color w:val="auto"/>
          <w:highlight w:val="none"/>
        </w:rPr>
      </w:pPr>
      <w:r>
        <w:rPr>
          <w:rFonts w:hint="eastAsia"/>
          <w:color w:val="auto"/>
          <w:highlight w:val="none"/>
          <w:lang w:eastAsia="zh-CN"/>
        </w:rPr>
        <w:t>规划矿区</w:t>
      </w:r>
      <w:r>
        <w:rPr>
          <w:color w:val="auto"/>
          <w:highlight w:val="none"/>
        </w:rPr>
        <w:t>总体规划目标主要包括产能目标、矿山建设模式目标、环保目标等，具体参见表8.1-1。</w:t>
      </w:r>
    </w:p>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8.1.1</w:t>
      </w:r>
      <w:r>
        <w:rPr>
          <w:rFonts w:ascii="Times New Roman" w:eastAsia="Times New Roman"/>
          <w:b/>
          <w:color w:val="auto"/>
          <w:sz w:val="21"/>
          <w:highlight w:val="none"/>
        </w:rPr>
        <w:tab/>
      </w:r>
      <w:r>
        <w:rPr>
          <w:b/>
          <w:color w:val="auto"/>
          <w:sz w:val="21"/>
          <w:highlight w:val="none"/>
        </w:rPr>
        <w:t>规划目标一览表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38"/>
        <w:gridCol w:w="1332"/>
        <w:gridCol w:w="65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1238" w:type="dxa"/>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目标类型</w:t>
            </w:r>
          </w:p>
        </w:tc>
        <w:tc>
          <w:tcPr>
            <w:tcW w:w="1332"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目标内容</w:t>
            </w:r>
          </w:p>
        </w:tc>
        <w:tc>
          <w:tcPr>
            <w:tcW w:w="6510" w:type="dxa"/>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目标内容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90" w:hRule="atLeast"/>
          <w:jc w:val="center"/>
        </w:trPr>
        <w:tc>
          <w:tcPr>
            <w:tcW w:w="1238" w:type="dxa"/>
            <w:vMerge w:val="restart"/>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规划目标</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产能目标</w:t>
            </w:r>
          </w:p>
        </w:tc>
        <w:tc>
          <w:tcPr>
            <w:tcW w:w="6510" w:type="dxa"/>
            <w:tcBorders>
              <w:top w:val="single" w:color="000000" w:sz="4" w:space="0"/>
              <w:left w:val="single" w:color="000000" w:sz="4" w:space="0"/>
              <w:bottom w:val="single" w:color="000000" w:sz="4" w:space="0"/>
              <w:right w:val="nil"/>
            </w:tcBorders>
            <w:vAlign w:val="center"/>
          </w:tcPr>
          <w:p>
            <w:pPr>
              <w:pStyle w:val="22"/>
              <w:bidi w:val="0"/>
              <w:jc w:val="both"/>
              <w:rPr>
                <w:rFonts w:hint="eastAsia" w:eastAsia="宋体"/>
                <w:color w:val="auto"/>
                <w:highlight w:val="none"/>
                <w:lang w:eastAsia="zh-CN"/>
              </w:rPr>
            </w:pPr>
            <w:r>
              <w:rPr>
                <w:color w:val="auto"/>
                <w:highlight w:val="none"/>
              </w:rPr>
              <w:t>矿区</w:t>
            </w:r>
            <w:r>
              <w:rPr>
                <w:rFonts w:hint="eastAsia"/>
                <w:color w:val="auto"/>
                <w:highlight w:val="none"/>
                <w:lang w:eastAsia="zh-CN"/>
              </w:rPr>
              <w:t>总</w:t>
            </w:r>
            <w:r>
              <w:rPr>
                <w:color w:val="auto"/>
                <w:highlight w:val="none"/>
              </w:rPr>
              <w:t>产能</w:t>
            </w:r>
            <w:r>
              <w:rPr>
                <w:rFonts w:hint="eastAsia"/>
                <w:color w:val="auto"/>
                <w:highlight w:val="none"/>
                <w:lang w:val="en-US" w:eastAsia="zh-CN"/>
              </w:rPr>
              <w:t>390</w:t>
            </w:r>
            <w:r>
              <w:rPr>
                <w:color w:val="auto"/>
                <w:highlight w:val="none"/>
              </w:rPr>
              <w:t>万t/a，其中</w:t>
            </w:r>
            <w:r>
              <w:rPr>
                <w:rFonts w:hint="eastAsia"/>
                <w:color w:val="auto"/>
                <w:highlight w:val="none"/>
                <w:lang w:eastAsia="zh-CN"/>
              </w:rPr>
              <w:t>柏林</w:t>
            </w:r>
            <w:r>
              <w:rPr>
                <w:color w:val="auto"/>
                <w:highlight w:val="none"/>
              </w:rPr>
              <w:t>煤矿</w:t>
            </w:r>
            <w:r>
              <w:rPr>
                <w:rFonts w:hint="eastAsia"/>
                <w:color w:val="auto"/>
                <w:highlight w:val="none"/>
                <w:lang w:val="en-US" w:eastAsia="zh-CN"/>
              </w:rPr>
              <w:t>45</w:t>
            </w:r>
            <w:r>
              <w:rPr>
                <w:color w:val="auto"/>
                <w:highlight w:val="none"/>
              </w:rPr>
              <w:t>万t/a、</w:t>
            </w:r>
            <w:r>
              <w:rPr>
                <w:rFonts w:hint="eastAsia"/>
                <w:color w:val="auto"/>
                <w:highlight w:val="none"/>
                <w:lang w:eastAsia="zh-CN"/>
              </w:rPr>
              <w:t>田坝煤矿</w:t>
            </w:r>
            <w:r>
              <w:rPr>
                <w:color w:val="auto"/>
                <w:highlight w:val="none"/>
              </w:rPr>
              <w:t>30万t/a、</w:t>
            </w:r>
            <w:r>
              <w:rPr>
                <w:rFonts w:hint="eastAsia"/>
                <w:color w:val="auto"/>
                <w:highlight w:val="none"/>
                <w:lang w:eastAsia="zh-CN"/>
              </w:rPr>
              <w:t>黑滩</w:t>
            </w:r>
            <w:r>
              <w:rPr>
                <w:color w:val="auto"/>
                <w:highlight w:val="none"/>
              </w:rPr>
              <w:t>煤矿30万t/a、</w:t>
            </w:r>
            <w:r>
              <w:rPr>
                <w:rFonts w:hint="eastAsia"/>
                <w:color w:val="auto"/>
                <w:highlight w:val="none"/>
                <w:lang w:eastAsia="zh-CN"/>
              </w:rPr>
              <w:t>大河沟煤矿</w:t>
            </w:r>
            <w:r>
              <w:rPr>
                <w:rFonts w:hint="eastAsia"/>
                <w:color w:val="auto"/>
                <w:highlight w:val="none"/>
                <w:lang w:val="en-US" w:eastAsia="zh-CN"/>
              </w:rPr>
              <w:t>15</w:t>
            </w:r>
            <w:r>
              <w:rPr>
                <w:color w:val="auto"/>
                <w:highlight w:val="none"/>
              </w:rPr>
              <w:t>万t/a、</w:t>
            </w:r>
            <w:r>
              <w:rPr>
                <w:rFonts w:hint="eastAsia"/>
                <w:color w:val="auto"/>
                <w:highlight w:val="none"/>
                <w:lang w:eastAsia="zh-CN"/>
              </w:rPr>
              <w:t>大硐坪煤矿</w:t>
            </w:r>
            <w:r>
              <w:rPr>
                <w:rFonts w:hint="eastAsia"/>
                <w:color w:val="auto"/>
                <w:highlight w:val="none"/>
                <w:lang w:val="en-US" w:eastAsia="zh-CN"/>
              </w:rPr>
              <w:t>15</w:t>
            </w:r>
            <w:r>
              <w:rPr>
                <w:color w:val="auto"/>
                <w:highlight w:val="none"/>
              </w:rPr>
              <w:t>万t/a、</w:t>
            </w:r>
            <w:r>
              <w:rPr>
                <w:rFonts w:hint="eastAsia"/>
                <w:color w:val="auto"/>
                <w:highlight w:val="none"/>
                <w:lang w:eastAsia="zh-CN"/>
              </w:rPr>
              <w:t>新桥红星煤矿</w:t>
            </w:r>
            <w:r>
              <w:rPr>
                <w:color w:val="auto"/>
                <w:highlight w:val="none"/>
              </w:rPr>
              <w:t>30万t/a</w:t>
            </w:r>
            <w:r>
              <w:rPr>
                <w:rFonts w:hint="eastAsia"/>
                <w:color w:val="auto"/>
                <w:highlight w:val="none"/>
                <w:lang w:eastAsia="zh-CN"/>
              </w:rPr>
              <w:t>、堡子煤矿</w:t>
            </w:r>
            <w:r>
              <w:rPr>
                <w:color w:val="auto"/>
                <w:highlight w:val="none"/>
              </w:rPr>
              <w:t>30万t/a</w:t>
            </w:r>
            <w:r>
              <w:rPr>
                <w:rFonts w:hint="eastAsia"/>
                <w:color w:val="auto"/>
                <w:highlight w:val="none"/>
                <w:lang w:eastAsia="zh-CN"/>
              </w:rPr>
              <w:t>、荣华煤矿</w:t>
            </w:r>
            <w:r>
              <w:rPr>
                <w:color w:val="auto"/>
                <w:highlight w:val="none"/>
              </w:rPr>
              <w:t>30万t/a</w:t>
            </w:r>
            <w:r>
              <w:rPr>
                <w:rFonts w:hint="eastAsia"/>
                <w:color w:val="auto"/>
                <w:highlight w:val="none"/>
                <w:lang w:eastAsia="zh-CN"/>
              </w:rPr>
              <w:t>、新桥红星煤矿</w:t>
            </w:r>
            <w:r>
              <w:rPr>
                <w:color w:val="auto"/>
                <w:highlight w:val="none"/>
              </w:rPr>
              <w:t>30万t/a</w:t>
            </w:r>
            <w:r>
              <w:rPr>
                <w:rFonts w:hint="eastAsia"/>
                <w:color w:val="auto"/>
                <w:highlight w:val="none"/>
                <w:lang w:eastAsia="zh-CN"/>
              </w:rPr>
              <w:t>、华家沟煤矿</w:t>
            </w:r>
            <w:r>
              <w:rPr>
                <w:color w:val="auto"/>
                <w:highlight w:val="none"/>
              </w:rPr>
              <w:t>30万t/a</w:t>
            </w:r>
            <w:r>
              <w:rPr>
                <w:rFonts w:hint="eastAsia"/>
                <w:color w:val="auto"/>
                <w:highlight w:val="none"/>
                <w:lang w:eastAsia="zh-CN"/>
              </w:rPr>
              <w:t>、孔家沟煤矿</w:t>
            </w:r>
            <w:r>
              <w:rPr>
                <w:color w:val="auto"/>
                <w:highlight w:val="none"/>
              </w:rPr>
              <w:t>30万t/a</w:t>
            </w:r>
            <w:r>
              <w:rPr>
                <w:rFonts w:hint="eastAsia"/>
                <w:color w:val="auto"/>
                <w:highlight w:val="none"/>
                <w:lang w:eastAsia="zh-CN"/>
              </w:rPr>
              <w:t>、刘家沟联合煤矿</w:t>
            </w:r>
            <w:r>
              <w:rPr>
                <w:color w:val="auto"/>
                <w:highlight w:val="none"/>
              </w:rPr>
              <w:t>30万t/a</w:t>
            </w:r>
            <w:r>
              <w:rPr>
                <w:rFonts w:hint="eastAsia"/>
                <w:color w:val="auto"/>
                <w:highlight w:val="none"/>
                <w:lang w:eastAsia="zh-CN"/>
              </w:rPr>
              <w:t>、牛郎沟煤矿</w:t>
            </w:r>
            <w:r>
              <w:rPr>
                <w:color w:val="auto"/>
                <w:highlight w:val="none"/>
              </w:rPr>
              <w:t>30万t/a</w:t>
            </w:r>
            <w:r>
              <w:rPr>
                <w:rFonts w:hint="eastAsia"/>
                <w:color w:val="auto"/>
                <w:highlight w:val="none"/>
                <w:lang w:eastAsia="zh-CN"/>
              </w:rPr>
              <w:t>、平桥煤矿</w:t>
            </w:r>
            <w:r>
              <w:rPr>
                <w:color w:val="auto"/>
                <w:highlight w:val="none"/>
              </w:rPr>
              <w:t>30万t/a</w:t>
            </w:r>
            <w:r>
              <w:rPr>
                <w:rFonts w:hint="eastAsia"/>
                <w:color w:val="auto"/>
                <w:highlight w:val="none"/>
                <w:lang w:eastAsia="zh-CN"/>
              </w:rPr>
              <w:t>、观音煤矿</w:t>
            </w:r>
            <w:r>
              <w:rPr>
                <w:color w:val="auto"/>
                <w:highlight w:val="none"/>
              </w:rPr>
              <w:t>30万t/a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5" w:hRule="atLeast"/>
          <w:jc w:val="center"/>
        </w:trPr>
        <w:tc>
          <w:tcPr>
            <w:tcW w:w="1238" w:type="dxa"/>
            <w:vMerge w:val="continue"/>
            <w:tcBorders>
              <w:top w:val="nil"/>
              <w:left w:val="nil"/>
              <w:right w:val="single" w:color="000000" w:sz="4" w:space="0"/>
            </w:tcBorders>
            <w:vAlign w:val="center"/>
          </w:tcPr>
          <w:p>
            <w:pPr>
              <w:pStyle w:val="22"/>
              <w:bidi w:val="0"/>
              <w:rPr>
                <w:color w:val="auto"/>
                <w:highlight w:val="none"/>
              </w:rPr>
            </w:pP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矿山建设模</w:t>
            </w:r>
          </w:p>
          <w:p>
            <w:pPr>
              <w:pStyle w:val="22"/>
              <w:bidi w:val="0"/>
              <w:rPr>
                <w:color w:val="auto"/>
                <w:highlight w:val="none"/>
              </w:rPr>
            </w:pPr>
            <w:r>
              <w:rPr>
                <w:color w:val="auto"/>
                <w:highlight w:val="none"/>
              </w:rPr>
              <w:t>式目标</w:t>
            </w:r>
          </w:p>
        </w:tc>
        <w:tc>
          <w:tcPr>
            <w:tcW w:w="6510" w:type="dxa"/>
            <w:tcBorders>
              <w:top w:val="single" w:color="000000" w:sz="4" w:space="0"/>
              <w:left w:val="single" w:color="000000" w:sz="4" w:space="0"/>
              <w:bottom w:val="single" w:color="000000" w:sz="4" w:space="0"/>
              <w:right w:val="nil"/>
            </w:tcBorders>
            <w:vAlign w:val="center"/>
          </w:tcPr>
          <w:p>
            <w:pPr>
              <w:pStyle w:val="22"/>
              <w:bidi w:val="0"/>
              <w:jc w:val="both"/>
              <w:rPr>
                <w:color w:val="auto"/>
                <w:highlight w:val="none"/>
              </w:rPr>
            </w:pPr>
            <w:r>
              <w:rPr>
                <w:color w:val="auto"/>
                <w:highlight w:val="none"/>
              </w:rPr>
              <w:t>规划范围内各矿井均采用井工开采，各矿井功能分区布局合理，环</w:t>
            </w:r>
          </w:p>
          <w:p>
            <w:pPr>
              <w:pStyle w:val="22"/>
              <w:bidi w:val="0"/>
              <w:rPr>
                <w:color w:val="auto"/>
                <w:highlight w:val="none"/>
              </w:rPr>
            </w:pPr>
            <w:r>
              <w:rPr>
                <w:color w:val="auto"/>
                <w:highlight w:val="none"/>
              </w:rPr>
              <w:t>保设施配套齐全。掘进机械化≥90%，机械化采煤≥90%。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2" w:hRule="atLeast"/>
          <w:jc w:val="center"/>
        </w:trPr>
        <w:tc>
          <w:tcPr>
            <w:tcW w:w="1238" w:type="dxa"/>
            <w:vMerge w:val="continue"/>
            <w:tcBorders>
              <w:top w:val="nil"/>
              <w:left w:val="nil"/>
              <w:right w:val="single" w:color="000000" w:sz="4" w:space="0"/>
            </w:tcBorders>
            <w:vAlign w:val="center"/>
          </w:tcPr>
          <w:p>
            <w:pPr>
              <w:pStyle w:val="22"/>
              <w:bidi w:val="0"/>
              <w:rPr>
                <w:color w:val="auto"/>
                <w:highlight w:val="none"/>
              </w:rPr>
            </w:pPr>
          </w:p>
        </w:tc>
        <w:tc>
          <w:tcPr>
            <w:tcW w:w="1332"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环保目标</w:t>
            </w:r>
          </w:p>
        </w:tc>
        <w:tc>
          <w:tcPr>
            <w:tcW w:w="6510" w:type="dxa"/>
            <w:tcBorders>
              <w:top w:val="single" w:color="000000" w:sz="4" w:space="0"/>
              <w:left w:val="single" w:color="000000" w:sz="4" w:space="0"/>
              <w:right w:val="nil"/>
            </w:tcBorders>
            <w:vAlign w:val="center"/>
          </w:tcPr>
          <w:p>
            <w:pPr>
              <w:pStyle w:val="22"/>
              <w:bidi w:val="0"/>
              <w:jc w:val="both"/>
              <w:rPr>
                <w:color w:val="auto"/>
                <w:highlight w:val="none"/>
              </w:rPr>
            </w:pPr>
            <w:r>
              <w:rPr>
                <w:rFonts w:hint="default" w:ascii="Times New Roman" w:hAnsi="Times New Roman" w:cs="Times New Roman"/>
                <w:color w:val="auto"/>
                <w:highlight w:val="none"/>
              </w:rPr>
              <w:t>煤矸石综合利用率≥</w:t>
            </w:r>
            <w:r>
              <w:rPr>
                <w:rFonts w:hint="default"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%，矿井水利用率≥</w:t>
            </w:r>
            <w:r>
              <w:rPr>
                <w:rFonts w:hint="eastAsia" w:cs="Times New Roman"/>
                <w:color w:val="auto"/>
                <w:highlight w:val="none"/>
                <w:lang w:val="en-US" w:eastAsia="zh-CN"/>
              </w:rPr>
              <w:t>80</w:t>
            </w:r>
            <w:r>
              <w:rPr>
                <w:rFonts w:hint="default" w:ascii="Times New Roman" w:hAnsi="Times New Roman" w:cs="Times New Roman"/>
                <w:color w:val="auto"/>
                <w:highlight w:val="none"/>
              </w:rPr>
              <w:t>%，废水处理率100%，COD和氨氮排放量符合总量控制指标；大气污染物达标排放率100%</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和NO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的排放符合总量控制指标；塌陷土地治理率≥80%，破坏土地复垦率≥95%；各矿井原煤入选率100%。</w:t>
            </w:r>
          </w:p>
        </w:tc>
      </w:tr>
    </w:tbl>
    <w:p>
      <w:pPr>
        <w:bidi w:val="0"/>
        <w:rPr>
          <w:color w:val="auto"/>
          <w:highlight w:val="none"/>
        </w:rPr>
      </w:pPr>
      <w:r>
        <w:rPr>
          <w:color w:val="auto"/>
          <w:highlight w:val="none"/>
        </w:rPr>
        <w:t>根据《煤炭产业政策》，第十七条指出“……重庆、四川、贵州、云南等省（市）新建、改扩建矿井规模不低于15万吨/年。”</w:t>
      </w:r>
      <w:r>
        <w:rPr>
          <w:rFonts w:hint="eastAsia"/>
          <w:color w:val="auto"/>
          <w:highlight w:val="none"/>
          <w:lang w:eastAsia="zh-CN"/>
        </w:rPr>
        <w:t>规划矿区</w:t>
      </w:r>
      <w:r>
        <w:rPr>
          <w:color w:val="auto"/>
          <w:highlight w:val="none"/>
        </w:rPr>
        <w:t>内含</w:t>
      </w:r>
      <w:r>
        <w:rPr>
          <w:rFonts w:hint="eastAsia"/>
          <w:color w:val="auto"/>
          <w:highlight w:val="none"/>
          <w:lang w:val="en-US" w:eastAsia="zh-CN"/>
        </w:rPr>
        <w:t>14</w:t>
      </w:r>
      <w:r>
        <w:rPr>
          <w:color w:val="auto"/>
          <w:highlight w:val="none"/>
        </w:rPr>
        <w:t>宗矿井，均为已获得采矿权的矿井，今后不再增设采矿权</w:t>
      </w:r>
      <w:r>
        <w:rPr>
          <w:rFonts w:hint="eastAsia"/>
          <w:color w:val="auto"/>
          <w:highlight w:val="none"/>
          <w:lang w:eastAsia="zh-CN"/>
        </w:rPr>
        <w:t>，其中生产煤矿</w:t>
      </w:r>
      <w:r>
        <w:rPr>
          <w:rFonts w:hint="eastAsia"/>
          <w:color w:val="auto"/>
          <w:highlight w:val="none"/>
          <w:lang w:val="en-US" w:eastAsia="zh-CN"/>
        </w:rPr>
        <w:t>2宗，分别是柏林煤矿、堡子煤矿，</w:t>
      </w:r>
      <w:r>
        <w:rPr>
          <w:color w:val="auto"/>
          <w:highlight w:val="none"/>
        </w:rPr>
        <w:t>生产能力</w:t>
      </w:r>
      <w:r>
        <w:rPr>
          <w:rFonts w:hint="eastAsia"/>
          <w:color w:val="auto"/>
          <w:highlight w:val="none"/>
          <w:lang w:eastAsia="zh-CN"/>
        </w:rPr>
        <w:t>分别</w:t>
      </w:r>
      <w:r>
        <w:rPr>
          <w:color w:val="auto"/>
          <w:highlight w:val="none"/>
        </w:rPr>
        <w:t>为</w:t>
      </w:r>
      <w:r>
        <w:rPr>
          <w:rFonts w:hint="eastAsia"/>
          <w:color w:val="auto"/>
          <w:highlight w:val="none"/>
          <w:lang w:val="en-US" w:eastAsia="zh-CN"/>
        </w:rPr>
        <w:t>4</w:t>
      </w:r>
      <w:r>
        <w:rPr>
          <w:color w:val="auto"/>
          <w:highlight w:val="none"/>
        </w:rPr>
        <w:t>5万t/a</w:t>
      </w:r>
      <w:r>
        <w:rPr>
          <w:rFonts w:hint="eastAsia"/>
          <w:color w:val="auto"/>
          <w:highlight w:val="none"/>
          <w:lang w:eastAsia="zh-CN"/>
        </w:rPr>
        <w:t>、</w:t>
      </w:r>
      <w:r>
        <w:rPr>
          <w:rFonts w:hint="eastAsia"/>
          <w:color w:val="auto"/>
          <w:highlight w:val="none"/>
          <w:lang w:val="en-US" w:eastAsia="zh-CN"/>
        </w:rPr>
        <w:t>30</w:t>
      </w:r>
      <w:r>
        <w:rPr>
          <w:color w:val="auto"/>
          <w:highlight w:val="none"/>
        </w:rPr>
        <w:t>万t/a</w:t>
      </w:r>
      <w:r>
        <w:rPr>
          <w:rFonts w:hint="eastAsia"/>
          <w:color w:val="auto"/>
          <w:highlight w:val="none"/>
          <w:lang w:eastAsia="zh-CN"/>
        </w:rPr>
        <w:t>。</w:t>
      </w:r>
      <w:r>
        <w:rPr>
          <w:color w:val="auto"/>
          <w:highlight w:val="none"/>
        </w:rPr>
        <w:t>根据《四川省人民政府&lt;关于30万吨/年以下煤矿分类处置方案的批复&gt;》（川府函[2020]45号）</w:t>
      </w:r>
      <w:r>
        <w:rPr>
          <w:rFonts w:hint="eastAsia"/>
          <w:color w:val="auto"/>
          <w:highlight w:val="none"/>
          <w:lang w:eastAsia="zh-CN"/>
        </w:rPr>
        <w:t>及大竹县人民政府《关于审定调整</w:t>
      </w:r>
      <w:r>
        <w:rPr>
          <w:rFonts w:hint="eastAsia"/>
          <w:color w:val="auto"/>
          <w:highlight w:val="none"/>
          <w:lang w:val="en-US" w:eastAsia="zh-CN"/>
        </w:rPr>
        <w:t>&lt;大竹县30万吨/年以下煤矿分类处置方案&gt;的请示</w:t>
      </w:r>
      <w:r>
        <w:rPr>
          <w:rFonts w:hint="eastAsia"/>
          <w:color w:val="auto"/>
          <w:highlight w:val="none"/>
          <w:lang w:eastAsia="zh-CN"/>
        </w:rPr>
        <w:t>》（竹府</w:t>
      </w:r>
      <w:r>
        <w:rPr>
          <w:rFonts w:hint="eastAsia"/>
          <w:color w:val="auto"/>
          <w:highlight w:val="none"/>
          <w:lang w:val="en-US" w:eastAsia="zh-CN"/>
        </w:rPr>
        <w:t>[2021]81号</w:t>
      </w:r>
      <w:r>
        <w:rPr>
          <w:rFonts w:hint="eastAsia"/>
          <w:color w:val="auto"/>
          <w:highlight w:val="none"/>
          <w:lang w:eastAsia="zh-CN"/>
        </w:rPr>
        <w:t>），方案提出：大竹县政策引导主动退出矿井</w:t>
      </w:r>
      <w:r>
        <w:rPr>
          <w:rFonts w:hint="eastAsia"/>
          <w:color w:val="auto"/>
          <w:highlight w:val="none"/>
          <w:lang w:val="en-US" w:eastAsia="zh-CN"/>
        </w:rPr>
        <w:t>4宗，分别为城西煤矿、大枫树煤矿、石马门一煤厂、新桥红星煤矿；3</w:t>
      </w:r>
      <w:r>
        <w:rPr>
          <w:color w:val="auto"/>
          <w:highlight w:val="none"/>
        </w:rPr>
        <w:t>宗保留生产矿井，分别为</w:t>
      </w:r>
      <w:r>
        <w:rPr>
          <w:rFonts w:hint="eastAsia"/>
          <w:color w:val="auto"/>
          <w:highlight w:val="none"/>
          <w:lang w:eastAsia="zh-CN"/>
        </w:rPr>
        <w:t>大河沟煤矿、大硐坪煤矿、观音煤矿</w:t>
      </w:r>
      <w:r>
        <w:rPr>
          <w:color w:val="auto"/>
          <w:highlight w:val="none"/>
        </w:rPr>
        <w:t>，设计生产能力</w:t>
      </w:r>
      <w:r>
        <w:rPr>
          <w:rFonts w:hint="eastAsia"/>
          <w:color w:val="auto"/>
          <w:highlight w:val="none"/>
          <w:lang w:eastAsia="zh-CN"/>
        </w:rPr>
        <w:t>均</w:t>
      </w:r>
      <w:r>
        <w:rPr>
          <w:color w:val="auto"/>
          <w:highlight w:val="none"/>
        </w:rPr>
        <w:t>为15万t/a；</w:t>
      </w:r>
      <w:r>
        <w:rPr>
          <w:rFonts w:hint="eastAsia"/>
          <w:color w:val="auto"/>
          <w:highlight w:val="none"/>
          <w:lang w:val="en-US" w:eastAsia="zh-CN"/>
        </w:rPr>
        <w:t>6</w:t>
      </w:r>
      <w:r>
        <w:rPr>
          <w:rFonts w:hint="eastAsia"/>
          <w:color w:val="auto"/>
          <w:highlight w:val="none"/>
          <w:lang w:eastAsia="zh-CN"/>
        </w:rPr>
        <w:t>宗</w:t>
      </w:r>
      <w:r>
        <w:rPr>
          <w:color w:val="auto"/>
          <w:highlight w:val="none"/>
        </w:rPr>
        <w:t>升级改造矿井分别为</w:t>
      </w:r>
      <w:r>
        <w:rPr>
          <w:rFonts w:hint="eastAsia"/>
          <w:color w:val="auto"/>
          <w:highlight w:val="none"/>
          <w:lang w:eastAsia="zh-CN"/>
        </w:rPr>
        <w:t>田坝煤矿、荣华煤矿、黑滩煤矿、华家沟煤矿、刘家沟联合煤矿、孔家沟煤矿</w:t>
      </w:r>
      <w:r>
        <w:rPr>
          <w:color w:val="auto"/>
          <w:highlight w:val="none"/>
        </w:rPr>
        <w:t>，设计生产能力</w:t>
      </w:r>
      <w:r>
        <w:rPr>
          <w:rFonts w:hint="eastAsia"/>
          <w:color w:val="auto"/>
          <w:highlight w:val="none"/>
          <w:lang w:eastAsia="zh-CN"/>
        </w:rPr>
        <w:t>均</w:t>
      </w:r>
      <w:r>
        <w:rPr>
          <w:color w:val="auto"/>
          <w:highlight w:val="none"/>
        </w:rPr>
        <w:t>为30万t/a</w:t>
      </w:r>
      <w:r>
        <w:rPr>
          <w:rFonts w:hint="eastAsia"/>
          <w:color w:val="auto"/>
          <w:highlight w:val="none"/>
          <w:lang w:eastAsia="zh-CN"/>
        </w:rPr>
        <w:t>；</w:t>
      </w:r>
      <w:r>
        <w:rPr>
          <w:rFonts w:hint="eastAsia"/>
          <w:color w:val="auto"/>
          <w:highlight w:val="none"/>
          <w:lang w:val="en-US" w:eastAsia="zh-CN"/>
        </w:rPr>
        <w:t>2宗兼并重组矿井分别为平桥煤矿、牛郎沟煤矿，</w:t>
      </w:r>
      <w:r>
        <w:rPr>
          <w:color w:val="auto"/>
          <w:highlight w:val="none"/>
        </w:rPr>
        <w:t>设计生产能力</w:t>
      </w:r>
      <w:r>
        <w:rPr>
          <w:rFonts w:hint="eastAsia"/>
          <w:color w:val="auto"/>
          <w:highlight w:val="none"/>
          <w:lang w:eastAsia="zh-CN"/>
        </w:rPr>
        <w:t>均</w:t>
      </w:r>
      <w:r>
        <w:rPr>
          <w:color w:val="auto"/>
          <w:highlight w:val="none"/>
        </w:rPr>
        <w:t>为30万t/a</w:t>
      </w:r>
      <w:r>
        <w:rPr>
          <w:rFonts w:hint="eastAsia"/>
          <w:color w:val="auto"/>
          <w:highlight w:val="none"/>
          <w:lang w:val="en-US" w:eastAsia="zh-CN"/>
        </w:rPr>
        <w:t>。</w:t>
      </w:r>
      <w:r>
        <w:rPr>
          <w:rFonts w:hint="eastAsia"/>
          <w:color w:val="auto"/>
          <w:highlight w:val="none"/>
          <w:lang w:eastAsia="zh-CN"/>
        </w:rPr>
        <w:t>据此分析，规划目标中的各矿井产能</w:t>
      </w:r>
      <w:r>
        <w:rPr>
          <w:color w:val="auto"/>
          <w:highlight w:val="none"/>
        </w:rPr>
        <w:t>满足现行的产业政策，产能目标制定合理。</w:t>
      </w:r>
    </w:p>
    <w:p>
      <w:pPr>
        <w:bidi w:val="0"/>
        <w:rPr>
          <w:color w:val="auto"/>
          <w:highlight w:val="none"/>
        </w:rPr>
      </w:pPr>
      <w:r>
        <w:rPr>
          <w:color w:val="auto"/>
          <w:highlight w:val="none"/>
        </w:rPr>
        <w:t>矿区规划范围内各矿井均采用井工开采，各矿井掘进机械化≥90%，机械化采煤≥90%，</w:t>
      </w:r>
      <w:r>
        <w:rPr>
          <w:rFonts w:hint="default" w:ascii="Times New Roman" w:hAnsi="Times New Roman" w:cs="Times New Roman"/>
          <w:color w:val="auto"/>
          <w:highlight w:val="none"/>
        </w:rPr>
        <w:t>煤矸石综合利用率≥</w:t>
      </w:r>
      <w:r>
        <w:rPr>
          <w:rFonts w:hint="default"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%，矿井水利用率≥</w:t>
      </w:r>
      <w:r>
        <w:rPr>
          <w:rFonts w:hint="eastAsia" w:cs="Times New Roman"/>
          <w:color w:val="auto"/>
          <w:highlight w:val="none"/>
          <w:lang w:val="en-US" w:eastAsia="zh-CN"/>
        </w:rPr>
        <w:t>80</w:t>
      </w:r>
      <w:r>
        <w:rPr>
          <w:rFonts w:hint="default" w:ascii="Times New Roman" w:hAnsi="Times New Roman" w:cs="Times New Roman"/>
          <w:color w:val="auto"/>
          <w:highlight w:val="none"/>
        </w:rPr>
        <w:t>%，废水处理率100%，COD和氨氮排放量符合总量控制指标；大气污染物达标排放率100%</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和NO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的排放符合总量控制指标；塌陷土地治理率≥80%，破坏土地复垦率≥95%</w:t>
      </w:r>
      <w:r>
        <w:rPr>
          <w:rFonts w:hint="eastAsia" w:cs="Times New Roman"/>
          <w:color w:val="auto"/>
          <w:highlight w:val="none"/>
          <w:lang w:eastAsia="zh-CN"/>
        </w:rPr>
        <w:t>，</w:t>
      </w:r>
      <w:r>
        <w:rPr>
          <w:color w:val="auto"/>
          <w:highlight w:val="none"/>
        </w:rPr>
        <w:t>各矿井原煤入选率100%。规划</w:t>
      </w:r>
      <w:r>
        <w:rPr>
          <w:rFonts w:hint="eastAsia"/>
          <w:color w:val="auto"/>
          <w:highlight w:val="none"/>
          <w:lang w:eastAsia="zh-CN"/>
        </w:rPr>
        <w:t>建设模式</w:t>
      </w:r>
      <w:r>
        <w:rPr>
          <w:color w:val="auto"/>
          <w:highlight w:val="none"/>
        </w:rPr>
        <w:t>目标符合要求</w:t>
      </w:r>
      <w:r>
        <w:rPr>
          <w:rFonts w:hint="eastAsia"/>
          <w:color w:val="auto"/>
          <w:highlight w:val="none"/>
          <w:lang w:eastAsia="zh-CN"/>
        </w:rPr>
        <w:t>及环保要求</w:t>
      </w:r>
      <w:r>
        <w:rPr>
          <w:color w:val="auto"/>
          <w:highlight w:val="none"/>
        </w:rPr>
        <w:t>。</w:t>
      </w:r>
    </w:p>
    <w:p>
      <w:pPr>
        <w:pStyle w:val="6"/>
        <w:numPr>
          <w:ilvl w:val="2"/>
          <w:numId w:val="5"/>
        </w:numPr>
        <w:bidi w:val="0"/>
        <w:rPr>
          <w:color w:val="auto"/>
          <w:highlight w:val="none"/>
        </w:rPr>
      </w:pPr>
      <w:bookmarkStart w:id="715" w:name="8.1.2 产业定位的合理性"/>
      <w:bookmarkEnd w:id="715"/>
      <w:bookmarkStart w:id="716" w:name="8.1.2 产业定位的合理性"/>
      <w:bookmarkEnd w:id="716"/>
      <w:bookmarkStart w:id="717" w:name="_Toc2185"/>
      <w:bookmarkStart w:id="718" w:name="_Toc29871"/>
      <w:r>
        <w:rPr>
          <w:color w:val="auto"/>
          <w:highlight w:val="none"/>
        </w:rPr>
        <w:t>产业定位的合理性</w:t>
      </w:r>
      <w:bookmarkEnd w:id="717"/>
      <w:bookmarkEnd w:id="718"/>
    </w:p>
    <w:p>
      <w:pPr>
        <w:bidi w:val="0"/>
        <w:rPr>
          <w:color w:val="auto"/>
          <w:highlight w:val="none"/>
        </w:rPr>
      </w:pPr>
      <w:r>
        <w:rPr>
          <w:color w:val="auto"/>
          <w:highlight w:val="none"/>
        </w:rPr>
        <w:t>根据煤质特性分析，</w:t>
      </w:r>
      <w:r>
        <w:rPr>
          <w:rFonts w:hint="eastAsia"/>
          <w:color w:val="auto"/>
          <w:highlight w:val="none"/>
          <w:lang w:eastAsia="zh-CN"/>
        </w:rPr>
        <w:t>规划矿区</w:t>
      </w:r>
      <w:r>
        <w:rPr>
          <w:color w:val="auto"/>
          <w:highlight w:val="none"/>
        </w:rPr>
        <w:t>开采煤属</w:t>
      </w:r>
      <w:r>
        <w:rPr>
          <w:rFonts w:hint="eastAsia"/>
          <w:color w:val="auto"/>
          <w:highlight w:val="none"/>
        </w:rPr>
        <w:t>低中-中高灰、特低-低中硫、中低-特高热值1/3焦煤（1/3JM）、</w:t>
      </w:r>
      <w:r>
        <w:rPr>
          <w:color w:val="auto"/>
          <w:highlight w:val="none"/>
        </w:rPr>
        <w:t>1/</w:t>
      </w:r>
      <w:r>
        <w:rPr>
          <w:rFonts w:hint="eastAsia"/>
          <w:color w:val="auto"/>
          <w:highlight w:val="none"/>
        </w:rPr>
        <w:t>2中粘煤（1</w:t>
      </w:r>
      <w:r>
        <w:rPr>
          <w:color w:val="auto"/>
          <w:highlight w:val="none"/>
        </w:rPr>
        <w:t>/</w:t>
      </w:r>
      <w:r>
        <w:rPr>
          <w:rFonts w:hint="eastAsia"/>
          <w:color w:val="auto"/>
          <w:highlight w:val="none"/>
        </w:rPr>
        <w:t>2ZM），弱粘煤（</w:t>
      </w:r>
      <w:r>
        <w:rPr>
          <w:color w:val="auto"/>
          <w:highlight w:val="none"/>
        </w:rPr>
        <w:t>RM</w:t>
      </w:r>
      <w:r>
        <w:rPr>
          <w:rFonts w:hint="eastAsia"/>
          <w:color w:val="auto"/>
          <w:highlight w:val="none"/>
        </w:rPr>
        <w:t>）和气煤（Q</w:t>
      </w:r>
      <w:r>
        <w:rPr>
          <w:color w:val="auto"/>
          <w:highlight w:val="none"/>
        </w:rPr>
        <w:t>M</w:t>
      </w:r>
      <w:r>
        <w:rPr>
          <w:rFonts w:hint="eastAsia"/>
          <w:color w:val="auto"/>
          <w:highlight w:val="none"/>
        </w:rPr>
        <w:t>）等</w:t>
      </w:r>
      <w:r>
        <w:rPr>
          <w:rFonts w:hint="eastAsia"/>
          <w:color w:val="auto"/>
          <w:highlight w:val="none"/>
          <w:lang w:eastAsia="zh-CN"/>
        </w:rPr>
        <w:t>。</w:t>
      </w:r>
      <w:r>
        <w:rPr>
          <w:color w:val="auto"/>
          <w:highlight w:val="none"/>
        </w:rPr>
        <w:t>低灰（LA）、中高挥发分（MHV）、特低硫（SLS）、中磷（MP）、高热值（HQ）煤，</w:t>
      </w:r>
      <w:r>
        <w:rPr>
          <w:rFonts w:hint="eastAsia"/>
          <w:color w:val="auto"/>
          <w:highlight w:val="none"/>
        </w:rPr>
        <w:t>可作为生活用煤、动力用煤、高炉喷吹用煤、炼焦用煤、发电煤粉、锅炉用煤</w:t>
      </w:r>
      <w:r>
        <w:rPr>
          <w:color w:val="auto"/>
          <w:highlight w:val="none"/>
        </w:rPr>
        <w:t>。丰富煤炭资源的开发将大幅推动区域的经济发展，提高当地人民的生活水平，这对于推动地区的经济发展、社会和谐稳定具有重要意义。</w:t>
      </w:r>
    </w:p>
    <w:p>
      <w:pPr>
        <w:bidi w:val="0"/>
        <w:rPr>
          <w:color w:val="auto"/>
          <w:highlight w:val="none"/>
        </w:rPr>
      </w:pPr>
      <w:r>
        <w:rPr>
          <w:color w:val="auto"/>
          <w:highlight w:val="none"/>
        </w:rPr>
        <w:t>矿区总体规划在确立经济目标发展的同时，也提出了一些环境保护和资源利用方面的要求，本着以最小的环境影响取得最佳的经济社会效益的原则，这与国家推行科学发展观和可持续发展理念的社会背景相吻合。矿区的开发建设有利于推动区域产业结构调整，即由落后的传统农业向现代化工业企业转变，使矿区内劳动力由农业向工业转移、经济效益由农业收入向工业收入转换。</w:t>
      </w:r>
      <w:r>
        <w:rPr>
          <w:rFonts w:hint="eastAsia"/>
          <w:color w:val="auto"/>
          <w:highlight w:val="none"/>
          <w:lang w:eastAsia="zh-CN"/>
        </w:rPr>
        <w:t>总体来讲，本规划的</w:t>
      </w:r>
      <w:r>
        <w:rPr>
          <w:color w:val="auto"/>
          <w:highlight w:val="none"/>
        </w:rPr>
        <w:t>产业定位较为合理。</w:t>
      </w:r>
    </w:p>
    <w:p>
      <w:pPr>
        <w:pStyle w:val="6"/>
        <w:numPr>
          <w:ilvl w:val="2"/>
          <w:numId w:val="5"/>
        </w:numPr>
        <w:bidi w:val="0"/>
        <w:rPr>
          <w:color w:val="auto"/>
          <w:highlight w:val="none"/>
        </w:rPr>
      </w:pPr>
      <w:bookmarkStart w:id="719" w:name="8.1.3 功能分区的环境合理性"/>
      <w:bookmarkEnd w:id="719"/>
      <w:bookmarkStart w:id="720" w:name="8.1.3 功能分区的环境合理性"/>
      <w:bookmarkEnd w:id="720"/>
      <w:bookmarkStart w:id="721" w:name="_Toc10575"/>
      <w:bookmarkStart w:id="722" w:name="_Toc6837"/>
      <w:r>
        <w:rPr>
          <w:color w:val="auto"/>
          <w:highlight w:val="none"/>
        </w:rPr>
        <w:t>功能分区的环境合理性</w:t>
      </w:r>
      <w:bookmarkEnd w:id="721"/>
      <w:bookmarkEnd w:id="722"/>
    </w:p>
    <w:p>
      <w:pPr>
        <w:bidi w:val="0"/>
        <w:rPr>
          <w:color w:val="auto"/>
          <w:highlight w:val="none"/>
        </w:rPr>
      </w:pPr>
      <w:r>
        <w:rPr>
          <w:color w:val="auto"/>
          <w:highlight w:val="none"/>
        </w:rPr>
        <w:t>根据矿区总体规划的地面总布置，分生产、生产服务和生活服务设施三条线进行安排。生产区主要为矿井工业场地，分布于各煤矿井田内，场地均相对开阔平坦，场地标高需满足防洪设计规范要求；与生产区相配套的辅助及附属企业，矿区洗煤厂、机电维修中心、材料库均位于矿区交通枢纽中心地带。生活服务区位于工业场地内，与生产区间隔布置。各矿井爆破材料库位于井田范围外，远离工业场地及周围居民点布置。</w:t>
      </w:r>
    </w:p>
    <w:p>
      <w:pPr>
        <w:bidi w:val="0"/>
        <w:rPr>
          <w:color w:val="auto"/>
          <w:highlight w:val="none"/>
        </w:rPr>
      </w:pPr>
      <w:r>
        <w:rPr>
          <w:color w:val="auto"/>
          <w:highlight w:val="none"/>
        </w:rPr>
        <w:t>总之，矿区地面总布置中生产区与辅助生产区遵循集中布置的原则，能够形成很好的互动；采取生产区与生活区分离，既便于矿区生产管理，也能够减少矿区占地和公共基础设施的投入；矿区爆破库远离居民区、生产区及矿区开发沉陷影响区，符合国家相关爆破器材库安全防护距离的要求。因此，矿区地面总布置方案中生产区、辅助生产区、生活区职能明确，各功能区能够形成很好的互动，地面总布置考虑了内部与外部、集中与分散、近期与远期、矿井建设与城乡建设的相互配合关系，充分利用了地形，布置较合理。</w:t>
      </w:r>
    </w:p>
    <w:p>
      <w:pPr>
        <w:pStyle w:val="5"/>
        <w:numPr>
          <w:ilvl w:val="1"/>
          <w:numId w:val="5"/>
        </w:numPr>
        <w:bidi w:val="0"/>
        <w:rPr>
          <w:color w:val="auto"/>
          <w:highlight w:val="none"/>
        </w:rPr>
      </w:pPr>
      <w:bookmarkStart w:id="723" w:name="_bookmark53"/>
      <w:bookmarkEnd w:id="723"/>
      <w:bookmarkStart w:id="724" w:name="8.2 规划环境目标的可达性"/>
      <w:bookmarkEnd w:id="724"/>
      <w:bookmarkStart w:id="725" w:name="_Toc14546"/>
      <w:bookmarkStart w:id="726" w:name="_Toc11018"/>
      <w:r>
        <w:rPr>
          <w:color w:val="auto"/>
          <w:highlight w:val="none"/>
        </w:rPr>
        <w:t>规划环境目标的可达性</w:t>
      </w:r>
      <w:bookmarkEnd w:id="725"/>
      <w:bookmarkEnd w:id="726"/>
    </w:p>
    <w:p>
      <w:pPr>
        <w:bidi w:val="0"/>
        <w:rPr>
          <w:color w:val="auto"/>
          <w:highlight w:val="none"/>
        </w:rPr>
      </w:pPr>
      <w:r>
        <w:rPr>
          <w:color w:val="auto"/>
          <w:highlight w:val="none"/>
        </w:rPr>
        <w:t>本报告利用第四章构建的矿区规划环境影响评价指标体系，分析矿区提出规划指标在环境目标上的可达性，并提出本报告推荐的规划指标调整建议，以此确保矿区开发的环境目标可达性。</w:t>
      </w:r>
    </w:p>
    <w:p>
      <w:pPr>
        <w:bidi w:val="0"/>
        <w:rPr>
          <w:color w:val="auto"/>
          <w:highlight w:val="none"/>
        </w:rPr>
      </w:pPr>
      <w:r>
        <w:rPr>
          <w:color w:val="auto"/>
          <w:highlight w:val="none"/>
        </w:rPr>
        <w:t>矿区规划中对本报告提出的绝大部分指标均未作出明确的要求，若矿区能够严格按照本报告提出的指标和要求来安排生产，矿区开发将符合国家产业和环保政策要求，能够提高煤炭资源利用率、节约资源和能源、避免和减缓矿区开发产生的污染影响和生态影响，能能够促进国家和地方经济可持续发展，矿区总体发展水平将符合煤炭行业清洁生产要求，达到国内先进水平。矿区环境目标可达性分析见表8.2-1。</w:t>
      </w:r>
    </w:p>
    <w:p>
      <w:pPr>
        <w:spacing w:after="0" w:line="364" w:lineRule="auto"/>
        <w:jc w:val="both"/>
        <w:rPr>
          <w:color w:val="auto"/>
          <w:highlight w:val="none"/>
        </w:rPr>
        <w:sectPr>
          <w:pgSz w:w="11910" w:h="16840"/>
          <w:pgMar w:top="1360" w:right="1240" w:bottom="1000" w:left="1260" w:header="902" w:footer="804" w:gutter="0"/>
          <w:pgBorders>
            <w:top w:val="none" w:sz="0" w:space="0"/>
            <w:left w:val="none" w:sz="0" w:space="0"/>
            <w:bottom w:val="none" w:sz="0" w:space="0"/>
            <w:right w:val="none" w:sz="0" w:space="0"/>
          </w:pgBorders>
          <w:pgNumType w:fmt="decimal"/>
          <w:cols w:space="720" w:num="1"/>
        </w:sectPr>
      </w:pPr>
    </w:p>
    <w:p>
      <w:pPr>
        <w:pStyle w:val="22"/>
        <w:bidi w:val="0"/>
        <w:rPr>
          <w:color w:val="auto"/>
          <w:sz w:val="24"/>
          <w:highlight w:val="none"/>
        </w:rPr>
      </w:pPr>
      <w:r>
        <w:rPr>
          <w:color w:val="auto"/>
          <w:sz w:val="24"/>
          <w:highlight w:val="none"/>
        </w:rPr>
        <w:t>表</w:t>
      </w:r>
      <w:r>
        <w:rPr>
          <w:color w:val="auto"/>
          <w:spacing w:val="-62"/>
          <w:sz w:val="24"/>
          <w:highlight w:val="none"/>
        </w:rPr>
        <w:t xml:space="preserve"> </w:t>
      </w:r>
      <w:r>
        <w:rPr>
          <w:rFonts w:ascii="Times New Roman" w:eastAsia="Times New Roman"/>
          <w:b/>
          <w:color w:val="auto"/>
          <w:sz w:val="24"/>
          <w:highlight w:val="none"/>
        </w:rPr>
        <w:t>8.2-1</w:t>
      </w:r>
      <w:r>
        <w:rPr>
          <w:rFonts w:ascii="Times New Roman" w:eastAsia="Times New Roman"/>
          <w:b/>
          <w:color w:val="auto"/>
          <w:sz w:val="24"/>
          <w:highlight w:val="none"/>
        </w:rPr>
        <w:tab/>
      </w:r>
      <w:r>
        <w:rPr>
          <w:color w:val="auto"/>
          <w:sz w:val="24"/>
          <w:highlight w:val="none"/>
        </w:rPr>
        <w:t>环境目标可达性分析</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5"/>
        <w:gridCol w:w="804"/>
        <w:gridCol w:w="1211"/>
        <w:gridCol w:w="1086"/>
        <w:gridCol w:w="3616"/>
        <w:gridCol w:w="1365"/>
        <w:gridCol w:w="528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1259" w:type="dxa"/>
            <w:gridSpan w:val="2"/>
            <w:vAlign w:val="center"/>
          </w:tcPr>
          <w:p>
            <w:pPr>
              <w:pStyle w:val="22"/>
              <w:bidi w:val="0"/>
              <w:rPr>
                <w:color w:val="auto"/>
                <w:highlight w:val="none"/>
              </w:rPr>
            </w:pPr>
            <w:r>
              <w:rPr>
                <w:color w:val="auto"/>
                <w:highlight w:val="none"/>
              </w:rPr>
              <w:t>环境主题</w:t>
            </w:r>
          </w:p>
        </w:tc>
        <w:tc>
          <w:tcPr>
            <w:tcW w:w="1211" w:type="dxa"/>
            <w:vAlign w:val="center"/>
          </w:tcPr>
          <w:p>
            <w:pPr>
              <w:pStyle w:val="22"/>
              <w:bidi w:val="0"/>
              <w:rPr>
                <w:color w:val="auto"/>
                <w:highlight w:val="none"/>
              </w:rPr>
            </w:pPr>
            <w:r>
              <w:rPr>
                <w:color w:val="auto"/>
                <w:highlight w:val="none"/>
              </w:rPr>
              <w:t>环境目标</w:t>
            </w:r>
          </w:p>
        </w:tc>
        <w:tc>
          <w:tcPr>
            <w:tcW w:w="4702" w:type="dxa"/>
            <w:gridSpan w:val="2"/>
            <w:vAlign w:val="center"/>
          </w:tcPr>
          <w:p>
            <w:pPr>
              <w:pStyle w:val="22"/>
              <w:bidi w:val="0"/>
              <w:rPr>
                <w:color w:val="auto"/>
                <w:highlight w:val="none"/>
              </w:rPr>
            </w:pPr>
            <w:r>
              <w:rPr>
                <w:color w:val="auto"/>
                <w:highlight w:val="none"/>
              </w:rPr>
              <w:t>评价指标</w:t>
            </w:r>
          </w:p>
        </w:tc>
        <w:tc>
          <w:tcPr>
            <w:tcW w:w="1365" w:type="dxa"/>
            <w:vAlign w:val="center"/>
          </w:tcPr>
          <w:p>
            <w:pPr>
              <w:pStyle w:val="22"/>
              <w:bidi w:val="0"/>
              <w:rPr>
                <w:color w:val="auto"/>
                <w:highlight w:val="none"/>
              </w:rPr>
            </w:pPr>
            <w:r>
              <w:rPr>
                <w:color w:val="auto"/>
                <w:highlight w:val="none"/>
              </w:rPr>
              <w:t>目标值</w:t>
            </w:r>
          </w:p>
        </w:tc>
        <w:tc>
          <w:tcPr>
            <w:tcW w:w="5283" w:type="dxa"/>
            <w:vAlign w:val="center"/>
          </w:tcPr>
          <w:p>
            <w:pPr>
              <w:pStyle w:val="22"/>
              <w:bidi w:val="0"/>
              <w:rPr>
                <w:color w:val="auto"/>
                <w:highlight w:val="none"/>
              </w:rPr>
            </w:pPr>
            <w:r>
              <w:rPr>
                <w:color w:val="auto"/>
                <w:highlight w:val="none"/>
              </w:rPr>
              <w:t>可达性分析</w:t>
            </w:r>
          </w:p>
        </w:tc>
        <w:tc>
          <w:tcPr>
            <w:tcW w:w="780" w:type="dxa"/>
            <w:vAlign w:val="center"/>
          </w:tcPr>
          <w:p>
            <w:pPr>
              <w:pStyle w:val="22"/>
              <w:bidi w:val="0"/>
              <w:rPr>
                <w:color w:val="auto"/>
                <w:highlight w:val="none"/>
              </w:rPr>
            </w:pPr>
            <w:r>
              <w:rPr>
                <w:color w:val="auto"/>
                <w:highlight w:val="none"/>
              </w:rPr>
              <w:t>达标</w:t>
            </w:r>
          </w:p>
          <w:p>
            <w:pPr>
              <w:pStyle w:val="22"/>
              <w:bidi w:val="0"/>
              <w:rPr>
                <w:color w:val="auto"/>
                <w:highlight w:val="none"/>
              </w:rPr>
            </w:pPr>
            <w:r>
              <w:rPr>
                <w:color w:val="auto"/>
                <w:highlight w:val="none"/>
              </w:rPr>
              <w:t>与否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55" w:type="dxa"/>
            <w:vMerge w:val="restart"/>
            <w:vAlign w:val="center"/>
          </w:tcPr>
          <w:p>
            <w:pPr>
              <w:pStyle w:val="22"/>
              <w:bidi w:val="0"/>
              <w:rPr>
                <w:color w:val="auto"/>
                <w:highlight w:val="none"/>
              </w:rPr>
            </w:pPr>
            <w:r>
              <w:rPr>
                <w:color w:val="auto"/>
                <w:highlight w:val="none"/>
              </w:rPr>
              <w:t>自然资源</w:t>
            </w:r>
          </w:p>
        </w:tc>
        <w:tc>
          <w:tcPr>
            <w:tcW w:w="804" w:type="dxa"/>
            <w:vMerge w:val="restart"/>
            <w:vAlign w:val="center"/>
          </w:tcPr>
          <w:p>
            <w:pPr>
              <w:pStyle w:val="22"/>
              <w:bidi w:val="0"/>
              <w:rPr>
                <w:color w:val="auto"/>
                <w:highlight w:val="none"/>
              </w:rPr>
            </w:pPr>
            <w:r>
              <w:rPr>
                <w:color w:val="auto"/>
                <w:highlight w:val="none"/>
              </w:rPr>
              <w:t>资源</w:t>
            </w:r>
          </w:p>
        </w:tc>
        <w:tc>
          <w:tcPr>
            <w:tcW w:w="1211" w:type="dxa"/>
            <w:vMerge w:val="restart"/>
            <w:vAlign w:val="center"/>
          </w:tcPr>
          <w:p>
            <w:pPr>
              <w:pStyle w:val="22"/>
              <w:bidi w:val="0"/>
              <w:rPr>
                <w:color w:val="auto"/>
                <w:highlight w:val="none"/>
              </w:rPr>
            </w:pPr>
            <w:r>
              <w:rPr>
                <w:color w:val="auto"/>
                <w:highlight w:val="none"/>
              </w:rPr>
              <w:t>实现矿区资源和能源的可持续开发利用</w:t>
            </w:r>
          </w:p>
        </w:tc>
        <w:tc>
          <w:tcPr>
            <w:tcW w:w="1086" w:type="dxa"/>
            <w:vMerge w:val="restart"/>
            <w:vAlign w:val="center"/>
          </w:tcPr>
          <w:p>
            <w:pPr>
              <w:pStyle w:val="22"/>
              <w:bidi w:val="0"/>
              <w:rPr>
                <w:color w:val="auto"/>
                <w:highlight w:val="none"/>
              </w:rPr>
            </w:pPr>
            <w:r>
              <w:rPr>
                <w:color w:val="auto"/>
                <w:highlight w:val="none"/>
              </w:rPr>
              <w:t>煤炭资源配置与效率指标</w:t>
            </w:r>
          </w:p>
        </w:tc>
        <w:tc>
          <w:tcPr>
            <w:tcW w:w="3616" w:type="dxa"/>
            <w:vAlign w:val="center"/>
          </w:tcPr>
          <w:p>
            <w:pPr>
              <w:pStyle w:val="22"/>
              <w:bidi w:val="0"/>
              <w:rPr>
                <w:color w:val="auto"/>
                <w:highlight w:val="none"/>
              </w:rPr>
            </w:pPr>
            <w:r>
              <w:rPr>
                <w:color w:val="auto"/>
                <w:highlight w:val="none"/>
              </w:rPr>
              <w:t>薄煤层资源回采率（％）</w:t>
            </w:r>
          </w:p>
        </w:tc>
        <w:tc>
          <w:tcPr>
            <w:tcW w:w="1365" w:type="dxa"/>
            <w:vAlign w:val="center"/>
          </w:tcPr>
          <w:p>
            <w:pPr>
              <w:pStyle w:val="22"/>
              <w:bidi w:val="0"/>
              <w:rPr>
                <w:rFonts w:hint="default" w:eastAsia="宋体"/>
                <w:color w:val="auto"/>
                <w:highlight w:val="none"/>
                <w:lang w:val="en-US" w:eastAsia="zh-CN"/>
              </w:rPr>
            </w:pPr>
            <w:r>
              <w:rPr>
                <w:color w:val="auto"/>
                <w:highlight w:val="none"/>
              </w:rPr>
              <w:t>≥</w:t>
            </w:r>
            <w:r>
              <w:rPr>
                <w:rFonts w:hint="eastAsia"/>
                <w:color w:val="auto"/>
                <w:highlight w:val="none"/>
                <w:lang w:val="en-US" w:eastAsia="zh-CN"/>
              </w:rPr>
              <w:t>85</w:t>
            </w:r>
          </w:p>
        </w:tc>
        <w:tc>
          <w:tcPr>
            <w:tcW w:w="5283" w:type="dxa"/>
            <w:vMerge w:val="restart"/>
            <w:vAlign w:val="center"/>
          </w:tcPr>
          <w:p>
            <w:pPr>
              <w:pStyle w:val="22"/>
              <w:bidi w:val="0"/>
              <w:rPr>
                <w:color w:val="auto"/>
                <w:highlight w:val="none"/>
              </w:rPr>
            </w:pPr>
            <w:r>
              <w:rPr>
                <w:color w:val="auto"/>
                <w:highlight w:val="none"/>
              </w:rPr>
              <w:t>矿区可采煤层属薄煤层，设计煤层回采率均在8</w:t>
            </w:r>
            <w:r>
              <w:rPr>
                <w:rFonts w:hint="eastAsia"/>
                <w:color w:val="auto"/>
                <w:highlight w:val="none"/>
                <w:lang w:val="en-US" w:eastAsia="zh-CN"/>
              </w:rPr>
              <w:t>5</w:t>
            </w:r>
            <w:r>
              <w:rPr>
                <w:color w:val="auto"/>
                <w:highlight w:val="none"/>
              </w:rPr>
              <w:t>%以上</w:t>
            </w:r>
          </w:p>
        </w:tc>
        <w:tc>
          <w:tcPr>
            <w:tcW w:w="780" w:type="dxa"/>
            <w:vMerge w:val="restart"/>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中厚煤层资源回采率（％）</w:t>
            </w:r>
          </w:p>
        </w:tc>
        <w:tc>
          <w:tcPr>
            <w:tcW w:w="1365" w:type="dxa"/>
            <w:vAlign w:val="center"/>
          </w:tcPr>
          <w:p>
            <w:pPr>
              <w:pStyle w:val="22"/>
              <w:bidi w:val="0"/>
              <w:rPr>
                <w:rFonts w:hint="default" w:eastAsia="宋体"/>
                <w:color w:val="auto"/>
                <w:highlight w:val="none"/>
                <w:lang w:val="en-US" w:eastAsia="zh-CN"/>
              </w:rPr>
            </w:pPr>
            <w:r>
              <w:rPr>
                <w:color w:val="auto"/>
                <w:highlight w:val="none"/>
              </w:rPr>
              <w:t>≥</w:t>
            </w:r>
            <w:r>
              <w:rPr>
                <w:rFonts w:hint="eastAsia"/>
                <w:color w:val="auto"/>
                <w:highlight w:val="none"/>
                <w:lang w:val="en-US" w:eastAsia="zh-CN"/>
              </w:rPr>
              <w:t>80</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厚煤层资源回采率（％）</w:t>
            </w:r>
          </w:p>
        </w:tc>
        <w:tc>
          <w:tcPr>
            <w:tcW w:w="1365" w:type="dxa"/>
            <w:vAlign w:val="center"/>
          </w:tcPr>
          <w:p>
            <w:pPr>
              <w:pStyle w:val="22"/>
              <w:bidi w:val="0"/>
              <w:rPr>
                <w:rFonts w:hint="eastAsia" w:eastAsia="宋体"/>
                <w:color w:val="auto"/>
                <w:highlight w:val="none"/>
                <w:lang w:val="en-US" w:eastAsia="zh-CN"/>
              </w:rPr>
            </w:pPr>
            <w:r>
              <w:rPr>
                <w:color w:val="auto"/>
                <w:highlight w:val="none"/>
              </w:rPr>
              <w:t>≥7</w:t>
            </w:r>
            <w:r>
              <w:rPr>
                <w:rFonts w:hint="eastAsia"/>
                <w:color w:val="auto"/>
                <w:highlight w:val="none"/>
                <w:lang w:val="en-US" w:eastAsia="zh-CN"/>
              </w:rPr>
              <w:t>5</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4"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原煤入选率（%）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矿区</w:t>
            </w:r>
            <w:r>
              <w:rPr>
                <w:rFonts w:hint="eastAsia"/>
                <w:color w:val="auto"/>
                <w:highlight w:val="none"/>
                <w:lang w:eastAsia="zh-CN"/>
              </w:rPr>
              <w:t>中堡子煤矿内设置</w:t>
            </w:r>
            <w:r>
              <w:rPr>
                <w:rFonts w:hint="eastAsia"/>
                <w:color w:val="auto"/>
                <w:highlight w:val="none"/>
                <w:lang w:val="en-US" w:eastAsia="zh-CN"/>
              </w:rPr>
              <w:t>20万吨/a洗选厂</w:t>
            </w:r>
            <w:r>
              <w:rPr>
                <w:rFonts w:hint="eastAsia"/>
                <w:color w:val="auto"/>
                <w:highlight w:val="none"/>
                <w:lang w:eastAsia="zh-CN"/>
              </w:rPr>
              <w:t>、黑滩煤矿内设置</w:t>
            </w:r>
            <w:r>
              <w:rPr>
                <w:rFonts w:hint="eastAsia"/>
                <w:color w:val="auto"/>
                <w:highlight w:val="none"/>
                <w:lang w:val="en-US" w:eastAsia="zh-CN"/>
              </w:rPr>
              <w:t>9万吨/a洗选厂</w:t>
            </w:r>
            <w:r>
              <w:rPr>
                <w:rFonts w:hint="eastAsia"/>
                <w:color w:val="auto"/>
                <w:highlight w:val="none"/>
                <w:lang w:eastAsia="zh-CN"/>
              </w:rPr>
              <w:t>、田坝煤矿内设置</w:t>
            </w:r>
            <w:r>
              <w:rPr>
                <w:rFonts w:hint="eastAsia"/>
                <w:color w:val="auto"/>
                <w:highlight w:val="none"/>
                <w:lang w:val="en-US" w:eastAsia="zh-CN"/>
              </w:rPr>
              <w:t>15万吨/a洗选厂</w:t>
            </w:r>
            <w:r>
              <w:rPr>
                <w:rFonts w:hint="eastAsia"/>
                <w:color w:val="auto"/>
                <w:highlight w:val="none"/>
                <w:lang w:eastAsia="zh-CN"/>
              </w:rPr>
              <w:t>；另大竹县境内还分布</w:t>
            </w:r>
            <w:r>
              <w:rPr>
                <w:rFonts w:hint="eastAsia"/>
                <w:color w:val="auto"/>
                <w:highlight w:val="none"/>
                <w:lang w:val="en-US" w:eastAsia="zh-CN"/>
              </w:rPr>
              <w:t>14座洗选煤厂，其中150万吨/a1座，30万吨/a～100万吨/a的4座，小于30万吨/a的9座。共有洗煤厂17座，总洗选能力达到502万吨/a，此外，柏林煤矿为国营煤矿，采用集团公司川煤集团布置在达川区渡市的洗选煤厂进行洗选煤。因此，</w:t>
            </w:r>
            <w:r>
              <w:rPr>
                <w:color w:val="auto"/>
                <w:highlight w:val="none"/>
              </w:rPr>
              <w:t>入洗率可达100%</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采煤机械化程度（%）</w:t>
            </w:r>
          </w:p>
        </w:tc>
        <w:tc>
          <w:tcPr>
            <w:tcW w:w="1365" w:type="dxa"/>
            <w:vAlign w:val="center"/>
          </w:tcPr>
          <w:p>
            <w:pPr>
              <w:pStyle w:val="22"/>
              <w:bidi w:val="0"/>
              <w:rPr>
                <w:color w:val="auto"/>
                <w:highlight w:val="none"/>
              </w:rPr>
            </w:pPr>
            <w:r>
              <w:rPr>
                <w:color w:val="auto"/>
                <w:highlight w:val="none"/>
              </w:rPr>
              <w:t>≥90</w:t>
            </w:r>
          </w:p>
        </w:tc>
        <w:tc>
          <w:tcPr>
            <w:tcW w:w="5283" w:type="dxa"/>
            <w:vMerge w:val="restart"/>
            <w:vAlign w:val="center"/>
          </w:tcPr>
          <w:p>
            <w:pPr>
              <w:pStyle w:val="22"/>
              <w:bidi w:val="0"/>
              <w:rPr>
                <w:color w:val="auto"/>
                <w:highlight w:val="none"/>
              </w:rPr>
            </w:pPr>
            <w:r>
              <w:rPr>
                <w:color w:val="auto"/>
                <w:highlight w:val="none"/>
              </w:rPr>
              <w:t>根据收集资料以及设计资料，各个矿井机械化程度均可达到90%以上</w:t>
            </w:r>
          </w:p>
        </w:tc>
        <w:tc>
          <w:tcPr>
            <w:tcW w:w="780" w:type="dxa"/>
            <w:vMerge w:val="restart"/>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掘进机械化程度（%）</w:t>
            </w:r>
          </w:p>
        </w:tc>
        <w:tc>
          <w:tcPr>
            <w:tcW w:w="1365" w:type="dxa"/>
            <w:vAlign w:val="center"/>
          </w:tcPr>
          <w:p>
            <w:pPr>
              <w:pStyle w:val="22"/>
              <w:bidi w:val="0"/>
              <w:rPr>
                <w:color w:val="auto"/>
                <w:highlight w:val="none"/>
              </w:rPr>
            </w:pPr>
            <w:r>
              <w:rPr>
                <w:color w:val="auto"/>
                <w:highlight w:val="none"/>
              </w:rPr>
              <w:t>≥90</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restart"/>
            <w:vAlign w:val="center"/>
          </w:tcPr>
          <w:p>
            <w:pPr>
              <w:pStyle w:val="22"/>
              <w:bidi w:val="0"/>
              <w:rPr>
                <w:color w:val="auto"/>
                <w:highlight w:val="none"/>
              </w:rPr>
            </w:pPr>
            <w:r>
              <w:rPr>
                <w:color w:val="auto"/>
                <w:highlight w:val="none"/>
              </w:rPr>
              <w:t>资源消耗指标</w:t>
            </w:r>
          </w:p>
        </w:tc>
        <w:tc>
          <w:tcPr>
            <w:tcW w:w="3616" w:type="dxa"/>
            <w:vAlign w:val="center"/>
          </w:tcPr>
          <w:p>
            <w:pPr>
              <w:pStyle w:val="22"/>
              <w:bidi w:val="0"/>
              <w:rPr>
                <w:color w:val="auto"/>
                <w:highlight w:val="none"/>
              </w:rPr>
            </w:pPr>
            <w:r>
              <w:rPr>
                <w:color w:val="auto"/>
                <w:highlight w:val="none"/>
              </w:rPr>
              <w:t>井工矿原煤生产水耗（不含选煤厂）</w:t>
            </w:r>
          </w:p>
          <w:p>
            <w:pPr>
              <w:pStyle w:val="22"/>
              <w:bidi w:val="0"/>
              <w:rPr>
                <w:color w:val="auto"/>
                <w:highlight w:val="none"/>
              </w:rPr>
            </w:pPr>
            <w:r>
              <w:rPr>
                <w:color w:val="auto"/>
                <w:highlight w:val="none"/>
              </w:rPr>
              <w:t>（m</w:t>
            </w:r>
            <w:r>
              <w:rPr>
                <w:color w:val="auto"/>
                <w:highlight w:val="none"/>
                <w:vertAlign w:val="superscript"/>
              </w:rPr>
              <w:t>3</w:t>
            </w:r>
            <w:r>
              <w:rPr>
                <w:color w:val="auto"/>
                <w:highlight w:val="none"/>
              </w:rPr>
              <w:t>/t）</w:t>
            </w:r>
          </w:p>
        </w:tc>
        <w:tc>
          <w:tcPr>
            <w:tcW w:w="1365" w:type="dxa"/>
            <w:vAlign w:val="center"/>
          </w:tcPr>
          <w:p>
            <w:pPr>
              <w:pStyle w:val="22"/>
              <w:bidi w:val="0"/>
              <w:rPr>
                <w:color w:val="auto"/>
                <w:highlight w:val="none"/>
              </w:rPr>
            </w:pPr>
            <w:r>
              <w:rPr>
                <w:color w:val="auto"/>
                <w:highlight w:val="none"/>
              </w:rPr>
              <w:t>≤0.2</w:t>
            </w:r>
          </w:p>
        </w:tc>
        <w:tc>
          <w:tcPr>
            <w:tcW w:w="5283" w:type="dxa"/>
            <w:vAlign w:val="center"/>
          </w:tcPr>
          <w:p>
            <w:pPr>
              <w:pStyle w:val="22"/>
              <w:bidi w:val="0"/>
              <w:rPr>
                <w:color w:val="auto"/>
                <w:highlight w:val="none"/>
              </w:rPr>
            </w:pPr>
            <w:r>
              <w:rPr>
                <w:color w:val="auto"/>
                <w:highlight w:val="none"/>
              </w:rPr>
              <w:t>根据统计资料及设计资料，各矿井原煤生产水耗小于</w:t>
            </w:r>
          </w:p>
          <w:p>
            <w:pPr>
              <w:pStyle w:val="22"/>
              <w:bidi w:val="0"/>
              <w:rPr>
                <w:color w:val="auto"/>
                <w:highlight w:val="none"/>
              </w:rPr>
            </w:pPr>
            <w:r>
              <w:rPr>
                <w:color w:val="auto"/>
                <w:highlight w:val="none"/>
              </w:rPr>
              <w:t>0.2m</w:t>
            </w:r>
            <w:r>
              <w:rPr>
                <w:color w:val="auto"/>
                <w:highlight w:val="none"/>
                <w:vertAlign w:val="superscript"/>
              </w:rPr>
              <w:t>3</w:t>
            </w:r>
            <w:r>
              <w:rPr>
                <w:color w:val="auto"/>
                <w:highlight w:val="none"/>
              </w:rPr>
              <w:t>/t</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吨煤电耗（KWh/t）</w:t>
            </w:r>
          </w:p>
        </w:tc>
        <w:tc>
          <w:tcPr>
            <w:tcW w:w="1365" w:type="dxa"/>
            <w:vAlign w:val="center"/>
          </w:tcPr>
          <w:p>
            <w:pPr>
              <w:pStyle w:val="22"/>
              <w:bidi w:val="0"/>
              <w:rPr>
                <w:color w:val="auto"/>
                <w:highlight w:val="none"/>
              </w:rPr>
            </w:pPr>
            <w:r>
              <w:rPr>
                <w:color w:val="auto"/>
                <w:highlight w:val="none"/>
              </w:rPr>
              <w:t>≤20</w:t>
            </w:r>
          </w:p>
        </w:tc>
        <w:tc>
          <w:tcPr>
            <w:tcW w:w="5283" w:type="dxa"/>
            <w:vAlign w:val="center"/>
          </w:tcPr>
          <w:p>
            <w:pPr>
              <w:pStyle w:val="22"/>
              <w:bidi w:val="0"/>
              <w:rPr>
                <w:color w:val="auto"/>
                <w:highlight w:val="none"/>
              </w:rPr>
            </w:pPr>
            <w:r>
              <w:rPr>
                <w:color w:val="auto"/>
                <w:highlight w:val="none"/>
              </w:rPr>
              <w:t>各矿井吨煤电耗在13~18kWh/t之间</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选煤厂新鲜水补水量（m3/t）</w:t>
            </w:r>
          </w:p>
        </w:tc>
        <w:tc>
          <w:tcPr>
            <w:tcW w:w="1365" w:type="dxa"/>
            <w:vAlign w:val="center"/>
          </w:tcPr>
          <w:p>
            <w:pPr>
              <w:pStyle w:val="22"/>
              <w:bidi w:val="0"/>
              <w:rPr>
                <w:color w:val="auto"/>
                <w:highlight w:val="none"/>
              </w:rPr>
            </w:pPr>
            <w:r>
              <w:rPr>
                <w:color w:val="auto"/>
                <w:highlight w:val="none"/>
              </w:rPr>
              <w:t>≤0.1</w:t>
            </w:r>
          </w:p>
        </w:tc>
        <w:tc>
          <w:tcPr>
            <w:tcW w:w="5283" w:type="dxa"/>
            <w:vAlign w:val="center"/>
          </w:tcPr>
          <w:p>
            <w:pPr>
              <w:pStyle w:val="22"/>
              <w:bidi w:val="0"/>
              <w:rPr>
                <w:color w:val="auto"/>
                <w:highlight w:val="none"/>
              </w:rPr>
            </w:pPr>
            <w:r>
              <w:rPr>
                <w:color w:val="auto"/>
                <w:highlight w:val="none"/>
              </w:rPr>
              <w:t>铁山南煤矿选煤厂补充水采用矿井废水污水处理站处理 达标后的中水。</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restart"/>
            <w:vAlign w:val="center"/>
          </w:tcPr>
          <w:p>
            <w:pPr>
              <w:pStyle w:val="22"/>
              <w:bidi w:val="0"/>
              <w:rPr>
                <w:color w:val="auto"/>
                <w:highlight w:val="none"/>
              </w:rPr>
            </w:pPr>
            <w:r>
              <w:rPr>
                <w:color w:val="auto"/>
                <w:highlight w:val="none"/>
              </w:rPr>
              <w:t>资源回收与利用指标</w:t>
            </w:r>
          </w:p>
        </w:tc>
        <w:tc>
          <w:tcPr>
            <w:tcW w:w="3616" w:type="dxa"/>
            <w:vAlign w:val="center"/>
          </w:tcPr>
          <w:p>
            <w:pPr>
              <w:pStyle w:val="22"/>
              <w:bidi w:val="0"/>
              <w:rPr>
                <w:color w:val="auto"/>
                <w:highlight w:val="none"/>
              </w:rPr>
            </w:pPr>
            <w:r>
              <w:rPr>
                <w:color w:val="auto"/>
                <w:highlight w:val="none"/>
              </w:rPr>
              <w:t>粉煤灰综合利用率（%）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矿井产生的粉煤灰作为建材外售，全部综合利用</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煤矸石综合利用率（%）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目前矿区各煤矿矸石</w:t>
            </w:r>
            <w:r>
              <w:rPr>
                <w:rFonts w:hint="eastAsia"/>
                <w:color w:val="auto"/>
                <w:highlight w:val="none"/>
                <w:lang w:eastAsia="zh-CN"/>
              </w:rPr>
              <w:t>基本全部进行了</w:t>
            </w:r>
            <w:r>
              <w:rPr>
                <w:color w:val="auto"/>
                <w:highlight w:val="none"/>
              </w:rPr>
              <w:t>综合利用，</w:t>
            </w:r>
            <w:r>
              <w:rPr>
                <w:rFonts w:hint="eastAsia"/>
                <w:color w:val="auto"/>
                <w:highlight w:val="none"/>
                <w:lang w:eastAsia="zh-CN"/>
              </w:rPr>
              <w:t>主要利用方式是外售矸砖厂，小部分作为铺路等材料使用。经统计大竹县现有砖厂年产4.96亿匹砖，每年约消耗61万吨矸石，本规划区煤矸石产生预计为</w:t>
            </w:r>
            <w:r>
              <w:rPr>
                <w:rFonts w:hint="eastAsia"/>
                <w:color w:val="auto"/>
                <w:highlight w:val="none"/>
                <w:lang w:val="en-US" w:eastAsia="zh-CN"/>
              </w:rPr>
              <w:t>58.5万吨/a，仅外售矸砖厂已可满足需求，</w:t>
            </w:r>
            <w:r>
              <w:rPr>
                <w:color w:val="auto"/>
                <w:highlight w:val="none"/>
              </w:rPr>
              <w:t>煤矸石综合利用率</w:t>
            </w:r>
            <w:r>
              <w:rPr>
                <w:rFonts w:hint="eastAsia"/>
                <w:color w:val="auto"/>
                <w:highlight w:val="none"/>
                <w:lang w:eastAsia="zh-CN"/>
              </w:rPr>
              <w:t>可达</w:t>
            </w:r>
            <w:r>
              <w:rPr>
                <w:color w:val="auto"/>
                <w:highlight w:val="none"/>
              </w:rPr>
              <w:t>100%。</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灰渣综合利用率（%）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矿区内各煤矿无灰渣产生</w:t>
            </w:r>
          </w:p>
        </w:tc>
        <w:tc>
          <w:tcPr>
            <w:tcW w:w="780" w:type="dxa"/>
            <w:vAlign w:val="center"/>
          </w:tcPr>
          <w:p>
            <w:pPr>
              <w:pStyle w:val="22"/>
              <w:bidi w:val="0"/>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矿井水回用率（%）</w:t>
            </w:r>
          </w:p>
        </w:tc>
        <w:tc>
          <w:tcPr>
            <w:tcW w:w="1365" w:type="dxa"/>
            <w:vAlign w:val="center"/>
          </w:tcPr>
          <w:p>
            <w:pPr>
              <w:pStyle w:val="22"/>
              <w:bidi w:val="0"/>
              <w:rPr>
                <w:rFonts w:hint="default" w:eastAsia="宋体"/>
                <w:color w:val="auto"/>
                <w:highlight w:val="none"/>
                <w:lang w:val="en-US" w:eastAsia="zh-CN"/>
              </w:rPr>
            </w:pPr>
            <w:r>
              <w:rPr>
                <w:color w:val="auto"/>
                <w:highlight w:val="none"/>
              </w:rPr>
              <w:t>≥</w:t>
            </w:r>
            <w:r>
              <w:rPr>
                <w:rFonts w:hint="eastAsia"/>
                <w:color w:val="auto"/>
                <w:highlight w:val="none"/>
                <w:lang w:val="en-US" w:eastAsia="zh-CN"/>
              </w:rPr>
              <w:t>80</w:t>
            </w:r>
          </w:p>
        </w:tc>
        <w:tc>
          <w:tcPr>
            <w:tcW w:w="5283" w:type="dxa"/>
            <w:vAlign w:val="center"/>
          </w:tcPr>
          <w:p>
            <w:pPr>
              <w:pStyle w:val="22"/>
              <w:bidi w:val="0"/>
              <w:rPr>
                <w:rFonts w:hint="eastAsia" w:eastAsia="宋体"/>
                <w:color w:val="auto"/>
                <w:highlight w:val="none"/>
                <w:lang w:eastAsia="zh-CN"/>
              </w:rPr>
            </w:pPr>
            <w:r>
              <w:rPr>
                <w:color w:val="auto"/>
                <w:highlight w:val="none"/>
              </w:rPr>
              <w:t>各矿井均设置有矿井水处理站，处理中水回用于井下洒水、道路洒水、绿化</w:t>
            </w:r>
            <w:r>
              <w:rPr>
                <w:rFonts w:hint="eastAsia"/>
                <w:color w:val="auto"/>
                <w:highlight w:val="none"/>
                <w:lang w:eastAsia="zh-CN"/>
              </w:rPr>
              <w:t>、消防</w:t>
            </w:r>
            <w:r>
              <w:rPr>
                <w:color w:val="auto"/>
                <w:highlight w:val="none"/>
              </w:rPr>
              <w:t>等，</w:t>
            </w:r>
            <w:r>
              <w:rPr>
                <w:rFonts w:hint="eastAsia"/>
                <w:color w:val="auto"/>
                <w:highlight w:val="none"/>
                <w:lang w:eastAsia="zh-CN"/>
              </w:rPr>
              <w:t>再一</w:t>
            </w:r>
            <w:r>
              <w:rPr>
                <w:color w:val="auto"/>
                <w:highlight w:val="none"/>
              </w:rPr>
              <w:t>部分作为区域生态用水资源化利用</w:t>
            </w:r>
            <w:r>
              <w:rPr>
                <w:rFonts w:hint="eastAsia"/>
                <w:color w:val="auto"/>
                <w:highlight w:val="none"/>
                <w:lang w:eastAsia="zh-CN"/>
              </w:rPr>
              <w:t>，剩余少量废水达标排放</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生活污水回用率（%）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各矿井均设置有生活污水处理站，处理中水作为绿化</w:t>
            </w:r>
            <w:r>
              <w:rPr>
                <w:rFonts w:hint="eastAsia"/>
                <w:color w:val="auto"/>
                <w:highlight w:val="none"/>
                <w:lang w:eastAsia="zh-CN"/>
              </w:rPr>
              <w:t>、农肥</w:t>
            </w:r>
            <w:r>
              <w:rPr>
                <w:color w:val="auto"/>
                <w:highlight w:val="none"/>
              </w:rPr>
              <w:t>等，多余部分作为区域生态用水资源化利用</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restart"/>
            <w:vAlign w:val="center"/>
          </w:tcPr>
          <w:p>
            <w:pPr>
              <w:pStyle w:val="22"/>
              <w:bidi w:val="0"/>
              <w:rPr>
                <w:color w:val="auto"/>
                <w:highlight w:val="none"/>
              </w:rPr>
            </w:pPr>
            <w:r>
              <w:rPr>
                <w:color w:val="auto"/>
                <w:highlight w:val="none"/>
              </w:rPr>
              <w:t>资源承载力指标</w:t>
            </w:r>
          </w:p>
        </w:tc>
        <w:tc>
          <w:tcPr>
            <w:tcW w:w="3616" w:type="dxa"/>
            <w:vAlign w:val="center"/>
          </w:tcPr>
          <w:p>
            <w:pPr>
              <w:pStyle w:val="22"/>
              <w:bidi w:val="0"/>
              <w:rPr>
                <w:color w:val="auto"/>
                <w:highlight w:val="none"/>
              </w:rPr>
            </w:pPr>
            <w:r>
              <w:rPr>
                <w:color w:val="auto"/>
                <w:highlight w:val="none"/>
              </w:rPr>
              <w:t>区域水资源承载力</w:t>
            </w:r>
          </w:p>
        </w:tc>
        <w:tc>
          <w:tcPr>
            <w:tcW w:w="1365" w:type="dxa"/>
            <w:vAlign w:val="center"/>
          </w:tcPr>
          <w:p>
            <w:pPr>
              <w:pStyle w:val="22"/>
              <w:bidi w:val="0"/>
              <w:rPr>
                <w:color w:val="auto"/>
                <w:highlight w:val="none"/>
              </w:rPr>
            </w:pPr>
            <w:r>
              <w:rPr>
                <w:color w:val="auto"/>
                <w:highlight w:val="none"/>
              </w:rPr>
              <w:t>可承载</w:t>
            </w:r>
          </w:p>
        </w:tc>
        <w:tc>
          <w:tcPr>
            <w:tcW w:w="5283" w:type="dxa"/>
            <w:vAlign w:val="center"/>
          </w:tcPr>
          <w:p>
            <w:pPr>
              <w:pStyle w:val="22"/>
              <w:bidi w:val="0"/>
              <w:rPr>
                <w:color w:val="auto"/>
                <w:highlight w:val="none"/>
              </w:rPr>
            </w:pPr>
            <w:r>
              <w:rPr>
                <w:color w:val="auto"/>
                <w:highlight w:val="none"/>
              </w:rPr>
              <w:t>经分析，区域水资源承载力较好，矿区开发用水对其他项目的用水不会产生直接影响。</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区域生态承载力</w:t>
            </w:r>
          </w:p>
        </w:tc>
        <w:tc>
          <w:tcPr>
            <w:tcW w:w="1365" w:type="dxa"/>
            <w:vAlign w:val="center"/>
          </w:tcPr>
          <w:p>
            <w:pPr>
              <w:pStyle w:val="22"/>
              <w:bidi w:val="0"/>
              <w:rPr>
                <w:color w:val="auto"/>
                <w:highlight w:val="none"/>
              </w:rPr>
            </w:pPr>
            <w:r>
              <w:rPr>
                <w:color w:val="auto"/>
                <w:highlight w:val="none"/>
              </w:rPr>
              <w:t>可承载</w:t>
            </w:r>
          </w:p>
        </w:tc>
        <w:tc>
          <w:tcPr>
            <w:tcW w:w="5283" w:type="dxa"/>
            <w:vAlign w:val="center"/>
          </w:tcPr>
          <w:p>
            <w:pPr>
              <w:pStyle w:val="22"/>
              <w:bidi w:val="0"/>
              <w:rPr>
                <w:color w:val="auto"/>
                <w:highlight w:val="none"/>
              </w:rPr>
            </w:pPr>
            <w:r>
              <w:rPr>
                <w:color w:val="auto"/>
                <w:highlight w:val="none"/>
              </w:rPr>
              <w:t>经分析，区域在目前的发展状态下生态承载力有一定的盈余，处于可持续发展水平</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区域土地资源承载力</w:t>
            </w:r>
          </w:p>
        </w:tc>
        <w:tc>
          <w:tcPr>
            <w:tcW w:w="1365" w:type="dxa"/>
            <w:vAlign w:val="center"/>
          </w:tcPr>
          <w:p>
            <w:pPr>
              <w:pStyle w:val="22"/>
              <w:bidi w:val="0"/>
              <w:rPr>
                <w:color w:val="auto"/>
                <w:highlight w:val="none"/>
              </w:rPr>
            </w:pPr>
            <w:r>
              <w:rPr>
                <w:color w:val="auto"/>
                <w:highlight w:val="none"/>
              </w:rPr>
              <w:t>可承载</w:t>
            </w:r>
          </w:p>
        </w:tc>
        <w:tc>
          <w:tcPr>
            <w:tcW w:w="5283" w:type="dxa"/>
            <w:vAlign w:val="center"/>
          </w:tcPr>
          <w:p>
            <w:pPr>
              <w:pStyle w:val="22"/>
              <w:bidi w:val="0"/>
              <w:rPr>
                <w:color w:val="auto"/>
                <w:highlight w:val="none"/>
              </w:rPr>
            </w:pPr>
            <w:r>
              <w:rPr>
                <w:color w:val="auto"/>
                <w:highlight w:val="none"/>
              </w:rPr>
              <w:t>土地能承载较低强度的开发活动，主要的外部制约条件为区域水土流失严重。</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6" w:hRule="atLeast"/>
          <w:jc w:val="center"/>
        </w:trPr>
        <w:tc>
          <w:tcPr>
            <w:tcW w:w="455" w:type="dxa"/>
            <w:vMerge w:val="continue"/>
            <w:vAlign w:val="center"/>
          </w:tcPr>
          <w:p>
            <w:pPr>
              <w:pStyle w:val="22"/>
              <w:bidi w:val="0"/>
              <w:rPr>
                <w:color w:val="auto"/>
                <w:highlight w:val="none"/>
              </w:rPr>
            </w:pPr>
          </w:p>
        </w:tc>
        <w:tc>
          <w:tcPr>
            <w:tcW w:w="804" w:type="dxa"/>
            <w:vMerge w:val="restart"/>
            <w:vAlign w:val="center"/>
          </w:tcPr>
          <w:p>
            <w:pPr>
              <w:pStyle w:val="22"/>
              <w:bidi w:val="0"/>
              <w:rPr>
                <w:color w:val="auto"/>
                <w:highlight w:val="none"/>
              </w:rPr>
            </w:pPr>
            <w:r>
              <w:rPr>
                <w:color w:val="auto"/>
                <w:highlight w:val="none"/>
              </w:rPr>
              <w:t>环境要素</w:t>
            </w:r>
          </w:p>
        </w:tc>
        <w:tc>
          <w:tcPr>
            <w:tcW w:w="1211" w:type="dxa"/>
            <w:vMerge w:val="restart"/>
            <w:vAlign w:val="center"/>
          </w:tcPr>
          <w:p>
            <w:pPr>
              <w:pStyle w:val="22"/>
              <w:bidi w:val="0"/>
              <w:rPr>
                <w:color w:val="auto"/>
                <w:highlight w:val="none"/>
              </w:rPr>
            </w:pPr>
            <w:r>
              <w:rPr>
                <w:color w:val="auto"/>
                <w:highlight w:val="none"/>
              </w:rPr>
              <w:t>避免或减轻煤炭开发活动产生的各种污染影响</w:t>
            </w:r>
          </w:p>
        </w:tc>
        <w:tc>
          <w:tcPr>
            <w:tcW w:w="1086" w:type="dxa"/>
            <w:vMerge w:val="restart"/>
            <w:vAlign w:val="center"/>
          </w:tcPr>
          <w:p>
            <w:pPr>
              <w:pStyle w:val="22"/>
              <w:bidi w:val="0"/>
              <w:rPr>
                <w:color w:val="auto"/>
                <w:highlight w:val="none"/>
              </w:rPr>
            </w:pPr>
            <w:r>
              <w:rPr>
                <w:color w:val="auto"/>
                <w:highlight w:val="none"/>
              </w:rPr>
              <w:t>大气污染控制指标</w:t>
            </w:r>
          </w:p>
        </w:tc>
        <w:tc>
          <w:tcPr>
            <w:tcW w:w="3616" w:type="dxa"/>
            <w:vAlign w:val="center"/>
          </w:tcPr>
          <w:p>
            <w:pPr>
              <w:pStyle w:val="22"/>
              <w:bidi w:val="0"/>
              <w:rPr>
                <w:color w:val="auto"/>
                <w:highlight w:val="none"/>
              </w:rPr>
            </w:pPr>
            <w:r>
              <w:rPr>
                <w:color w:val="auto"/>
                <w:highlight w:val="none"/>
              </w:rPr>
              <w:t>大气污染物达标排放率（%）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目前矿区各煤矿均采用空气能锅炉</w:t>
            </w:r>
            <w:r>
              <w:rPr>
                <w:rFonts w:hint="eastAsia"/>
                <w:color w:val="auto"/>
                <w:highlight w:val="none"/>
                <w:lang w:eastAsia="zh-CN"/>
              </w:rPr>
              <w:t>或电能锅炉</w:t>
            </w:r>
            <w:r>
              <w:rPr>
                <w:color w:val="auto"/>
                <w:highlight w:val="none"/>
              </w:rPr>
              <w:t>，利用空气压缩机热源进行锅炉加热</w:t>
            </w:r>
            <w:r>
              <w:rPr>
                <w:rFonts w:hint="eastAsia"/>
                <w:color w:val="auto"/>
                <w:highlight w:val="none"/>
                <w:lang w:eastAsia="zh-CN"/>
              </w:rPr>
              <w:t>或电加热</w:t>
            </w:r>
            <w:r>
              <w:rPr>
                <w:color w:val="auto"/>
                <w:highlight w:val="none"/>
              </w:rPr>
              <w:t>，无废气污染物产生；另原煤堆场、矸石</w:t>
            </w:r>
            <w:r>
              <w:rPr>
                <w:rFonts w:hint="eastAsia"/>
                <w:color w:val="auto"/>
                <w:highlight w:val="none"/>
                <w:lang w:eastAsia="zh-CN"/>
              </w:rPr>
              <w:t>场</w:t>
            </w:r>
            <w:r>
              <w:rPr>
                <w:color w:val="auto"/>
                <w:highlight w:val="none"/>
              </w:rPr>
              <w:t>扬尘、运输道路扬尘、井下粉尘、矸石场加工粉尘等通过采取洒水和密闭等防尘措施后可实现达标排放；</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SO</w:t>
            </w:r>
            <w:r>
              <w:rPr>
                <w:color w:val="auto"/>
                <w:highlight w:val="none"/>
                <w:vertAlign w:val="subscript"/>
              </w:rPr>
              <w:t>2</w:t>
            </w:r>
            <w:r>
              <w:rPr>
                <w:color w:val="auto"/>
                <w:highlight w:val="none"/>
              </w:rPr>
              <w:t>和NO</w:t>
            </w:r>
            <w:r>
              <w:rPr>
                <w:color w:val="auto"/>
                <w:highlight w:val="none"/>
                <w:vertAlign w:val="subscript"/>
              </w:rPr>
              <w:t>X</w:t>
            </w:r>
            <w:r>
              <w:rPr>
                <w:color w:val="auto"/>
                <w:highlight w:val="none"/>
              </w:rPr>
              <w:t>的排放量（t/a）</w:t>
            </w:r>
          </w:p>
        </w:tc>
        <w:tc>
          <w:tcPr>
            <w:tcW w:w="1365" w:type="dxa"/>
            <w:vAlign w:val="center"/>
          </w:tcPr>
          <w:p>
            <w:pPr>
              <w:pStyle w:val="22"/>
              <w:bidi w:val="0"/>
              <w:rPr>
                <w:color w:val="auto"/>
                <w:highlight w:val="none"/>
              </w:rPr>
            </w:pPr>
            <w:r>
              <w:rPr>
                <w:color w:val="auto"/>
                <w:highlight w:val="none"/>
              </w:rPr>
              <w:t>符合区域总量控制要求</w:t>
            </w:r>
          </w:p>
        </w:tc>
        <w:tc>
          <w:tcPr>
            <w:tcW w:w="5283" w:type="dxa"/>
            <w:vAlign w:val="center"/>
          </w:tcPr>
          <w:p>
            <w:pPr>
              <w:pStyle w:val="22"/>
              <w:bidi w:val="0"/>
              <w:rPr>
                <w:color w:val="auto"/>
                <w:highlight w:val="none"/>
              </w:rPr>
            </w:pPr>
            <w:r>
              <w:rPr>
                <w:color w:val="auto"/>
                <w:highlight w:val="none"/>
              </w:rPr>
              <w:t>矿区各煤矿均采用空气能锅炉</w:t>
            </w:r>
            <w:r>
              <w:rPr>
                <w:rFonts w:hint="eastAsia"/>
                <w:color w:val="auto"/>
                <w:highlight w:val="none"/>
                <w:lang w:eastAsia="zh-CN"/>
              </w:rPr>
              <w:t>或电能锅炉</w:t>
            </w:r>
            <w:r>
              <w:rPr>
                <w:color w:val="auto"/>
                <w:highlight w:val="none"/>
              </w:rPr>
              <w:t>，无SO</w:t>
            </w:r>
            <w:r>
              <w:rPr>
                <w:color w:val="auto"/>
                <w:highlight w:val="none"/>
                <w:vertAlign w:val="subscript"/>
              </w:rPr>
              <w:t>2</w:t>
            </w:r>
            <w:r>
              <w:rPr>
                <w:color w:val="auto"/>
                <w:highlight w:val="none"/>
              </w:rPr>
              <w:t>和NO</w:t>
            </w:r>
            <w:r>
              <w:rPr>
                <w:color w:val="auto"/>
                <w:highlight w:val="none"/>
                <w:vertAlign w:val="subscript"/>
              </w:rPr>
              <w:t>X</w:t>
            </w:r>
            <w:r>
              <w:rPr>
                <w:color w:val="auto"/>
                <w:highlight w:val="none"/>
              </w:rPr>
              <w:t>产生</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restart"/>
            <w:vAlign w:val="center"/>
          </w:tcPr>
          <w:p>
            <w:pPr>
              <w:pStyle w:val="22"/>
              <w:bidi w:val="0"/>
              <w:rPr>
                <w:color w:val="auto"/>
                <w:highlight w:val="none"/>
              </w:rPr>
            </w:pPr>
            <w:r>
              <w:rPr>
                <w:color w:val="auto"/>
                <w:highlight w:val="none"/>
              </w:rPr>
              <w:t>水污染控制指标</w:t>
            </w:r>
          </w:p>
        </w:tc>
        <w:tc>
          <w:tcPr>
            <w:tcW w:w="3616" w:type="dxa"/>
            <w:vAlign w:val="center"/>
          </w:tcPr>
          <w:p>
            <w:pPr>
              <w:pStyle w:val="22"/>
              <w:bidi w:val="0"/>
              <w:rPr>
                <w:color w:val="auto"/>
                <w:highlight w:val="none"/>
              </w:rPr>
            </w:pPr>
            <w:r>
              <w:rPr>
                <w:color w:val="auto"/>
                <w:highlight w:val="none"/>
              </w:rPr>
              <w:t>矿井水处理率（%）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各矿井均配建矿井水处理站，矿井水处理率100%</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生活污水处理率（%）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各矿井均配建生活污水处理站，生活污水处理率100%</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煤泥水闭路循环等级</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矿区煤泥水均能实现一级闭路循环</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水污染物达标排放率（％）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根据各矿井自行监测报告，水污染物能够实现达标排放</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COD和氨氮排放量（t/a）</w:t>
            </w:r>
          </w:p>
        </w:tc>
        <w:tc>
          <w:tcPr>
            <w:tcW w:w="1365" w:type="dxa"/>
            <w:vAlign w:val="center"/>
          </w:tcPr>
          <w:p>
            <w:pPr>
              <w:pStyle w:val="22"/>
              <w:bidi w:val="0"/>
              <w:rPr>
                <w:color w:val="auto"/>
                <w:highlight w:val="none"/>
              </w:rPr>
            </w:pPr>
            <w:r>
              <w:rPr>
                <w:color w:val="auto"/>
                <w:highlight w:val="none"/>
              </w:rPr>
              <w:t>符合区域总量控制要求</w:t>
            </w:r>
          </w:p>
        </w:tc>
        <w:tc>
          <w:tcPr>
            <w:tcW w:w="5283" w:type="dxa"/>
            <w:vAlign w:val="center"/>
          </w:tcPr>
          <w:p>
            <w:pPr>
              <w:pStyle w:val="22"/>
              <w:bidi w:val="0"/>
              <w:rPr>
                <w:color w:val="auto"/>
                <w:highlight w:val="none"/>
              </w:rPr>
            </w:pPr>
            <w:r>
              <w:rPr>
                <w:color w:val="auto"/>
                <w:highlight w:val="none"/>
              </w:rPr>
              <w:t>各个矿井生活污水、矿井水经处理后</w:t>
            </w:r>
            <w:r>
              <w:rPr>
                <w:rFonts w:hint="eastAsia"/>
                <w:color w:val="auto"/>
                <w:highlight w:val="none"/>
                <w:lang w:eastAsia="zh-CN"/>
              </w:rPr>
              <w:t>综合利用后，仅少量废水排放</w:t>
            </w:r>
            <w:r>
              <w:rPr>
                <w:color w:val="auto"/>
                <w:highlight w:val="none"/>
              </w:rPr>
              <w:t>，COD和氨氮排放量能够满足总量指标</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restart"/>
            <w:vAlign w:val="center"/>
          </w:tcPr>
          <w:p>
            <w:pPr>
              <w:pStyle w:val="22"/>
              <w:bidi w:val="0"/>
              <w:rPr>
                <w:color w:val="auto"/>
                <w:highlight w:val="none"/>
              </w:rPr>
            </w:pPr>
            <w:r>
              <w:rPr>
                <w:color w:val="auto"/>
                <w:highlight w:val="none"/>
              </w:rPr>
              <w:t>避免或 减轻煤 炭开发 活动产生的生 态破坏</w:t>
            </w:r>
          </w:p>
        </w:tc>
        <w:tc>
          <w:tcPr>
            <w:tcW w:w="1086" w:type="dxa"/>
            <w:vMerge w:val="restart"/>
            <w:vAlign w:val="center"/>
          </w:tcPr>
          <w:p>
            <w:pPr>
              <w:pStyle w:val="22"/>
              <w:bidi w:val="0"/>
              <w:rPr>
                <w:color w:val="auto"/>
                <w:highlight w:val="none"/>
              </w:rPr>
            </w:pPr>
            <w:r>
              <w:rPr>
                <w:color w:val="auto"/>
                <w:highlight w:val="none"/>
              </w:rPr>
              <w:t>固体废物处置指标</w:t>
            </w:r>
          </w:p>
        </w:tc>
        <w:tc>
          <w:tcPr>
            <w:tcW w:w="3616" w:type="dxa"/>
            <w:vAlign w:val="center"/>
          </w:tcPr>
          <w:p>
            <w:pPr>
              <w:pStyle w:val="22"/>
              <w:bidi w:val="0"/>
              <w:rPr>
                <w:color w:val="auto"/>
                <w:highlight w:val="none"/>
              </w:rPr>
            </w:pPr>
            <w:r>
              <w:rPr>
                <w:color w:val="auto"/>
                <w:highlight w:val="none"/>
              </w:rPr>
              <w:t>煤矸石处置率（%）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目前矿区各煤矿矸石</w:t>
            </w:r>
            <w:r>
              <w:rPr>
                <w:rFonts w:hint="eastAsia"/>
                <w:color w:val="auto"/>
                <w:highlight w:val="none"/>
                <w:lang w:eastAsia="zh-CN"/>
              </w:rPr>
              <w:t>基本全部进行了</w:t>
            </w:r>
            <w:r>
              <w:rPr>
                <w:color w:val="auto"/>
                <w:highlight w:val="none"/>
              </w:rPr>
              <w:t>综合利用，</w:t>
            </w:r>
            <w:r>
              <w:rPr>
                <w:rFonts w:hint="eastAsia"/>
                <w:color w:val="auto"/>
                <w:highlight w:val="none"/>
                <w:lang w:eastAsia="zh-CN"/>
              </w:rPr>
              <w:t>主要利用方式是外售矸砖厂，小部分作为铺路等材料使用。经统计大竹县现有砖厂年产4.96亿匹砖，每年约消耗61万吨矸石，本规划区煤矸石产生预计为</w:t>
            </w:r>
            <w:r>
              <w:rPr>
                <w:rFonts w:hint="eastAsia"/>
                <w:color w:val="auto"/>
                <w:highlight w:val="none"/>
                <w:lang w:val="en-US" w:eastAsia="zh-CN"/>
              </w:rPr>
              <w:t>58.5万吨/a，仅外售矸砖厂已可满足需求，</w:t>
            </w:r>
            <w:r>
              <w:rPr>
                <w:color w:val="auto"/>
                <w:highlight w:val="none"/>
              </w:rPr>
              <w:t>煤矸石</w:t>
            </w:r>
            <w:r>
              <w:rPr>
                <w:rFonts w:hint="eastAsia"/>
                <w:color w:val="auto"/>
                <w:highlight w:val="none"/>
                <w:lang w:eastAsia="zh-CN"/>
              </w:rPr>
              <w:t>处置</w:t>
            </w:r>
            <w:r>
              <w:rPr>
                <w:color w:val="auto"/>
                <w:highlight w:val="none"/>
              </w:rPr>
              <w:t>率</w:t>
            </w:r>
            <w:r>
              <w:rPr>
                <w:rFonts w:hint="eastAsia"/>
                <w:color w:val="auto"/>
                <w:highlight w:val="none"/>
                <w:lang w:eastAsia="zh-CN"/>
              </w:rPr>
              <w:t>可达</w:t>
            </w:r>
            <w:r>
              <w:rPr>
                <w:color w:val="auto"/>
                <w:highlight w:val="none"/>
              </w:rPr>
              <w:t>100%。</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灰渣及脱硫石膏处置率（%）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矿区内各煤矿无灰渣产生</w:t>
            </w:r>
          </w:p>
        </w:tc>
        <w:tc>
          <w:tcPr>
            <w:tcW w:w="780" w:type="dxa"/>
            <w:vAlign w:val="center"/>
          </w:tcPr>
          <w:p>
            <w:pPr>
              <w:pStyle w:val="22"/>
              <w:bidi w:val="0"/>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生活垃圾处置率（%）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生活垃圾经收集后运至当地生活垃圾收集点处置</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污泥处置率（%）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污泥经脱水后与生活垃圾一并处置</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Align w:val="center"/>
          </w:tcPr>
          <w:p>
            <w:pPr>
              <w:pStyle w:val="22"/>
              <w:bidi w:val="0"/>
              <w:rPr>
                <w:color w:val="auto"/>
                <w:highlight w:val="none"/>
              </w:rPr>
            </w:pPr>
            <w:r>
              <w:rPr>
                <w:color w:val="auto"/>
                <w:highlight w:val="none"/>
              </w:rPr>
              <w:t>噪声环境影响指标</w:t>
            </w:r>
          </w:p>
        </w:tc>
        <w:tc>
          <w:tcPr>
            <w:tcW w:w="3616" w:type="dxa"/>
            <w:vAlign w:val="center"/>
          </w:tcPr>
          <w:p>
            <w:pPr>
              <w:pStyle w:val="22"/>
              <w:bidi w:val="0"/>
              <w:rPr>
                <w:color w:val="auto"/>
                <w:highlight w:val="none"/>
              </w:rPr>
            </w:pPr>
            <w:r>
              <w:rPr>
                <w:color w:val="auto"/>
                <w:highlight w:val="none"/>
              </w:rPr>
              <w:t>声环境功能区达标率（%）</w:t>
            </w:r>
          </w:p>
        </w:tc>
        <w:tc>
          <w:tcPr>
            <w:tcW w:w="1365" w:type="dxa"/>
            <w:vAlign w:val="center"/>
          </w:tcPr>
          <w:p>
            <w:pPr>
              <w:pStyle w:val="22"/>
              <w:bidi w:val="0"/>
              <w:rPr>
                <w:color w:val="auto"/>
                <w:highlight w:val="none"/>
              </w:rPr>
            </w:pPr>
            <w:r>
              <w:rPr>
                <w:color w:val="auto"/>
                <w:highlight w:val="none"/>
              </w:rPr>
              <w:t>≥100</w:t>
            </w:r>
          </w:p>
        </w:tc>
        <w:tc>
          <w:tcPr>
            <w:tcW w:w="5283" w:type="dxa"/>
            <w:vAlign w:val="center"/>
          </w:tcPr>
          <w:p>
            <w:pPr>
              <w:pStyle w:val="22"/>
              <w:bidi w:val="0"/>
              <w:rPr>
                <w:color w:val="auto"/>
                <w:highlight w:val="none"/>
              </w:rPr>
            </w:pPr>
            <w:r>
              <w:rPr>
                <w:color w:val="auto"/>
                <w:highlight w:val="none"/>
              </w:rPr>
              <w:t>符合相关声环境功能区的噪声排放标准</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restart"/>
            <w:vAlign w:val="center"/>
          </w:tcPr>
          <w:p>
            <w:pPr>
              <w:pStyle w:val="22"/>
              <w:bidi w:val="0"/>
              <w:rPr>
                <w:color w:val="auto"/>
                <w:highlight w:val="none"/>
              </w:rPr>
            </w:pPr>
            <w:r>
              <w:rPr>
                <w:color w:val="auto"/>
                <w:highlight w:val="none"/>
              </w:rPr>
              <w:t>生态保护与恢复指标</w:t>
            </w:r>
          </w:p>
        </w:tc>
        <w:tc>
          <w:tcPr>
            <w:tcW w:w="3616" w:type="dxa"/>
            <w:vAlign w:val="center"/>
          </w:tcPr>
          <w:p>
            <w:pPr>
              <w:pStyle w:val="22"/>
              <w:bidi w:val="0"/>
              <w:rPr>
                <w:color w:val="auto"/>
                <w:highlight w:val="none"/>
              </w:rPr>
            </w:pPr>
            <w:r>
              <w:rPr>
                <w:color w:val="auto"/>
                <w:highlight w:val="none"/>
              </w:rPr>
              <w:t>水土流失控制率（%）</w:t>
            </w:r>
          </w:p>
        </w:tc>
        <w:tc>
          <w:tcPr>
            <w:tcW w:w="1365" w:type="dxa"/>
            <w:vAlign w:val="center"/>
          </w:tcPr>
          <w:p>
            <w:pPr>
              <w:pStyle w:val="22"/>
              <w:bidi w:val="0"/>
              <w:rPr>
                <w:color w:val="auto"/>
                <w:highlight w:val="none"/>
              </w:rPr>
            </w:pPr>
            <w:r>
              <w:rPr>
                <w:color w:val="auto"/>
                <w:highlight w:val="none"/>
              </w:rPr>
              <w:t>≥85</w:t>
            </w:r>
          </w:p>
        </w:tc>
        <w:tc>
          <w:tcPr>
            <w:tcW w:w="5283" w:type="dxa"/>
            <w:vMerge w:val="restart"/>
            <w:vAlign w:val="center"/>
          </w:tcPr>
          <w:p>
            <w:pPr>
              <w:pStyle w:val="22"/>
              <w:bidi w:val="0"/>
              <w:rPr>
                <w:color w:val="auto"/>
                <w:highlight w:val="none"/>
              </w:rPr>
            </w:pPr>
            <w:r>
              <w:rPr>
                <w:color w:val="auto"/>
                <w:highlight w:val="none"/>
              </w:rPr>
              <w:t>按照环评提出的生态恢复及治理措施后，沉陷土地治理率达到100%；沉陷区和排矸场植被恢复系数达到98%；植被覆盖率达40%；水土流失控制区植被覆盖率达60%；</w:t>
            </w:r>
          </w:p>
        </w:tc>
        <w:tc>
          <w:tcPr>
            <w:tcW w:w="780" w:type="dxa"/>
            <w:vMerge w:val="restart"/>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沉陷土地复垦率（%）</w:t>
            </w:r>
          </w:p>
        </w:tc>
        <w:tc>
          <w:tcPr>
            <w:tcW w:w="1365" w:type="dxa"/>
            <w:vAlign w:val="center"/>
          </w:tcPr>
          <w:p>
            <w:pPr>
              <w:pStyle w:val="22"/>
              <w:bidi w:val="0"/>
              <w:rPr>
                <w:color w:val="auto"/>
                <w:highlight w:val="none"/>
              </w:rPr>
            </w:pPr>
            <w:r>
              <w:rPr>
                <w:color w:val="auto"/>
                <w:highlight w:val="none"/>
              </w:rPr>
              <w:t>≥95</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排矸场生态恢复率（%）</w:t>
            </w:r>
          </w:p>
        </w:tc>
        <w:tc>
          <w:tcPr>
            <w:tcW w:w="1365" w:type="dxa"/>
            <w:vAlign w:val="center"/>
          </w:tcPr>
          <w:p>
            <w:pPr>
              <w:pStyle w:val="22"/>
              <w:bidi w:val="0"/>
              <w:rPr>
                <w:color w:val="auto"/>
                <w:highlight w:val="none"/>
              </w:rPr>
            </w:pPr>
            <w:r>
              <w:rPr>
                <w:color w:val="auto"/>
                <w:highlight w:val="none"/>
              </w:rPr>
              <w:t>≥90</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取土场生态恢复率（%）</w:t>
            </w:r>
          </w:p>
        </w:tc>
        <w:tc>
          <w:tcPr>
            <w:tcW w:w="1365" w:type="dxa"/>
            <w:vAlign w:val="center"/>
          </w:tcPr>
          <w:p>
            <w:pPr>
              <w:pStyle w:val="22"/>
              <w:bidi w:val="0"/>
              <w:rPr>
                <w:color w:val="auto"/>
                <w:highlight w:val="none"/>
              </w:rPr>
            </w:pPr>
            <w:r>
              <w:rPr>
                <w:color w:val="auto"/>
                <w:highlight w:val="none"/>
              </w:rPr>
              <w:t>≥90</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恢复后植被覆盖率（%）</w:t>
            </w:r>
          </w:p>
        </w:tc>
        <w:tc>
          <w:tcPr>
            <w:tcW w:w="1365" w:type="dxa"/>
            <w:vAlign w:val="center"/>
          </w:tcPr>
          <w:p>
            <w:pPr>
              <w:pStyle w:val="22"/>
              <w:bidi w:val="0"/>
              <w:rPr>
                <w:color w:val="auto"/>
                <w:highlight w:val="none"/>
              </w:rPr>
            </w:pPr>
            <w:r>
              <w:rPr>
                <w:color w:val="auto"/>
                <w:highlight w:val="none"/>
              </w:rPr>
              <w:t>≥25</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5" w:hRule="atLeast"/>
          <w:jc w:val="center"/>
        </w:trPr>
        <w:tc>
          <w:tcPr>
            <w:tcW w:w="455" w:type="dxa"/>
            <w:vMerge w:val="continue"/>
            <w:vAlign w:val="center"/>
          </w:tcPr>
          <w:p>
            <w:pPr>
              <w:pStyle w:val="22"/>
              <w:bidi w:val="0"/>
              <w:rPr>
                <w:color w:val="auto"/>
                <w:highlight w:val="none"/>
              </w:rPr>
            </w:pPr>
          </w:p>
        </w:tc>
        <w:tc>
          <w:tcPr>
            <w:tcW w:w="804" w:type="dxa"/>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生态系统整体性和功能变化趋势</w:t>
            </w:r>
          </w:p>
        </w:tc>
        <w:tc>
          <w:tcPr>
            <w:tcW w:w="1365" w:type="dxa"/>
            <w:vAlign w:val="center"/>
          </w:tcPr>
          <w:p>
            <w:pPr>
              <w:pStyle w:val="22"/>
              <w:bidi w:val="0"/>
              <w:rPr>
                <w:color w:val="auto"/>
                <w:highlight w:val="none"/>
              </w:rPr>
            </w:pPr>
            <w:r>
              <w:rPr>
                <w:color w:val="auto"/>
                <w:highlight w:val="none"/>
              </w:rPr>
              <w:t>对生态系统的整体性和变化趋势影响不大</w:t>
            </w:r>
          </w:p>
        </w:tc>
        <w:tc>
          <w:tcPr>
            <w:tcW w:w="5283" w:type="dxa"/>
            <w:vMerge w:val="continue"/>
            <w:vAlign w:val="center"/>
          </w:tcPr>
          <w:p>
            <w:pPr>
              <w:pStyle w:val="22"/>
              <w:bidi w:val="0"/>
              <w:rPr>
                <w:color w:val="auto"/>
                <w:highlight w:val="none"/>
              </w:rPr>
            </w:pPr>
          </w:p>
        </w:tc>
        <w:tc>
          <w:tcPr>
            <w:tcW w:w="780" w:type="dxa"/>
            <w:vMerge w:val="continue"/>
            <w:vAlign w:val="center"/>
          </w:tcPr>
          <w:p>
            <w:pPr>
              <w:pStyle w:val="22"/>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259" w:type="dxa"/>
            <w:gridSpan w:val="2"/>
            <w:vMerge w:val="restart"/>
            <w:vAlign w:val="center"/>
          </w:tcPr>
          <w:p>
            <w:pPr>
              <w:pStyle w:val="22"/>
              <w:bidi w:val="0"/>
              <w:rPr>
                <w:color w:val="auto"/>
                <w:highlight w:val="none"/>
              </w:rPr>
            </w:pPr>
            <w:r>
              <w:rPr>
                <w:color w:val="auto"/>
                <w:highlight w:val="none"/>
              </w:rPr>
              <w:t>社会环境</w:t>
            </w:r>
          </w:p>
        </w:tc>
        <w:tc>
          <w:tcPr>
            <w:tcW w:w="1211" w:type="dxa"/>
            <w:vMerge w:val="restart"/>
            <w:vAlign w:val="center"/>
          </w:tcPr>
          <w:p>
            <w:pPr>
              <w:pStyle w:val="22"/>
              <w:bidi w:val="0"/>
              <w:rPr>
                <w:color w:val="auto"/>
                <w:highlight w:val="none"/>
              </w:rPr>
            </w:pPr>
            <w:r>
              <w:rPr>
                <w:color w:val="auto"/>
                <w:highlight w:val="none"/>
              </w:rPr>
              <w:t>促进区域社会、经济可持续发展</w:t>
            </w:r>
          </w:p>
        </w:tc>
        <w:tc>
          <w:tcPr>
            <w:tcW w:w="1086" w:type="dxa"/>
            <w:vMerge w:val="restart"/>
            <w:vAlign w:val="center"/>
          </w:tcPr>
          <w:p>
            <w:pPr>
              <w:pStyle w:val="22"/>
              <w:bidi w:val="0"/>
              <w:rPr>
                <w:color w:val="auto"/>
                <w:highlight w:val="none"/>
              </w:rPr>
            </w:pPr>
            <w:r>
              <w:rPr>
                <w:color w:val="auto"/>
                <w:highlight w:val="none"/>
              </w:rPr>
              <w:t>社会发展指标</w:t>
            </w:r>
          </w:p>
        </w:tc>
        <w:tc>
          <w:tcPr>
            <w:tcW w:w="3616" w:type="dxa"/>
            <w:vAlign w:val="center"/>
          </w:tcPr>
          <w:p>
            <w:pPr>
              <w:pStyle w:val="22"/>
              <w:bidi w:val="0"/>
              <w:rPr>
                <w:color w:val="auto"/>
                <w:highlight w:val="none"/>
              </w:rPr>
            </w:pPr>
            <w:r>
              <w:rPr>
                <w:color w:val="auto"/>
                <w:highlight w:val="none"/>
              </w:rPr>
              <w:t>万元工业增加值水耗（t/万元）</w:t>
            </w:r>
          </w:p>
        </w:tc>
        <w:tc>
          <w:tcPr>
            <w:tcW w:w="1365" w:type="dxa"/>
            <w:vAlign w:val="center"/>
          </w:tcPr>
          <w:p>
            <w:pPr>
              <w:pStyle w:val="22"/>
              <w:bidi w:val="0"/>
              <w:rPr>
                <w:color w:val="auto"/>
                <w:highlight w:val="none"/>
              </w:rPr>
            </w:pPr>
            <w:r>
              <w:rPr>
                <w:color w:val="auto"/>
                <w:highlight w:val="none"/>
              </w:rPr>
              <w:t>≤60</w:t>
            </w:r>
          </w:p>
        </w:tc>
        <w:tc>
          <w:tcPr>
            <w:tcW w:w="5283" w:type="dxa"/>
            <w:vAlign w:val="center"/>
          </w:tcPr>
          <w:p>
            <w:pPr>
              <w:pStyle w:val="22"/>
              <w:bidi w:val="0"/>
              <w:rPr>
                <w:color w:val="auto"/>
                <w:highlight w:val="none"/>
              </w:rPr>
            </w:pPr>
            <w:r>
              <w:rPr>
                <w:color w:val="auto"/>
                <w:highlight w:val="none"/>
              </w:rPr>
              <w:t>万元工业增加值水耗小于60t/万元</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259" w:type="dxa"/>
            <w:gridSpan w:val="2"/>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万元工业增加值能耗（t/万元）</w:t>
            </w:r>
          </w:p>
        </w:tc>
        <w:tc>
          <w:tcPr>
            <w:tcW w:w="1365" w:type="dxa"/>
            <w:vAlign w:val="center"/>
          </w:tcPr>
          <w:p>
            <w:pPr>
              <w:pStyle w:val="22"/>
              <w:bidi w:val="0"/>
              <w:rPr>
                <w:color w:val="auto"/>
                <w:highlight w:val="none"/>
              </w:rPr>
            </w:pPr>
            <w:r>
              <w:rPr>
                <w:color w:val="auto"/>
                <w:highlight w:val="none"/>
              </w:rPr>
              <w:t>≤1.1</w:t>
            </w:r>
          </w:p>
        </w:tc>
        <w:tc>
          <w:tcPr>
            <w:tcW w:w="5283" w:type="dxa"/>
            <w:vAlign w:val="center"/>
          </w:tcPr>
          <w:p>
            <w:pPr>
              <w:pStyle w:val="22"/>
              <w:bidi w:val="0"/>
              <w:rPr>
                <w:color w:val="auto"/>
                <w:highlight w:val="none"/>
              </w:rPr>
            </w:pPr>
            <w:r>
              <w:rPr>
                <w:color w:val="auto"/>
                <w:highlight w:val="none"/>
              </w:rPr>
              <w:t>万元工业增加值能耗小于1.1t/万元</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259" w:type="dxa"/>
            <w:gridSpan w:val="2"/>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restart"/>
            <w:vAlign w:val="center"/>
          </w:tcPr>
          <w:p>
            <w:pPr>
              <w:pStyle w:val="22"/>
              <w:bidi w:val="0"/>
              <w:rPr>
                <w:color w:val="auto"/>
                <w:highlight w:val="none"/>
              </w:rPr>
            </w:pPr>
            <w:r>
              <w:rPr>
                <w:color w:val="auto"/>
                <w:highlight w:val="none"/>
              </w:rPr>
              <w:t>经济发展指标</w:t>
            </w:r>
          </w:p>
        </w:tc>
        <w:tc>
          <w:tcPr>
            <w:tcW w:w="3616" w:type="dxa"/>
            <w:vAlign w:val="center"/>
          </w:tcPr>
          <w:p>
            <w:pPr>
              <w:pStyle w:val="22"/>
              <w:bidi w:val="0"/>
              <w:rPr>
                <w:color w:val="auto"/>
                <w:highlight w:val="none"/>
              </w:rPr>
            </w:pPr>
            <w:r>
              <w:rPr>
                <w:color w:val="auto"/>
                <w:highlight w:val="none"/>
              </w:rPr>
              <w:t>矿区工业总产值（万元）</w:t>
            </w:r>
          </w:p>
        </w:tc>
        <w:tc>
          <w:tcPr>
            <w:tcW w:w="1365" w:type="dxa"/>
            <w:vAlign w:val="center"/>
          </w:tcPr>
          <w:p>
            <w:pPr>
              <w:pStyle w:val="22"/>
              <w:bidi w:val="0"/>
              <w:rPr>
                <w:color w:val="auto"/>
                <w:highlight w:val="none"/>
              </w:rPr>
            </w:pPr>
            <w:r>
              <w:rPr>
                <w:color w:val="auto"/>
                <w:highlight w:val="none"/>
              </w:rPr>
              <w:t>增加</w:t>
            </w:r>
          </w:p>
        </w:tc>
        <w:tc>
          <w:tcPr>
            <w:tcW w:w="5283" w:type="dxa"/>
            <w:vAlign w:val="center"/>
          </w:tcPr>
          <w:p>
            <w:pPr>
              <w:pStyle w:val="22"/>
              <w:bidi w:val="0"/>
              <w:rPr>
                <w:color w:val="auto"/>
                <w:highlight w:val="none"/>
              </w:rPr>
            </w:pPr>
            <w:r>
              <w:rPr>
                <w:color w:val="auto"/>
                <w:highlight w:val="none"/>
              </w:rPr>
              <w:t>矿区工业总产值显著增加</w:t>
            </w:r>
          </w:p>
        </w:tc>
        <w:tc>
          <w:tcPr>
            <w:tcW w:w="780" w:type="dxa"/>
            <w:vAlign w:val="center"/>
          </w:tcPr>
          <w:p>
            <w:pPr>
              <w:pStyle w:val="22"/>
              <w:bidi w:val="0"/>
              <w:rPr>
                <w:color w:val="auto"/>
                <w:highlight w:val="none"/>
              </w:rPr>
            </w:pPr>
            <w:r>
              <w:rPr>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259" w:type="dxa"/>
            <w:gridSpan w:val="2"/>
            <w:vMerge w:val="continue"/>
            <w:vAlign w:val="center"/>
          </w:tcPr>
          <w:p>
            <w:pPr>
              <w:pStyle w:val="22"/>
              <w:bidi w:val="0"/>
              <w:rPr>
                <w:color w:val="auto"/>
                <w:highlight w:val="none"/>
              </w:rPr>
            </w:pPr>
          </w:p>
        </w:tc>
        <w:tc>
          <w:tcPr>
            <w:tcW w:w="1211" w:type="dxa"/>
            <w:vMerge w:val="continue"/>
            <w:vAlign w:val="center"/>
          </w:tcPr>
          <w:p>
            <w:pPr>
              <w:pStyle w:val="22"/>
              <w:bidi w:val="0"/>
              <w:rPr>
                <w:color w:val="auto"/>
                <w:highlight w:val="none"/>
              </w:rPr>
            </w:pPr>
          </w:p>
        </w:tc>
        <w:tc>
          <w:tcPr>
            <w:tcW w:w="1086" w:type="dxa"/>
            <w:vMerge w:val="continue"/>
            <w:vAlign w:val="center"/>
          </w:tcPr>
          <w:p>
            <w:pPr>
              <w:pStyle w:val="22"/>
              <w:bidi w:val="0"/>
              <w:rPr>
                <w:color w:val="auto"/>
                <w:highlight w:val="none"/>
              </w:rPr>
            </w:pPr>
          </w:p>
        </w:tc>
        <w:tc>
          <w:tcPr>
            <w:tcW w:w="3616" w:type="dxa"/>
            <w:vAlign w:val="center"/>
          </w:tcPr>
          <w:p>
            <w:pPr>
              <w:pStyle w:val="22"/>
              <w:bidi w:val="0"/>
              <w:rPr>
                <w:color w:val="auto"/>
                <w:highlight w:val="none"/>
              </w:rPr>
            </w:pPr>
            <w:r>
              <w:rPr>
                <w:color w:val="auto"/>
                <w:highlight w:val="none"/>
              </w:rPr>
              <w:t>税收（万元）</w:t>
            </w:r>
          </w:p>
        </w:tc>
        <w:tc>
          <w:tcPr>
            <w:tcW w:w="1365" w:type="dxa"/>
            <w:vAlign w:val="center"/>
          </w:tcPr>
          <w:p>
            <w:pPr>
              <w:pStyle w:val="22"/>
              <w:bidi w:val="0"/>
              <w:rPr>
                <w:color w:val="auto"/>
                <w:highlight w:val="none"/>
              </w:rPr>
            </w:pPr>
            <w:r>
              <w:rPr>
                <w:color w:val="auto"/>
                <w:highlight w:val="none"/>
              </w:rPr>
              <w:t>增加</w:t>
            </w:r>
          </w:p>
        </w:tc>
        <w:tc>
          <w:tcPr>
            <w:tcW w:w="5283" w:type="dxa"/>
            <w:vAlign w:val="center"/>
          </w:tcPr>
          <w:p>
            <w:pPr>
              <w:pStyle w:val="22"/>
              <w:bidi w:val="0"/>
              <w:rPr>
                <w:color w:val="auto"/>
                <w:highlight w:val="none"/>
              </w:rPr>
            </w:pPr>
            <w:r>
              <w:rPr>
                <w:color w:val="auto"/>
                <w:highlight w:val="none"/>
              </w:rPr>
              <w:t>区域税收显著增加</w:t>
            </w:r>
          </w:p>
        </w:tc>
        <w:tc>
          <w:tcPr>
            <w:tcW w:w="780" w:type="dxa"/>
            <w:vAlign w:val="center"/>
          </w:tcPr>
          <w:p>
            <w:pPr>
              <w:pStyle w:val="22"/>
              <w:bidi w:val="0"/>
              <w:rPr>
                <w:color w:val="auto"/>
                <w:highlight w:val="none"/>
              </w:rPr>
            </w:pPr>
            <w:r>
              <w:rPr>
                <w:color w:val="auto"/>
                <w:highlight w:val="none"/>
              </w:rPr>
              <w:t>是</w:t>
            </w:r>
          </w:p>
        </w:tc>
      </w:tr>
    </w:tbl>
    <w:p>
      <w:pPr>
        <w:pStyle w:val="5"/>
        <w:numPr>
          <w:ilvl w:val="0"/>
          <w:numId w:val="0"/>
        </w:numPr>
        <w:tabs>
          <w:tab w:val="left" w:pos="880"/>
        </w:tabs>
        <w:spacing w:before="4" w:after="0" w:line="240" w:lineRule="auto"/>
        <w:ind w:leftChars="0" w:right="0" w:rightChars="0"/>
        <w:jc w:val="left"/>
        <w:outlineLvl w:val="9"/>
        <w:rPr>
          <w:color w:val="auto"/>
          <w:highlight w:val="none"/>
        </w:rPr>
        <w:sectPr>
          <w:headerReference r:id="rId13" w:type="default"/>
          <w:footerReference r:id="rId14" w:type="default"/>
          <w:pgSz w:w="16840" w:h="11910" w:orient="landscape"/>
          <w:pgMar w:top="1180" w:right="960" w:bottom="1000" w:left="980" w:header="902" w:footer="805" w:gutter="0"/>
          <w:pgBorders>
            <w:top w:val="none" w:sz="0" w:space="0"/>
            <w:left w:val="none" w:sz="0" w:space="0"/>
            <w:bottom w:val="none" w:sz="0" w:space="0"/>
            <w:right w:val="none" w:sz="0" w:space="0"/>
          </w:pgBorders>
          <w:pgNumType w:fmt="decimal"/>
          <w:cols w:space="720" w:num="1"/>
        </w:sectPr>
      </w:pPr>
      <w:bookmarkStart w:id="727" w:name="8.3 规划方案的优化调整建议"/>
      <w:bookmarkEnd w:id="727"/>
      <w:bookmarkStart w:id="728" w:name="_bookmark54"/>
      <w:bookmarkEnd w:id="728"/>
    </w:p>
    <w:p>
      <w:pPr>
        <w:pStyle w:val="5"/>
        <w:numPr>
          <w:ilvl w:val="1"/>
          <w:numId w:val="5"/>
        </w:numPr>
        <w:bidi w:val="0"/>
        <w:rPr>
          <w:color w:val="auto"/>
          <w:highlight w:val="none"/>
        </w:rPr>
      </w:pPr>
      <w:bookmarkStart w:id="729" w:name="_Toc27505"/>
      <w:bookmarkStart w:id="730" w:name="_Toc32019"/>
      <w:r>
        <w:rPr>
          <w:color w:val="auto"/>
          <w:highlight w:val="none"/>
        </w:rPr>
        <w:t>规划方案的优化调整建议</w:t>
      </w:r>
      <w:bookmarkEnd w:id="729"/>
      <w:bookmarkEnd w:id="730"/>
    </w:p>
    <w:p>
      <w:pPr>
        <w:bidi w:val="0"/>
        <w:rPr>
          <w:color w:val="auto"/>
          <w:sz w:val="20"/>
          <w:highlight w:val="none"/>
        </w:rPr>
      </w:pPr>
      <w:r>
        <w:rPr>
          <w:color w:val="auto"/>
          <w:highlight w:val="none"/>
        </w:rPr>
        <w:t>本次环评对规划提出调整建议，具体参见表</w:t>
      </w:r>
      <w:r>
        <w:rPr>
          <w:rFonts w:ascii="Times New Roman" w:eastAsia="Times New Roman"/>
          <w:color w:val="auto"/>
          <w:highlight w:val="none"/>
        </w:rPr>
        <w:t>8.3-1</w:t>
      </w:r>
      <w:r>
        <w:rPr>
          <w:color w:val="auto"/>
          <w:highlight w:val="none"/>
        </w:rPr>
        <w:t>。</w:t>
      </w:r>
    </w:p>
    <w:p>
      <w:pPr>
        <w:pStyle w:val="22"/>
        <w:bidi w:val="0"/>
        <w:rPr>
          <w:color w:val="auto"/>
          <w:sz w:val="24"/>
          <w:highlight w:val="none"/>
        </w:rPr>
      </w:pPr>
      <w:r>
        <w:rPr>
          <w:color w:val="auto"/>
          <w:sz w:val="24"/>
          <w:highlight w:val="none"/>
        </w:rPr>
        <w:t>表</w:t>
      </w:r>
      <w:r>
        <w:rPr>
          <w:color w:val="auto"/>
          <w:spacing w:val="-61"/>
          <w:sz w:val="24"/>
          <w:highlight w:val="none"/>
        </w:rPr>
        <w:t xml:space="preserve"> </w:t>
      </w:r>
      <w:r>
        <w:rPr>
          <w:rFonts w:ascii="Times New Roman" w:eastAsia="Times New Roman"/>
          <w:b/>
          <w:color w:val="auto"/>
          <w:sz w:val="24"/>
          <w:highlight w:val="none"/>
        </w:rPr>
        <w:t>8.3-1</w:t>
      </w:r>
      <w:r>
        <w:rPr>
          <w:rFonts w:ascii="Times New Roman" w:eastAsia="Times New Roman"/>
          <w:b/>
          <w:color w:val="auto"/>
          <w:sz w:val="24"/>
          <w:highlight w:val="none"/>
        </w:rPr>
        <w:tab/>
      </w:r>
      <w:r>
        <w:rPr>
          <w:color w:val="auto"/>
          <w:sz w:val="24"/>
          <w:highlight w:val="none"/>
        </w:rPr>
        <w:t>规划方案的优化调整建议</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6"/>
        <w:gridCol w:w="657"/>
        <w:gridCol w:w="4353"/>
        <w:gridCol w:w="6719"/>
        <w:gridCol w:w="21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36" w:type="dxa"/>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序号</w:t>
            </w:r>
          </w:p>
        </w:tc>
        <w:tc>
          <w:tcPr>
            <w:tcW w:w="5010" w:type="dxa"/>
            <w:gridSpan w:val="2"/>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规划内容</w:t>
            </w:r>
          </w:p>
        </w:tc>
        <w:tc>
          <w:tcPr>
            <w:tcW w:w="6719"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调整建议</w:t>
            </w:r>
          </w:p>
        </w:tc>
        <w:tc>
          <w:tcPr>
            <w:tcW w:w="2175" w:type="dxa"/>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0" w:hRule="atLeast"/>
          <w:jc w:val="center"/>
        </w:trPr>
        <w:tc>
          <w:tcPr>
            <w:tcW w:w="73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w:t>
            </w:r>
          </w:p>
        </w:tc>
        <w:tc>
          <w:tcPr>
            <w:tcW w:w="657"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矿区排水规划</w:t>
            </w:r>
          </w:p>
        </w:tc>
        <w:tc>
          <w:tcPr>
            <w:tcW w:w="43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井下排水排入各矿井的矿井水处理站，经絮凝、沉淀、过滤、澄清等工艺处理后回用于</w:t>
            </w:r>
          </w:p>
          <w:p>
            <w:pPr>
              <w:pStyle w:val="22"/>
              <w:bidi w:val="0"/>
              <w:rPr>
                <w:color w:val="auto"/>
                <w:highlight w:val="none"/>
              </w:rPr>
            </w:pPr>
            <w:r>
              <w:rPr>
                <w:color w:val="auto"/>
                <w:highlight w:val="none"/>
              </w:rPr>
              <w:t>矿井主要生产用水，多余部分达标排放。</w:t>
            </w:r>
          </w:p>
        </w:tc>
        <w:tc>
          <w:tcPr>
            <w:tcW w:w="6719" w:type="dxa"/>
            <w:tcBorders>
              <w:top w:val="single" w:color="000000" w:sz="4" w:space="0"/>
              <w:left w:val="single" w:color="000000" w:sz="4" w:space="0"/>
              <w:bottom w:val="single" w:color="000000" w:sz="4" w:space="0"/>
              <w:right w:val="single" w:color="000000" w:sz="4" w:space="0"/>
            </w:tcBorders>
            <w:vAlign w:val="center"/>
          </w:tcPr>
          <w:p>
            <w:pPr>
              <w:pStyle w:val="22"/>
              <w:bidi w:val="0"/>
              <w:jc w:val="left"/>
              <w:rPr>
                <w:color w:val="auto"/>
                <w:highlight w:val="none"/>
              </w:rPr>
            </w:pPr>
            <w:r>
              <w:rPr>
                <w:color w:val="auto"/>
                <w:highlight w:val="none"/>
              </w:rPr>
              <w:t>编制矿井水资源化利用方案，矿井水经处理后，一部分回用井下及地面生产系统</w:t>
            </w:r>
            <w:r>
              <w:rPr>
                <w:rFonts w:hint="eastAsia"/>
                <w:color w:val="auto"/>
                <w:highlight w:val="none"/>
                <w:lang w:eastAsia="zh-CN"/>
              </w:rPr>
              <w:t>一级</w:t>
            </w:r>
            <w:r>
              <w:rPr>
                <w:color w:val="auto"/>
                <w:highlight w:val="none"/>
              </w:rPr>
              <w:t>生态用水资源化利用</w:t>
            </w:r>
            <w:r>
              <w:rPr>
                <w:rFonts w:hint="eastAsia"/>
                <w:color w:val="auto"/>
                <w:highlight w:val="none"/>
                <w:lang w:eastAsia="zh-CN"/>
              </w:rPr>
              <w:t>，多余废水达标排放进入周边受纳水体，本次评价根据环环评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w:t>
            </w:r>
            <w:r>
              <w:rPr>
                <w:color w:val="auto"/>
                <w:highlight w:val="none"/>
              </w:rPr>
              <w:t>。</w:t>
            </w:r>
          </w:p>
        </w:tc>
        <w:tc>
          <w:tcPr>
            <w:tcW w:w="2175"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0" w:hRule="atLeast"/>
          <w:jc w:val="center"/>
        </w:trPr>
        <w:tc>
          <w:tcPr>
            <w:tcW w:w="736" w:type="dxa"/>
            <w:vMerge w:val="restart"/>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2</w:t>
            </w:r>
          </w:p>
        </w:tc>
        <w:tc>
          <w:tcPr>
            <w:tcW w:w="657"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环境保护规划</w:t>
            </w:r>
          </w:p>
        </w:tc>
        <w:tc>
          <w:tcPr>
            <w:tcW w:w="43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未对各矿井现有排矸场占地及存储提出相关要求。</w:t>
            </w:r>
          </w:p>
        </w:tc>
        <w:tc>
          <w:tcPr>
            <w:tcW w:w="6719" w:type="dxa"/>
            <w:tcBorders>
              <w:top w:val="single" w:color="000000" w:sz="4" w:space="0"/>
              <w:left w:val="single" w:color="000000" w:sz="4" w:space="0"/>
              <w:bottom w:val="single" w:color="000000" w:sz="4" w:space="0"/>
              <w:right w:val="single" w:color="000000" w:sz="4" w:space="0"/>
            </w:tcBorders>
            <w:vAlign w:val="center"/>
          </w:tcPr>
          <w:p>
            <w:pPr>
              <w:pStyle w:val="22"/>
              <w:bidi w:val="0"/>
              <w:jc w:val="left"/>
              <w:rPr>
                <w:color w:val="auto"/>
                <w:highlight w:val="none"/>
              </w:rPr>
            </w:pPr>
            <w:r>
              <w:rPr>
                <w:color w:val="auto"/>
                <w:highlight w:val="none"/>
              </w:rPr>
              <w:t>根据《煤矸石综合利用管理办法》，禁止建设永久性煤矸石场，各个井工煤矿矸石场均需设置临时矸石场，排矸场占地面积不超过矿井3a存矸量，且必须有综合利用方案。</w:t>
            </w:r>
          </w:p>
        </w:tc>
        <w:tc>
          <w:tcPr>
            <w:tcW w:w="2175"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《煤矸石综合利用管理办法》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99" w:hRule="atLeast"/>
          <w:jc w:val="center"/>
        </w:trPr>
        <w:tc>
          <w:tcPr>
            <w:tcW w:w="736" w:type="dxa"/>
            <w:vMerge w:val="continue"/>
            <w:tcBorders>
              <w:top w:val="nil"/>
              <w:left w:val="nil"/>
              <w:bottom w:val="single" w:color="000000" w:sz="4" w:space="0"/>
              <w:right w:val="single" w:color="000000" w:sz="4" w:space="0"/>
            </w:tcBorders>
            <w:vAlign w:val="center"/>
          </w:tcPr>
          <w:p>
            <w:pPr>
              <w:pStyle w:val="22"/>
              <w:bidi w:val="0"/>
              <w:rPr>
                <w:color w:val="auto"/>
                <w:highlight w:val="none"/>
              </w:rPr>
            </w:pPr>
          </w:p>
        </w:tc>
        <w:tc>
          <w:tcPr>
            <w:tcW w:w="6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4353"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规划未识别矿区内的基本农田</w:t>
            </w:r>
          </w:p>
        </w:tc>
        <w:tc>
          <w:tcPr>
            <w:tcW w:w="6719" w:type="dxa"/>
            <w:tcBorders>
              <w:top w:val="single" w:color="000000" w:sz="4" w:space="0"/>
              <w:left w:val="single" w:color="000000" w:sz="4" w:space="0"/>
              <w:bottom w:val="single" w:color="000000" w:sz="4" w:space="0"/>
              <w:right w:val="single" w:color="000000" w:sz="4" w:space="0"/>
            </w:tcBorders>
            <w:vAlign w:val="center"/>
          </w:tcPr>
          <w:p>
            <w:pPr>
              <w:pStyle w:val="22"/>
              <w:bidi w:val="0"/>
              <w:jc w:val="left"/>
              <w:rPr>
                <w:color w:val="auto"/>
                <w:highlight w:val="none"/>
              </w:rPr>
            </w:pPr>
            <w:r>
              <w:rPr>
                <w:color w:val="auto"/>
                <w:highlight w:val="none"/>
              </w:rPr>
              <w:t>①需采取“提升土壤肥力，减少水土流失”保护措施，开采过程中造 成地表沉陷区域需进行采空区的充填，减少地表沉陷；</w:t>
            </w:r>
          </w:p>
          <w:p>
            <w:pPr>
              <w:pStyle w:val="22"/>
              <w:bidi w:val="0"/>
              <w:jc w:val="left"/>
              <w:rPr>
                <w:color w:val="auto"/>
                <w:highlight w:val="none"/>
              </w:rPr>
            </w:pPr>
            <w:r>
              <w:rPr>
                <w:color w:val="auto"/>
                <w:highlight w:val="none"/>
              </w:rPr>
              <w:t>②地表沉陷造成地表裂缝的需及时对裂缝进行充填恢复，确保基本农田区域土壤水力、肥力不降低。</w:t>
            </w:r>
          </w:p>
          <w:p>
            <w:pPr>
              <w:pStyle w:val="22"/>
              <w:bidi w:val="0"/>
              <w:jc w:val="left"/>
              <w:rPr>
                <w:color w:val="auto"/>
                <w:highlight w:val="none"/>
              </w:rPr>
            </w:pPr>
            <w:r>
              <w:rPr>
                <w:color w:val="auto"/>
                <w:highlight w:val="none"/>
              </w:rPr>
              <w:t>③对煤矿生产造成基本农田无法恢复的情况，应当按照“占多少、垦多少”的原则，负责开垦与所占耕地的数量与质量相当的耕地；没有条件开垦或者开垦的耕地不符合要求的，应当按照四川省的规定缴纳耕地开垦费，专款用于开垦新的耕地。</w:t>
            </w:r>
          </w:p>
          <w:p>
            <w:pPr>
              <w:pStyle w:val="22"/>
              <w:bidi w:val="0"/>
              <w:jc w:val="left"/>
              <w:rPr>
                <w:rFonts w:hint="eastAsia" w:eastAsia="宋体"/>
                <w:color w:val="auto"/>
                <w:highlight w:val="none"/>
                <w:lang w:eastAsia="zh-CN"/>
              </w:rPr>
            </w:pPr>
            <w:r>
              <w:rPr>
                <w:rFonts w:hint="eastAsia"/>
                <w:color w:val="auto"/>
                <w:highlight w:val="none"/>
                <w:lang w:eastAsia="zh-CN"/>
              </w:rPr>
              <w:t>④工业场区原则上不得占用基本农田</w:t>
            </w:r>
          </w:p>
        </w:tc>
        <w:tc>
          <w:tcPr>
            <w:tcW w:w="2175" w:type="dxa"/>
            <w:tcBorders>
              <w:top w:val="single" w:color="000000" w:sz="4" w:space="0"/>
              <w:left w:val="single" w:color="000000" w:sz="4" w:space="0"/>
              <w:bottom w:val="single" w:color="000000" w:sz="4" w:space="0"/>
              <w:right w:val="nil"/>
            </w:tcBorders>
            <w:vAlign w:val="center"/>
          </w:tcPr>
          <w:p>
            <w:pPr>
              <w:pStyle w:val="22"/>
              <w:bidi w:val="0"/>
              <w:rPr>
                <w:rFonts w:hint="eastAsia" w:eastAsia="宋体"/>
                <w:color w:val="auto"/>
                <w:highlight w:val="none"/>
                <w:lang w:eastAsia="zh-CN"/>
              </w:rPr>
            </w:pPr>
            <w:r>
              <w:rPr>
                <w:color w:val="auto"/>
                <w:highlight w:val="none"/>
              </w:rPr>
              <w:t>矿区范围内分布有基本农田。《自然资源部、农业农村部关于加强和改进永久基本农田保护工作的通知》（自然资规[2019]1号）。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7" w:hRule="atLeast"/>
          <w:jc w:val="center"/>
        </w:trPr>
        <w:tc>
          <w:tcPr>
            <w:tcW w:w="736" w:type="dxa"/>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3</w:t>
            </w:r>
          </w:p>
        </w:tc>
        <w:tc>
          <w:tcPr>
            <w:tcW w:w="5010" w:type="dxa"/>
            <w:gridSpan w:val="2"/>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环境管理</w:t>
            </w:r>
          </w:p>
        </w:tc>
        <w:tc>
          <w:tcPr>
            <w:tcW w:w="6719" w:type="dxa"/>
            <w:tcBorders>
              <w:top w:val="single" w:color="000000" w:sz="4" w:space="0"/>
              <w:left w:val="single" w:color="000000" w:sz="4" w:space="0"/>
              <w:right w:val="single" w:color="000000" w:sz="4" w:space="0"/>
            </w:tcBorders>
            <w:vAlign w:val="center"/>
          </w:tcPr>
          <w:p>
            <w:pPr>
              <w:pStyle w:val="22"/>
              <w:bidi w:val="0"/>
              <w:jc w:val="left"/>
              <w:rPr>
                <w:color w:val="auto"/>
                <w:highlight w:val="none"/>
              </w:rPr>
            </w:pPr>
            <w:r>
              <w:rPr>
                <w:rFonts w:hint="eastAsia"/>
                <w:color w:val="auto"/>
                <w:highlight w:val="none"/>
                <w:lang w:eastAsia="zh-CN"/>
              </w:rPr>
              <w:t>①</w:t>
            </w:r>
            <w:r>
              <w:rPr>
                <w:color w:val="auto"/>
                <w:highlight w:val="none"/>
              </w:rPr>
              <w:t>各矿井开展清洁生产审核；</w:t>
            </w:r>
          </w:p>
          <w:p>
            <w:pPr>
              <w:pStyle w:val="22"/>
              <w:bidi w:val="0"/>
              <w:jc w:val="left"/>
              <w:rPr>
                <w:color w:val="auto"/>
                <w:highlight w:val="none"/>
              </w:rPr>
            </w:pPr>
            <w:r>
              <w:rPr>
                <w:rFonts w:hint="eastAsia"/>
                <w:color w:val="auto"/>
                <w:highlight w:val="none"/>
                <w:lang w:eastAsia="zh-CN"/>
              </w:rPr>
              <w:t>②</w:t>
            </w:r>
            <w:r>
              <w:rPr>
                <w:color w:val="auto"/>
                <w:highlight w:val="none"/>
              </w:rPr>
              <w:t>开展突发环境事件风险评估；</w:t>
            </w:r>
          </w:p>
          <w:p>
            <w:pPr>
              <w:pStyle w:val="22"/>
              <w:bidi w:val="0"/>
              <w:jc w:val="left"/>
              <w:rPr>
                <w:color w:val="auto"/>
                <w:highlight w:val="none"/>
              </w:rPr>
            </w:pPr>
            <w:r>
              <w:rPr>
                <w:rFonts w:hint="eastAsia"/>
                <w:color w:val="auto"/>
                <w:highlight w:val="none"/>
                <w:lang w:eastAsia="zh-CN"/>
              </w:rPr>
              <w:t>③</w:t>
            </w:r>
            <w:r>
              <w:rPr>
                <w:color w:val="auto"/>
                <w:highlight w:val="none"/>
              </w:rPr>
              <w:t>建立导水裂隙带发育高度观测系统；</w:t>
            </w:r>
          </w:p>
          <w:p>
            <w:pPr>
              <w:pStyle w:val="22"/>
              <w:bidi w:val="0"/>
              <w:jc w:val="left"/>
              <w:rPr>
                <w:color w:val="auto"/>
                <w:highlight w:val="none"/>
              </w:rPr>
            </w:pPr>
            <w:r>
              <w:rPr>
                <w:rFonts w:hint="eastAsia"/>
                <w:color w:val="auto"/>
                <w:highlight w:val="none"/>
                <w:lang w:eastAsia="zh-CN"/>
              </w:rPr>
              <w:t>④</w:t>
            </w:r>
            <w:r>
              <w:rPr>
                <w:color w:val="auto"/>
                <w:highlight w:val="none"/>
              </w:rPr>
              <w:t>矿区后续跟踪评价。</w:t>
            </w:r>
          </w:p>
        </w:tc>
        <w:tc>
          <w:tcPr>
            <w:tcW w:w="2175" w:type="dxa"/>
            <w:tcBorders>
              <w:top w:val="single" w:color="000000" w:sz="4" w:space="0"/>
              <w:left w:val="single" w:color="000000" w:sz="4" w:space="0"/>
              <w:right w:val="nil"/>
            </w:tcBorders>
            <w:vAlign w:val="center"/>
          </w:tcPr>
          <w:p>
            <w:pPr>
              <w:pStyle w:val="22"/>
              <w:bidi w:val="0"/>
              <w:rPr>
                <w:color w:val="auto"/>
                <w:highlight w:val="none"/>
              </w:rPr>
            </w:pPr>
            <w:r>
              <w:rPr>
                <w:color w:val="auto"/>
                <w:highlight w:val="none"/>
              </w:rPr>
              <w:t>-</w:t>
            </w:r>
          </w:p>
        </w:tc>
      </w:tr>
    </w:tbl>
    <w:p>
      <w:pPr>
        <w:spacing w:after="0"/>
        <w:rPr>
          <w:rFonts w:ascii="Times New Roman"/>
          <w:color w:val="auto"/>
          <w:sz w:val="21"/>
          <w:highlight w:val="none"/>
        </w:rPr>
        <w:sectPr>
          <w:pgSz w:w="16840" w:h="11910" w:orient="landscape"/>
          <w:pgMar w:top="1180" w:right="960" w:bottom="1000" w:left="980" w:header="902" w:footer="805"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731" w:name="9 环境影响跟踪评价及“三线一单”管控要求"/>
      <w:bookmarkEnd w:id="731"/>
      <w:bookmarkStart w:id="732" w:name="_bookmark55"/>
      <w:bookmarkEnd w:id="732"/>
      <w:bookmarkStart w:id="733" w:name="_Toc10019"/>
      <w:bookmarkStart w:id="734" w:name="_Toc17465"/>
      <w:r>
        <w:rPr>
          <w:color w:val="auto"/>
          <w:highlight w:val="none"/>
        </w:rPr>
        <w:t>环境影响跟踪评价及</w:t>
      </w:r>
      <w:r>
        <w:rPr>
          <w:rFonts w:ascii="Times New Roman" w:hAnsi="Times New Roman" w:eastAsia="Times New Roman"/>
          <w:color w:val="auto"/>
          <w:highlight w:val="none"/>
        </w:rPr>
        <w:t>“</w:t>
      </w:r>
      <w:r>
        <w:rPr>
          <w:color w:val="auto"/>
          <w:highlight w:val="none"/>
        </w:rPr>
        <w:t>三线一单</w:t>
      </w:r>
      <w:r>
        <w:rPr>
          <w:rFonts w:ascii="Times New Roman" w:hAnsi="Times New Roman" w:eastAsia="Times New Roman"/>
          <w:color w:val="auto"/>
          <w:highlight w:val="none"/>
        </w:rPr>
        <w:t>”</w:t>
      </w:r>
      <w:r>
        <w:rPr>
          <w:color w:val="auto"/>
          <w:highlight w:val="none"/>
        </w:rPr>
        <w:t>管控要求</w:t>
      </w:r>
      <w:bookmarkEnd w:id="733"/>
      <w:bookmarkEnd w:id="734"/>
    </w:p>
    <w:p>
      <w:pPr>
        <w:pStyle w:val="5"/>
        <w:numPr>
          <w:ilvl w:val="1"/>
          <w:numId w:val="5"/>
        </w:numPr>
        <w:bidi w:val="0"/>
        <w:rPr>
          <w:color w:val="auto"/>
          <w:highlight w:val="none"/>
        </w:rPr>
      </w:pPr>
      <w:bookmarkStart w:id="735" w:name="_bookmark56"/>
      <w:bookmarkEnd w:id="735"/>
      <w:bookmarkStart w:id="736" w:name="9.1 跟踪评价"/>
      <w:bookmarkEnd w:id="736"/>
      <w:bookmarkStart w:id="737" w:name="_Toc5868"/>
      <w:bookmarkStart w:id="738" w:name="_Toc24919"/>
      <w:r>
        <w:rPr>
          <w:color w:val="auto"/>
          <w:highlight w:val="none"/>
        </w:rPr>
        <w:t>跟踪评价</w:t>
      </w:r>
      <w:bookmarkEnd w:id="737"/>
      <w:bookmarkEnd w:id="738"/>
    </w:p>
    <w:p>
      <w:pPr>
        <w:bidi w:val="0"/>
        <w:rPr>
          <w:color w:val="auto"/>
          <w:highlight w:val="none"/>
        </w:rPr>
      </w:pPr>
      <w:r>
        <w:rPr>
          <w:color w:val="auto"/>
          <w:highlight w:val="none"/>
        </w:rPr>
        <w:t>根据存在的环境影响范围广的特点，为准确判断规划实施后的实际环境影响，确保本次环评中提出的各项对策措施得到有效的贯彻和落实，同时为进一步提高规划环境效益所需的改进措施，本次环评提出</w:t>
      </w:r>
      <w:r>
        <w:rPr>
          <w:rFonts w:hint="eastAsia"/>
          <w:color w:val="auto"/>
          <w:highlight w:val="none"/>
          <w:lang w:eastAsia="zh-CN"/>
        </w:rPr>
        <w:t>规划矿区</w:t>
      </w:r>
      <w:r>
        <w:rPr>
          <w:color w:val="auto"/>
          <w:highlight w:val="none"/>
        </w:rPr>
        <w:t>开发的环境影响跟踪评价方案，每五年进行一次。</w:t>
      </w:r>
    </w:p>
    <w:p>
      <w:pPr>
        <w:pStyle w:val="6"/>
        <w:numPr>
          <w:ilvl w:val="2"/>
          <w:numId w:val="5"/>
        </w:numPr>
        <w:bidi w:val="0"/>
        <w:rPr>
          <w:color w:val="auto"/>
          <w:highlight w:val="none"/>
        </w:rPr>
      </w:pPr>
      <w:bookmarkStart w:id="739" w:name="9.1.1 跟踪评价的意义"/>
      <w:bookmarkEnd w:id="739"/>
      <w:bookmarkStart w:id="740" w:name="9.1.1 跟踪评价的意义"/>
      <w:bookmarkEnd w:id="740"/>
      <w:bookmarkStart w:id="741" w:name="_Toc18002"/>
      <w:bookmarkStart w:id="742" w:name="_Toc29518"/>
      <w:r>
        <w:rPr>
          <w:color w:val="auto"/>
          <w:highlight w:val="none"/>
        </w:rPr>
        <w:t>跟踪评价的意义</w:t>
      </w:r>
      <w:bookmarkEnd w:id="741"/>
      <w:bookmarkEnd w:id="742"/>
    </w:p>
    <w:p>
      <w:pPr>
        <w:bidi w:val="0"/>
        <w:rPr>
          <w:color w:val="auto"/>
          <w:highlight w:val="none"/>
        </w:rPr>
      </w:pPr>
      <w:r>
        <w:rPr>
          <w:color w:val="auto"/>
          <w:highlight w:val="none"/>
        </w:rPr>
        <w:t>跟踪评价是规划环境影响评价的重要补充，是确保规划实施对环境产生的影响在可控制范围内的重要保障。通过对规划环境影响的跟踪评价。具体有如下几方面意义：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促进环境保护措施的顺利实施</w:t>
      </w:r>
    </w:p>
    <w:p>
      <w:pPr>
        <w:bidi w:val="0"/>
        <w:rPr>
          <w:color w:val="auto"/>
          <w:highlight w:val="none"/>
        </w:rPr>
      </w:pPr>
      <w:r>
        <w:rPr>
          <w:color w:val="auto"/>
          <w:highlight w:val="none"/>
        </w:rPr>
        <w:t>通过对境影响事前评价的各种要素进行针对性的监测、检查与统计，以确定其实际变化量；并与环境影响报告书中环保设施处理后的预测变化量进行比较分析；同时从整体上，对环境所造成的实际影响与预测影响进行比较分析评价；进一步分析其原因，最后通过对环境影响评价效果的评价，进一步修整和完善所采取的替代方案与不利环境影响减缓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检验宏观经济决策</w:t>
      </w:r>
    </w:p>
    <w:p>
      <w:pPr>
        <w:bidi w:val="0"/>
        <w:rPr>
          <w:color w:val="auto"/>
          <w:highlight w:val="none"/>
        </w:rPr>
      </w:pPr>
      <w:r>
        <w:rPr>
          <w:color w:val="auto"/>
          <w:highlight w:val="none"/>
        </w:rPr>
        <w:t>从经济发展角度，首先，在微观层面对投入使用的环保设施的实际投入和产出剧经济效益分析，以确定其是否达到了预想的最佳效果：其次，在宏观层面上对经济、环境之间的相互影响进行损益分析，对矿区开发过程中造成的环境污染和环境破坏及其所带来的实际经济效益进行比较分析，以判断宏观决策正确与否。</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有利于可持续发展</w:t>
      </w:r>
    </w:p>
    <w:p>
      <w:pPr>
        <w:bidi w:val="0"/>
        <w:rPr>
          <w:color w:val="auto"/>
          <w:highlight w:val="none"/>
        </w:rPr>
      </w:pPr>
      <w:r>
        <w:rPr>
          <w:color w:val="auto"/>
          <w:highlight w:val="none"/>
        </w:rPr>
        <w:t>从实现可持续发展的角度和维持生态环境良性发展角度，通过跟踪评价，系统分析和评价规划实施导致矿区开发生态环境的改变，分析规划实施后，是否还处于环境承载能力范围之内，经济、社会及环境的发展是否协调，检验矿区开发的可持续发展能力是否减弱。最后，总结规划实施过程中所获取的经验教训，从而指导日后的进一步发展。</w:t>
      </w:r>
    </w:p>
    <w:p>
      <w:pPr>
        <w:pStyle w:val="6"/>
        <w:numPr>
          <w:ilvl w:val="2"/>
          <w:numId w:val="5"/>
        </w:numPr>
        <w:bidi w:val="0"/>
        <w:rPr>
          <w:color w:val="auto"/>
          <w:highlight w:val="none"/>
        </w:rPr>
      </w:pPr>
      <w:bookmarkStart w:id="743" w:name="9.1.2 跟踪评价时段"/>
      <w:bookmarkEnd w:id="743"/>
      <w:bookmarkStart w:id="744" w:name="9.1.2 跟踪评价时段"/>
      <w:bookmarkEnd w:id="744"/>
      <w:bookmarkStart w:id="745" w:name="_Toc8654"/>
      <w:bookmarkStart w:id="746" w:name="_Toc8799"/>
      <w:r>
        <w:rPr>
          <w:color w:val="auto"/>
          <w:highlight w:val="none"/>
        </w:rPr>
        <w:t>跟踪评价时段</w:t>
      </w:r>
      <w:bookmarkEnd w:id="745"/>
      <w:bookmarkEnd w:id="746"/>
    </w:p>
    <w:p>
      <w:pPr>
        <w:bidi w:val="0"/>
        <w:rPr>
          <w:color w:val="auto"/>
          <w:highlight w:val="none"/>
        </w:rPr>
      </w:pPr>
      <w:r>
        <w:rPr>
          <w:color w:val="auto"/>
          <w:highlight w:val="none"/>
        </w:rPr>
        <w:t>到2023年矿区开发完全实施后，应组织进行环境影响后评价，每五年进行一次跟踪评价。第一次跟踪评价时间为2028年。</w:t>
      </w:r>
    </w:p>
    <w:p>
      <w:pPr>
        <w:pStyle w:val="6"/>
        <w:numPr>
          <w:ilvl w:val="2"/>
          <w:numId w:val="5"/>
        </w:numPr>
        <w:bidi w:val="0"/>
        <w:rPr>
          <w:color w:val="auto"/>
          <w:highlight w:val="none"/>
        </w:rPr>
      </w:pPr>
      <w:bookmarkStart w:id="747" w:name="9.1.3 跟踪评价目标"/>
      <w:bookmarkEnd w:id="747"/>
      <w:bookmarkStart w:id="748" w:name="9.1.3 跟踪评价目标"/>
      <w:bookmarkEnd w:id="748"/>
      <w:bookmarkStart w:id="749" w:name="_Toc24706"/>
      <w:bookmarkStart w:id="750" w:name="_Toc17275"/>
      <w:r>
        <w:rPr>
          <w:color w:val="auto"/>
          <w:highlight w:val="none"/>
        </w:rPr>
        <w:t>跟踪评价目标</w:t>
      </w:r>
      <w:bookmarkEnd w:id="749"/>
      <w:bookmarkEnd w:id="750"/>
    </w:p>
    <w:p>
      <w:pPr>
        <w:bidi w:val="0"/>
        <w:rPr>
          <w:color w:val="auto"/>
          <w:highlight w:val="none"/>
        </w:rPr>
      </w:pPr>
      <w:r>
        <w:rPr>
          <w:color w:val="auto"/>
          <w:highlight w:val="none"/>
        </w:rPr>
        <w:t>跟踪评价不但要进行回顾性分析，还要基于回顾性分析结果提出改进措施，以指导规划未实施或已实施但在前期环评中未进行准确预测的部分，跟踪评价的基础是初次规划环评，具体的目标包括：</w:t>
      </w:r>
    </w:p>
    <w:p>
      <w:pPr>
        <w:bidi w:val="0"/>
        <w:rPr>
          <w:color w:val="auto"/>
          <w:highlight w:val="none"/>
        </w:rPr>
      </w:pPr>
      <w:r>
        <w:rPr>
          <w:color w:val="auto"/>
          <w:highlight w:val="none"/>
        </w:rPr>
        <w:t>验证规划环评的准确性和判定减缓措施的有效性。本目标通过回顾性分析来实现，即通过规划实施的主要环境影响区域和影响范围的环境质量现状调查，掌握规划实施影响区域的环境质量现状，并与规划实施的环境影响预测进行比较，以此评价规划初次环评的预测结果和减缓措施的有效性。</w:t>
      </w:r>
    </w:p>
    <w:p>
      <w:pPr>
        <w:bidi w:val="0"/>
        <w:rPr>
          <w:color w:val="auto"/>
          <w:highlight w:val="none"/>
        </w:rPr>
      </w:pPr>
      <w:r>
        <w:rPr>
          <w:color w:val="auto"/>
          <w:highlight w:val="none"/>
        </w:rPr>
        <w:t>提高后续规划的环境影响预测的准确性和减缓措施的科学性。此目标通过预测评价来实现，即基于回顾性评价的结论，根据目前的环境质量现状，重新预测和评估尚未实施的规划环境影响，并调整原环评中提出的减缓措施或提出新的减缓措施。</w:t>
      </w:r>
    </w:p>
    <w:p>
      <w:pPr>
        <w:pStyle w:val="6"/>
        <w:numPr>
          <w:ilvl w:val="2"/>
          <w:numId w:val="5"/>
        </w:numPr>
        <w:bidi w:val="0"/>
        <w:rPr>
          <w:color w:val="auto"/>
          <w:highlight w:val="none"/>
        </w:rPr>
      </w:pPr>
      <w:bookmarkStart w:id="751" w:name="9.1.4 跟踪评价重点"/>
      <w:bookmarkEnd w:id="751"/>
      <w:bookmarkStart w:id="752" w:name="9.1.4 跟踪评价重点"/>
      <w:bookmarkEnd w:id="752"/>
      <w:bookmarkStart w:id="753" w:name="_Toc32170"/>
      <w:bookmarkStart w:id="754" w:name="_Toc18018"/>
      <w:r>
        <w:rPr>
          <w:color w:val="auto"/>
          <w:highlight w:val="none"/>
        </w:rPr>
        <w:t>跟踪评价重点</w:t>
      </w:r>
      <w:bookmarkEnd w:id="753"/>
      <w:bookmarkEnd w:id="754"/>
    </w:p>
    <w:p>
      <w:pPr>
        <w:bidi w:val="0"/>
        <w:rPr>
          <w:color w:val="auto"/>
          <w:highlight w:val="none"/>
        </w:rPr>
      </w:pPr>
      <w:r>
        <w:rPr>
          <w:color w:val="auto"/>
          <w:highlight w:val="none"/>
        </w:rPr>
        <w:t>矿区开发对周边环境会形成影响，跟踪评价以回顾性评价和预测评价两个途径对矿区开发实施过程及后期发展带来的影响进行评价。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回顾性评价</w:t>
      </w:r>
    </w:p>
    <w:p>
      <w:pPr>
        <w:bidi w:val="0"/>
        <w:rPr>
          <w:color w:val="auto"/>
          <w:highlight w:val="none"/>
        </w:rPr>
      </w:pPr>
      <w:r>
        <w:rPr>
          <w:color w:val="auto"/>
          <w:highlight w:val="none"/>
        </w:rPr>
        <w:t>回顾性评价包括回顾性分析和环境减缓措施有效性分析两个阶段。</w:t>
      </w:r>
    </w:p>
    <w:p>
      <w:pPr>
        <w:bidi w:val="0"/>
        <w:rPr>
          <w:color w:val="auto"/>
          <w:highlight w:val="none"/>
        </w:rPr>
      </w:pPr>
      <w:r>
        <w:rPr>
          <w:color w:val="auto"/>
          <w:highlight w:val="none"/>
        </w:rPr>
        <w:t>规划采用水量指标对区域生态环境影响做回顾性分析评价；此外特征污染物对矿区及周边大气环境的影响也是跟踪评价重点；另外通过对敏感保护目标等现状监测，归纳出环评预测的环境影响提出新的减缓措施；</w:t>
      </w:r>
    </w:p>
    <w:p>
      <w:pPr>
        <w:bidi w:val="0"/>
        <w:rPr>
          <w:color w:val="auto"/>
          <w:highlight w:val="none"/>
        </w:rPr>
      </w:pPr>
      <w:r>
        <w:rPr>
          <w:color w:val="auto"/>
          <w:highlight w:val="none"/>
        </w:rPr>
        <w:t>在环境影响减缓措施有效性分析阶段，主要是对环评预测的环境影响与规划实施后的实际环境影响进行对比，对环评提出的减缓措施与环境减缓措施执行现状进行对比，并作出相符性判断，相符则维持原环评预测和管理制度，不相符则进行深入的原因分析，并提出改进建议。</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预测评价</w:t>
      </w:r>
    </w:p>
    <w:p>
      <w:pPr>
        <w:bidi w:val="0"/>
        <w:rPr>
          <w:color w:val="auto"/>
          <w:highlight w:val="none"/>
        </w:rPr>
      </w:pPr>
      <w:r>
        <w:rPr>
          <w:color w:val="auto"/>
          <w:highlight w:val="none"/>
        </w:rPr>
        <w:t>预测阶段基于回顾性分析评价结论，按照所拟定的指标，根据目前的环境质量现状和有效性评价结论，重新预测和评估尚未实施的环境影响，并调整环评中减缓措施或提出新的减缓措施，此阶段的评价方法可以说采取情景分析法，可以很好的降低各种不确定因素，基于规划和届时所实施情况设定不同情景，通过对后续发展规划的方案分析，对后发展规划实施的环境影响进行重新预测。</w:t>
      </w:r>
    </w:p>
    <w:p>
      <w:pPr>
        <w:pStyle w:val="6"/>
        <w:numPr>
          <w:ilvl w:val="2"/>
          <w:numId w:val="5"/>
        </w:numPr>
        <w:bidi w:val="0"/>
        <w:rPr>
          <w:color w:val="auto"/>
          <w:highlight w:val="none"/>
        </w:rPr>
      </w:pPr>
      <w:bookmarkStart w:id="755" w:name="9.1.5 跟踪评价管理要求"/>
      <w:bookmarkEnd w:id="755"/>
      <w:bookmarkStart w:id="756" w:name="9.1.5 跟踪评价管理要求"/>
      <w:bookmarkEnd w:id="756"/>
      <w:bookmarkStart w:id="757" w:name="_Toc11901"/>
      <w:bookmarkStart w:id="758" w:name="_Toc15688"/>
      <w:r>
        <w:rPr>
          <w:color w:val="auto"/>
          <w:highlight w:val="none"/>
        </w:rPr>
        <w:t>跟踪评价管理要求</w:t>
      </w:r>
      <w:bookmarkEnd w:id="757"/>
      <w:bookmarkEnd w:id="758"/>
    </w:p>
    <w:p>
      <w:pPr>
        <w:bidi w:val="0"/>
        <w:rPr>
          <w:color w:val="auto"/>
          <w:highlight w:val="none"/>
        </w:rPr>
      </w:pPr>
      <w:r>
        <w:rPr>
          <w:color w:val="auto"/>
          <w:highlight w:val="none"/>
        </w:rPr>
        <w:t>跟踪评价的主体以及政府财政方面应对跟踪评价预留经费，并根据跟踪评价的具体实施情况予以划拨。应确定本规划区的跟踪评价管理要求，并在界定环境管理体系范围内，确保跟踪评价的成果达到以下要求：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适合于矿产开发规模、矿井建设规模和资源环境承载能力；</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包括对持续改进和污染预防的承诺；</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包括对遵守和环境因素有关的使用的法律法规和其他要求的承诺；</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提供建立和评审环境目标和指标的框架；</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形成文件、付诸实施，并予以保持；</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传达到矿区内个各矿井或代表项目的人员；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color w:val="auto"/>
          <w:highlight w:val="none"/>
        </w:rPr>
        <w:t>可为公众所获取。</w:t>
      </w:r>
    </w:p>
    <w:p>
      <w:pPr>
        <w:pStyle w:val="6"/>
        <w:numPr>
          <w:ilvl w:val="2"/>
          <w:numId w:val="5"/>
        </w:numPr>
        <w:bidi w:val="0"/>
        <w:rPr>
          <w:color w:val="auto"/>
          <w:highlight w:val="none"/>
        </w:rPr>
      </w:pPr>
      <w:bookmarkStart w:id="759" w:name="9.1.6 跟踪评价内容"/>
      <w:bookmarkEnd w:id="759"/>
      <w:bookmarkStart w:id="760" w:name="9.1.6 跟踪评价内容"/>
      <w:bookmarkEnd w:id="760"/>
      <w:bookmarkStart w:id="761" w:name="_Toc8159"/>
      <w:bookmarkStart w:id="762" w:name="_Toc27111"/>
      <w:r>
        <w:rPr>
          <w:color w:val="auto"/>
          <w:highlight w:val="none"/>
        </w:rPr>
        <w:t>跟踪评价内容</w:t>
      </w:r>
      <w:bookmarkEnd w:id="761"/>
      <w:bookmarkEnd w:id="762"/>
    </w:p>
    <w:p>
      <w:pPr>
        <w:bidi w:val="0"/>
        <w:rPr>
          <w:color w:val="auto"/>
          <w:highlight w:val="none"/>
        </w:rPr>
      </w:pPr>
      <w:r>
        <w:rPr>
          <w:color w:val="auto"/>
          <w:highlight w:val="none"/>
        </w:rPr>
        <w:t>跟踪评价的主要目的就是对规划实施过程及实施后的环境影响、防范措施的有效性进行跟踪监测和验证性评价，并及时提出补救方案和措施，跟踪评价主要任务如下：</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评价总体规划实施后的实际环境影响</w:t>
      </w:r>
    </w:p>
    <w:p>
      <w:pPr>
        <w:bidi w:val="0"/>
        <w:rPr>
          <w:color w:val="auto"/>
          <w:highlight w:val="none"/>
        </w:rPr>
      </w:pPr>
      <w:r>
        <w:rPr>
          <w:color w:val="auto"/>
          <w:highlight w:val="none"/>
        </w:rPr>
        <w:t>利用跟踪监测成果，比较分析规划实施不同时期区域环境质量的变化情况，并与规划环评的环境影响预测结果进行比较，评价规划实施后的实际环境影响是否超出原来的预期，并对影响趋势进行预测评价，为进一步完善提高规划的环境效益提供依据。</w:t>
      </w:r>
    </w:p>
    <w:p>
      <w:pPr>
        <w:bidi w:val="0"/>
        <w:rPr>
          <w:color w:val="auto"/>
          <w:highlight w:val="none"/>
        </w:rPr>
      </w:pPr>
      <w:r>
        <w:rPr>
          <w:color w:val="auto"/>
          <w:highlight w:val="none"/>
        </w:rPr>
        <w:t>规划环境影响评价及其建议的减缓措施是否得到了有效的贯彻实施 检查规划配套环保设施、入驻企业环保措施“三同时”的落实情况，了解各环保措施的处理效果、运行负荷等运行情况，调查废物处置和综合利用情况， 以及生态保护措施的落实情况，在此基础上分析评价措施的实效性及存在问题。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确定为进一步提高规划的环境效益所需的改进措施</w:t>
      </w:r>
    </w:p>
    <w:p>
      <w:pPr>
        <w:bidi w:val="0"/>
        <w:rPr>
          <w:color w:val="auto"/>
          <w:highlight w:val="none"/>
        </w:rPr>
      </w:pPr>
      <w:r>
        <w:rPr>
          <w:color w:val="auto"/>
          <w:highlight w:val="none"/>
        </w:rPr>
        <w:t>通过对实施后的实际环境影响进行评价、对影响趋势的预测分析，以及生态保护和污染防治措施、环境管理的绩效评估，分析规划实施过程存在的主要环境问题，提出针对性的规划调整意见和改进措施。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规划环境影响评价的经验和教训</w:t>
      </w:r>
    </w:p>
    <w:p>
      <w:pPr>
        <w:bidi w:val="0"/>
        <w:rPr>
          <w:color w:val="auto"/>
          <w:highlight w:val="none"/>
        </w:rPr>
      </w:pPr>
      <w:r>
        <w:rPr>
          <w:color w:val="auto"/>
          <w:highlight w:val="none"/>
        </w:rPr>
        <w:t>通过规划实施后的实际环境影响的跟踪评价，分析判断规划环评所采用的评价方法、技术路线的准确性和科学性，建议减缓措施的合理性及可行性，总结经验和教训，以指导 今后的规划环评和跟踪评价。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其他</w:t>
      </w:r>
    </w:p>
    <w:p>
      <w:pPr>
        <w:bidi w:val="0"/>
        <w:rPr>
          <w:color w:val="auto"/>
          <w:highlight w:val="none"/>
        </w:rPr>
      </w:pPr>
      <w:r>
        <w:rPr>
          <w:color w:val="auto"/>
          <w:highlight w:val="none"/>
        </w:rPr>
        <w:t>此外，跟踪评价还应进行公众意见跟踪调查，通过公众参与监督规划环境影响以及减缓措施是否得到了有效的贯彻实施，共同参与区域开发建设。跟踪评价主要内容见表9.1-1。</w:t>
      </w:r>
    </w:p>
    <w:p>
      <w:pPr>
        <w:pStyle w:val="22"/>
        <w:bidi w:val="0"/>
        <w:rPr>
          <w:b/>
          <w:color w:val="auto"/>
          <w:sz w:val="21"/>
          <w:highlight w:val="none"/>
        </w:rPr>
      </w:pPr>
      <w:r>
        <w:rPr>
          <w:b/>
          <w:color w:val="auto"/>
          <w:sz w:val="21"/>
          <w:highlight w:val="none"/>
        </w:rPr>
        <w:t>表</w:t>
      </w:r>
      <w:r>
        <w:rPr>
          <w:b/>
          <w:color w:val="auto"/>
          <w:spacing w:val="-52"/>
          <w:sz w:val="21"/>
          <w:highlight w:val="none"/>
        </w:rPr>
        <w:t xml:space="preserve"> </w:t>
      </w:r>
      <w:r>
        <w:rPr>
          <w:rFonts w:ascii="Times New Roman" w:eastAsia="Times New Roman"/>
          <w:b/>
          <w:color w:val="auto"/>
          <w:sz w:val="21"/>
          <w:highlight w:val="none"/>
        </w:rPr>
        <w:t>9.1-1</w:t>
      </w:r>
      <w:r>
        <w:rPr>
          <w:rFonts w:ascii="Times New Roman" w:eastAsia="Times New Roman"/>
          <w:b/>
          <w:color w:val="auto"/>
          <w:sz w:val="21"/>
          <w:highlight w:val="none"/>
        </w:rPr>
        <w:tab/>
      </w:r>
      <w:r>
        <w:rPr>
          <w:b/>
          <w:color w:val="auto"/>
          <w:sz w:val="21"/>
          <w:highlight w:val="none"/>
        </w:rPr>
        <w:t>跟踪评价主要内容</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6"/>
        <w:gridCol w:w="1757"/>
        <w:gridCol w:w="3196"/>
        <w:gridCol w:w="334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786" w:type="dxa"/>
            <w:tcBorders>
              <w:left w:val="nil"/>
              <w:bottom w:val="single" w:color="000000" w:sz="4" w:space="0"/>
              <w:right w:val="single" w:color="000000" w:sz="4" w:space="0"/>
            </w:tcBorders>
            <w:vAlign w:val="center"/>
          </w:tcPr>
          <w:p>
            <w:pPr>
              <w:pStyle w:val="22"/>
              <w:bidi w:val="0"/>
              <w:rPr>
                <w:color w:val="auto"/>
                <w:highlight w:val="none"/>
              </w:rPr>
            </w:pPr>
            <w:r>
              <w:rPr>
                <w:color w:val="auto"/>
                <w:highlight w:val="none"/>
              </w:rPr>
              <w:t>序号</w:t>
            </w:r>
          </w:p>
        </w:tc>
        <w:tc>
          <w:tcPr>
            <w:tcW w:w="1757"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项目</w:t>
            </w:r>
          </w:p>
        </w:tc>
        <w:tc>
          <w:tcPr>
            <w:tcW w:w="3196" w:type="dxa"/>
            <w:tcBorders>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工作内容</w:t>
            </w:r>
          </w:p>
        </w:tc>
        <w:tc>
          <w:tcPr>
            <w:tcW w:w="3341" w:type="dxa"/>
            <w:tcBorders>
              <w:left w:val="single" w:color="000000" w:sz="4" w:space="0"/>
              <w:bottom w:val="single" w:color="000000" w:sz="4" w:space="0"/>
              <w:right w:val="nil"/>
            </w:tcBorders>
            <w:vAlign w:val="center"/>
          </w:tcPr>
          <w:p>
            <w:pPr>
              <w:pStyle w:val="22"/>
              <w:bidi w:val="0"/>
              <w:rPr>
                <w:color w:val="auto"/>
                <w:highlight w:val="none"/>
              </w:rPr>
            </w:pPr>
            <w:r>
              <w:rPr>
                <w:color w:val="auto"/>
                <w:highlight w:val="none"/>
              </w:rPr>
              <w:t>主要目的和意义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w:t>
            </w:r>
          </w:p>
        </w:tc>
        <w:tc>
          <w:tcPr>
            <w:tcW w:w="1757"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环境监测与回 顾评价</w:t>
            </w: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大气环境监测与环境评价</w:t>
            </w:r>
          </w:p>
        </w:tc>
        <w:tc>
          <w:tcPr>
            <w:tcW w:w="334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掌握大气污染变化趋势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2</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土壤环境监测与环境评价</w:t>
            </w:r>
          </w:p>
        </w:tc>
        <w:tc>
          <w:tcPr>
            <w:tcW w:w="334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掌握土壤污染变化趋势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3</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地下水环境监测与环境评价</w:t>
            </w:r>
          </w:p>
        </w:tc>
        <w:tc>
          <w:tcPr>
            <w:tcW w:w="334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掌握地下水污染变化趋势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4</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噪声环境监测与环境评价</w:t>
            </w:r>
          </w:p>
        </w:tc>
        <w:tc>
          <w:tcPr>
            <w:tcW w:w="3341" w:type="dxa"/>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掌握噪声污染变化趋势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5</w:t>
            </w:r>
          </w:p>
        </w:tc>
        <w:tc>
          <w:tcPr>
            <w:tcW w:w="1757"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污染源调查</w:t>
            </w: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企业污染源调查</w:t>
            </w:r>
          </w:p>
        </w:tc>
        <w:tc>
          <w:tcPr>
            <w:tcW w:w="3341" w:type="dxa"/>
            <w:vMerge w:val="restart"/>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掌握基础数据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6</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企业环保措施调查</w:t>
            </w:r>
          </w:p>
        </w:tc>
        <w:tc>
          <w:tcPr>
            <w:tcW w:w="334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7</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清洁生产水平调查</w:t>
            </w:r>
          </w:p>
        </w:tc>
        <w:tc>
          <w:tcPr>
            <w:tcW w:w="334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8</w:t>
            </w:r>
          </w:p>
        </w:tc>
        <w:tc>
          <w:tcPr>
            <w:tcW w:w="1757" w:type="dxa"/>
            <w:vMerge w:val="restart"/>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环保措施回顾</w:t>
            </w: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绿化防护带的建设</w:t>
            </w:r>
          </w:p>
        </w:tc>
        <w:tc>
          <w:tcPr>
            <w:tcW w:w="3341" w:type="dxa"/>
            <w:vMerge w:val="restart"/>
            <w:tcBorders>
              <w:top w:val="single" w:color="000000" w:sz="4" w:space="0"/>
              <w:left w:val="single" w:color="000000" w:sz="4" w:space="0"/>
              <w:bottom w:val="single" w:color="000000" w:sz="4" w:space="0"/>
              <w:right w:val="nil"/>
            </w:tcBorders>
            <w:vAlign w:val="center"/>
          </w:tcPr>
          <w:p>
            <w:pPr>
              <w:pStyle w:val="22"/>
              <w:bidi w:val="0"/>
              <w:rPr>
                <w:color w:val="auto"/>
                <w:highlight w:val="none"/>
              </w:rPr>
            </w:pPr>
            <w:r>
              <w:rPr>
                <w:color w:val="auto"/>
                <w:highlight w:val="none"/>
              </w:rPr>
              <w:t>环保措施的有效性和实施情况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9</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能源结构与大气污染控制</w:t>
            </w:r>
          </w:p>
        </w:tc>
        <w:tc>
          <w:tcPr>
            <w:tcW w:w="334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10</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中水回用与水污染控制</w:t>
            </w:r>
          </w:p>
        </w:tc>
        <w:tc>
          <w:tcPr>
            <w:tcW w:w="334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11</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产业结构与清洁生产</w:t>
            </w:r>
          </w:p>
        </w:tc>
        <w:tc>
          <w:tcPr>
            <w:tcW w:w="334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12</w:t>
            </w:r>
          </w:p>
        </w:tc>
        <w:tc>
          <w:tcPr>
            <w:tcW w:w="1757" w:type="dxa"/>
            <w:vMerge w:val="continue"/>
            <w:tcBorders>
              <w:top w:val="nil"/>
              <w:left w:val="single" w:color="000000" w:sz="4" w:space="0"/>
              <w:bottom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工业固废处置</w:t>
            </w:r>
          </w:p>
        </w:tc>
        <w:tc>
          <w:tcPr>
            <w:tcW w:w="3341" w:type="dxa"/>
            <w:vMerge w:val="continue"/>
            <w:tcBorders>
              <w:top w:val="nil"/>
              <w:left w:val="single" w:color="000000" w:sz="4" w:space="0"/>
              <w:bottom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13</w:t>
            </w:r>
          </w:p>
        </w:tc>
        <w:tc>
          <w:tcPr>
            <w:tcW w:w="1757" w:type="dxa"/>
            <w:vMerge w:val="restart"/>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环境管理</w:t>
            </w: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总量控制执行情况</w:t>
            </w:r>
          </w:p>
        </w:tc>
        <w:tc>
          <w:tcPr>
            <w:tcW w:w="3341" w:type="dxa"/>
            <w:vMerge w:val="restart"/>
            <w:tcBorders>
              <w:top w:val="single" w:color="000000" w:sz="4" w:space="0"/>
              <w:left w:val="single" w:color="000000" w:sz="4" w:space="0"/>
              <w:right w:val="nil"/>
            </w:tcBorders>
            <w:vAlign w:val="center"/>
          </w:tcPr>
          <w:p>
            <w:pPr>
              <w:pStyle w:val="22"/>
              <w:bidi w:val="0"/>
              <w:rPr>
                <w:color w:val="auto"/>
                <w:highlight w:val="none"/>
              </w:rPr>
            </w:pPr>
            <w:r>
              <w:rPr>
                <w:color w:val="auto"/>
                <w:highlight w:val="none"/>
              </w:rPr>
              <w:t>回顾并修改环境管理各项 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jc w:val="center"/>
        </w:trPr>
        <w:tc>
          <w:tcPr>
            <w:tcW w:w="786" w:type="dxa"/>
            <w:tcBorders>
              <w:top w:val="single" w:color="000000" w:sz="4" w:space="0"/>
              <w:left w:val="nil"/>
              <w:bottom w:val="single" w:color="000000" w:sz="4" w:space="0"/>
              <w:right w:val="single" w:color="000000" w:sz="4" w:space="0"/>
            </w:tcBorders>
            <w:vAlign w:val="center"/>
          </w:tcPr>
          <w:p>
            <w:pPr>
              <w:pStyle w:val="22"/>
              <w:bidi w:val="0"/>
              <w:rPr>
                <w:color w:val="auto"/>
                <w:highlight w:val="none"/>
              </w:rPr>
            </w:pPr>
            <w:r>
              <w:rPr>
                <w:color w:val="auto"/>
                <w:highlight w:val="none"/>
              </w:rPr>
              <w:t>14</w:t>
            </w:r>
          </w:p>
        </w:tc>
        <w:tc>
          <w:tcPr>
            <w:tcW w:w="1757" w:type="dxa"/>
            <w:vMerge w:val="continue"/>
            <w:tcBorders>
              <w:top w:val="nil"/>
              <w:left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bottom w:val="single" w:color="000000" w:sz="4" w:space="0"/>
              <w:right w:val="single" w:color="000000" w:sz="4" w:space="0"/>
            </w:tcBorders>
            <w:vAlign w:val="center"/>
          </w:tcPr>
          <w:p>
            <w:pPr>
              <w:pStyle w:val="22"/>
              <w:bidi w:val="0"/>
              <w:rPr>
                <w:color w:val="auto"/>
                <w:highlight w:val="none"/>
              </w:rPr>
            </w:pPr>
            <w:r>
              <w:rPr>
                <w:color w:val="auto"/>
                <w:highlight w:val="none"/>
              </w:rPr>
              <w:t>公众意见</w:t>
            </w:r>
          </w:p>
        </w:tc>
        <w:tc>
          <w:tcPr>
            <w:tcW w:w="3341" w:type="dxa"/>
            <w:vMerge w:val="continue"/>
            <w:tcBorders>
              <w:top w:val="nil"/>
              <w:left w:val="single" w:color="000000" w:sz="4" w:space="0"/>
              <w:right w:val="nil"/>
            </w:tcBorders>
            <w:vAlign w:val="center"/>
          </w:tcPr>
          <w:p>
            <w:pPr>
              <w:pStyle w:val="22"/>
              <w:bidi w:val="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jc w:val="center"/>
        </w:trPr>
        <w:tc>
          <w:tcPr>
            <w:tcW w:w="786" w:type="dxa"/>
            <w:tcBorders>
              <w:top w:val="single" w:color="000000" w:sz="4" w:space="0"/>
              <w:left w:val="nil"/>
              <w:right w:val="single" w:color="000000" w:sz="4" w:space="0"/>
            </w:tcBorders>
            <w:vAlign w:val="center"/>
          </w:tcPr>
          <w:p>
            <w:pPr>
              <w:pStyle w:val="22"/>
              <w:bidi w:val="0"/>
              <w:rPr>
                <w:color w:val="auto"/>
                <w:highlight w:val="none"/>
              </w:rPr>
            </w:pPr>
            <w:r>
              <w:rPr>
                <w:color w:val="auto"/>
                <w:highlight w:val="none"/>
              </w:rPr>
              <w:t>15</w:t>
            </w:r>
          </w:p>
        </w:tc>
        <w:tc>
          <w:tcPr>
            <w:tcW w:w="1757" w:type="dxa"/>
            <w:vMerge w:val="continue"/>
            <w:tcBorders>
              <w:top w:val="nil"/>
              <w:left w:val="single" w:color="000000" w:sz="4" w:space="0"/>
              <w:right w:val="single" w:color="000000" w:sz="4" w:space="0"/>
            </w:tcBorders>
            <w:vAlign w:val="center"/>
          </w:tcPr>
          <w:p>
            <w:pPr>
              <w:pStyle w:val="22"/>
              <w:bidi w:val="0"/>
              <w:rPr>
                <w:color w:val="auto"/>
                <w:highlight w:val="none"/>
              </w:rPr>
            </w:pPr>
          </w:p>
        </w:tc>
        <w:tc>
          <w:tcPr>
            <w:tcW w:w="3196" w:type="dxa"/>
            <w:tcBorders>
              <w:top w:val="single" w:color="000000" w:sz="4" w:space="0"/>
              <w:left w:val="single" w:color="000000" w:sz="4" w:space="0"/>
              <w:right w:val="single" w:color="000000" w:sz="4" w:space="0"/>
            </w:tcBorders>
            <w:vAlign w:val="center"/>
          </w:tcPr>
          <w:p>
            <w:pPr>
              <w:pStyle w:val="22"/>
              <w:bidi w:val="0"/>
              <w:rPr>
                <w:color w:val="auto"/>
                <w:highlight w:val="none"/>
              </w:rPr>
            </w:pPr>
            <w:r>
              <w:rPr>
                <w:color w:val="auto"/>
                <w:highlight w:val="none"/>
              </w:rPr>
              <w:t>环保投资落实情况</w:t>
            </w:r>
          </w:p>
        </w:tc>
        <w:tc>
          <w:tcPr>
            <w:tcW w:w="3341" w:type="dxa"/>
            <w:vMerge w:val="continue"/>
            <w:tcBorders>
              <w:top w:val="nil"/>
              <w:left w:val="single" w:color="000000" w:sz="4" w:space="0"/>
              <w:right w:val="nil"/>
            </w:tcBorders>
            <w:vAlign w:val="center"/>
          </w:tcPr>
          <w:p>
            <w:pPr>
              <w:pStyle w:val="22"/>
              <w:bidi w:val="0"/>
              <w:rPr>
                <w:color w:val="auto"/>
                <w:highlight w:val="none"/>
              </w:rPr>
            </w:pPr>
          </w:p>
        </w:tc>
      </w:tr>
    </w:tbl>
    <w:p>
      <w:pPr>
        <w:pStyle w:val="6"/>
        <w:numPr>
          <w:ilvl w:val="2"/>
          <w:numId w:val="5"/>
        </w:numPr>
        <w:bidi w:val="0"/>
        <w:rPr>
          <w:color w:val="auto"/>
          <w:highlight w:val="none"/>
        </w:rPr>
      </w:pPr>
      <w:bookmarkStart w:id="763" w:name="9.1.7 跟踪评价实施计划"/>
      <w:bookmarkEnd w:id="763"/>
      <w:bookmarkStart w:id="764" w:name="9.1.7 跟踪评价实施计划"/>
      <w:bookmarkEnd w:id="764"/>
      <w:bookmarkStart w:id="765" w:name="_Toc4087"/>
      <w:bookmarkStart w:id="766" w:name="_Toc22945"/>
      <w:r>
        <w:rPr>
          <w:color w:val="auto"/>
          <w:highlight w:val="none"/>
        </w:rPr>
        <w:t>跟踪评价实施计划</w:t>
      </w:r>
      <w:bookmarkEnd w:id="765"/>
      <w:bookmarkEnd w:id="766"/>
    </w:p>
    <w:p>
      <w:pPr>
        <w:bidi w:val="0"/>
        <w:rPr>
          <w:color w:val="auto"/>
          <w:highlight w:val="none"/>
        </w:rPr>
      </w:pPr>
      <w:r>
        <w:rPr>
          <w:color w:val="auto"/>
          <w:highlight w:val="none"/>
        </w:rPr>
        <w:t>本评价建议在本规划实施之后，所有项目均建成并运行</w:t>
      </w:r>
      <w:r>
        <w:rPr>
          <w:rFonts w:ascii="Times New Roman" w:eastAsia="Times New Roman"/>
          <w:color w:val="auto"/>
          <w:highlight w:val="none"/>
        </w:rPr>
        <w:t>5</w:t>
      </w:r>
      <w:r>
        <w:rPr>
          <w:color w:val="auto"/>
          <w:highlight w:val="none"/>
        </w:rPr>
        <w:t>年以后进行一次覆盖整个规划区的环境影响后评估工作，以确保规划环评的准确性，降低其不确定性。</w:t>
      </w:r>
    </w:p>
    <w:p>
      <w:pPr>
        <w:pStyle w:val="7"/>
        <w:numPr>
          <w:ilvl w:val="3"/>
          <w:numId w:val="15"/>
        </w:numPr>
        <w:bidi w:val="0"/>
        <w:rPr>
          <w:color w:val="auto"/>
          <w:highlight w:val="none"/>
        </w:rPr>
      </w:pPr>
      <w:r>
        <w:rPr>
          <w:color w:val="auto"/>
          <w:highlight w:val="none"/>
        </w:rPr>
        <w:t>下一层次建设项目环境影响评价的建议</w:t>
      </w:r>
    </w:p>
    <w:p>
      <w:pPr>
        <w:bidi w:val="0"/>
        <w:rPr>
          <w:color w:val="auto"/>
          <w:highlight w:val="none"/>
        </w:rPr>
      </w:pPr>
      <w:r>
        <w:rPr>
          <w:color w:val="auto"/>
          <w:highlight w:val="none"/>
        </w:rPr>
        <w:t>根据本次规划开发的强度和规模，在下阶段的环评工作中，要重视矿区的环境保护工作，从源头上控制污染，推行清洁生产、发展循环经济。严格按照国家有关环保的法律法规和标准，科学设定矿区规模，引导各矿区采用国际国内先进的采矿工艺、污染治理措施等，减缓生态环境破坏。</w:t>
      </w:r>
    </w:p>
    <w:p>
      <w:pPr>
        <w:pStyle w:val="7"/>
        <w:numPr>
          <w:ilvl w:val="3"/>
          <w:numId w:val="15"/>
        </w:numPr>
        <w:bidi w:val="0"/>
        <w:rPr>
          <w:color w:val="auto"/>
          <w:highlight w:val="none"/>
        </w:rPr>
      </w:pPr>
      <w:r>
        <w:rPr>
          <w:color w:val="auto"/>
          <w:highlight w:val="none"/>
        </w:rPr>
        <w:t>下阶段环评工作重点</w:t>
      </w:r>
    </w:p>
    <w:p>
      <w:pPr>
        <w:bidi w:val="0"/>
        <w:rPr>
          <w:color w:val="auto"/>
          <w:highlight w:val="none"/>
        </w:rPr>
      </w:pPr>
      <w:r>
        <w:rPr>
          <w:color w:val="auto"/>
          <w:highlight w:val="none"/>
        </w:rPr>
        <w:t>应重视建设项目对周边居民的影响评价，其影响评价重点应考虑其对规划居民区的影响，并针对性的提出生态环境、废气治理、降噪等措施。</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应重视生态环境、水环境影响评价</w:t>
      </w:r>
    </w:p>
    <w:p>
      <w:pPr>
        <w:bidi w:val="0"/>
        <w:rPr>
          <w:color w:val="auto"/>
          <w:highlight w:val="none"/>
        </w:rPr>
      </w:pPr>
      <w:r>
        <w:rPr>
          <w:color w:val="auto"/>
          <w:highlight w:val="none"/>
        </w:rPr>
        <w:t>矿区将严格产能核定门槛，对新建矿井项目环评应加强生态环境减缓措施及其可行性分析，已经矿井涌水处理设施分析以及后续综合利用途径。</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应重视项目建设期的环境影响评价</w:t>
      </w:r>
    </w:p>
    <w:p>
      <w:pPr>
        <w:bidi w:val="0"/>
        <w:rPr>
          <w:color w:val="auto"/>
          <w:highlight w:val="none"/>
        </w:rPr>
      </w:pPr>
      <w:r>
        <w:rPr>
          <w:color w:val="auto"/>
          <w:highlight w:val="none"/>
        </w:rPr>
        <w:t>由于规划阶段矿井的实际建设规模、产能根据资源储量的变化而改变，因此项目环评阶段必须根据各自具体内容进行评价。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应重视项目对环境敏感目标的影响评价</w:t>
      </w:r>
    </w:p>
    <w:p>
      <w:pPr>
        <w:bidi w:val="0"/>
        <w:rPr>
          <w:color w:val="auto"/>
          <w:highlight w:val="none"/>
        </w:rPr>
      </w:pPr>
      <w:r>
        <w:rPr>
          <w:color w:val="auto"/>
          <w:highlight w:val="none"/>
        </w:rPr>
        <w:t>由于规划的概略性和不确定性决定了本次环境影响评价对敏感目标的评价较为粗略，因此项目环评阶段必须重视对环境敏感目标的影响评价。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应重视项目环境保护措施与生态补偿措施的研究与落实</w:t>
      </w:r>
    </w:p>
    <w:p>
      <w:pPr>
        <w:bidi w:val="0"/>
        <w:rPr>
          <w:color w:val="auto"/>
          <w:highlight w:val="none"/>
        </w:rPr>
      </w:pPr>
      <w:r>
        <w:rPr>
          <w:color w:val="auto"/>
          <w:highlight w:val="none"/>
        </w:rPr>
        <w:t>环境保护措施、生态补偿措施属于末端治理的范畴，也只有在对环境影响的性质、大小位置等具体内容明确后才能有的放矢地规划与设计，因此项目环评阶段应对此加以重视。</w:t>
      </w:r>
    </w:p>
    <w:p>
      <w:pPr>
        <w:bidi w:val="0"/>
        <w:rPr>
          <w:color w:val="auto"/>
          <w:highlight w:val="none"/>
        </w:rPr>
      </w:pPr>
      <w:r>
        <w:rPr>
          <w:color w:val="auto"/>
          <w:highlight w:val="none"/>
        </w:rPr>
        <w:t>应重视项目污染物排放量与总量控制目标关系评价。</w:t>
      </w:r>
    </w:p>
    <w:p>
      <w:pPr>
        <w:pStyle w:val="7"/>
        <w:numPr>
          <w:ilvl w:val="3"/>
          <w:numId w:val="15"/>
        </w:numPr>
        <w:bidi w:val="0"/>
        <w:rPr>
          <w:color w:val="auto"/>
          <w:highlight w:val="none"/>
        </w:rPr>
      </w:pPr>
      <w:r>
        <w:rPr>
          <w:color w:val="auto"/>
          <w:highlight w:val="none"/>
        </w:rPr>
        <w:t>下阶段环评可以简化的内容</w:t>
      </w:r>
    </w:p>
    <w:p>
      <w:pPr>
        <w:bidi w:val="0"/>
        <w:rPr>
          <w:color w:val="auto"/>
          <w:highlight w:val="none"/>
        </w:rPr>
      </w:pPr>
      <w:r>
        <w:rPr>
          <w:color w:val="auto"/>
          <w:highlight w:val="none"/>
        </w:rPr>
        <w:t>本次环评就规划范围建设的社会、经济、环境协调性论证做了论证和评价。在项目层次的环评工作中不必从区域的角度进行选址论证，但对于矿区内工业生产场地（永久占地、临时占地）选址的环境合理性需进行论证。</w:t>
      </w:r>
    </w:p>
    <w:p>
      <w:pPr>
        <w:pStyle w:val="5"/>
        <w:numPr>
          <w:ilvl w:val="1"/>
          <w:numId w:val="5"/>
        </w:numPr>
        <w:bidi w:val="0"/>
        <w:rPr>
          <w:color w:val="auto"/>
          <w:highlight w:val="none"/>
        </w:rPr>
      </w:pPr>
      <w:bookmarkStart w:id="767" w:name="_bookmark57"/>
      <w:bookmarkEnd w:id="767"/>
      <w:bookmarkStart w:id="768" w:name="9.2 “三线一单”管控要求"/>
      <w:bookmarkEnd w:id="768"/>
      <w:bookmarkStart w:id="769" w:name="_Toc27903"/>
      <w:bookmarkStart w:id="770" w:name="_Toc17290"/>
      <w:r>
        <w:rPr>
          <w:rFonts w:ascii="Times New Roman" w:hAnsi="Times New Roman" w:eastAsia="Times New Roman"/>
          <w:color w:val="auto"/>
          <w:highlight w:val="none"/>
        </w:rPr>
        <w:t>“</w:t>
      </w:r>
      <w:r>
        <w:rPr>
          <w:color w:val="auto"/>
          <w:highlight w:val="none"/>
        </w:rPr>
        <w:t>三线一单</w:t>
      </w:r>
      <w:r>
        <w:rPr>
          <w:rFonts w:ascii="Times New Roman" w:hAnsi="Times New Roman" w:eastAsia="Times New Roman"/>
          <w:color w:val="auto"/>
          <w:highlight w:val="none"/>
        </w:rPr>
        <w:t>”</w:t>
      </w:r>
      <w:r>
        <w:rPr>
          <w:color w:val="auto"/>
          <w:highlight w:val="none"/>
        </w:rPr>
        <w:t>管控要求</w:t>
      </w:r>
      <w:bookmarkEnd w:id="769"/>
      <w:bookmarkEnd w:id="770"/>
    </w:p>
    <w:p>
      <w:pPr>
        <w:bidi w:val="0"/>
        <w:rPr>
          <w:color w:val="auto"/>
          <w:highlight w:val="none"/>
        </w:rPr>
      </w:pPr>
      <w:r>
        <w:rPr>
          <w:color w:val="auto"/>
          <w:highlight w:val="none"/>
        </w:rPr>
        <w:t>根据环境保护部办公厅文件《关于规划环境影响评价加强空间管制、总量管控和环境准入的指导意见（试行）》（环办环评</w:t>
      </w:r>
      <w:r>
        <w:rPr>
          <w:rFonts w:ascii="Times New Roman" w:eastAsia="Times New Roman"/>
          <w:color w:val="auto"/>
          <w:highlight w:val="none"/>
        </w:rPr>
        <w:t xml:space="preserve">[2016]14 </w:t>
      </w:r>
      <w:r>
        <w:rPr>
          <w:color w:val="auto"/>
          <w:highlight w:val="none"/>
        </w:rPr>
        <w:t>号）中要求规划环评应充分发挥优化空间开发布局、推进区域（流域）环境质量改善以及推动产业转型升级的作用，并在执行相关技术导则和技术规范的基础上，为规划实施制定</w:t>
      </w:r>
      <w:r>
        <w:rPr>
          <w:rFonts w:ascii="Times New Roman" w:hAnsi="Times New Roman" w:eastAsia="Times New Roman"/>
          <w:color w:val="auto"/>
          <w:highlight w:val="none"/>
        </w:rPr>
        <w:t>“</w:t>
      </w:r>
      <w:r>
        <w:rPr>
          <w:color w:val="auto"/>
          <w:highlight w:val="none"/>
        </w:rPr>
        <w:t>三线一清单</w:t>
      </w:r>
      <w:r>
        <w:rPr>
          <w:rFonts w:ascii="Times New Roman" w:hAnsi="Times New Roman" w:eastAsia="Times New Roman"/>
          <w:color w:val="auto"/>
          <w:highlight w:val="none"/>
        </w:rPr>
        <w:t>”</w:t>
      </w:r>
      <w:r>
        <w:rPr>
          <w:color w:val="auto"/>
          <w:highlight w:val="none"/>
        </w:rPr>
        <w:t>的管理模式，即划定空间管制、总量管控和环境准入的三线，制定环境准入的负面清单。</w:t>
      </w:r>
    </w:p>
    <w:p>
      <w:pPr>
        <w:bidi w:val="0"/>
        <w:rPr>
          <w:color w:val="auto"/>
          <w:highlight w:val="none"/>
        </w:rPr>
      </w:pPr>
      <w:r>
        <w:rPr>
          <w:color w:val="auto"/>
          <w:spacing w:val="3"/>
          <w:highlight w:val="none"/>
        </w:rPr>
        <w:t>矿区总体开发方案基本上确定了矿区井田划分、矿井建设规模、煤炭洗选</w:t>
      </w:r>
      <w:r>
        <w:rPr>
          <w:color w:val="auto"/>
          <w:highlight w:val="none"/>
        </w:rPr>
        <w:t>规划、污染防治措施等，本次环评重点对规划实施的空间清单进行重点论述，对总量管控提出建议性要求。</w:t>
      </w:r>
    </w:p>
    <w:p>
      <w:pPr>
        <w:pStyle w:val="6"/>
        <w:numPr>
          <w:ilvl w:val="2"/>
          <w:numId w:val="5"/>
        </w:numPr>
        <w:bidi w:val="0"/>
        <w:rPr>
          <w:color w:val="auto"/>
          <w:highlight w:val="none"/>
        </w:rPr>
      </w:pPr>
      <w:bookmarkStart w:id="771" w:name="9.2.1 环境质量底线"/>
      <w:bookmarkEnd w:id="771"/>
      <w:bookmarkStart w:id="772" w:name="9.2.1 环境质量底线"/>
      <w:bookmarkEnd w:id="772"/>
      <w:bookmarkStart w:id="773" w:name="_Toc29176"/>
      <w:bookmarkStart w:id="774" w:name="_Toc31469"/>
      <w:r>
        <w:rPr>
          <w:color w:val="auto"/>
          <w:highlight w:val="none"/>
        </w:rPr>
        <w:t>环境质量底线</w:t>
      </w:r>
      <w:bookmarkEnd w:id="773"/>
      <w:bookmarkEnd w:id="774"/>
    </w:p>
    <w:p>
      <w:pPr>
        <w:bidi w:val="0"/>
        <w:rPr>
          <w:color w:val="auto"/>
          <w:highlight w:val="none"/>
        </w:rPr>
      </w:pPr>
      <w:r>
        <w:rPr>
          <w:color w:val="auto"/>
          <w:highlight w:val="none"/>
        </w:rPr>
        <w:t>根据规划区域及上下游、下风向等周边地区环境质量现状和目标，考虑气象条件、水文条件等相关因素，按照最不利条件分析并预留一定的安全余量，提出区域污染物排放总量控制上限的建议，作为区域污染物排放总量管控限值。综合分析环境质量改善目标、排放现状、减排成本和技术可行性，确定区域污染物排放总量削减的阶段性目标。</w:t>
      </w:r>
    </w:p>
    <w:p>
      <w:pPr>
        <w:bidi w:val="0"/>
        <w:rPr>
          <w:color w:val="auto"/>
          <w:highlight w:val="none"/>
        </w:rPr>
      </w:pPr>
      <w:r>
        <w:rPr>
          <w:color w:val="auto"/>
          <w:highlight w:val="none"/>
        </w:rPr>
        <w:t>环境质量底线是保障人民群众呼吸上新鲜的空气、喝上干净的水、吃上放心的粮食、维护人类生存的基本环境质量需求的安全线。</w:t>
      </w:r>
    </w:p>
    <w:p>
      <w:pPr>
        <w:pStyle w:val="7"/>
        <w:numPr>
          <w:ilvl w:val="3"/>
          <w:numId w:val="16"/>
        </w:numPr>
        <w:bidi w:val="0"/>
        <w:ind w:left="0" w:leftChars="0" w:firstLine="0" w:firstLineChars="0"/>
        <w:rPr>
          <w:color w:val="auto"/>
          <w:highlight w:val="none"/>
        </w:rPr>
      </w:pPr>
      <w:r>
        <w:rPr>
          <w:color w:val="auto"/>
          <w:highlight w:val="none"/>
        </w:rPr>
        <w:t>环境空气质量底线</w:t>
      </w:r>
    </w:p>
    <w:p>
      <w:pPr>
        <w:bidi w:val="0"/>
        <w:rPr>
          <w:color w:val="auto"/>
          <w:highlight w:val="none"/>
        </w:rPr>
      </w:pPr>
      <w:r>
        <w:rPr>
          <w:rFonts w:hint="eastAsia"/>
          <w:color w:val="auto"/>
          <w:highlight w:val="none"/>
          <w:lang w:eastAsia="zh-CN"/>
        </w:rPr>
        <w:t>大竹县煤炭矿区</w:t>
      </w:r>
      <w:r>
        <w:rPr>
          <w:color w:val="auto"/>
          <w:highlight w:val="none"/>
        </w:rPr>
        <w:t>所在地属于达州市行政管理范围。根据达州市</w:t>
      </w:r>
      <w:r>
        <w:rPr>
          <w:rFonts w:hint="eastAsia"/>
          <w:color w:val="auto"/>
          <w:highlight w:val="none"/>
          <w:lang w:eastAsia="zh-CN"/>
        </w:rPr>
        <w:t>大竹</w:t>
      </w:r>
      <w:r>
        <w:rPr>
          <w:color w:val="auto"/>
          <w:highlight w:val="none"/>
        </w:rPr>
        <w:t>生态环境局</w:t>
      </w:r>
      <w:r>
        <w:rPr>
          <w:rFonts w:hint="eastAsia"/>
          <w:color w:val="auto"/>
          <w:highlight w:val="none"/>
          <w:lang w:eastAsia="zh-CN"/>
        </w:rPr>
        <w:t>提供的</w:t>
      </w:r>
      <w:r>
        <w:rPr>
          <w:rFonts w:hint="eastAsia"/>
          <w:color w:val="auto"/>
          <w:highlight w:val="none"/>
          <w:lang w:val="en-US" w:eastAsia="zh-CN"/>
        </w:rPr>
        <w:t>2020年大竹县环境空气</w:t>
      </w:r>
      <w:r>
        <w:rPr>
          <w:rFonts w:hint="eastAsia"/>
          <w:color w:val="auto"/>
          <w:highlight w:val="none"/>
          <w:lang w:eastAsia="zh-CN"/>
        </w:rPr>
        <w:t>例行监测</w:t>
      </w:r>
      <w:r>
        <w:rPr>
          <w:color w:val="auto"/>
          <w:highlight w:val="none"/>
        </w:rPr>
        <w:t>数据</w:t>
      </w:r>
      <w:r>
        <w:rPr>
          <w:rFonts w:hint="eastAsia"/>
          <w:color w:val="auto"/>
          <w:highlight w:val="none"/>
          <w:lang w:eastAsia="zh-CN"/>
        </w:rPr>
        <w:t>，</w:t>
      </w:r>
      <w:r>
        <w:rPr>
          <w:color w:val="auto"/>
          <w:highlight w:val="none"/>
        </w:rPr>
        <w:t>矿区所在区域</w:t>
      </w:r>
      <w:r>
        <w:rPr>
          <w:rFonts w:hint="eastAsia"/>
          <w:color w:val="auto"/>
          <w:highlight w:val="none"/>
          <w:lang w:eastAsia="zh-CN"/>
        </w:rPr>
        <w:t>（大竹县）</w:t>
      </w:r>
      <w:r>
        <w:rPr>
          <w:color w:val="auto"/>
          <w:highlight w:val="none"/>
        </w:rPr>
        <w:t>属于</w:t>
      </w:r>
      <w:r>
        <w:rPr>
          <w:color w:val="auto"/>
          <w:highlight w:val="none"/>
          <w:u w:val="single"/>
        </w:rPr>
        <w:t>环境空气质量不达标区</w:t>
      </w:r>
      <w:r>
        <w:rPr>
          <w:rFonts w:hint="eastAsia"/>
          <w:color w:val="auto"/>
          <w:highlight w:val="none"/>
          <w:u w:val="none"/>
          <w:lang w:eastAsia="zh-CN"/>
        </w:rPr>
        <w:t>，主要超标因子为</w:t>
      </w:r>
      <w:r>
        <w:rPr>
          <w:rFonts w:hint="eastAsia"/>
          <w:color w:val="auto"/>
          <w:highlight w:val="none"/>
          <w:u w:val="none"/>
          <w:lang w:val="en-US" w:eastAsia="zh-CN"/>
        </w:rPr>
        <w:t>PM</w:t>
      </w:r>
      <w:r>
        <w:rPr>
          <w:rFonts w:hint="eastAsia"/>
          <w:color w:val="auto"/>
          <w:highlight w:val="none"/>
          <w:u w:val="none"/>
          <w:vertAlign w:val="subscript"/>
          <w:lang w:val="en-US" w:eastAsia="zh-CN"/>
        </w:rPr>
        <w:t>2.5</w:t>
      </w:r>
      <w:r>
        <w:rPr>
          <w:color w:val="auto"/>
          <w:highlight w:val="none"/>
        </w:rPr>
        <w:t>。按照达州市空气质量达标规划，区域环境空气质量在2030年主要指标达标。</w:t>
      </w:r>
    </w:p>
    <w:p>
      <w:pPr>
        <w:bidi w:val="0"/>
        <w:rPr>
          <w:color w:val="auto"/>
          <w:highlight w:val="none"/>
        </w:rPr>
      </w:pPr>
      <w:r>
        <w:rPr>
          <w:color w:val="auto"/>
          <w:highlight w:val="none"/>
        </w:rPr>
        <w:t>规划环评要求，区域环境空气PM2.5保证率日均值不达标期间引入排放颗粒物的项目，大气环境影响预测应按照《环境影响评价技术导则 大气环境》（HJ 2.2-2018）实施区域削减措施，满足区域环境空气质量改善要求。</w:t>
      </w:r>
    </w:p>
    <w:p>
      <w:pPr>
        <w:pStyle w:val="7"/>
        <w:numPr>
          <w:ilvl w:val="3"/>
          <w:numId w:val="16"/>
        </w:numPr>
        <w:bidi w:val="0"/>
        <w:rPr>
          <w:color w:val="auto"/>
          <w:highlight w:val="none"/>
        </w:rPr>
      </w:pPr>
      <w:r>
        <w:rPr>
          <w:color w:val="auto"/>
          <w:highlight w:val="none"/>
        </w:rPr>
        <w:t>土壤环境风险管控底线</w:t>
      </w:r>
    </w:p>
    <w:p>
      <w:pPr>
        <w:bidi w:val="0"/>
        <w:rPr>
          <w:color w:val="auto"/>
          <w:highlight w:val="none"/>
        </w:rPr>
      </w:pPr>
      <w:r>
        <w:rPr>
          <w:color w:val="auto"/>
          <w:highlight w:val="none"/>
        </w:rPr>
        <w:t>土壤环境风险管控底线是根据建设用地与农用地土壤污染风险管控标准及土壤污染防治相关规划、行动计划要求，对矿产资源开发区域土壤管控提出明确的要求。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土壤环境质量现状</w:t>
      </w:r>
    </w:p>
    <w:p>
      <w:pPr>
        <w:bidi w:val="0"/>
        <w:rPr>
          <w:color w:val="auto"/>
          <w:highlight w:val="none"/>
        </w:rPr>
      </w:pPr>
      <w:r>
        <w:rPr>
          <w:color w:val="auto"/>
          <w:highlight w:val="none"/>
        </w:rPr>
        <w:t>根据监测结果，建设用地土壤各监测因子能满足《土壤环境质量 建设用地土壤污染风险 管控标准》（GB36600-2018）中表1标准，农用地各监测因子能满足《土壤环境质量 农用地土壤风险管控标准》（GB15618-2018）中表1标准。</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土壤环境分析</w:t>
      </w:r>
    </w:p>
    <w:p>
      <w:pPr>
        <w:bidi w:val="0"/>
        <w:rPr>
          <w:color w:val="auto"/>
          <w:highlight w:val="none"/>
        </w:rPr>
      </w:pPr>
      <w:r>
        <w:rPr>
          <w:color w:val="auto"/>
          <w:highlight w:val="none"/>
        </w:rPr>
        <w:t>根据前述分析结果，土壤污染的潜在风险主要为一般工业固体废物（矸石、废石等）的堆放，危险废物收集、储存、转运过程以及生活垃圾堆存。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土壤环境风险管控底线确定</w:t>
      </w:r>
    </w:p>
    <w:p>
      <w:pPr>
        <w:bidi w:val="0"/>
        <w:rPr>
          <w:color w:val="auto"/>
          <w:highlight w:val="none"/>
        </w:rPr>
      </w:pPr>
      <w:r>
        <w:rPr>
          <w:color w:val="auto"/>
          <w:highlight w:val="none"/>
        </w:rPr>
        <w:t>结合建设用地、农用地土壤污染风险管控标准及土壤污染防治相关规划、行动计划要求，确定矿产资源开发区域建设用地土壤环境风险管控目标是达到《土壤环境质量 建设用地土壤污染风险管控标准》（GB36600-2018）中表1标准，其他区域农用地达到《土壤环境质量 农用地土壤风险管控标准》（GB156 18-2018）中表1标准。</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土壤污染风险管控分区</w:t>
      </w:r>
    </w:p>
    <w:p>
      <w:pPr>
        <w:bidi w:val="0"/>
        <w:rPr>
          <w:color w:val="auto"/>
          <w:highlight w:val="none"/>
        </w:rPr>
      </w:pPr>
      <w:r>
        <w:rPr>
          <w:color w:val="auto"/>
          <w:highlight w:val="none"/>
        </w:rPr>
        <w:t>结合规划布局，本次评价将临时矸石堆场、排土场、危险废物暂存地划定为建设用地污染风险重点管控区，其余地块为一般管控区。</w:t>
      </w:r>
    </w:p>
    <w:p>
      <w:pPr>
        <w:pStyle w:val="7"/>
        <w:numPr>
          <w:ilvl w:val="3"/>
          <w:numId w:val="16"/>
        </w:numPr>
        <w:bidi w:val="0"/>
        <w:rPr>
          <w:color w:val="auto"/>
          <w:highlight w:val="none"/>
        </w:rPr>
      </w:pPr>
      <w:r>
        <w:rPr>
          <w:color w:val="auto"/>
          <w:highlight w:val="none"/>
        </w:rPr>
        <w:t>水环境质量底线</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地下水环境质量现状</w:t>
      </w:r>
    </w:p>
    <w:p>
      <w:pPr>
        <w:bidi w:val="0"/>
        <w:rPr>
          <w:color w:val="auto"/>
          <w:highlight w:val="none"/>
        </w:rPr>
      </w:pPr>
      <w:r>
        <w:rPr>
          <w:color w:val="auto"/>
          <w:highlight w:val="none"/>
        </w:rPr>
        <w:t>地下水监测点各监测因子能满足《地下水质量标准》（GB/T14848-2017）Ⅲ类水质要求。</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水环境质量目标及允许排放</w:t>
      </w:r>
    </w:p>
    <w:p>
      <w:pPr>
        <w:bidi w:val="0"/>
        <w:rPr>
          <w:color w:val="auto"/>
          <w:highlight w:val="none"/>
        </w:rPr>
      </w:pPr>
      <w:r>
        <w:rPr>
          <w:color w:val="auto"/>
          <w:highlight w:val="none"/>
        </w:rPr>
        <w:t>矿区各矿井均配建矿井水处理站、生活污水处理站。井下排水、生活污水分别经处理达标后，</w:t>
      </w:r>
      <w:r>
        <w:rPr>
          <w:rFonts w:hint="eastAsia"/>
          <w:color w:val="auto"/>
          <w:highlight w:val="none"/>
          <w:lang w:eastAsia="zh-CN"/>
        </w:rPr>
        <w:t>其中矿井水尽量</w:t>
      </w:r>
      <w:r>
        <w:rPr>
          <w:color w:val="auto"/>
          <w:highlight w:val="none"/>
        </w:rPr>
        <w:t>回用</w:t>
      </w:r>
      <w:r>
        <w:rPr>
          <w:rFonts w:hint="eastAsia"/>
          <w:color w:val="auto"/>
          <w:highlight w:val="none"/>
          <w:lang w:eastAsia="zh-CN"/>
        </w:rPr>
        <w:t>于</w:t>
      </w:r>
      <w:r>
        <w:rPr>
          <w:color w:val="auto"/>
          <w:highlight w:val="none"/>
        </w:rPr>
        <w:t>井下及地表生产系统、绿化等</w:t>
      </w:r>
      <w:r>
        <w:rPr>
          <w:rFonts w:hint="eastAsia"/>
          <w:color w:val="auto"/>
          <w:highlight w:val="none"/>
          <w:lang w:eastAsia="zh-CN"/>
        </w:rPr>
        <w:t>多余废水达标排放进入周边受纳水体，本次评价根据环环评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w:t>
      </w:r>
      <w:r>
        <w:rPr>
          <w:color w:val="auto"/>
          <w:highlight w:val="none"/>
        </w:rPr>
        <w:t>。</w:t>
      </w:r>
      <w:r>
        <w:rPr>
          <w:rFonts w:hint="eastAsia"/>
          <w:color w:val="auto"/>
          <w:highlight w:val="none"/>
          <w:lang w:eastAsia="zh-CN"/>
        </w:rPr>
        <w:t>因此，矿井水排入受纳水体对水体水质环境影响极小；生活污水全部资源化利用不外排</w:t>
      </w:r>
      <w:r>
        <w:rPr>
          <w:color w:val="auto"/>
          <w:highlight w:val="none"/>
        </w:rPr>
        <w:t>。选煤厂废水</w:t>
      </w:r>
      <w:r>
        <w:rPr>
          <w:rFonts w:hint="eastAsia"/>
          <w:color w:val="auto"/>
          <w:highlight w:val="none"/>
          <w:lang w:eastAsia="zh-CN"/>
        </w:rPr>
        <w:t>一级</w:t>
      </w:r>
      <w:r>
        <w:rPr>
          <w:color w:val="auto"/>
          <w:highlight w:val="none"/>
        </w:rPr>
        <w:t>闭路循环，不外排。对</w:t>
      </w:r>
      <w:r>
        <w:rPr>
          <w:rFonts w:hint="eastAsia"/>
          <w:color w:val="auto"/>
          <w:highlight w:val="none"/>
          <w:lang w:eastAsia="zh-CN"/>
        </w:rPr>
        <w:t>区域水</w:t>
      </w:r>
      <w:r>
        <w:rPr>
          <w:color w:val="auto"/>
          <w:highlight w:val="none"/>
        </w:rPr>
        <w:t>环境影响极小。</w:t>
      </w:r>
    </w:p>
    <w:p>
      <w:pPr>
        <w:pStyle w:val="6"/>
        <w:numPr>
          <w:ilvl w:val="2"/>
          <w:numId w:val="5"/>
        </w:numPr>
        <w:bidi w:val="0"/>
        <w:rPr>
          <w:color w:val="auto"/>
          <w:highlight w:val="none"/>
        </w:rPr>
      </w:pPr>
      <w:bookmarkStart w:id="775" w:name="9.2.2 资源利用上线"/>
      <w:bookmarkEnd w:id="775"/>
      <w:bookmarkStart w:id="776" w:name="9.2.2 资源利用上线"/>
      <w:bookmarkEnd w:id="776"/>
      <w:bookmarkStart w:id="777" w:name="_Toc12742"/>
      <w:bookmarkStart w:id="778" w:name="_Toc1375"/>
      <w:r>
        <w:rPr>
          <w:color w:val="auto"/>
          <w:highlight w:val="none"/>
        </w:rPr>
        <w:t>资源利用上线</w:t>
      </w:r>
      <w:bookmarkEnd w:id="777"/>
      <w:bookmarkEnd w:id="778"/>
    </w:p>
    <w:p>
      <w:pPr>
        <w:bidi w:val="0"/>
        <w:rPr>
          <w:color w:val="auto"/>
          <w:highlight w:val="none"/>
        </w:rPr>
      </w:pPr>
      <w:r>
        <w:rPr>
          <w:color w:val="auto"/>
          <w:highlight w:val="none"/>
        </w:rPr>
        <w:t>资源利用上线是促进资源能源节约，保障能源、土地等资源高效利用，不应突破的最高限值。资源利用上线应符合达州市及</w:t>
      </w:r>
      <w:r>
        <w:rPr>
          <w:rFonts w:hint="eastAsia"/>
          <w:color w:val="auto"/>
          <w:highlight w:val="none"/>
          <w:lang w:eastAsia="zh-CN"/>
        </w:rPr>
        <w:t>大竹县</w:t>
      </w:r>
      <w:r>
        <w:rPr>
          <w:color w:val="auto"/>
          <w:highlight w:val="none"/>
        </w:rPr>
        <w:t>经济社会发展的基本需求，与现阶段资源环境承载能力相适应。根据区域资源承载力分析可知，从水资源、土地资源、能源等均可满足本轮规划发展。</w:t>
      </w:r>
    </w:p>
    <w:p>
      <w:pPr>
        <w:pStyle w:val="7"/>
        <w:numPr>
          <w:ilvl w:val="3"/>
          <w:numId w:val="17"/>
        </w:numPr>
        <w:bidi w:val="0"/>
        <w:ind w:left="0" w:leftChars="0" w:firstLine="0" w:firstLineChars="0"/>
        <w:rPr>
          <w:color w:val="auto"/>
          <w:highlight w:val="none"/>
        </w:rPr>
      </w:pPr>
      <w:r>
        <w:rPr>
          <w:color w:val="auto"/>
          <w:highlight w:val="none"/>
        </w:rPr>
        <w:t>水资源利用上线</w:t>
      </w:r>
    </w:p>
    <w:p>
      <w:pPr>
        <w:bidi w:val="0"/>
        <w:rPr>
          <w:color w:val="auto"/>
          <w:highlight w:val="none"/>
        </w:rPr>
      </w:pPr>
      <w:r>
        <w:rPr>
          <w:color w:val="auto"/>
          <w:highlight w:val="none"/>
        </w:rPr>
        <w:t>规划期矿区最大用水量为132.6303万m</w:t>
      </w:r>
      <w:r>
        <w:rPr>
          <w:color w:val="auto"/>
          <w:highlight w:val="none"/>
          <w:vertAlign w:val="superscript"/>
        </w:rPr>
        <w:t>3</w:t>
      </w:r>
      <w:r>
        <w:rPr>
          <w:color w:val="auto"/>
          <w:highlight w:val="none"/>
        </w:rPr>
        <w:t>/a，可回用矿井水量为248.9421万m</w:t>
      </w:r>
      <w:r>
        <w:rPr>
          <w:color w:val="auto"/>
          <w:highlight w:val="none"/>
          <w:vertAlign w:val="superscript"/>
        </w:rPr>
        <w:t>3</w:t>
      </w:r>
      <w:r>
        <w:rPr>
          <w:color w:val="auto"/>
          <w:highlight w:val="none"/>
        </w:rPr>
        <w:t>/a，煤炭开采中产生的矿井水就可满足矿区用水需求，且有</w:t>
      </w:r>
      <w:r>
        <w:rPr>
          <w:color w:val="auto"/>
          <w:highlight w:val="none"/>
          <w:vertAlign w:val="baseline"/>
        </w:rPr>
        <w:t>116.3118</w:t>
      </w:r>
      <w:r>
        <w:rPr>
          <w:color w:val="auto"/>
          <w:highlight w:val="none"/>
        </w:rPr>
        <w:t>万m</w:t>
      </w:r>
      <w:r>
        <w:rPr>
          <w:color w:val="auto"/>
          <w:highlight w:val="none"/>
          <w:vertAlign w:val="superscript"/>
        </w:rPr>
        <w:t>3</w:t>
      </w:r>
      <w:r>
        <w:rPr>
          <w:color w:val="auto"/>
          <w:highlight w:val="none"/>
        </w:rPr>
        <w:t>/a矿井水富余。矿区的生态环境用水，主要包括土地复垦、林草浇灌等用水量，主要以矿区矿井涌水、生活污水处理后回用作为来源，因此矿区的开发不会导致现状生态环境用水量的增加。</w:t>
      </w:r>
    </w:p>
    <w:p>
      <w:pPr>
        <w:pStyle w:val="7"/>
        <w:numPr>
          <w:ilvl w:val="3"/>
          <w:numId w:val="17"/>
        </w:numPr>
        <w:bidi w:val="0"/>
        <w:rPr>
          <w:color w:val="auto"/>
          <w:highlight w:val="none"/>
        </w:rPr>
      </w:pPr>
      <w:r>
        <w:rPr>
          <w:color w:val="auto"/>
          <w:highlight w:val="none"/>
        </w:rPr>
        <w:t>土地资源利用上线</w:t>
      </w:r>
    </w:p>
    <w:p>
      <w:pPr>
        <w:bidi w:val="0"/>
        <w:rPr>
          <w:color w:val="auto"/>
          <w:highlight w:val="none"/>
        </w:rPr>
      </w:pPr>
      <w:r>
        <w:rPr>
          <w:color w:val="auto"/>
          <w:highlight w:val="none"/>
        </w:rPr>
        <w:t>根据《达州市</w:t>
      </w:r>
      <w:r>
        <w:rPr>
          <w:rFonts w:hint="eastAsia"/>
          <w:color w:val="auto"/>
          <w:highlight w:val="none"/>
          <w:lang w:eastAsia="zh-CN"/>
        </w:rPr>
        <w:t>大竹县</w:t>
      </w:r>
      <w:r>
        <w:rPr>
          <w:color w:val="auto"/>
          <w:highlight w:val="none"/>
        </w:rPr>
        <w:t>土地利用总体规划（2006-2020年）调整完善方案》，截止2014年，达川区土地总面积224657.38hm</w:t>
      </w:r>
      <w:r>
        <w:rPr>
          <w:color w:val="auto"/>
          <w:highlight w:val="none"/>
          <w:vertAlign w:val="superscript"/>
        </w:rPr>
        <w:t>2</w:t>
      </w:r>
      <w:r>
        <w:rPr>
          <w:color w:val="auto"/>
          <w:highlight w:val="none"/>
        </w:rPr>
        <w:t>，其中农用地面积198763.08hm</w:t>
      </w:r>
      <w:r>
        <w:rPr>
          <w:color w:val="auto"/>
          <w:highlight w:val="none"/>
          <w:vertAlign w:val="superscript"/>
        </w:rPr>
        <w:t>2</w:t>
      </w:r>
      <w:r>
        <w:rPr>
          <w:color w:val="auto"/>
          <w:highlight w:val="none"/>
        </w:rPr>
        <w:t>，占土地总面积的88.47%；建设用地面积19089.84hm</w:t>
      </w:r>
      <w:r>
        <w:rPr>
          <w:color w:val="auto"/>
          <w:highlight w:val="none"/>
          <w:vertAlign w:val="superscript"/>
        </w:rPr>
        <w:t>2</w:t>
      </w:r>
      <w:r>
        <w:rPr>
          <w:color w:val="auto"/>
          <w:highlight w:val="none"/>
        </w:rPr>
        <w:t>，占土地总面积的8.50%；其他土地面积6804.46hm</w:t>
      </w:r>
      <w:r>
        <w:rPr>
          <w:color w:val="auto"/>
          <w:highlight w:val="none"/>
          <w:vertAlign w:val="superscript"/>
        </w:rPr>
        <w:t>2</w:t>
      </w:r>
      <w:r>
        <w:rPr>
          <w:color w:val="auto"/>
          <w:highlight w:val="none"/>
        </w:rPr>
        <w:t>，占土地总面积的3.03%。规划至2020年需完成耕地保有量91552.42hm</w:t>
      </w:r>
      <w:r>
        <w:rPr>
          <w:color w:val="auto"/>
          <w:highlight w:val="none"/>
          <w:vertAlign w:val="superscript"/>
        </w:rPr>
        <w:t>2</w:t>
      </w:r>
      <w:r>
        <w:rPr>
          <w:color w:val="auto"/>
          <w:highlight w:val="none"/>
        </w:rPr>
        <w:t>，基本农田保护面积62948.00hm</w:t>
      </w:r>
      <w:r>
        <w:rPr>
          <w:color w:val="auto"/>
          <w:highlight w:val="none"/>
          <w:vertAlign w:val="superscript"/>
        </w:rPr>
        <w:t>2</w:t>
      </w:r>
      <w:r>
        <w:rPr>
          <w:color w:val="auto"/>
          <w:highlight w:val="none"/>
        </w:rPr>
        <w:t>，建设用地控制规模20230hm</w:t>
      </w:r>
      <w:r>
        <w:rPr>
          <w:color w:val="auto"/>
          <w:highlight w:val="none"/>
          <w:vertAlign w:val="superscript"/>
        </w:rPr>
        <w:t>2</w:t>
      </w:r>
      <w:r>
        <w:rPr>
          <w:color w:val="auto"/>
          <w:highlight w:val="none"/>
        </w:rPr>
        <w:t>，城乡建设用地控制规模17888.16hm</w:t>
      </w:r>
      <w:r>
        <w:rPr>
          <w:color w:val="auto"/>
          <w:highlight w:val="none"/>
          <w:vertAlign w:val="superscript"/>
        </w:rPr>
        <w:t>2</w:t>
      </w:r>
      <w:r>
        <w:rPr>
          <w:color w:val="auto"/>
          <w:highlight w:val="none"/>
        </w:rPr>
        <w:t>，城镇工矿用地控制规模4271.44hm</w:t>
      </w:r>
      <w:r>
        <w:rPr>
          <w:color w:val="auto"/>
          <w:highlight w:val="none"/>
          <w:vertAlign w:val="superscript"/>
        </w:rPr>
        <w:t>2</w:t>
      </w:r>
      <w:r>
        <w:rPr>
          <w:color w:val="auto"/>
          <w:highlight w:val="none"/>
        </w:rPr>
        <w:t>，新增建设用地控制规模1368.00hm</w:t>
      </w:r>
      <w:r>
        <w:rPr>
          <w:color w:val="auto"/>
          <w:highlight w:val="none"/>
          <w:vertAlign w:val="superscript"/>
        </w:rPr>
        <w:t>2</w:t>
      </w:r>
      <w:r>
        <w:rPr>
          <w:color w:val="auto"/>
          <w:highlight w:val="none"/>
        </w:rPr>
        <w:t>，人均城镇工矿用地指标84.49m2，整理复垦开发补充耕地规模800hm</w:t>
      </w:r>
      <w:r>
        <w:rPr>
          <w:color w:val="auto"/>
          <w:highlight w:val="none"/>
          <w:vertAlign w:val="superscript"/>
        </w:rPr>
        <w:t>2</w:t>
      </w:r>
      <w:r>
        <w:rPr>
          <w:color w:val="auto"/>
          <w:highlight w:val="none"/>
        </w:rPr>
        <w:t>。</w:t>
      </w:r>
    </w:p>
    <w:p>
      <w:pPr>
        <w:bidi w:val="0"/>
        <w:rPr>
          <w:color w:val="auto"/>
          <w:highlight w:val="none"/>
        </w:rPr>
      </w:pPr>
      <w:r>
        <w:rPr>
          <w:rFonts w:hint="eastAsia"/>
          <w:color w:val="auto"/>
          <w:highlight w:val="none"/>
          <w:lang w:eastAsia="zh-CN"/>
        </w:rPr>
        <w:t>规划矿区</w:t>
      </w:r>
      <w:r>
        <w:rPr>
          <w:color w:val="auto"/>
          <w:highlight w:val="none"/>
        </w:rPr>
        <w:t>面积为82.1112km</w:t>
      </w:r>
      <w:r>
        <w:rPr>
          <w:color w:val="auto"/>
          <w:highlight w:val="none"/>
          <w:vertAlign w:val="superscript"/>
        </w:rPr>
        <w:t>2</w:t>
      </w:r>
      <w:r>
        <w:rPr>
          <w:color w:val="auto"/>
          <w:highlight w:val="none"/>
        </w:rPr>
        <w:t>，占全区土地总面积的3.655%，矿区各矿井工业场地等实际占压总面积为30.28hm</w:t>
      </w:r>
      <w:r>
        <w:rPr>
          <w:color w:val="auto"/>
          <w:highlight w:val="none"/>
          <w:vertAlign w:val="superscript"/>
        </w:rPr>
        <w:t>2</w:t>
      </w:r>
      <w:r>
        <w:rPr>
          <w:color w:val="auto"/>
          <w:highlight w:val="none"/>
        </w:rPr>
        <w:t>，占全区土地面积的0.0135%，占地面积较小。</w:t>
      </w:r>
    </w:p>
    <w:p>
      <w:pPr>
        <w:bidi w:val="0"/>
        <w:rPr>
          <w:color w:val="auto"/>
          <w:highlight w:val="none"/>
        </w:rPr>
      </w:pPr>
      <w:r>
        <w:rPr>
          <w:rFonts w:hint="eastAsia"/>
          <w:color w:val="auto"/>
          <w:highlight w:val="none"/>
          <w:lang w:eastAsia="zh-CN"/>
        </w:rPr>
        <w:t>规划矿区</w:t>
      </w:r>
      <w:r>
        <w:rPr>
          <w:color w:val="auto"/>
          <w:highlight w:val="none"/>
        </w:rPr>
        <w:t>各矿井均为已有矿井，</w:t>
      </w:r>
      <w:r>
        <w:rPr>
          <w:rFonts w:hint="eastAsia"/>
          <w:color w:val="auto"/>
          <w:highlight w:val="none"/>
          <w:lang w:eastAsia="zh-CN"/>
        </w:rPr>
        <w:t>规划实施中</w:t>
      </w:r>
      <w:r>
        <w:rPr>
          <w:color w:val="auto"/>
          <w:highlight w:val="none"/>
        </w:rPr>
        <w:t>基本不存在新增建设用地，与《达州市</w:t>
      </w:r>
      <w:r>
        <w:rPr>
          <w:rFonts w:hint="eastAsia"/>
          <w:color w:val="auto"/>
          <w:highlight w:val="none"/>
          <w:lang w:eastAsia="zh-CN"/>
        </w:rPr>
        <w:t>大竹县</w:t>
      </w:r>
      <w:r>
        <w:rPr>
          <w:color w:val="auto"/>
          <w:highlight w:val="none"/>
        </w:rPr>
        <w:t>土地利用总体规划（2006-2020年）调整完善方案》不相冲突，区域土地资源充沛。</w:t>
      </w:r>
    </w:p>
    <w:p>
      <w:pPr>
        <w:pStyle w:val="6"/>
        <w:numPr>
          <w:ilvl w:val="2"/>
          <w:numId w:val="5"/>
        </w:numPr>
        <w:bidi w:val="0"/>
        <w:rPr>
          <w:color w:val="auto"/>
          <w:highlight w:val="none"/>
        </w:rPr>
      </w:pPr>
      <w:bookmarkStart w:id="779" w:name="9.2.3 生态红线管控"/>
      <w:bookmarkEnd w:id="779"/>
      <w:bookmarkStart w:id="780" w:name="9.2.3 生态红线管控"/>
      <w:bookmarkEnd w:id="780"/>
      <w:bookmarkStart w:id="781" w:name="_Toc8798"/>
      <w:bookmarkStart w:id="782" w:name="_Toc8046"/>
      <w:r>
        <w:rPr>
          <w:color w:val="auto"/>
          <w:highlight w:val="none"/>
        </w:rPr>
        <w:t>生态红线管控</w:t>
      </w:r>
      <w:bookmarkEnd w:id="781"/>
      <w:bookmarkEnd w:id="782"/>
    </w:p>
    <w:p>
      <w:pPr>
        <w:bidi w:val="0"/>
        <w:rPr>
          <w:color w:val="auto"/>
          <w:highlight w:val="none"/>
        </w:rPr>
      </w:pPr>
      <w:r>
        <w:rPr>
          <w:color w:val="auto"/>
          <w:highlight w:val="none"/>
        </w:rPr>
        <w:t>根据《关于印发四川省生态保护红线方案的通知》（川府发〔2018〕24号），达州市涉及“盆中城市饮用水源—水土保持生态保护红线”；达州市大竹县涉及“川东南石漠化敏感生态保护红线”；达州市宣汉县、万源市涉及“大巴山生物多样性维护-水源涵养生态保护红线”。</w:t>
      </w:r>
    </w:p>
    <w:p>
      <w:pPr>
        <w:bidi w:val="0"/>
        <w:rPr>
          <w:color w:val="auto"/>
          <w:highlight w:val="none"/>
        </w:rPr>
      </w:pPr>
      <w:r>
        <w:rPr>
          <w:rFonts w:hint="eastAsia"/>
          <w:color w:val="auto"/>
          <w:highlight w:val="none"/>
          <w:lang w:eastAsia="zh-CN"/>
        </w:rPr>
        <w:t>规划矿区</w:t>
      </w:r>
      <w:r>
        <w:rPr>
          <w:color w:val="auto"/>
          <w:highlight w:val="none"/>
        </w:rPr>
        <w:t>位于达州市</w:t>
      </w:r>
      <w:r>
        <w:rPr>
          <w:rFonts w:hint="eastAsia"/>
          <w:color w:val="auto"/>
          <w:highlight w:val="none"/>
          <w:lang w:eastAsia="zh-CN"/>
        </w:rPr>
        <w:t>大竹县</w:t>
      </w:r>
      <w:r>
        <w:rPr>
          <w:color w:val="auto"/>
          <w:highlight w:val="none"/>
        </w:rPr>
        <w:t>，区域不涉及生态保护红线，结合上述《通知》对照《四川省环境管控单元分布图》，矿区在一般管控单元内，不属于优先保护、重点管控单元，与四川省生态保护红线是相协调的。</w:t>
      </w:r>
    </w:p>
    <w:p>
      <w:pPr>
        <w:pStyle w:val="6"/>
        <w:numPr>
          <w:ilvl w:val="2"/>
          <w:numId w:val="5"/>
        </w:numPr>
        <w:bidi w:val="0"/>
        <w:rPr>
          <w:color w:val="auto"/>
          <w:highlight w:val="none"/>
        </w:rPr>
      </w:pPr>
      <w:bookmarkStart w:id="783" w:name="9.2.4 环境准入负面清单"/>
      <w:bookmarkEnd w:id="783"/>
      <w:bookmarkStart w:id="784" w:name="9.2.4 环境准入负面清单"/>
      <w:bookmarkEnd w:id="784"/>
      <w:bookmarkStart w:id="785" w:name="_Toc898"/>
      <w:bookmarkStart w:id="786" w:name="_Toc11257"/>
      <w:r>
        <w:rPr>
          <w:rFonts w:hint="eastAsia"/>
          <w:color w:val="auto"/>
          <w:highlight w:val="none"/>
          <w:lang w:eastAsia="zh-CN"/>
        </w:rPr>
        <w:t>生态</w:t>
      </w:r>
      <w:r>
        <w:rPr>
          <w:color w:val="auto"/>
          <w:highlight w:val="none"/>
        </w:rPr>
        <w:t>环境准入清单</w:t>
      </w:r>
      <w:bookmarkEnd w:id="785"/>
      <w:bookmarkEnd w:id="786"/>
    </w:p>
    <w:p>
      <w:pPr>
        <w:bidi w:val="0"/>
        <w:rPr>
          <w:color w:val="auto"/>
          <w:highlight w:val="none"/>
        </w:rPr>
      </w:pPr>
      <w:r>
        <w:rPr>
          <w:color w:val="auto"/>
          <w:highlight w:val="none"/>
        </w:rPr>
        <w:t>根据四川省发展改革委印发的《四川省国家重点生态功能区产业准入负面清单(第一批)(试行)》（川发改规划[2017]407号）、《四川省国家重点生态功能区产业准入负面清单(第二批)(试行)》（川发改规划[2018]263号），</w:t>
      </w:r>
      <w:r>
        <w:rPr>
          <w:rFonts w:hint="eastAsia"/>
          <w:color w:val="auto"/>
          <w:highlight w:val="none"/>
          <w:lang w:eastAsia="zh-CN"/>
        </w:rPr>
        <w:t>大竹县</w:t>
      </w:r>
      <w:r>
        <w:rPr>
          <w:color w:val="auto"/>
          <w:highlight w:val="none"/>
        </w:rPr>
        <w:t>不在其所列区县之列。</w:t>
      </w:r>
    </w:p>
    <w:p>
      <w:pPr>
        <w:bidi w:val="0"/>
        <w:rPr>
          <w:color w:val="auto"/>
          <w:highlight w:val="none"/>
        </w:rPr>
      </w:pPr>
      <w:r>
        <w:rPr>
          <w:color w:val="auto"/>
          <w:highlight w:val="none"/>
        </w:rPr>
        <w:t>因此，本次依据环境保护部印发《“生态保护红线、环境质量底线、资源利用上线和环境准入负面清单技术指南”》</w:t>
      </w:r>
      <w:r>
        <w:rPr>
          <w:rFonts w:hint="eastAsia"/>
          <w:color w:val="auto"/>
          <w:highlight w:val="none"/>
          <w:lang w:eastAsia="zh-CN"/>
        </w:rPr>
        <w:t>、《长江经济带战略环境评价四川省达州市“三线一单”生态环境分区管控优化完善成果》</w:t>
      </w:r>
      <w:r>
        <w:rPr>
          <w:color w:val="auto"/>
          <w:highlight w:val="none"/>
        </w:rPr>
        <w:t>、《产业结构调整指导目录（2019年本）》</w:t>
      </w:r>
      <w:r>
        <w:rPr>
          <w:rFonts w:hint="eastAsia"/>
          <w:color w:val="auto"/>
          <w:highlight w:val="none"/>
          <w:lang w:eastAsia="zh-CN"/>
        </w:rPr>
        <w:t>、《四川省长江经济带发展负面清单实施细则（试行）》</w:t>
      </w:r>
      <w:r>
        <w:rPr>
          <w:color w:val="auto"/>
          <w:highlight w:val="none"/>
        </w:rPr>
        <w:t>以及结合前文分析成果，矿产资源开发</w:t>
      </w:r>
      <w:r>
        <w:rPr>
          <w:rFonts w:hint="eastAsia"/>
          <w:color w:val="auto"/>
          <w:highlight w:val="none"/>
          <w:lang w:eastAsia="zh-CN"/>
        </w:rPr>
        <w:t>生态</w:t>
      </w:r>
      <w:r>
        <w:rPr>
          <w:color w:val="auto"/>
          <w:highlight w:val="none"/>
        </w:rPr>
        <w:t>环境准入清单见表9.2-3。</w:t>
      </w:r>
    </w:p>
    <w:p>
      <w:pPr>
        <w:pStyle w:val="22"/>
        <w:bidi w:val="0"/>
        <w:rPr>
          <w:b/>
          <w:color w:val="auto"/>
          <w:sz w:val="21"/>
          <w:highlight w:val="none"/>
        </w:rPr>
      </w:pPr>
      <w:r>
        <w:rPr>
          <w:b/>
          <w:color w:val="auto"/>
          <w:sz w:val="21"/>
          <w:highlight w:val="none"/>
        </w:rPr>
        <w:t xml:space="preserve">表 </w:t>
      </w:r>
      <w:r>
        <w:rPr>
          <w:rFonts w:ascii="Times New Roman" w:eastAsia="Times New Roman"/>
          <w:b/>
          <w:color w:val="auto"/>
          <w:sz w:val="21"/>
          <w:highlight w:val="none"/>
        </w:rPr>
        <w:t>9.2-</w:t>
      </w:r>
      <w:r>
        <w:rPr>
          <w:rFonts w:hint="eastAsia"/>
          <w:b/>
          <w:color w:val="auto"/>
          <w:sz w:val="21"/>
          <w:highlight w:val="none"/>
          <w:lang w:val="en-US" w:eastAsia="zh-CN"/>
        </w:rPr>
        <w:t xml:space="preserve">1  </w:t>
      </w:r>
      <w:r>
        <w:rPr>
          <w:rFonts w:ascii="Times New Roman" w:eastAsia="Times New Roman"/>
          <w:b/>
          <w:color w:val="auto"/>
          <w:sz w:val="21"/>
          <w:highlight w:val="none"/>
        </w:rPr>
        <w:t xml:space="preserve"> </w:t>
      </w:r>
      <w:r>
        <w:rPr>
          <w:rFonts w:hint="eastAsia"/>
          <w:b/>
          <w:color w:val="auto"/>
          <w:sz w:val="21"/>
          <w:highlight w:val="none"/>
          <w:lang w:eastAsia="zh-CN"/>
        </w:rPr>
        <w:t>规划</w:t>
      </w:r>
      <w:r>
        <w:rPr>
          <w:b/>
          <w:color w:val="auto"/>
          <w:sz w:val="21"/>
          <w:highlight w:val="none"/>
        </w:rPr>
        <w:t>区域</w:t>
      </w:r>
      <w:r>
        <w:rPr>
          <w:rFonts w:hint="eastAsia"/>
          <w:b/>
          <w:color w:val="auto"/>
          <w:sz w:val="21"/>
          <w:highlight w:val="none"/>
          <w:lang w:eastAsia="zh-CN"/>
        </w:rPr>
        <w:t>生态</w:t>
      </w:r>
      <w:r>
        <w:rPr>
          <w:b/>
          <w:color w:val="auto"/>
          <w:sz w:val="21"/>
          <w:highlight w:val="none"/>
        </w:rPr>
        <w:t>环境准入清单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818"/>
        <w:gridCol w:w="775"/>
        <w:gridCol w:w="2697"/>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716" w:type="dxa"/>
            <w:vAlign w:val="center"/>
          </w:tcPr>
          <w:p>
            <w:pPr>
              <w:pStyle w:val="22"/>
              <w:bidi w:val="0"/>
              <w:rPr>
                <w:color w:val="auto"/>
                <w:highlight w:val="none"/>
              </w:rPr>
            </w:pPr>
            <w:r>
              <w:rPr>
                <w:color w:val="auto"/>
                <w:highlight w:val="none"/>
              </w:rPr>
              <w:t>序号</w:t>
            </w:r>
          </w:p>
        </w:tc>
        <w:tc>
          <w:tcPr>
            <w:tcW w:w="818" w:type="dxa"/>
            <w:vAlign w:val="center"/>
          </w:tcPr>
          <w:p>
            <w:pPr>
              <w:pStyle w:val="22"/>
              <w:bidi w:val="0"/>
              <w:rPr>
                <w:color w:val="auto"/>
                <w:highlight w:val="none"/>
              </w:rPr>
            </w:pPr>
            <w:r>
              <w:rPr>
                <w:color w:val="auto"/>
                <w:highlight w:val="none"/>
              </w:rPr>
              <w:t>类别</w:t>
            </w:r>
          </w:p>
        </w:tc>
        <w:tc>
          <w:tcPr>
            <w:tcW w:w="3472" w:type="dxa"/>
            <w:gridSpan w:val="2"/>
            <w:vAlign w:val="center"/>
          </w:tcPr>
          <w:p>
            <w:pPr>
              <w:pStyle w:val="22"/>
              <w:bidi w:val="0"/>
              <w:rPr>
                <w:color w:val="auto"/>
                <w:highlight w:val="none"/>
              </w:rPr>
            </w:pPr>
            <w:r>
              <w:rPr>
                <w:color w:val="auto"/>
                <w:highlight w:val="none"/>
              </w:rPr>
              <w:t>管控要求</w:t>
            </w:r>
          </w:p>
        </w:tc>
        <w:tc>
          <w:tcPr>
            <w:tcW w:w="4054" w:type="dxa"/>
            <w:vAlign w:val="center"/>
          </w:tcPr>
          <w:p>
            <w:pPr>
              <w:pStyle w:val="22"/>
              <w:bidi w:val="0"/>
              <w:rPr>
                <w:color w:val="auto"/>
                <w:highlight w:val="none"/>
              </w:rPr>
            </w:pPr>
            <w:r>
              <w:rPr>
                <w:color w:val="auto"/>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3" w:hRule="atLeast"/>
          <w:jc w:val="center"/>
        </w:trPr>
        <w:tc>
          <w:tcPr>
            <w:tcW w:w="716" w:type="dxa"/>
            <w:vAlign w:val="center"/>
          </w:tcPr>
          <w:p>
            <w:pPr>
              <w:pStyle w:val="22"/>
              <w:bidi w:val="0"/>
              <w:rPr>
                <w:color w:val="auto"/>
                <w:highlight w:val="none"/>
              </w:rPr>
            </w:pPr>
            <w:r>
              <w:rPr>
                <w:color w:val="auto"/>
                <w:highlight w:val="none"/>
              </w:rPr>
              <w:t>1</w:t>
            </w:r>
          </w:p>
        </w:tc>
        <w:tc>
          <w:tcPr>
            <w:tcW w:w="818" w:type="dxa"/>
            <w:vAlign w:val="center"/>
          </w:tcPr>
          <w:p>
            <w:pPr>
              <w:pStyle w:val="22"/>
              <w:bidi w:val="0"/>
              <w:jc w:val="both"/>
              <w:rPr>
                <w:color w:val="auto"/>
                <w:highlight w:val="none"/>
              </w:rPr>
            </w:pPr>
            <w:r>
              <w:rPr>
                <w:rFonts w:hint="eastAsia"/>
                <w:color w:val="auto"/>
                <w:highlight w:val="none"/>
                <w:lang w:eastAsia="zh-CN"/>
              </w:rPr>
              <w:t>生态环境</w:t>
            </w:r>
            <w:r>
              <w:rPr>
                <w:color w:val="auto"/>
                <w:highlight w:val="none"/>
              </w:rPr>
              <w:t>准入清单</w:t>
            </w:r>
          </w:p>
        </w:tc>
        <w:tc>
          <w:tcPr>
            <w:tcW w:w="775" w:type="dxa"/>
            <w:vAlign w:val="center"/>
          </w:tcPr>
          <w:p>
            <w:pPr>
              <w:pStyle w:val="22"/>
              <w:bidi w:val="0"/>
              <w:rPr>
                <w:color w:val="auto"/>
                <w:highlight w:val="none"/>
              </w:rPr>
            </w:pPr>
            <w:r>
              <w:rPr>
                <w:color w:val="auto"/>
                <w:highlight w:val="none"/>
              </w:rPr>
              <w:t>煤矿</w:t>
            </w:r>
          </w:p>
        </w:tc>
        <w:tc>
          <w:tcPr>
            <w:tcW w:w="2697" w:type="dxa"/>
            <w:vAlign w:val="center"/>
          </w:tcPr>
          <w:p>
            <w:pPr>
              <w:pStyle w:val="22"/>
              <w:bidi w:val="0"/>
              <w:jc w:val="both"/>
              <w:rPr>
                <w:color w:val="auto"/>
                <w:highlight w:val="none"/>
              </w:rPr>
            </w:pPr>
            <w:r>
              <w:rPr>
                <w:color w:val="auto"/>
                <w:highlight w:val="none"/>
              </w:rPr>
              <w:t>①禁止新建年开采量小于30万t的煤矿；</w:t>
            </w:r>
          </w:p>
          <w:p>
            <w:pPr>
              <w:pStyle w:val="22"/>
              <w:bidi w:val="0"/>
              <w:jc w:val="both"/>
              <w:rPr>
                <w:color w:val="auto"/>
                <w:highlight w:val="none"/>
              </w:rPr>
            </w:pPr>
            <w:r>
              <w:rPr>
                <w:color w:val="auto"/>
                <w:highlight w:val="none"/>
              </w:rPr>
              <w:t>②禁止井工煤矿采用综采采煤方法之外的其他方法；</w:t>
            </w:r>
          </w:p>
          <w:p>
            <w:pPr>
              <w:pStyle w:val="22"/>
              <w:bidi w:val="0"/>
              <w:jc w:val="both"/>
              <w:rPr>
                <w:color w:val="auto"/>
                <w:highlight w:val="none"/>
              </w:rPr>
            </w:pPr>
            <w:r>
              <w:rPr>
                <w:color w:val="auto"/>
                <w:highlight w:val="none"/>
              </w:rPr>
              <w:t>③禁止随意排放未处理达标的污水，规划区内污废水处理率必须达到 100%，并且中水回用率达到75%以上，矿井水利用率≥</w:t>
            </w:r>
            <w:r>
              <w:rPr>
                <w:rFonts w:hint="eastAsia"/>
                <w:color w:val="auto"/>
                <w:highlight w:val="none"/>
                <w:lang w:val="en-US" w:eastAsia="zh-CN"/>
              </w:rPr>
              <w:t>80</w:t>
            </w:r>
            <w:r>
              <w:rPr>
                <w:color w:val="auto"/>
                <w:highlight w:val="none"/>
              </w:rPr>
              <w:t>%；</w:t>
            </w:r>
          </w:p>
          <w:p>
            <w:pPr>
              <w:pStyle w:val="22"/>
              <w:bidi w:val="0"/>
              <w:jc w:val="both"/>
              <w:rPr>
                <w:color w:val="auto"/>
                <w:highlight w:val="none"/>
              </w:rPr>
            </w:pPr>
            <w:r>
              <w:rPr>
                <w:color w:val="auto"/>
                <w:highlight w:val="none"/>
              </w:rPr>
              <w:t>④禁止设立原煤入洗率达不到100%的矿井；</w:t>
            </w:r>
          </w:p>
          <w:p>
            <w:pPr>
              <w:pStyle w:val="22"/>
              <w:bidi w:val="0"/>
              <w:jc w:val="both"/>
              <w:rPr>
                <w:color w:val="auto"/>
                <w:highlight w:val="none"/>
              </w:rPr>
            </w:pPr>
            <w:r>
              <w:rPr>
                <w:color w:val="auto"/>
                <w:highlight w:val="none"/>
              </w:rPr>
              <w:t>⑤禁止设立永久性排矸场，煤矸石的综合利用率≥</w:t>
            </w:r>
            <w:r>
              <w:rPr>
                <w:rFonts w:hint="eastAsia"/>
                <w:color w:val="auto"/>
                <w:highlight w:val="none"/>
                <w:lang w:val="en-US" w:eastAsia="zh-CN"/>
              </w:rPr>
              <w:t>90</w:t>
            </w:r>
            <w:r>
              <w:rPr>
                <w:color w:val="auto"/>
                <w:highlight w:val="none"/>
              </w:rPr>
              <w:t>%；</w:t>
            </w:r>
          </w:p>
          <w:p>
            <w:pPr>
              <w:pStyle w:val="22"/>
              <w:bidi w:val="0"/>
              <w:jc w:val="both"/>
              <w:rPr>
                <w:color w:val="auto"/>
                <w:highlight w:val="none"/>
              </w:rPr>
            </w:pPr>
            <w:r>
              <w:rPr>
                <w:color w:val="auto"/>
                <w:highlight w:val="none"/>
              </w:rPr>
              <w:t>⑥禁止新建层含硫量大于3%的煤矿。</w:t>
            </w:r>
          </w:p>
          <w:p>
            <w:pPr>
              <w:pStyle w:val="22"/>
              <w:bidi w:val="0"/>
              <w:jc w:val="both"/>
              <w:rPr>
                <w:color w:val="auto"/>
                <w:highlight w:val="none"/>
              </w:rPr>
            </w:pPr>
            <w:r>
              <w:rPr>
                <w:color w:val="auto"/>
                <w:highlight w:val="none"/>
              </w:rPr>
              <w:t>⑦对于现状存在严重生态环境问题的</w:t>
            </w:r>
            <w:r>
              <w:rPr>
                <w:rFonts w:hint="eastAsia"/>
                <w:color w:val="auto"/>
                <w:highlight w:val="none"/>
                <w:lang w:eastAsia="zh-CN"/>
              </w:rPr>
              <w:t>煤矿</w:t>
            </w:r>
            <w:r>
              <w:rPr>
                <w:color w:val="auto"/>
                <w:highlight w:val="none"/>
              </w:rPr>
              <w:t>，遗留生态环境问题的恢复治理方案未经所在地县级政府认可的。</w:t>
            </w:r>
          </w:p>
        </w:tc>
        <w:tc>
          <w:tcPr>
            <w:tcW w:w="4054" w:type="dxa"/>
            <w:vAlign w:val="center"/>
          </w:tcPr>
          <w:p>
            <w:pPr>
              <w:pStyle w:val="22"/>
              <w:bidi w:val="0"/>
              <w:jc w:val="both"/>
              <w:rPr>
                <w:color w:val="auto"/>
                <w:highlight w:val="none"/>
              </w:rPr>
            </w:pPr>
            <w:r>
              <w:rPr>
                <w:color w:val="auto"/>
                <w:highlight w:val="none"/>
              </w:rPr>
              <w:t>①《产业结构调整指导目录（2019年本）》；</w:t>
            </w:r>
          </w:p>
          <w:p>
            <w:pPr>
              <w:pStyle w:val="22"/>
              <w:bidi w:val="0"/>
              <w:jc w:val="both"/>
              <w:rPr>
                <w:color w:val="auto"/>
                <w:highlight w:val="none"/>
              </w:rPr>
            </w:pPr>
            <w:r>
              <w:rPr>
                <w:color w:val="auto"/>
                <w:highlight w:val="none"/>
              </w:rPr>
              <w:t>②国务院关于促进煤炭工业健康发展的若干意见（国发〔2005〕18号）；</w:t>
            </w:r>
          </w:p>
          <w:p>
            <w:pPr>
              <w:pStyle w:val="22"/>
              <w:bidi w:val="0"/>
              <w:jc w:val="both"/>
              <w:rPr>
                <w:color w:val="auto"/>
                <w:highlight w:val="none"/>
              </w:rPr>
            </w:pPr>
            <w:r>
              <w:rPr>
                <w:color w:val="auto"/>
                <w:highlight w:val="none"/>
              </w:rPr>
              <w:t>③关于印发加快煤炭行业结构调整、应对</w:t>
            </w:r>
          </w:p>
          <w:p>
            <w:pPr>
              <w:pStyle w:val="22"/>
              <w:bidi w:val="0"/>
              <w:jc w:val="both"/>
              <w:rPr>
                <w:color w:val="auto"/>
                <w:highlight w:val="none"/>
              </w:rPr>
            </w:pPr>
            <w:r>
              <w:rPr>
                <w:color w:val="auto"/>
                <w:highlight w:val="none"/>
              </w:rPr>
              <w:t>产能过剩的指导意见的通知（发改能源〔2007〕3271号）；</w:t>
            </w:r>
          </w:p>
          <w:p>
            <w:pPr>
              <w:pStyle w:val="22"/>
              <w:bidi w:val="0"/>
              <w:jc w:val="both"/>
              <w:rPr>
                <w:color w:val="auto"/>
                <w:highlight w:val="none"/>
              </w:rPr>
            </w:pPr>
            <w:r>
              <w:rPr>
                <w:color w:val="auto"/>
                <w:highlight w:val="none"/>
              </w:rPr>
              <w:t>④《煤炭产业政策》（国家发展和改革委员会公告2007年第80号）；</w:t>
            </w:r>
          </w:p>
          <w:p>
            <w:pPr>
              <w:pStyle w:val="22"/>
              <w:bidi w:val="0"/>
              <w:jc w:val="both"/>
              <w:rPr>
                <w:color w:val="auto"/>
                <w:highlight w:val="none"/>
              </w:rPr>
            </w:pPr>
            <w:r>
              <w:rPr>
                <w:color w:val="auto"/>
                <w:highlight w:val="none"/>
              </w:rPr>
              <w:t>⑤《国务院关于煤炭行业化解过剩产能实现脱困发展的意见》（国发〔2016〕7号）；</w:t>
            </w:r>
          </w:p>
          <w:p>
            <w:pPr>
              <w:pStyle w:val="22"/>
              <w:bidi w:val="0"/>
              <w:jc w:val="both"/>
              <w:rPr>
                <w:color w:val="auto"/>
                <w:highlight w:val="none"/>
              </w:rPr>
            </w:pPr>
            <w:r>
              <w:rPr>
                <w:color w:val="auto"/>
                <w:highlight w:val="none"/>
              </w:rPr>
              <w:t>⑥《“ 十四五”能降碳综合工作方案》；</w:t>
            </w:r>
          </w:p>
          <w:p>
            <w:pPr>
              <w:pStyle w:val="22"/>
              <w:bidi w:val="0"/>
              <w:jc w:val="both"/>
              <w:rPr>
                <w:color w:val="auto"/>
                <w:highlight w:val="none"/>
              </w:rPr>
            </w:pPr>
            <w:r>
              <w:rPr>
                <w:color w:val="auto"/>
                <w:highlight w:val="none"/>
              </w:rPr>
              <w:t>⑦《矿山生态环境保护与恢复治理方案（规划）编制规范》（HJ652-2013）”；</w:t>
            </w:r>
          </w:p>
          <w:p>
            <w:pPr>
              <w:pStyle w:val="22"/>
              <w:bidi w:val="0"/>
              <w:jc w:val="both"/>
              <w:rPr>
                <w:color w:val="auto"/>
                <w:highlight w:val="none"/>
              </w:rPr>
            </w:pPr>
            <w:r>
              <w:rPr>
                <w:color w:val="auto"/>
                <w:highlight w:val="none"/>
              </w:rPr>
              <w:t>⑧《四川省矿产资源总体规划（2016~2020年）》；</w:t>
            </w:r>
          </w:p>
          <w:p>
            <w:pPr>
              <w:pStyle w:val="22"/>
              <w:bidi w:val="0"/>
              <w:jc w:val="both"/>
              <w:rPr>
                <w:color w:val="auto"/>
                <w:highlight w:val="none"/>
              </w:rPr>
            </w:pPr>
            <w:r>
              <w:rPr>
                <w:color w:val="auto"/>
                <w:highlight w:val="none"/>
              </w:rPr>
              <w:t>⑨《达州市</w:t>
            </w:r>
            <w:r>
              <w:rPr>
                <w:rFonts w:hint="eastAsia"/>
                <w:color w:val="auto"/>
                <w:highlight w:val="none"/>
                <w:lang w:eastAsia="zh-CN"/>
              </w:rPr>
              <w:t>大竹县</w:t>
            </w:r>
            <w:r>
              <w:rPr>
                <w:color w:val="auto"/>
                <w:highlight w:val="none"/>
              </w:rPr>
              <w:t>土地利用总体规划（2006-2020年）调整完善方案》。</w:t>
            </w:r>
          </w:p>
          <w:p>
            <w:pPr>
              <w:pStyle w:val="22"/>
              <w:bidi w:val="0"/>
              <w:jc w:val="both"/>
              <w:rPr>
                <w:rFonts w:hint="default" w:eastAsia="宋体"/>
                <w:color w:val="auto"/>
                <w:highlight w:val="none"/>
                <w:lang w:val="en-US" w:eastAsia="zh-CN"/>
              </w:rPr>
            </w:pPr>
            <w:r>
              <w:rPr>
                <w:rFonts w:hint="default"/>
                <w:color w:val="auto"/>
                <w:highlight w:val="none"/>
                <w:lang w:val="en-US" w:eastAsia="zh-CN"/>
              </w:rPr>
              <w:t>⑩</w:t>
            </w:r>
            <w:r>
              <w:rPr>
                <w:rFonts w:hint="eastAsia"/>
                <w:color w:val="auto"/>
                <w:highlight w:val="none"/>
                <w:lang w:val="en-US" w:eastAsia="zh-CN"/>
              </w:rPr>
              <w:t>《长江经济带战略环境评价四川省达州市“三线一单”生态环境分区管控优化完善成果》</w:t>
            </w:r>
          </w:p>
        </w:tc>
      </w:tr>
    </w:tbl>
    <w:p>
      <w:pPr>
        <w:pStyle w:val="5"/>
        <w:numPr>
          <w:ilvl w:val="1"/>
          <w:numId w:val="5"/>
        </w:numPr>
        <w:bidi w:val="0"/>
        <w:rPr>
          <w:color w:val="auto"/>
          <w:highlight w:val="none"/>
        </w:rPr>
      </w:pPr>
      <w:bookmarkStart w:id="787" w:name="9.3 监控计划"/>
      <w:bookmarkEnd w:id="787"/>
      <w:bookmarkStart w:id="788" w:name="_bookmark58"/>
      <w:bookmarkEnd w:id="788"/>
      <w:bookmarkStart w:id="789" w:name="_Toc25904"/>
      <w:bookmarkStart w:id="790" w:name="_Toc31406"/>
      <w:r>
        <w:rPr>
          <w:color w:val="auto"/>
          <w:highlight w:val="none"/>
        </w:rPr>
        <w:t>监控计划</w:t>
      </w:r>
      <w:bookmarkEnd w:id="789"/>
      <w:bookmarkEnd w:id="790"/>
    </w:p>
    <w:p>
      <w:pPr>
        <w:bidi w:val="0"/>
        <w:rPr>
          <w:color w:val="auto"/>
          <w:highlight w:val="none"/>
        </w:rPr>
      </w:pPr>
      <w:r>
        <w:rPr>
          <w:color w:val="auto"/>
          <w:highlight w:val="none"/>
        </w:rPr>
        <w:t>矿区环境监测主要包括矿区环境质量监测、污染源监测、生态环境影响调查及污染事故应急监测四部分。</w:t>
      </w:r>
    </w:p>
    <w:p>
      <w:pPr>
        <w:pStyle w:val="6"/>
        <w:numPr>
          <w:ilvl w:val="2"/>
          <w:numId w:val="5"/>
        </w:numPr>
        <w:bidi w:val="0"/>
        <w:rPr>
          <w:color w:val="auto"/>
          <w:highlight w:val="none"/>
        </w:rPr>
      </w:pPr>
      <w:bookmarkStart w:id="791" w:name="9.3.1 监测机构"/>
      <w:bookmarkEnd w:id="791"/>
      <w:bookmarkStart w:id="792" w:name="9.3.1 监测机构"/>
      <w:bookmarkEnd w:id="792"/>
      <w:bookmarkStart w:id="793" w:name="_Toc26708"/>
      <w:bookmarkStart w:id="794" w:name="_Toc4849"/>
      <w:r>
        <w:rPr>
          <w:color w:val="auto"/>
          <w:highlight w:val="none"/>
        </w:rPr>
        <w:t>监测机构</w:t>
      </w:r>
      <w:bookmarkEnd w:id="793"/>
      <w:bookmarkEnd w:id="794"/>
    </w:p>
    <w:p>
      <w:pPr>
        <w:bidi w:val="0"/>
        <w:rPr>
          <w:color w:val="auto"/>
          <w:highlight w:val="none"/>
        </w:rPr>
      </w:pPr>
      <w:r>
        <w:rPr>
          <w:rFonts w:hint="eastAsia"/>
          <w:color w:val="auto"/>
          <w:highlight w:val="none"/>
          <w:lang w:eastAsia="zh-CN"/>
        </w:rPr>
        <w:t>规划矿区</w:t>
      </w:r>
      <w:r>
        <w:rPr>
          <w:color w:val="auto"/>
          <w:highlight w:val="none"/>
        </w:rPr>
        <w:t>总体规划是由多个矿井主体开发，以开发主体为单位设立环境保护机构，并配备相应设备及人员负责环境质量监测以及各项目的污染源日常监测工作；每年还应委托有资质监测单位对矿井环境质量现状进行全面监测评估。</w:t>
      </w:r>
    </w:p>
    <w:p>
      <w:pPr>
        <w:pStyle w:val="6"/>
        <w:numPr>
          <w:ilvl w:val="2"/>
          <w:numId w:val="5"/>
        </w:numPr>
        <w:bidi w:val="0"/>
        <w:rPr>
          <w:color w:val="auto"/>
          <w:highlight w:val="none"/>
        </w:rPr>
      </w:pPr>
      <w:bookmarkStart w:id="795" w:name="9.3.2 监测内容"/>
      <w:bookmarkEnd w:id="795"/>
      <w:bookmarkStart w:id="796" w:name="9.3.2 监测内容"/>
      <w:bookmarkEnd w:id="796"/>
      <w:bookmarkStart w:id="797" w:name="_Toc12434"/>
      <w:bookmarkStart w:id="798" w:name="_Toc10293"/>
      <w:r>
        <w:rPr>
          <w:color w:val="auto"/>
          <w:highlight w:val="none"/>
        </w:rPr>
        <w:t>监测内容</w:t>
      </w:r>
      <w:bookmarkEnd w:id="797"/>
      <w:bookmarkEnd w:id="798"/>
    </w:p>
    <w:p>
      <w:pPr>
        <w:pStyle w:val="7"/>
        <w:bidi w:val="0"/>
        <w:ind w:left="0" w:leftChars="0" w:firstLine="0" w:firstLineChars="0"/>
        <w:rPr>
          <w:b/>
          <w:color w:val="auto"/>
          <w:sz w:val="24"/>
          <w:highlight w:val="none"/>
        </w:rPr>
      </w:pPr>
      <w:r>
        <w:rPr>
          <w:rFonts w:ascii="Times New Roman" w:eastAsia="Times New Roman"/>
          <w:b/>
          <w:color w:val="auto"/>
          <w:sz w:val="24"/>
          <w:highlight w:val="none"/>
        </w:rPr>
        <w:t>9.3.2.1</w:t>
      </w:r>
      <w:r>
        <w:rPr>
          <w:rFonts w:ascii="Times New Roman" w:eastAsia="Times New Roman"/>
          <w:b/>
          <w:color w:val="auto"/>
          <w:spacing w:val="-2"/>
          <w:sz w:val="24"/>
          <w:highlight w:val="none"/>
        </w:rPr>
        <w:t xml:space="preserve"> </w:t>
      </w:r>
      <w:r>
        <w:rPr>
          <w:b/>
          <w:color w:val="auto"/>
          <w:sz w:val="24"/>
          <w:highlight w:val="none"/>
        </w:rPr>
        <w:t>环境质量监测</w:t>
      </w:r>
    </w:p>
    <w:p>
      <w:pPr>
        <w:bidi w:val="0"/>
        <w:rPr>
          <w:color w:val="auto"/>
          <w:highlight w:val="none"/>
        </w:rPr>
      </w:pPr>
      <w:r>
        <w:rPr>
          <w:color w:val="auto"/>
          <w:highlight w:val="none"/>
        </w:rPr>
        <w:t>监测内容和对象：在勘测和施工阶段所涉及的环境问题，即大气、水、噪声、土壤、植被等。</w:t>
      </w:r>
    </w:p>
    <w:p>
      <w:pPr>
        <w:bidi w:val="0"/>
        <w:rPr>
          <w:color w:val="auto"/>
          <w:highlight w:val="none"/>
        </w:rPr>
      </w:pPr>
      <w:r>
        <w:rPr>
          <w:color w:val="auto"/>
          <w:highlight w:val="none"/>
        </w:rPr>
        <w:t>监测项目、监测频率及监测点设置见表9.3-1。</w:t>
      </w:r>
    </w:p>
    <w:p>
      <w:pPr>
        <w:spacing w:after="0" w:line="306" w:lineRule="exact"/>
        <w:rPr>
          <w:color w:val="auto"/>
          <w:highlight w:val="none"/>
        </w:rPr>
        <w:sectPr>
          <w:headerReference r:id="rId15" w:type="default"/>
          <w:footerReference r:id="rId16" w:type="default"/>
          <w:pgSz w:w="11910" w:h="16840"/>
          <w:pgMar w:top="1360" w:right="1280" w:bottom="1000" w:left="1280" w:header="902" w:footer="804" w:gutter="0"/>
          <w:pgBorders>
            <w:top w:val="none" w:sz="0" w:space="0"/>
            <w:left w:val="none" w:sz="0" w:space="0"/>
            <w:bottom w:val="none" w:sz="0" w:space="0"/>
            <w:right w:val="none" w:sz="0" w:space="0"/>
          </w:pgBorders>
          <w:pgNumType w:fmt="decimal"/>
          <w:cols w:space="720" w:num="1"/>
        </w:sectPr>
      </w:pPr>
    </w:p>
    <w:p>
      <w:pPr>
        <w:spacing w:before="52" w:after="14"/>
        <w:ind w:left="2" w:right="22" w:firstLine="0"/>
        <w:jc w:val="center"/>
        <w:rPr>
          <w:rFonts w:hint="eastAsia" w:ascii="楷体" w:eastAsia="楷体"/>
          <w:color w:val="auto"/>
          <w:sz w:val="18"/>
          <w:highlight w:val="none"/>
        </w:rPr>
      </w:pPr>
      <w:r>
        <w:rPr>
          <w:rFonts w:hint="eastAsia" w:ascii="楷体" w:eastAsia="楷体"/>
          <w:color w:val="auto"/>
          <w:sz w:val="18"/>
          <w:highlight w:val="none"/>
          <w:lang w:eastAsia="zh-CN"/>
        </w:rPr>
        <w:t>四川省达州市大竹县煤炭矿区总体规划</w:t>
      </w:r>
      <w:r>
        <w:rPr>
          <w:rFonts w:hint="eastAsia" w:ascii="楷体" w:eastAsia="楷体"/>
          <w:color w:val="auto"/>
          <w:sz w:val="18"/>
          <w:highlight w:val="none"/>
        </w:rPr>
        <w:t>环境影响报告书</w:t>
      </w:r>
    </w:p>
    <w:p>
      <w:pPr>
        <w:pStyle w:val="10"/>
        <w:spacing w:line="20" w:lineRule="exact"/>
        <w:ind w:left="816"/>
        <w:rPr>
          <w:rFonts w:ascii="楷体"/>
          <w:color w:val="auto"/>
          <w:sz w:val="2"/>
          <w:highlight w:val="none"/>
        </w:rPr>
      </w:pPr>
      <w:r>
        <w:rPr>
          <w:rFonts w:ascii="楷体"/>
          <w:color w:val="auto"/>
          <w:sz w:val="2"/>
          <w:highlight w:val="none"/>
        </w:rPr>
        <mc:AlternateContent>
          <mc:Choice Requires="wpg">
            <w:drawing>
              <wp:inline distT="0" distB="0" distL="114300" distR="114300">
                <wp:extent cx="5284470" cy="7620"/>
                <wp:effectExtent l="0" t="0" r="0" b="0"/>
                <wp:docPr id="124" name="组合 48"/>
                <wp:cNvGraphicFramePr/>
                <a:graphic xmlns:a="http://schemas.openxmlformats.org/drawingml/2006/main">
                  <a:graphicData uri="http://schemas.microsoft.com/office/word/2010/wordprocessingGroup">
                    <wpg:wgp>
                      <wpg:cNvGrpSpPr/>
                      <wpg:grpSpPr>
                        <a:xfrm>
                          <a:off x="0" y="0"/>
                          <a:ext cx="5284470" cy="7620"/>
                          <a:chOff x="0" y="0"/>
                          <a:chExt cx="8322" cy="12"/>
                        </a:xfrm>
                      </wpg:grpSpPr>
                      <wps:wsp>
                        <wps:cNvPr id="3" name="直线 49"/>
                        <wps:cNvCnPr/>
                        <wps:spPr>
                          <a:xfrm>
                            <a:off x="0" y="6"/>
                            <a:ext cx="8322" cy="0"/>
                          </a:xfrm>
                          <a:prstGeom prst="line">
                            <a:avLst/>
                          </a:prstGeom>
                          <a:ln w="7620" cap="flat" cmpd="sng">
                            <a:solidFill>
                              <a:srgbClr val="000000"/>
                            </a:solidFill>
                            <a:prstDash val="solid"/>
                            <a:headEnd type="none" w="med" len="med"/>
                            <a:tailEnd type="none" w="med" len="med"/>
                          </a:ln>
                        </wps:spPr>
                        <wps:bodyPr upright="1"/>
                      </wps:wsp>
                    </wpg:wgp>
                  </a:graphicData>
                </a:graphic>
              </wp:inline>
            </w:drawing>
          </mc:Choice>
          <mc:Fallback>
            <w:pict>
              <v:group id="组合 48" o:spid="_x0000_s1026" o:spt="203" style="height:0.6pt;width:416.1pt;" coordsize="8322,12" o:gfxdata="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ydMJPUAAAAAwEAAA8AAAAAAAAAAQAg&#10;AAAAIgAAAGRycy9kb3ducmV2LnhtbFBLAQIUABQAAAAIAIdO4kAaSBGDSwIAAAIFAAAOAAAAAAAA&#10;AAEAIAAAACMBAABkcnMvZTJvRG9jLnhtbFBLBQYAAAAABgAGAFkBAADgBQAAAAA=&#10;">
                <o:lock v:ext="edit" aspectratio="f"/>
                <v:line id="直线 49" o:spid="_x0000_s1026" o:spt="20" style="position:absolute;left:0;top:6;height:0;width:8322;" filled="f" stroked="t" coordsize="21600,21600" o:gfxdata="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GpGq8AAAA&#10;2gAAAA8AAAAAAAAAAQAgAAAAIgAAAGRycy9kb3ducmV2LnhtbFBLAQIUABQAAAAIAIdO4kAzLwWe&#10;OwAAADkAAAAQAAAAAAAAAAEAIAAAAAsBAABkcnMvc2hhcGV4bWwueG1sUEsFBgAAAAAGAAYAWwEA&#10;ALUDAAAAAA==&#10;">
                  <v:fill on="f" focussize="0,0"/>
                  <v:stroke weight="0.6pt" color="#000000" joinstyle="round"/>
                  <v:imagedata o:title=""/>
                  <o:lock v:ext="edit" aspectratio="f"/>
                </v:line>
                <w10:wrap type="none"/>
                <w10:anchorlock/>
              </v:group>
            </w:pict>
          </mc:Fallback>
        </mc:AlternateContent>
      </w:r>
    </w:p>
    <w:p>
      <w:pPr>
        <w:pStyle w:val="22"/>
        <w:bidi w:val="0"/>
        <w:rPr>
          <w:b/>
          <w:color w:val="auto"/>
          <w:sz w:val="21"/>
          <w:highlight w:val="none"/>
        </w:rPr>
      </w:pPr>
      <w:r>
        <w:rPr>
          <w:b/>
          <w:color w:val="auto"/>
          <w:sz w:val="21"/>
          <w:highlight w:val="none"/>
        </w:rPr>
        <w:t>表</w:t>
      </w:r>
      <w:r>
        <w:rPr>
          <w:b/>
          <w:color w:val="auto"/>
          <w:spacing w:val="-60"/>
          <w:sz w:val="21"/>
          <w:highlight w:val="none"/>
        </w:rPr>
        <w:t xml:space="preserve"> </w:t>
      </w:r>
      <w:r>
        <w:rPr>
          <w:rFonts w:ascii="Times New Roman" w:eastAsia="Times New Roman"/>
          <w:b/>
          <w:color w:val="auto"/>
          <w:sz w:val="21"/>
          <w:highlight w:val="none"/>
        </w:rPr>
        <w:t>9.3-1</w:t>
      </w:r>
      <w:r>
        <w:rPr>
          <w:rFonts w:ascii="Times New Roman" w:eastAsia="Times New Roman"/>
          <w:b/>
          <w:color w:val="auto"/>
          <w:sz w:val="21"/>
          <w:highlight w:val="none"/>
        </w:rPr>
        <w:tab/>
      </w:r>
      <w:r>
        <w:rPr>
          <w:b/>
          <w:color w:val="auto"/>
          <w:sz w:val="21"/>
          <w:highlight w:val="none"/>
        </w:rPr>
        <w:t>监测项</w:t>
      </w:r>
      <w:r>
        <w:rPr>
          <w:b/>
          <w:color w:val="auto"/>
          <w:spacing w:val="4"/>
          <w:sz w:val="21"/>
          <w:highlight w:val="none"/>
        </w:rPr>
        <w:t>目</w:t>
      </w:r>
      <w:r>
        <w:rPr>
          <w:b/>
          <w:color w:val="auto"/>
          <w:sz w:val="21"/>
          <w:highlight w:val="none"/>
        </w:rPr>
        <w:t>、监</w:t>
      </w:r>
      <w:r>
        <w:rPr>
          <w:b/>
          <w:color w:val="auto"/>
          <w:spacing w:val="4"/>
          <w:sz w:val="21"/>
          <w:highlight w:val="none"/>
        </w:rPr>
        <w:t>测</w:t>
      </w:r>
      <w:r>
        <w:rPr>
          <w:b/>
          <w:color w:val="auto"/>
          <w:sz w:val="21"/>
          <w:highlight w:val="none"/>
        </w:rPr>
        <w:t>频</w:t>
      </w:r>
      <w:r>
        <w:rPr>
          <w:b/>
          <w:color w:val="auto"/>
          <w:spacing w:val="4"/>
          <w:sz w:val="21"/>
          <w:highlight w:val="none"/>
        </w:rPr>
        <w:t>率</w:t>
      </w:r>
      <w:r>
        <w:rPr>
          <w:b/>
          <w:color w:val="auto"/>
          <w:sz w:val="21"/>
          <w:highlight w:val="none"/>
        </w:rPr>
        <w:t>及监测点</w:t>
      </w:r>
    </w:p>
    <w:tbl>
      <w:tblPr>
        <w:tblStyle w:val="17"/>
        <w:tblW w:w="0" w:type="auto"/>
        <w:tblInd w:w="11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08"/>
        <w:gridCol w:w="7105"/>
        <w:gridCol w:w="1516"/>
        <w:gridCol w:w="2334"/>
        <w:gridCol w:w="251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208" w:type="dxa"/>
            <w:tcBorders>
              <w:left w:val="nil"/>
              <w:bottom w:val="single" w:color="000000" w:sz="4" w:space="0"/>
              <w:right w:val="single" w:color="000000" w:sz="4" w:space="0"/>
            </w:tcBorders>
          </w:tcPr>
          <w:p>
            <w:pPr>
              <w:pStyle w:val="22"/>
              <w:bidi w:val="0"/>
              <w:rPr>
                <w:color w:val="auto"/>
                <w:highlight w:val="none"/>
              </w:rPr>
            </w:pPr>
            <w:r>
              <w:rPr>
                <w:color w:val="auto"/>
                <w:highlight w:val="none"/>
              </w:rPr>
              <w:t>监测要素</w:t>
            </w:r>
          </w:p>
        </w:tc>
        <w:tc>
          <w:tcPr>
            <w:tcW w:w="7105"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监测项目</w:t>
            </w:r>
          </w:p>
        </w:tc>
        <w:tc>
          <w:tcPr>
            <w:tcW w:w="1516"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监测频率</w:t>
            </w:r>
          </w:p>
        </w:tc>
        <w:tc>
          <w:tcPr>
            <w:tcW w:w="2334"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监测方法</w:t>
            </w:r>
          </w:p>
        </w:tc>
        <w:tc>
          <w:tcPr>
            <w:tcW w:w="2517" w:type="dxa"/>
            <w:tcBorders>
              <w:left w:val="single" w:color="000000" w:sz="4" w:space="0"/>
              <w:bottom w:val="single" w:color="000000" w:sz="4" w:space="0"/>
              <w:right w:val="nil"/>
            </w:tcBorders>
          </w:tcPr>
          <w:p>
            <w:pPr>
              <w:pStyle w:val="22"/>
              <w:bidi w:val="0"/>
              <w:rPr>
                <w:color w:val="auto"/>
                <w:highlight w:val="none"/>
              </w:rPr>
            </w:pPr>
            <w:r>
              <w:rPr>
                <w:color w:val="auto"/>
                <w:highlight w:val="none"/>
              </w:rPr>
              <w:t>监测布点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120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环境空气</w:t>
            </w:r>
          </w:p>
        </w:tc>
        <w:tc>
          <w:tcPr>
            <w:tcW w:w="710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TSP、PM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p>
        </w:tc>
        <w:tc>
          <w:tcPr>
            <w:tcW w:w="15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1次/a</w:t>
            </w:r>
          </w:p>
        </w:tc>
        <w:tc>
          <w:tcPr>
            <w:tcW w:w="23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按《环境空气质量标准》进行</w:t>
            </w:r>
          </w:p>
        </w:tc>
        <w:tc>
          <w:tcPr>
            <w:tcW w:w="251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矿区各矿井工业场地、煤矿家属区、居民集聚地、</w:t>
            </w:r>
            <w:r>
              <w:rPr>
                <w:rFonts w:hint="eastAsia"/>
                <w:color w:val="auto"/>
                <w:highlight w:val="none"/>
                <w:lang w:eastAsia="zh-CN"/>
              </w:rPr>
              <w:t>五峰山</w:t>
            </w:r>
            <w:r>
              <w:rPr>
                <w:color w:val="auto"/>
                <w:highlight w:val="none"/>
              </w:rPr>
              <w:t>国家森林公园等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1208" w:type="dxa"/>
            <w:vMerge w:val="restart"/>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地下水</w:t>
            </w:r>
          </w:p>
        </w:tc>
        <w:tc>
          <w:tcPr>
            <w:tcW w:w="710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pH、总硬度、溶解性总固体、硫酸盐、氯化物、铁、锰、铜、锌、铝、挥发性酚类、阴离子表面活性剂、耗氧量、氨氮、硫化物、钠、总大肠菌群、细菌总数、亚硝酸盐、硝酸盐、氰化物、氟化物、碘化物、汞、砷、硒、镉、铬(六价)、铅、水位，共计30项</w:t>
            </w:r>
          </w:p>
        </w:tc>
        <w:tc>
          <w:tcPr>
            <w:tcW w:w="15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1次/a</w:t>
            </w:r>
          </w:p>
        </w:tc>
        <w:tc>
          <w:tcPr>
            <w:tcW w:w="23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p>
          <w:p>
            <w:pPr>
              <w:pStyle w:val="22"/>
              <w:bidi w:val="0"/>
              <w:rPr>
                <w:color w:val="auto"/>
                <w:highlight w:val="none"/>
              </w:rPr>
            </w:pPr>
            <w:r>
              <w:rPr>
                <w:color w:val="auto"/>
                <w:highlight w:val="none"/>
              </w:rPr>
              <w:t>按《地下水环境监测技术 规范》进行</w:t>
            </w:r>
          </w:p>
        </w:tc>
        <w:tc>
          <w:tcPr>
            <w:tcW w:w="251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矿井附近的村庄居民水井、排矸场等附近地下水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208" w:type="dxa"/>
            <w:vMerge w:val="continue"/>
            <w:tcBorders>
              <w:top w:val="nil"/>
              <w:left w:val="nil"/>
              <w:bottom w:val="single" w:color="000000" w:sz="4" w:space="0"/>
              <w:right w:val="single" w:color="000000" w:sz="4" w:space="0"/>
            </w:tcBorders>
          </w:tcPr>
          <w:p>
            <w:pPr>
              <w:pStyle w:val="22"/>
              <w:bidi w:val="0"/>
              <w:rPr>
                <w:color w:val="auto"/>
                <w:highlight w:val="none"/>
              </w:rPr>
            </w:pPr>
          </w:p>
        </w:tc>
        <w:tc>
          <w:tcPr>
            <w:tcW w:w="710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导水裂隙带发育高度</w:t>
            </w:r>
          </w:p>
        </w:tc>
        <w:tc>
          <w:tcPr>
            <w:tcW w:w="15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1次/a</w:t>
            </w:r>
          </w:p>
        </w:tc>
        <w:tc>
          <w:tcPr>
            <w:tcW w:w="23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w:t>
            </w:r>
          </w:p>
        </w:tc>
        <w:tc>
          <w:tcPr>
            <w:tcW w:w="251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0" w:hRule="atLeast"/>
        </w:trPr>
        <w:tc>
          <w:tcPr>
            <w:tcW w:w="120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噪声</w:t>
            </w:r>
          </w:p>
        </w:tc>
        <w:tc>
          <w:tcPr>
            <w:tcW w:w="710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项目工业场地、居住区及场地附近居民点环境噪声，各厂界及运输道路两侧环境噪声</w:t>
            </w:r>
          </w:p>
        </w:tc>
        <w:tc>
          <w:tcPr>
            <w:tcW w:w="15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2次/a，监测昼间和夜间</w:t>
            </w:r>
          </w:p>
        </w:tc>
        <w:tc>
          <w:tcPr>
            <w:tcW w:w="23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按《城市区域环境噪声测量方法》、《声学环境噪声测量方法》进行</w:t>
            </w:r>
          </w:p>
        </w:tc>
        <w:tc>
          <w:tcPr>
            <w:tcW w:w="251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环境敏感点、运输道路两 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20" w:hRule="atLeast"/>
        </w:trPr>
        <w:tc>
          <w:tcPr>
            <w:tcW w:w="120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土壤</w:t>
            </w:r>
          </w:p>
        </w:tc>
        <w:tc>
          <w:tcPr>
            <w:tcW w:w="710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农用地监测指标：pH、镉、铬、汞、砷、铅、铜、锌、镍。</w:t>
            </w:r>
          </w:p>
          <w:p>
            <w:pPr>
              <w:pStyle w:val="22"/>
              <w:bidi w:val="0"/>
              <w:rPr>
                <w:color w:val="auto"/>
                <w:highlight w:val="none"/>
              </w:rPr>
            </w:pPr>
            <w:r>
              <w:rPr>
                <w:color w:val="auto"/>
                <w:highlight w:val="none"/>
              </w:rPr>
              <w:t>建设用地监测指标：砷、汞、铜、铅、六价铬、镍、镉、四氯化碳、氯仿、氯甲烷、1，1-二氯乙烷、1，2-二氯乙烷、1，1- 二氯乙烯、顺-1，2-二氯乙烯、反-1，2-二氯乙烯、二氯甲烷、 1，2-二氯丙烷、1，1，1，2-四氯乙烷、1，1，2，2-四氯乙烷、 四氯乙烯、1，1，1-三氯乙烷、1，1，2-三氯乙烷、三氯乙烯、 1，2，3-三氯丙烷、氯乙烯、苯、氯苯、1，2-二氯苯、1，4- 二氯苯、乙苯、苯乙烯、甲苯、间+对二甲苯、邻二甲苯、硝基苯、苯胺、2-氯酚、苯并[ａ]蒽、苯并[ａ]芘、苯并[ｂ]荧蒽、苯并[k]荧蒽、䓛、二苯并[ａ、h]蒽、茚并[1，2，3-cd]芘、萘。</w:t>
            </w:r>
          </w:p>
        </w:tc>
        <w:tc>
          <w:tcPr>
            <w:tcW w:w="15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原则上1次/5年，或者根据需要进行</w:t>
            </w:r>
          </w:p>
        </w:tc>
        <w:tc>
          <w:tcPr>
            <w:tcW w:w="23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按《土壤环境质量农用地 土壤污染风险管控标准（试行）》、《土壤环境 质量建设用地土壤污染风险管控标准（试行）》《土壤环境监测技术规范》进行</w:t>
            </w:r>
          </w:p>
        </w:tc>
        <w:tc>
          <w:tcPr>
            <w:tcW w:w="251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矿区草地及耕地密集区，排矸场、取土场等工业场、 地附近，道路两侧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7" w:hRule="atLeast"/>
        </w:trPr>
        <w:tc>
          <w:tcPr>
            <w:tcW w:w="120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地表岩移</w:t>
            </w:r>
          </w:p>
        </w:tc>
        <w:tc>
          <w:tcPr>
            <w:tcW w:w="710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地表岩移观测</w:t>
            </w:r>
          </w:p>
        </w:tc>
        <w:tc>
          <w:tcPr>
            <w:tcW w:w="1516"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随工作面推进</w:t>
            </w:r>
          </w:p>
        </w:tc>
        <w:tc>
          <w:tcPr>
            <w:tcW w:w="2334"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w:t>
            </w:r>
          </w:p>
        </w:tc>
        <w:tc>
          <w:tcPr>
            <w:tcW w:w="2517"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采空区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37" w:hRule="atLeast"/>
        </w:trPr>
        <w:tc>
          <w:tcPr>
            <w:tcW w:w="1208" w:type="dxa"/>
            <w:tcBorders>
              <w:top w:val="single" w:color="000000" w:sz="4" w:space="0"/>
              <w:left w:val="nil"/>
              <w:right w:val="single" w:color="000000" w:sz="4" w:space="0"/>
            </w:tcBorders>
          </w:tcPr>
          <w:p>
            <w:pPr>
              <w:pStyle w:val="22"/>
              <w:bidi w:val="0"/>
              <w:rPr>
                <w:color w:val="auto"/>
                <w:highlight w:val="none"/>
              </w:rPr>
            </w:pPr>
            <w:r>
              <w:rPr>
                <w:color w:val="auto"/>
                <w:highlight w:val="none"/>
              </w:rPr>
              <w:t>植被及生态景观</w:t>
            </w:r>
          </w:p>
        </w:tc>
        <w:tc>
          <w:tcPr>
            <w:tcW w:w="710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植被类型、植物种类、森林覆盖率、矿区植被生产力、生物量、国家及地  方重要保护植物</w:t>
            </w:r>
          </w:p>
        </w:tc>
        <w:tc>
          <w:tcPr>
            <w:tcW w:w="1516"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1次/a</w:t>
            </w:r>
          </w:p>
        </w:tc>
        <w:tc>
          <w:tcPr>
            <w:tcW w:w="2334"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实地调查、资料收集、遥 感影像分析相结合</w:t>
            </w:r>
          </w:p>
        </w:tc>
        <w:tc>
          <w:tcPr>
            <w:tcW w:w="2517" w:type="dxa"/>
            <w:tcBorders>
              <w:top w:val="single" w:color="000000" w:sz="4" w:space="0"/>
              <w:left w:val="single" w:color="000000" w:sz="4" w:space="0"/>
              <w:right w:val="nil"/>
            </w:tcBorders>
          </w:tcPr>
          <w:p>
            <w:pPr>
              <w:pStyle w:val="22"/>
              <w:bidi w:val="0"/>
              <w:rPr>
                <w:color w:val="auto"/>
                <w:highlight w:val="none"/>
              </w:rPr>
            </w:pPr>
            <w:r>
              <w:rPr>
                <w:color w:val="auto"/>
                <w:highlight w:val="none"/>
              </w:rPr>
              <w:t>各矿井工业场地和排矸场、取土场等附近，道路两侧</w:t>
            </w:r>
          </w:p>
        </w:tc>
      </w:tr>
    </w:tbl>
    <w:p>
      <w:pPr>
        <w:spacing w:before="0"/>
        <w:ind w:left="2" w:right="18" w:firstLine="0"/>
        <w:jc w:val="center"/>
        <w:rPr>
          <w:rFonts w:ascii="Times New Roman"/>
          <w:color w:val="auto"/>
          <w:sz w:val="18"/>
          <w:highlight w:val="none"/>
        </w:rPr>
      </w:pPr>
      <w:r>
        <w:rPr>
          <w:rFonts w:ascii="Times New Roman"/>
          <w:color w:val="auto"/>
          <w:sz w:val="18"/>
          <w:highlight w:val="none"/>
        </w:rPr>
        <w:t>187</w:t>
      </w:r>
    </w:p>
    <w:p>
      <w:pPr>
        <w:spacing w:after="0"/>
        <w:jc w:val="center"/>
        <w:rPr>
          <w:rFonts w:ascii="Times New Roman"/>
          <w:color w:val="auto"/>
          <w:sz w:val="18"/>
          <w:highlight w:val="none"/>
        </w:rPr>
        <w:sectPr>
          <w:headerReference r:id="rId17" w:type="default"/>
          <w:footerReference r:id="rId18" w:type="default"/>
          <w:pgSz w:w="16840" w:h="11910" w:orient="landscape"/>
          <w:pgMar w:top="820" w:right="940" w:bottom="280" w:left="960" w:header="0" w:footer="0" w:gutter="0"/>
          <w:pgBorders>
            <w:top w:val="none" w:sz="0" w:space="0"/>
            <w:left w:val="none" w:sz="0" w:space="0"/>
            <w:bottom w:val="none" w:sz="0" w:space="0"/>
            <w:right w:val="none" w:sz="0" w:space="0"/>
          </w:pgBorders>
          <w:pgNumType w:fmt="decimal"/>
          <w:cols w:space="720" w:num="1"/>
        </w:sectPr>
      </w:pPr>
    </w:p>
    <w:p>
      <w:pPr>
        <w:pStyle w:val="7"/>
        <w:numPr>
          <w:ilvl w:val="3"/>
          <w:numId w:val="18"/>
        </w:numPr>
        <w:bidi w:val="0"/>
        <w:ind w:left="0" w:leftChars="0" w:firstLine="0" w:firstLineChars="0"/>
        <w:rPr>
          <w:color w:val="auto"/>
          <w:highlight w:val="none"/>
        </w:rPr>
      </w:pPr>
      <w:r>
        <w:rPr>
          <w:color w:val="auto"/>
          <w:highlight w:val="none"/>
        </w:rPr>
        <w:t>地表形态变化监测</w:t>
      </w:r>
    </w:p>
    <w:p>
      <w:pPr>
        <w:bidi w:val="0"/>
        <w:rPr>
          <w:color w:val="auto"/>
          <w:highlight w:val="none"/>
        </w:rPr>
      </w:pPr>
      <w:r>
        <w:rPr>
          <w:color w:val="auto"/>
          <w:highlight w:val="none"/>
        </w:rPr>
        <w:t>对煤矿的地表变形，应建立长期的观测站，实施地表移动变形动态观测，对下沉、水平移动、水平变形、曲率变形和倾斜变形进行监测，观测站的位置选择在煤层综合厚度最大处附近地表。</w:t>
      </w:r>
    </w:p>
    <w:p>
      <w:pPr>
        <w:pStyle w:val="7"/>
        <w:numPr>
          <w:ilvl w:val="3"/>
          <w:numId w:val="18"/>
        </w:numPr>
        <w:bidi w:val="0"/>
        <w:rPr>
          <w:color w:val="auto"/>
          <w:highlight w:val="none"/>
        </w:rPr>
      </w:pPr>
      <w:r>
        <w:rPr>
          <w:color w:val="auto"/>
          <w:highlight w:val="none"/>
        </w:rPr>
        <w:t>污染源监测</w:t>
      </w:r>
    </w:p>
    <w:p>
      <w:pPr>
        <w:bidi w:val="0"/>
        <w:rPr>
          <w:color w:val="auto"/>
          <w:highlight w:val="none"/>
        </w:rPr>
      </w:pPr>
      <w:r>
        <w:rPr>
          <w:color w:val="auto"/>
          <w:highlight w:val="none"/>
        </w:rPr>
        <w:t>污染源监测主要包括：大气污染源、水体污染源、噪声污染源、采煤地表沉陷、事故监测等。</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）大气污染源监测</w:t>
      </w:r>
    </w:p>
    <w:p>
      <w:pPr>
        <w:bidi w:val="0"/>
        <w:rPr>
          <w:color w:val="auto"/>
          <w:highlight w:val="none"/>
        </w:rPr>
      </w:pPr>
      <w:r>
        <w:rPr>
          <w:color w:val="auto"/>
          <w:highlight w:val="none"/>
        </w:rPr>
        <w:t xml:space="preserve">结合矿区各矿井实际情况，大气污染源主要为颗粒物无组织排放，其监测位置见表 </w:t>
      </w:r>
      <w:r>
        <w:rPr>
          <w:rFonts w:ascii="Times New Roman" w:eastAsia="Times New Roman"/>
          <w:color w:val="auto"/>
          <w:highlight w:val="none"/>
        </w:rPr>
        <w:t>9.3-</w:t>
      </w:r>
      <w:r>
        <w:rPr>
          <w:rFonts w:hint="eastAsia"/>
          <w:color w:val="auto"/>
          <w:highlight w:val="none"/>
          <w:lang w:val="en-US" w:eastAsia="zh-CN"/>
        </w:rPr>
        <w:t>2</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5"/>
          <w:sz w:val="21"/>
          <w:highlight w:val="none"/>
        </w:rPr>
        <w:t xml:space="preserve"> </w:t>
      </w:r>
      <w:r>
        <w:rPr>
          <w:rFonts w:ascii="Times New Roman" w:eastAsia="Times New Roman"/>
          <w:b/>
          <w:color w:val="auto"/>
          <w:sz w:val="21"/>
          <w:highlight w:val="none"/>
        </w:rPr>
        <w:t>9.3-</w:t>
      </w:r>
      <w:r>
        <w:rPr>
          <w:rFonts w:hint="eastAsia"/>
          <w:b/>
          <w:color w:val="auto"/>
          <w:sz w:val="21"/>
          <w:highlight w:val="none"/>
          <w:lang w:val="en-US" w:eastAsia="zh-CN"/>
        </w:rPr>
        <w:t>2</w:t>
      </w:r>
      <w:r>
        <w:rPr>
          <w:rFonts w:ascii="Times New Roman" w:eastAsia="Times New Roman"/>
          <w:b/>
          <w:color w:val="auto"/>
          <w:sz w:val="21"/>
          <w:highlight w:val="none"/>
        </w:rPr>
        <w:tab/>
      </w:r>
      <w:r>
        <w:rPr>
          <w:b/>
          <w:color w:val="auto"/>
          <w:sz w:val="21"/>
          <w:highlight w:val="none"/>
        </w:rPr>
        <w:t>无组织废气监测一览表</w:t>
      </w:r>
    </w:p>
    <w:tbl>
      <w:tblPr>
        <w:tblStyle w:val="17"/>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71"/>
        <w:gridCol w:w="2217"/>
        <w:gridCol w:w="1500"/>
        <w:gridCol w:w="1125"/>
        <w:gridCol w:w="29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371" w:type="dxa"/>
            <w:tcBorders>
              <w:left w:val="nil"/>
              <w:bottom w:val="single" w:color="000000" w:sz="4" w:space="0"/>
              <w:right w:val="single" w:color="000000" w:sz="4" w:space="0"/>
            </w:tcBorders>
          </w:tcPr>
          <w:p>
            <w:pPr>
              <w:pStyle w:val="22"/>
              <w:bidi w:val="0"/>
              <w:rPr>
                <w:color w:val="auto"/>
                <w:highlight w:val="none"/>
              </w:rPr>
            </w:pPr>
            <w:r>
              <w:rPr>
                <w:color w:val="auto"/>
                <w:highlight w:val="none"/>
              </w:rPr>
              <w:t>污染源</w:t>
            </w:r>
          </w:p>
        </w:tc>
        <w:tc>
          <w:tcPr>
            <w:tcW w:w="2217"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监测点位</w:t>
            </w:r>
          </w:p>
        </w:tc>
        <w:tc>
          <w:tcPr>
            <w:tcW w:w="150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监测指标</w:t>
            </w:r>
          </w:p>
        </w:tc>
        <w:tc>
          <w:tcPr>
            <w:tcW w:w="1125"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监测频次</w:t>
            </w:r>
          </w:p>
        </w:tc>
        <w:tc>
          <w:tcPr>
            <w:tcW w:w="2967" w:type="dxa"/>
            <w:tcBorders>
              <w:left w:val="single" w:color="000000" w:sz="4" w:space="0"/>
              <w:bottom w:val="single" w:color="000000" w:sz="4" w:space="0"/>
              <w:right w:val="nil"/>
            </w:tcBorders>
          </w:tcPr>
          <w:p>
            <w:pPr>
              <w:pStyle w:val="22"/>
              <w:bidi w:val="0"/>
              <w:rPr>
                <w:color w:val="auto"/>
                <w:highlight w:val="none"/>
              </w:rPr>
            </w:pPr>
            <w:r>
              <w:rPr>
                <w:color w:val="auto"/>
                <w:highlight w:val="none"/>
              </w:rPr>
              <w:t>执行标准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trPr>
        <w:tc>
          <w:tcPr>
            <w:tcW w:w="1371"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临时排矸场</w:t>
            </w:r>
          </w:p>
        </w:tc>
        <w:tc>
          <w:tcPr>
            <w:tcW w:w="2217"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各矿井矸石场四周</w:t>
            </w:r>
          </w:p>
        </w:tc>
        <w:tc>
          <w:tcPr>
            <w:tcW w:w="150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颗粒物、SO</w:t>
            </w:r>
            <w:r>
              <w:rPr>
                <w:color w:val="auto"/>
                <w:highlight w:val="none"/>
                <w:vertAlign w:val="subscript"/>
              </w:rPr>
              <w:t>2</w:t>
            </w:r>
          </w:p>
        </w:tc>
        <w:tc>
          <w:tcPr>
            <w:tcW w:w="1125"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季/次</w:t>
            </w:r>
          </w:p>
        </w:tc>
        <w:tc>
          <w:tcPr>
            <w:tcW w:w="2967" w:type="dxa"/>
            <w:vMerge w:val="restart"/>
            <w:tcBorders>
              <w:top w:val="single" w:color="000000" w:sz="4" w:space="0"/>
              <w:left w:val="single" w:color="000000" w:sz="4" w:space="0"/>
              <w:right w:val="nil"/>
            </w:tcBorders>
          </w:tcPr>
          <w:p>
            <w:pPr>
              <w:pStyle w:val="22"/>
              <w:bidi w:val="0"/>
              <w:rPr>
                <w:color w:val="auto"/>
                <w:highlight w:val="none"/>
              </w:rPr>
            </w:pPr>
            <w:r>
              <w:rPr>
                <w:color w:val="auto"/>
                <w:highlight w:val="none"/>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1371" w:type="dxa"/>
            <w:tcBorders>
              <w:top w:val="single" w:color="000000" w:sz="4" w:space="0"/>
              <w:left w:val="nil"/>
              <w:right w:val="single" w:color="000000" w:sz="4" w:space="0"/>
            </w:tcBorders>
          </w:tcPr>
          <w:p>
            <w:pPr>
              <w:pStyle w:val="22"/>
              <w:bidi w:val="0"/>
              <w:rPr>
                <w:color w:val="auto"/>
                <w:highlight w:val="none"/>
              </w:rPr>
            </w:pPr>
            <w:r>
              <w:rPr>
                <w:color w:val="auto"/>
                <w:highlight w:val="none"/>
              </w:rPr>
              <w:t>工业场地</w:t>
            </w:r>
          </w:p>
        </w:tc>
        <w:tc>
          <w:tcPr>
            <w:tcW w:w="2217"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各矿井工业场地四周</w:t>
            </w:r>
          </w:p>
        </w:tc>
        <w:tc>
          <w:tcPr>
            <w:tcW w:w="150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颗粒物</w:t>
            </w:r>
          </w:p>
        </w:tc>
        <w:tc>
          <w:tcPr>
            <w:tcW w:w="1125"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季/次</w:t>
            </w:r>
          </w:p>
        </w:tc>
        <w:tc>
          <w:tcPr>
            <w:tcW w:w="2967" w:type="dxa"/>
            <w:vMerge w:val="continue"/>
            <w:tcBorders>
              <w:top w:val="nil"/>
              <w:left w:val="single" w:color="000000" w:sz="4" w:space="0"/>
              <w:right w:val="nil"/>
            </w:tcBorders>
          </w:tcPr>
          <w:p>
            <w:pPr>
              <w:pStyle w:val="22"/>
              <w:bidi w:val="0"/>
              <w:rPr>
                <w:color w:val="auto"/>
                <w:highlight w:val="none"/>
              </w:rPr>
            </w:pPr>
          </w:p>
        </w:tc>
      </w:tr>
    </w:tbl>
    <w:p>
      <w:pPr>
        <w:bidi w:val="0"/>
        <w:rPr>
          <w:color w:val="auto"/>
          <w:highlight w:val="none"/>
        </w:rPr>
      </w:pPr>
      <w:r>
        <w:rPr>
          <w:color w:val="auto"/>
          <w:highlight w:val="none"/>
        </w:rPr>
        <w:t>（</w:t>
      </w:r>
      <w:r>
        <w:rPr>
          <w:rFonts w:ascii="Times New Roman" w:eastAsia="Times New Roman"/>
          <w:color w:val="auto"/>
          <w:highlight w:val="none"/>
        </w:rPr>
        <w:t>2</w:t>
      </w:r>
      <w:r>
        <w:rPr>
          <w:color w:val="auto"/>
          <w:highlight w:val="none"/>
        </w:rPr>
        <w:t>）地表水污染源监测</w:t>
      </w:r>
    </w:p>
    <w:p>
      <w:pPr>
        <w:bidi w:val="0"/>
        <w:rPr>
          <w:color w:val="auto"/>
          <w:highlight w:val="none"/>
        </w:rPr>
      </w:pPr>
      <w:r>
        <w:rPr>
          <w:color w:val="auto"/>
          <w:spacing w:val="-4"/>
          <w:highlight w:val="none"/>
        </w:rPr>
        <w:t>废水排放监测点位、监测指标等，见表</w:t>
      </w:r>
      <w:r>
        <w:rPr>
          <w:rFonts w:ascii="Times New Roman" w:eastAsia="Times New Roman"/>
          <w:color w:val="auto"/>
          <w:highlight w:val="none"/>
        </w:rPr>
        <w:t>9.3-</w:t>
      </w:r>
      <w:r>
        <w:rPr>
          <w:rFonts w:hint="eastAsia"/>
          <w:color w:val="auto"/>
          <w:highlight w:val="none"/>
          <w:lang w:val="en-US" w:eastAsia="zh-CN"/>
        </w:rPr>
        <w:t>3</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3"/>
          <w:sz w:val="21"/>
          <w:highlight w:val="none"/>
        </w:rPr>
        <w:t xml:space="preserve"> </w:t>
      </w:r>
      <w:r>
        <w:rPr>
          <w:rFonts w:ascii="Times New Roman" w:eastAsia="Times New Roman"/>
          <w:b/>
          <w:color w:val="auto"/>
          <w:sz w:val="21"/>
          <w:highlight w:val="none"/>
        </w:rPr>
        <w:t>9.3-</w:t>
      </w:r>
      <w:r>
        <w:rPr>
          <w:rFonts w:hint="eastAsia"/>
          <w:b/>
          <w:color w:val="auto"/>
          <w:sz w:val="21"/>
          <w:highlight w:val="none"/>
          <w:lang w:val="en-US" w:eastAsia="zh-CN"/>
        </w:rPr>
        <w:t>3</w:t>
      </w:r>
      <w:r>
        <w:rPr>
          <w:rFonts w:ascii="Times New Roman" w:eastAsia="Times New Roman"/>
          <w:b/>
          <w:color w:val="auto"/>
          <w:sz w:val="21"/>
          <w:highlight w:val="none"/>
        </w:rPr>
        <w:tab/>
      </w:r>
      <w:r>
        <w:rPr>
          <w:b/>
          <w:color w:val="auto"/>
          <w:w w:val="95"/>
          <w:sz w:val="21"/>
          <w:highlight w:val="none"/>
        </w:rPr>
        <w:t>废水监测一览表</w:t>
      </w:r>
    </w:p>
    <w:tbl>
      <w:tblPr>
        <w:tblStyle w:val="17"/>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58"/>
        <w:gridCol w:w="1550"/>
        <w:gridCol w:w="4550"/>
        <w:gridCol w:w="13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758" w:type="dxa"/>
            <w:tcBorders>
              <w:left w:val="nil"/>
              <w:bottom w:val="single" w:color="000000" w:sz="4" w:space="0"/>
              <w:right w:val="single" w:color="000000" w:sz="4" w:space="0"/>
            </w:tcBorders>
          </w:tcPr>
          <w:p>
            <w:pPr>
              <w:pStyle w:val="22"/>
              <w:bidi w:val="0"/>
              <w:rPr>
                <w:color w:val="auto"/>
                <w:highlight w:val="none"/>
              </w:rPr>
            </w:pPr>
            <w:r>
              <w:rPr>
                <w:color w:val="auto"/>
                <w:highlight w:val="none"/>
              </w:rPr>
              <w:t>污染源</w:t>
            </w:r>
          </w:p>
        </w:tc>
        <w:tc>
          <w:tcPr>
            <w:tcW w:w="155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监测点位</w:t>
            </w:r>
          </w:p>
        </w:tc>
        <w:tc>
          <w:tcPr>
            <w:tcW w:w="455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监测指标</w:t>
            </w:r>
          </w:p>
        </w:tc>
        <w:tc>
          <w:tcPr>
            <w:tcW w:w="1322" w:type="dxa"/>
            <w:tcBorders>
              <w:left w:val="single" w:color="000000" w:sz="4" w:space="0"/>
              <w:bottom w:val="single" w:color="000000" w:sz="4" w:space="0"/>
              <w:right w:val="nil"/>
            </w:tcBorders>
          </w:tcPr>
          <w:p>
            <w:pPr>
              <w:pStyle w:val="22"/>
              <w:bidi w:val="0"/>
              <w:rPr>
                <w:color w:val="auto"/>
                <w:highlight w:val="none"/>
              </w:rPr>
            </w:pPr>
            <w:r>
              <w:rPr>
                <w:color w:val="auto"/>
                <w:highlight w:val="none"/>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trPr>
        <w:tc>
          <w:tcPr>
            <w:tcW w:w="1758" w:type="dxa"/>
            <w:tcBorders>
              <w:top w:val="single" w:color="000000" w:sz="4" w:space="0"/>
              <w:left w:val="nil"/>
              <w:bottom w:val="single" w:color="000000" w:sz="4" w:space="0"/>
              <w:right w:val="single" w:color="000000" w:sz="4" w:space="0"/>
            </w:tcBorders>
          </w:tcPr>
          <w:p>
            <w:pPr>
              <w:pStyle w:val="22"/>
              <w:bidi w:val="0"/>
              <w:rPr>
                <w:color w:val="auto"/>
                <w:highlight w:val="none"/>
              </w:rPr>
            </w:pPr>
            <w:r>
              <w:rPr>
                <w:color w:val="auto"/>
                <w:highlight w:val="none"/>
              </w:rPr>
              <w:t>生活污水处理站</w:t>
            </w:r>
          </w:p>
        </w:tc>
        <w:tc>
          <w:tcPr>
            <w:tcW w:w="155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设施出水口</w:t>
            </w:r>
          </w:p>
        </w:tc>
        <w:tc>
          <w:tcPr>
            <w:tcW w:w="455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pH、SS、CODcr、BOD</w:t>
            </w:r>
            <w:r>
              <w:rPr>
                <w:color w:val="auto"/>
                <w:highlight w:val="none"/>
                <w:vertAlign w:val="subscript"/>
              </w:rPr>
              <w:t>5</w:t>
            </w:r>
            <w:r>
              <w:rPr>
                <w:color w:val="auto"/>
                <w:highlight w:val="none"/>
              </w:rPr>
              <w:t>、石油类、氨氮、总磷、总氮。</w:t>
            </w:r>
          </w:p>
        </w:tc>
        <w:tc>
          <w:tcPr>
            <w:tcW w:w="1322"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季/次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1758" w:type="dxa"/>
            <w:tcBorders>
              <w:top w:val="single" w:color="000000" w:sz="4" w:space="0"/>
              <w:left w:val="nil"/>
              <w:right w:val="single" w:color="000000" w:sz="4" w:space="0"/>
            </w:tcBorders>
          </w:tcPr>
          <w:p>
            <w:pPr>
              <w:pStyle w:val="22"/>
              <w:bidi w:val="0"/>
              <w:rPr>
                <w:color w:val="auto"/>
                <w:highlight w:val="none"/>
              </w:rPr>
            </w:pPr>
            <w:r>
              <w:rPr>
                <w:color w:val="auto"/>
                <w:highlight w:val="none"/>
              </w:rPr>
              <w:t>生产废水处理站</w:t>
            </w:r>
          </w:p>
        </w:tc>
        <w:tc>
          <w:tcPr>
            <w:tcW w:w="155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设施出水口</w:t>
            </w:r>
          </w:p>
        </w:tc>
        <w:tc>
          <w:tcPr>
            <w:tcW w:w="455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pH、CODcr、BOD</w:t>
            </w:r>
            <w:r>
              <w:rPr>
                <w:color w:val="auto"/>
                <w:highlight w:val="none"/>
                <w:vertAlign w:val="subscript"/>
              </w:rPr>
              <w:t>5</w:t>
            </w:r>
            <w:r>
              <w:rPr>
                <w:color w:val="auto"/>
                <w:highlight w:val="none"/>
              </w:rPr>
              <w:t>、SS、氨氮</w:t>
            </w:r>
            <w:r>
              <w:rPr>
                <w:rFonts w:hint="eastAsia"/>
                <w:color w:val="auto"/>
                <w:highlight w:val="none"/>
                <w:lang w:eastAsia="zh-CN"/>
              </w:rPr>
              <w:t>、石油类、砷、汞、铅</w:t>
            </w:r>
            <w:r>
              <w:rPr>
                <w:color w:val="auto"/>
                <w:highlight w:val="none"/>
              </w:rPr>
              <w:t>等。</w:t>
            </w:r>
          </w:p>
        </w:tc>
        <w:tc>
          <w:tcPr>
            <w:tcW w:w="1322" w:type="dxa"/>
            <w:tcBorders>
              <w:top w:val="single" w:color="000000" w:sz="4" w:space="0"/>
              <w:left w:val="single" w:color="000000" w:sz="4" w:space="0"/>
              <w:right w:val="nil"/>
            </w:tcBorders>
          </w:tcPr>
          <w:p>
            <w:pPr>
              <w:pStyle w:val="22"/>
              <w:bidi w:val="0"/>
              <w:rPr>
                <w:color w:val="auto"/>
                <w:highlight w:val="none"/>
              </w:rPr>
            </w:pPr>
            <w:r>
              <w:rPr>
                <w:color w:val="auto"/>
                <w:highlight w:val="none"/>
              </w:rPr>
              <w:t>季/次</w:t>
            </w:r>
          </w:p>
        </w:tc>
      </w:tr>
    </w:tbl>
    <w:p>
      <w:pPr>
        <w:numPr>
          <w:ilvl w:val="0"/>
          <w:numId w:val="0"/>
        </w:numPr>
        <w:bidi w:val="0"/>
        <w:ind w:leftChars="200" w:right="0" w:rightChars="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噪声源监测</w:t>
      </w:r>
    </w:p>
    <w:p>
      <w:pPr>
        <w:bidi w:val="0"/>
        <w:rPr>
          <w:color w:val="auto"/>
          <w:highlight w:val="none"/>
        </w:rPr>
      </w:pPr>
      <w:r>
        <w:rPr>
          <w:color w:val="auto"/>
          <w:highlight w:val="none"/>
        </w:rPr>
        <w:t>厂界环境噪声监测见表</w:t>
      </w:r>
      <w:r>
        <w:rPr>
          <w:rFonts w:ascii="Times New Roman" w:eastAsia="Times New Roman"/>
          <w:color w:val="auto"/>
          <w:highlight w:val="none"/>
        </w:rPr>
        <w:t>9.3-</w:t>
      </w:r>
      <w:r>
        <w:rPr>
          <w:rFonts w:hint="eastAsia"/>
          <w:color w:val="auto"/>
          <w:highlight w:val="none"/>
          <w:lang w:val="en-US" w:eastAsia="zh-CN"/>
        </w:rPr>
        <w:t>4</w:t>
      </w:r>
      <w:r>
        <w:rPr>
          <w:color w:val="auto"/>
          <w:highlight w:val="none"/>
        </w:rPr>
        <w:t>。</w:t>
      </w:r>
    </w:p>
    <w:p>
      <w:pPr>
        <w:pStyle w:val="22"/>
        <w:bidi w:val="0"/>
        <w:rPr>
          <w:b/>
          <w:color w:val="auto"/>
          <w:sz w:val="21"/>
          <w:highlight w:val="none"/>
        </w:rPr>
      </w:pPr>
      <w:r>
        <w:rPr>
          <w:b/>
          <w:color w:val="auto"/>
          <w:sz w:val="21"/>
          <w:highlight w:val="none"/>
        </w:rPr>
        <w:t>表</w:t>
      </w:r>
      <w:r>
        <w:rPr>
          <w:b/>
          <w:color w:val="auto"/>
          <w:spacing w:val="-53"/>
          <w:sz w:val="21"/>
          <w:highlight w:val="none"/>
        </w:rPr>
        <w:t xml:space="preserve"> </w:t>
      </w:r>
      <w:r>
        <w:rPr>
          <w:rFonts w:ascii="Times New Roman" w:eastAsia="Times New Roman"/>
          <w:b/>
          <w:color w:val="auto"/>
          <w:sz w:val="21"/>
          <w:highlight w:val="none"/>
        </w:rPr>
        <w:t>9.3-</w:t>
      </w:r>
      <w:r>
        <w:rPr>
          <w:rFonts w:hint="eastAsia"/>
          <w:b/>
          <w:color w:val="auto"/>
          <w:sz w:val="21"/>
          <w:highlight w:val="none"/>
          <w:lang w:val="en-US" w:eastAsia="zh-CN"/>
        </w:rPr>
        <w:t>4</w:t>
      </w:r>
      <w:r>
        <w:rPr>
          <w:rFonts w:ascii="Times New Roman" w:eastAsia="Times New Roman"/>
          <w:b/>
          <w:color w:val="auto"/>
          <w:sz w:val="21"/>
          <w:highlight w:val="none"/>
        </w:rPr>
        <w:tab/>
      </w:r>
      <w:r>
        <w:rPr>
          <w:b/>
          <w:color w:val="auto"/>
          <w:sz w:val="21"/>
          <w:highlight w:val="none"/>
        </w:rPr>
        <w:t>厂界环境噪声监测一览表</w:t>
      </w:r>
    </w:p>
    <w:tbl>
      <w:tblPr>
        <w:tblStyle w:val="17"/>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7"/>
        <w:gridCol w:w="4203"/>
        <w:gridCol w:w="1730"/>
        <w:gridCol w:w="23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947" w:type="dxa"/>
            <w:tcBorders>
              <w:left w:val="nil"/>
              <w:bottom w:val="single" w:color="000000" w:sz="4" w:space="0"/>
              <w:right w:val="single" w:color="000000" w:sz="4" w:space="0"/>
            </w:tcBorders>
          </w:tcPr>
          <w:p>
            <w:pPr>
              <w:pStyle w:val="22"/>
              <w:bidi w:val="0"/>
              <w:rPr>
                <w:color w:val="auto"/>
                <w:highlight w:val="none"/>
              </w:rPr>
            </w:pPr>
            <w:r>
              <w:rPr>
                <w:color w:val="auto"/>
                <w:highlight w:val="none"/>
              </w:rPr>
              <w:t>项目</w:t>
            </w:r>
          </w:p>
        </w:tc>
        <w:tc>
          <w:tcPr>
            <w:tcW w:w="4203"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监测点位</w:t>
            </w:r>
          </w:p>
        </w:tc>
        <w:tc>
          <w:tcPr>
            <w:tcW w:w="1730" w:type="dxa"/>
            <w:tcBorders>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监测指标</w:t>
            </w:r>
          </w:p>
        </w:tc>
        <w:tc>
          <w:tcPr>
            <w:tcW w:w="2300" w:type="dxa"/>
            <w:tcBorders>
              <w:left w:val="single" w:color="000000" w:sz="4" w:space="0"/>
              <w:bottom w:val="single" w:color="000000" w:sz="4" w:space="0"/>
              <w:right w:val="nil"/>
            </w:tcBorders>
          </w:tcPr>
          <w:p>
            <w:pPr>
              <w:pStyle w:val="22"/>
              <w:bidi w:val="0"/>
              <w:rPr>
                <w:color w:val="auto"/>
                <w:highlight w:val="none"/>
              </w:rPr>
            </w:pPr>
            <w:r>
              <w:rPr>
                <w:color w:val="auto"/>
                <w:highlight w:val="none"/>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trPr>
        <w:tc>
          <w:tcPr>
            <w:tcW w:w="947" w:type="dxa"/>
            <w:vMerge w:val="restart"/>
            <w:tcBorders>
              <w:top w:val="single" w:color="000000" w:sz="4" w:space="0"/>
              <w:left w:val="nil"/>
              <w:right w:val="single" w:color="000000" w:sz="4" w:space="0"/>
            </w:tcBorders>
          </w:tcPr>
          <w:p>
            <w:pPr>
              <w:pStyle w:val="22"/>
              <w:bidi w:val="0"/>
              <w:rPr>
                <w:color w:val="auto"/>
                <w:highlight w:val="none"/>
              </w:rPr>
            </w:pPr>
            <w:r>
              <w:rPr>
                <w:color w:val="auto"/>
                <w:highlight w:val="none"/>
              </w:rPr>
              <w:t>噪声</w:t>
            </w:r>
          </w:p>
        </w:tc>
        <w:tc>
          <w:tcPr>
            <w:tcW w:w="4203"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矿井工业场地厂界东、南、西、北四周</w:t>
            </w:r>
          </w:p>
        </w:tc>
        <w:tc>
          <w:tcPr>
            <w:tcW w:w="1730" w:type="dxa"/>
            <w:tcBorders>
              <w:top w:val="single" w:color="000000" w:sz="4" w:space="0"/>
              <w:left w:val="single" w:color="000000" w:sz="4" w:space="0"/>
              <w:bottom w:val="single" w:color="000000" w:sz="4" w:space="0"/>
              <w:right w:val="single" w:color="000000" w:sz="4" w:space="0"/>
            </w:tcBorders>
          </w:tcPr>
          <w:p>
            <w:pPr>
              <w:pStyle w:val="22"/>
              <w:bidi w:val="0"/>
              <w:rPr>
                <w:color w:val="auto"/>
                <w:highlight w:val="none"/>
              </w:rPr>
            </w:pPr>
            <w:r>
              <w:rPr>
                <w:color w:val="auto"/>
                <w:highlight w:val="none"/>
              </w:rPr>
              <w:t>等效A声级</w:t>
            </w:r>
          </w:p>
        </w:tc>
        <w:tc>
          <w:tcPr>
            <w:tcW w:w="2300" w:type="dxa"/>
            <w:tcBorders>
              <w:top w:val="single" w:color="000000" w:sz="4" w:space="0"/>
              <w:left w:val="single" w:color="000000" w:sz="4" w:space="0"/>
              <w:bottom w:val="single" w:color="000000" w:sz="4" w:space="0"/>
              <w:right w:val="nil"/>
            </w:tcBorders>
          </w:tcPr>
          <w:p>
            <w:pPr>
              <w:pStyle w:val="22"/>
              <w:bidi w:val="0"/>
              <w:rPr>
                <w:color w:val="auto"/>
                <w:highlight w:val="none"/>
              </w:rPr>
            </w:pPr>
            <w:r>
              <w:rPr>
                <w:color w:val="auto"/>
                <w:highlight w:val="none"/>
              </w:rPr>
              <w:t>季度/次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947" w:type="dxa"/>
            <w:vMerge w:val="continue"/>
            <w:tcBorders>
              <w:top w:val="nil"/>
              <w:left w:val="nil"/>
              <w:right w:val="single" w:color="000000" w:sz="4" w:space="0"/>
            </w:tcBorders>
          </w:tcPr>
          <w:p>
            <w:pPr>
              <w:pStyle w:val="22"/>
              <w:bidi w:val="0"/>
              <w:rPr>
                <w:color w:val="auto"/>
                <w:highlight w:val="none"/>
              </w:rPr>
            </w:pPr>
          </w:p>
        </w:tc>
        <w:tc>
          <w:tcPr>
            <w:tcW w:w="4203"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风井工业场地厂界东、南、西、北四周</w:t>
            </w:r>
          </w:p>
        </w:tc>
        <w:tc>
          <w:tcPr>
            <w:tcW w:w="1730" w:type="dxa"/>
            <w:tcBorders>
              <w:top w:val="single" w:color="000000" w:sz="4" w:space="0"/>
              <w:left w:val="single" w:color="000000" w:sz="4" w:space="0"/>
              <w:right w:val="single" w:color="000000" w:sz="4" w:space="0"/>
            </w:tcBorders>
          </w:tcPr>
          <w:p>
            <w:pPr>
              <w:pStyle w:val="22"/>
              <w:bidi w:val="0"/>
              <w:rPr>
                <w:color w:val="auto"/>
                <w:highlight w:val="none"/>
              </w:rPr>
            </w:pPr>
            <w:r>
              <w:rPr>
                <w:color w:val="auto"/>
                <w:highlight w:val="none"/>
              </w:rPr>
              <w:t>等效A声级</w:t>
            </w:r>
          </w:p>
        </w:tc>
        <w:tc>
          <w:tcPr>
            <w:tcW w:w="2300" w:type="dxa"/>
            <w:tcBorders>
              <w:top w:val="single" w:color="000000" w:sz="4" w:space="0"/>
              <w:left w:val="single" w:color="000000" w:sz="4" w:space="0"/>
              <w:right w:val="nil"/>
            </w:tcBorders>
          </w:tcPr>
          <w:p>
            <w:pPr>
              <w:pStyle w:val="22"/>
              <w:bidi w:val="0"/>
              <w:rPr>
                <w:color w:val="auto"/>
                <w:highlight w:val="none"/>
              </w:rPr>
            </w:pPr>
            <w:r>
              <w:rPr>
                <w:color w:val="auto"/>
                <w:highlight w:val="none"/>
              </w:rPr>
              <w:t>季度/次</w:t>
            </w:r>
          </w:p>
        </w:tc>
      </w:tr>
    </w:tbl>
    <w:p>
      <w:pPr>
        <w:pStyle w:val="7"/>
        <w:numPr>
          <w:ilvl w:val="3"/>
          <w:numId w:val="18"/>
        </w:numPr>
        <w:bidi w:val="0"/>
        <w:rPr>
          <w:color w:val="auto"/>
          <w:highlight w:val="none"/>
        </w:rPr>
      </w:pPr>
      <w:r>
        <w:rPr>
          <w:color w:val="auto"/>
          <w:highlight w:val="none"/>
        </w:rPr>
        <w:t>污染事故的应急监测</w:t>
      </w:r>
    </w:p>
    <w:p>
      <w:pPr>
        <w:bidi w:val="0"/>
        <w:rPr>
          <w:color w:val="auto"/>
          <w:highlight w:val="none"/>
        </w:rPr>
      </w:pPr>
      <w:r>
        <w:rPr>
          <w:color w:val="auto"/>
          <w:highlight w:val="none"/>
        </w:rPr>
        <w:t>由于环境污染事故一般具有突发性、不确定性、变动性、危险性，因此必须建立应急监测机构和完善的应急监测流程，配置具有先进水平的流动监测装置，确定主要污染物应急监测及处置方法，对突发的污染事故进行应急监测。</w:t>
      </w:r>
    </w:p>
    <w:p>
      <w:pPr>
        <w:bidi w:val="0"/>
        <w:rPr>
          <w:color w:val="auto"/>
          <w:highlight w:val="none"/>
        </w:rPr>
      </w:pPr>
      <w:r>
        <w:rPr>
          <w:color w:val="auto"/>
          <w:highlight w:val="none"/>
        </w:rPr>
        <w:t>对此，建议达川区环境监测站与矿区环境管理机构共同组建矿区环境事故应急领导和监测小组，同时建立环境污染事故应急专家咨询系统，广泛聘请科研、消防、工矿部门专 家参加；环境事故监测小组应配备各种应急监测仪器及设备，应当组织力量对区内可能发生的污染事故调查取证程序和内容、不明污染物分析、监测方案、质量控制等环节予以研究。</w:t>
      </w:r>
    </w:p>
    <w:p>
      <w:pPr>
        <w:spacing w:after="0" w:line="364" w:lineRule="auto"/>
        <w:jc w:val="both"/>
        <w:rPr>
          <w:color w:val="auto"/>
          <w:highlight w:val="none"/>
        </w:rPr>
        <w:sectPr>
          <w:headerReference r:id="rId19" w:type="default"/>
          <w:footerReference r:id="rId20" w:type="default"/>
          <w:pgSz w:w="11910" w:h="16840"/>
          <w:pgMar w:top="1360" w:right="1220" w:bottom="1000" w:left="124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799" w:name="10 公众参与"/>
      <w:bookmarkEnd w:id="799"/>
      <w:bookmarkStart w:id="800" w:name="_bookmark59"/>
      <w:bookmarkEnd w:id="800"/>
      <w:bookmarkStart w:id="801" w:name="_Toc17482"/>
      <w:bookmarkStart w:id="802" w:name="_Toc19635"/>
      <w:r>
        <w:rPr>
          <w:color w:val="auto"/>
          <w:highlight w:val="none"/>
        </w:rPr>
        <w:t>公众参与</w:t>
      </w:r>
      <w:bookmarkEnd w:id="801"/>
      <w:bookmarkEnd w:id="802"/>
    </w:p>
    <w:p>
      <w:pPr>
        <w:pStyle w:val="5"/>
        <w:numPr>
          <w:ilvl w:val="1"/>
          <w:numId w:val="5"/>
        </w:numPr>
        <w:bidi w:val="0"/>
        <w:rPr>
          <w:color w:val="auto"/>
          <w:highlight w:val="none"/>
        </w:rPr>
      </w:pPr>
      <w:bookmarkStart w:id="803" w:name="10.1 概述"/>
      <w:bookmarkEnd w:id="803"/>
      <w:bookmarkStart w:id="804" w:name="_bookmark60"/>
      <w:bookmarkEnd w:id="804"/>
      <w:bookmarkStart w:id="805" w:name="_Toc30476"/>
      <w:bookmarkStart w:id="806" w:name="_Toc24440"/>
      <w:r>
        <w:rPr>
          <w:color w:val="auto"/>
          <w:highlight w:val="none"/>
        </w:rPr>
        <w:t>概述</w:t>
      </w:r>
      <w:bookmarkEnd w:id="805"/>
      <w:bookmarkEnd w:id="806"/>
    </w:p>
    <w:p>
      <w:pPr>
        <w:adjustRightInd w:val="0"/>
        <w:snapToGrid w:val="0"/>
        <w:spacing w:line="360" w:lineRule="auto"/>
        <w:ind w:firstLine="480" w:firstLineChars="200"/>
        <w:rPr>
          <w:color w:val="auto"/>
          <w:sz w:val="24"/>
          <w:highlight w:val="none"/>
        </w:rPr>
      </w:pPr>
      <w:r>
        <w:rPr>
          <w:color w:val="auto"/>
          <w:sz w:val="24"/>
          <w:highlight w:val="none"/>
        </w:rPr>
        <w:t>20</w:t>
      </w:r>
      <w:r>
        <w:rPr>
          <w:rFonts w:hint="eastAsia"/>
          <w:color w:val="auto"/>
          <w:sz w:val="24"/>
          <w:highlight w:val="none"/>
          <w:lang w:val="en-US" w:eastAsia="zh-CN"/>
        </w:rPr>
        <w:t>21</w:t>
      </w:r>
      <w:r>
        <w:rPr>
          <w:color w:val="auto"/>
          <w:sz w:val="24"/>
          <w:highlight w:val="none"/>
        </w:rPr>
        <w:t>年</w:t>
      </w:r>
      <w:r>
        <w:rPr>
          <w:rFonts w:hint="eastAsia"/>
          <w:color w:val="auto"/>
          <w:sz w:val="24"/>
          <w:highlight w:val="none"/>
          <w:lang w:val="en-US" w:eastAsia="zh-CN"/>
        </w:rPr>
        <w:t>10月</w:t>
      </w:r>
      <w:r>
        <w:rPr>
          <w:rFonts w:hint="eastAsia"/>
          <w:color w:val="auto"/>
          <w:sz w:val="24"/>
          <w:highlight w:val="none"/>
          <w:lang w:eastAsia="zh-CN"/>
        </w:rPr>
        <w:t>底大竹县应急管理局</w:t>
      </w:r>
      <w:r>
        <w:rPr>
          <w:color w:val="auto"/>
          <w:sz w:val="24"/>
          <w:highlight w:val="none"/>
        </w:rPr>
        <w:t>委托北京万澈环境科学与工程技术有限责任公司承担本规划的环境影响报告书编制工作。根据《环境影响评价公众参与办法》（生态环境部令第4号），为了向与本规划有直接或间接关系的广大民众宣传本规划的规划内容、重大意义，解释规划对环境的影响，让公众对规划有科学、客观、正确地认识，</w:t>
      </w:r>
      <w:r>
        <w:rPr>
          <w:rFonts w:hint="eastAsia"/>
          <w:color w:val="auto"/>
          <w:sz w:val="24"/>
          <w:highlight w:val="none"/>
          <w:lang w:eastAsia="zh-CN"/>
        </w:rPr>
        <w:t>大竹县应急管理局</w:t>
      </w:r>
      <w:r>
        <w:rPr>
          <w:color w:val="auto"/>
          <w:sz w:val="24"/>
          <w:highlight w:val="none"/>
        </w:rPr>
        <w:t>在环境影响评价文件编制期间同步开展了本项目公众参与调查工作。相关内容及时间节点见下表。</w:t>
      </w:r>
    </w:p>
    <w:p>
      <w:pPr>
        <w:pStyle w:val="22"/>
        <w:bidi w:val="0"/>
        <w:rPr>
          <w:color w:val="auto"/>
          <w:highlight w:val="none"/>
        </w:rPr>
      </w:pPr>
      <w:r>
        <w:rPr>
          <w:color w:val="auto"/>
          <w:highlight w:val="none"/>
        </w:rPr>
        <w:t>表</w:t>
      </w:r>
      <w:r>
        <w:rPr>
          <w:rFonts w:hint="eastAsia"/>
          <w:color w:val="auto"/>
          <w:highlight w:val="none"/>
          <w:lang w:val="en-US" w:eastAsia="zh-CN"/>
        </w:rPr>
        <w:t>10.1-1</w:t>
      </w:r>
      <w:r>
        <w:rPr>
          <w:color w:val="auto"/>
          <w:highlight w:val="none"/>
        </w:rPr>
        <w:t xml:space="preserve">   公众参与内容及过程</w:t>
      </w:r>
    </w:p>
    <w:tbl>
      <w:tblPr>
        <w:tblStyle w:val="17"/>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071"/>
        <w:gridCol w:w="1725"/>
        <w:gridCol w:w="3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4" w:type="dxa"/>
            <w:vAlign w:val="center"/>
          </w:tcPr>
          <w:p>
            <w:pPr>
              <w:pStyle w:val="22"/>
              <w:bidi w:val="0"/>
              <w:rPr>
                <w:color w:val="auto"/>
                <w:highlight w:val="none"/>
              </w:rPr>
            </w:pPr>
            <w:r>
              <w:rPr>
                <w:color w:val="auto"/>
                <w:highlight w:val="none"/>
              </w:rPr>
              <w:t>公示方式</w:t>
            </w:r>
          </w:p>
        </w:tc>
        <w:tc>
          <w:tcPr>
            <w:tcW w:w="2071" w:type="dxa"/>
            <w:vAlign w:val="center"/>
          </w:tcPr>
          <w:p>
            <w:pPr>
              <w:pStyle w:val="22"/>
              <w:bidi w:val="0"/>
              <w:rPr>
                <w:color w:val="auto"/>
                <w:highlight w:val="none"/>
              </w:rPr>
            </w:pPr>
            <w:r>
              <w:rPr>
                <w:color w:val="auto"/>
                <w:highlight w:val="none"/>
              </w:rPr>
              <w:t>时间</w:t>
            </w:r>
          </w:p>
        </w:tc>
        <w:tc>
          <w:tcPr>
            <w:tcW w:w="1725" w:type="dxa"/>
            <w:vAlign w:val="center"/>
          </w:tcPr>
          <w:p>
            <w:pPr>
              <w:pStyle w:val="22"/>
              <w:bidi w:val="0"/>
              <w:rPr>
                <w:color w:val="auto"/>
                <w:highlight w:val="none"/>
              </w:rPr>
            </w:pPr>
            <w:r>
              <w:rPr>
                <w:color w:val="auto"/>
                <w:highlight w:val="none"/>
              </w:rPr>
              <w:t>地点</w:t>
            </w:r>
          </w:p>
        </w:tc>
        <w:tc>
          <w:tcPr>
            <w:tcW w:w="3616" w:type="dxa"/>
            <w:vAlign w:val="center"/>
          </w:tcPr>
          <w:p>
            <w:pPr>
              <w:pStyle w:val="22"/>
              <w:bidi w:val="0"/>
              <w:rPr>
                <w:color w:val="auto"/>
                <w:highlight w:val="none"/>
              </w:rPr>
            </w:pPr>
            <w:r>
              <w:rPr>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pPr>
              <w:pStyle w:val="22"/>
              <w:bidi w:val="0"/>
              <w:rPr>
                <w:color w:val="auto"/>
                <w:highlight w:val="none"/>
              </w:rPr>
            </w:pPr>
            <w:r>
              <w:rPr>
                <w:color w:val="auto"/>
                <w:highlight w:val="none"/>
              </w:rPr>
              <w:t>网络公示</w:t>
            </w:r>
          </w:p>
        </w:tc>
        <w:tc>
          <w:tcPr>
            <w:tcW w:w="2071" w:type="dxa"/>
            <w:vAlign w:val="center"/>
          </w:tcPr>
          <w:p>
            <w:pPr>
              <w:pStyle w:val="22"/>
              <w:bidi w:val="0"/>
              <w:rPr>
                <w:color w:val="auto"/>
                <w:highlight w:val="none"/>
              </w:rPr>
            </w:pPr>
            <w:r>
              <w:rPr>
                <w:color w:val="auto"/>
                <w:highlight w:val="none"/>
              </w:rPr>
              <w:t>2021.</w:t>
            </w:r>
            <w:r>
              <w:rPr>
                <w:rFonts w:hint="eastAsia"/>
                <w:color w:val="auto"/>
                <w:highlight w:val="none"/>
                <w:lang w:val="en-US" w:eastAsia="zh-CN"/>
              </w:rPr>
              <w:t>10.26</w:t>
            </w:r>
            <w:r>
              <w:rPr>
                <w:color w:val="auto"/>
                <w:highlight w:val="none"/>
              </w:rPr>
              <w:t>~至今</w:t>
            </w:r>
          </w:p>
        </w:tc>
        <w:tc>
          <w:tcPr>
            <w:tcW w:w="1725" w:type="dxa"/>
            <w:vAlign w:val="center"/>
          </w:tcPr>
          <w:p>
            <w:pPr>
              <w:pStyle w:val="22"/>
              <w:bidi w:val="0"/>
              <w:rPr>
                <w:color w:val="auto"/>
                <w:highlight w:val="none"/>
              </w:rPr>
            </w:pPr>
            <w:r>
              <w:rPr>
                <w:rFonts w:hint="eastAsia"/>
                <w:color w:val="auto"/>
                <w:highlight w:val="none"/>
                <w:lang w:eastAsia="zh-CN"/>
              </w:rPr>
              <w:t>大竹县</w:t>
            </w:r>
            <w:r>
              <w:rPr>
                <w:color w:val="auto"/>
                <w:highlight w:val="none"/>
              </w:rPr>
              <w:t>人民政府门户网站</w:t>
            </w:r>
          </w:p>
        </w:tc>
        <w:tc>
          <w:tcPr>
            <w:tcW w:w="3616" w:type="dxa"/>
            <w:vAlign w:val="center"/>
          </w:tcPr>
          <w:p>
            <w:pPr>
              <w:pStyle w:val="22"/>
              <w:bidi w:val="0"/>
              <w:rPr>
                <w:color w:val="auto"/>
                <w:highlight w:val="none"/>
              </w:rPr>
            </w:pPr>
            <w:r>
              <w:rPr>
                <w:color w:val="auto"/>
                <w:highlight w:val="none"/>
              </w:rPr>
              <w:t>规划环境影响评价公众参与第一次公示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pStyle w:val="22"/>
              <w:bidi w:val="0"/>
              <w:rPr>
                <w:color w:val="auto"/>
                <w:highlight w:val="none"/>
              </w:rPr>
            </w:pPr>
          </w:p>
        </w:tc>
        <w:tc>
          <w:tcPr>
            <w:tcW w:w="2071" w:type="dxa"/>
            <w:vAlign w:val="center"/>
          </w:tcPr>
          <w:p>
            <w:pPr>
              <w:pStyle w:val="22"/>
              <w:bidi w:val="0"/>
              <w:rPr>
                <w:rFonts w:hint="default" w:eastAsia="宋体"/>
                <w:color w:val="auto"/>
                <w:highlight w:val="none"/>
                <w:lang w:val="en-US" w:eastAsia="zh-CN"/>
              </w:rPr>
            </w:pPr>
            <w:r>
              <w:rPr>
                <w:color w:val="auto"/>
                <w:highlight w:val="none"/>
              </w:rPr>
              <w:t>2021.</w:t>
            </w:r>
            <w:r>
              <w:rPr>
                <w:rFonts w:hint="eastAsia"/>
                <w:color w:val="auto"/>
                <w:highlight w:val="none"/>
                <w:lang w:val="en-US" w:eastAsia="zh-CN"/>
              </w:rPr>
              <w:t>12.3</w:t>
            </w:r>
            <w:r>
              <w:rPr>
                <w:color w:val="auto"/>
                <w:highlight w:val="none"/>
              </w:rPr>
              <w:t>~2021.</w:t>
            </w:r>
            <w:r>
              <w:rPr>
                <w:rFonts w:hint="eastAsia"/>
                <w:color w:val="auto"/>
                <w:highlight w:val="none"/>
                <w:lang w:val="en-US" w:eastAsia="zh-CN"/>
              </w:rPr>
              <w:t>12</w:t>
            </w:r>
            <w:r>
              <w:rPr>
                <w:color w:val="auto"/>
                <w:highlight w:val="none"/>
              </w:rPr>
              <w:t>.</w:t>
            </w:r>
            <w:r>
              <w:rPr>
                <w:rFonts w:hint="eastAsia"/>
                <w:color w:val="auto"/>
                <w:highlight w:val="none"/>
                <w:lang w:val="en-US" w:eastAsia="zh-CN"/>
              </w:rPr>
              <w:t>16</w:t>
            </w:r>
          </w:p>
        </w:tc>
        <w:tc>
          <w:tcPr>
            <w:tcW w:w="1725" w:type="dxa"/>
            <w:vAlign w:val="center"/>
          </w:tcPr>
          <w:p>
            <w:pPr>
              <w:pStyle w:val="22"/>
              <w:bidi w:val="0"/>
              <w:rPr>
                <w:color w:val="auto"/>
                <w:highlight w:val="none"/>
              </w:rPr>
            </w:pPr>
            <w:r>
              <w:rPr>
                <w:rFonts w:hint="eastAsia"/>
                <w:color w:val="auto"/>
                <w:highlight w:val="none"/>
                <w:lang w:eastAsia="zh-CN"/>
              </w:rPr>
              <w:t>大竹县人民政府</w:t>
            </w:r>
            <w:r>
              <w:rPr>
                <w:color w:val="auto"/>
                <w:highlight w:val="none"/>
              </w:rPr>
              <w:t>门户网站</w:t>
            </w:r>
          </w:p>
        </w:tc>
        <w:tc>
          <w:tcPr>
            <w:tcW w:w="3616" w:type="dxa"/>
            <w:vAlign w:val="center"/>
          </w:tcPr>
          <w:p>
            <w:pPr>
              <w:pStyle w:val="22"/>
              <w:bidi w:val="0"/>
              <w:rPr>
                <w:color w:val="auto"/>
                <w:highlight w:val="none"/>
              </w:rPr>
            </w:pPr>
            <w:r>
              <w:rPr>
                <w:color w:val="auto"/>
                <w:highlight w:val="none"/>
              </w:rPr>
              <w:t>规划环境影响评价公众参与第二次公示（公开征求意见稿）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pPr>
              <w:pStyle w:val="22"/>
              <w:bidi w:val="0"/>
              <w:rPr>
                <w:color w:val="auto"/>
                <w:highlight w:val="none"/>
              </w:rPr>
            </w:pPr>
            <w:r>
              <w:rPr>
                <w:color w:val="auto"/>
                <w:highlight w:val="none"/>
              </w:rPr>
              <w:t>报纸公示</w:t>
            </w:r>
          </w:p>
        </w:tc>
        <w:tc>
          <w:tcPr>
            <w:tcW w:w="2071" w:type="dxa"/>
            <w:vAlign w:val="center"/>
          </w:tcPr>
          <w:p>
            <w:pPr>
              <w:pStyle w:val="22"/>
              <w:bidi w:val="0"/>
              <w:rPr>
                <w:rFonts w:hint="default" w:eastAsia="宋体"/>
                <w:color w:val="auto"/>
                <w:highlight w:val="none"/>
                <w:lang w:val="en-US" w:eastAsia="zh-CN"/>
              </w:rPr>
            </w:pPr>
            <w:r>
              <w:rPr>
                <w:color w:val="auto"/>
                <w:highlight w:val="none"/>
              </w:rPr>
              <w:t>2021.</w:t>
            </w:r>
            <w:r>
              <w:rPr>
                <w:rFonts w:hint="eastAsia"/>
                <w:color w:val="auto"/>
                <w:highlight w:val="none"/>
                <w:lang w:val="en-US" w:eastAsia="zh-CN"/>
              </w:rPr>
              <w:t>12.15</w:t>
            </w:r>
          </w:p>
        </w:tc>
        <w:tc>
          <w:tcPr>
            <w:tcW w:w="1725" w:type="dxa"/>
            <w:vAlign w:val="center"/>
          </w:tcPr>
          <w:p>
            <w:pPr>
              <w:pStyle w:val="22"/>
              <w:bidi w:val="0"/>
              <w:rPr>
                <w:color w:val="auto"/>
                <w:highlight w:val="none"/>
              </w:rPr>
            </w:pPr>
            <w:r>
              <w:rPr>
                <w:color w:val="auto"/>
                <w:highlight w:val="none"/>
              </w:rPr>
              <w:t>国际商报</w:t>
            </w:r>
          </w:p>
        </w:tc>
        <w:tc>
          <w:tcPr>
            <w:tcW w:w="3616" w:type="dxa"/>
            <w:vAlign w:val="center"/>
          </w:tcPr>
          <w:p>
            <w:pPr>
              <w:pStyle w:val="22"/>
              <w:bidi w:val="0"/>
              <w:rPr>
                <w:color w:val="auto"/>
                <w:highlight w:val="none"/>
              </w:rPr>
            </w:pPr>
            <w:r>
              <w:rPr>
                <w:color w:val="auto"/>
                <w:highlight w:val="none"/>
              </w:rPr>
              <w:t>规划环境影响评价公众参与征求意见稿公示第一次登报公示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pStyle w:val="22"/>
              <w:bidi w:val="0"/>
              <w:rPr>
                <w:color w:val="auto"/>
                <w:highlight w:val="none"/>
              </w:rPr>
            </w:pPr>
          </w:p>
        </w:tc>
        <w:tc>
          <w:tcPr>
            <w:tcW w:w="2071" w:type="dxa"/>
            <w:vAlign w:val="center"/>
          </w:tcPr>
          <w:p>
            <w:pPr>
              <w:pStyle w:val="22"/>
              <w:bidi w:val="0"/>
              <w:rPr>
                <w:rFonts w:hint="default" w:eastAsia="宋体"/>
                <w:color w:val="auto"/>
                <w:highlight w:val="none"/>
                <w:lang w:val="en-US" w:eastAsia="zh-CN"/>
              </w:rPr>
            </w:pPr>
            <w:r>
              <w:rPr>
                <w:color w:val="auto"/>
                <w:highlight w:val="none"/>
              </w:rPr>
              <w:t>2021.</w:t>
            </w:r>
            <w:r>
              <w:rPr>
                <w:rFonts w:hint="eastAsia"/>
                <w:color w:val="auto"/>
                <w:highlight w:val="none"/>
                <w:lang w:val="en-US" w:eastAsia="zh-CN"/>
              </w:rPr>
              <w:t>12.16</w:t>
            </w:r>
          </w:p>
        </w:tc>
        <w:tc>
          <w:tcPr>
            <w:tcW w:w="1725" w:type="dxa"/>
            <w:vAlign w:val="center"/>
          </w:tcPr>
          <w:p>
            <w:pPr>
              <w:pStyle w:val="22"/>
              <w:bidi w:val="0"/>
              <w:rPr>
                <w:color w:val="auto"/>
                <w:highlight w:val="none"/>
              </w:rPr>
            </w:pPr>
            <w:r>
              <w:rPr>
                <w:color w:val="auto"/>
                <w:highlight w:val="none"/>
              </w:rPr>
              <w:t>国际商报</w:t>
            </w:r>
          </w:p>
        </w:tc>
        <w:tc>
          <w:tcPr>
            <w:tcW w:w="3616" w:type="dxa"/>
            <w:vAlign w:val="center"/>
          </w:tcPr>
          <w:p>
            <w:pPr>
              <w:pStyle w:val="22"/>
              <w:bidi w:val="0"/>
              <w:rPr>
                <w:color w:val="auto"/>
                <w:highlight w:val="none"/>
              </w:rPr>
            </w:pPr>
            <w:r>
              <w:rPr>
                <w:color w:val="auto"/>
                <w:highlight w:val="none"/>
              </w:rPr>
              <w:t>《规划环境影响评价公众参与征求意见稿公示第二次登报公示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pStyle w:val="22"/>
              <w:bidi w:val="0"/>
              <w:rPr>
                <w:color w:val="auto"/>
                <w:highlight w:val="none"/>
              </w:rPr>
            </w:pPr>
            <w:r>
              <w:rPr>
                <w:color w:val="auto"/>
                <w:highlight w:val="none"/>
              </w:rPr>
              <w:t>信息张贴公示</w:t>
            </w:r>
          </w:p>
        </w:tc>
        <w:tc>
          <w:tcPr>
            <w:tcW w:w="2071" w:type="dxa"/>
            <w:vAlign w:val="center"/>
          </w:tcPr>
          <w:p>
            <w:pPr>
              <w:pStyle w:val="22"/>
              <w:bidi w:val="0"/>
              <w:rPr>
                <w:rFonts w:hint="default" w:eastAsia="宋体"/>
                <w:color w:val="auto"/>
                <w:highlight w:val="none"/>
                <w:lang w:val="en-US" w:eastAsia="zh-CN"/>
              </w:rPr>
            </w:pPr>
            <w:r>
              <w:rPr>
                <w:color w:val="auto"/>
                <w:highlight w:val="none"/>
              </w:rPr>
              <w:t>2021.</w:t>
            </w:r>
            <w:r>
              <w:rPr>
                <w:rFonts w:hint="eastAsia"/>
                <w:color w:val="auto"/>
                <w:highlight w:val="none"/>
                <w:lang w:val="en-US" w:eastAsia="zh-CN"/>
              </w:rPr>
              <w:t>12.3</w:t>
            </w:r>
            <w:r>
              <w:rPr>
                <w:color w:val="auto"/>
                <w:highlight w:val="none"/>
              </w:rPr>
              <w:t>~2021.</w:t>
            </w:r>
            <w:r>
              <w:rPr>
                <w:rFonts w:hint="eastAsia"/>
                <w:color w:val="auto"/>
                <w:highlight w:val="none"/>
                <w:lang w:val="en-US" w:eastAsia="zh-CN"/>
              </w:rPr>
              <w:t>12.16</w:t>
            </w:r>
          </w:p>
        </w:tc>
        <w:tc>
          <w:tcPr>
            <w:tcW w:w="1725" w:type="dxa"/>
            <w:vAlign w:val="center"/>
          </w:tcPr>
          <w:p>
            <w:pPr>
              <w:pStyle w:val="22"/>
              <w:bidi w:val="0"/>
              <w:rPr>
                <w:rFonts w:hint="eastAsia" w:eastAsia="宋体"/>
                <w:color w:val="auto"/>
                <w:highlight w:val="none"/>
                <w:lang w:eastAsia="zh-CN"/>
              </w:rPr>
            </w:pPr>
            <w:r>
              <w:rPr>
                <w:rFonts w:hint="eastAsia"/>
                <w:color w:val="auto"/>
                <w:highlight w:val="none"/>
                <w:lang w:eastAsia="zh-CN"/>
              </w:rPr>
              <w:t>应急管理局、各环境敏感目标</w:t>
            </w:r>
          </w:p>
        </w:tc>
        <w:tc>
          <w:tcPr>
            <w:tcW w:w="3616" w:type="dxa"/>
            <w:vAlign w:val="center"/>
          </w:tcPr>
          <w:p>
            <w:pPr>
              <w:pStyle w:val="22"/>
              <w:bidi w:val="0"/>
              <w:rPr>
                <w:color w:val="auto"/>
                <w:highlight w:val="none"/>
              </w:rPr>
            </w:pPr>
            <w:r>
              <w:rPr>
                <w:color w:val="auto"/>
                <w:highlight w:val="none"/>
              </w:rPr>
              <w:t>规划环境影响评价公众参与征求意见稿公示现场张贴</w:t>
            </w:r>
          </w:p>
        </w:tc>
      </w:tr>
    </w:tbl>
    <w:p>
      <w:pPr>
        <w:jc w:val="center"/>
        <w:rPr>
          <w:color w:val="auto"/>
          <w:szCs w:val="21"/>
          <w:highlight w:val="none"/>
        </w:rPr>
      </w:pPr>
    </w:p>
    <w:p>
      <w:pPr>
        <w:adjustRightInd w:val="0"/>
        <w:snapToGrid w:val="0"/>
        <w:spacing w:line="360" w:lineRule="auto"/>
        <w:ind w:firstLine="480"/>
        <w:rPr>
          <w:color w:val="auto"/>
          <w:sz w:val="24"/>
          <w:highlight w:val="none"/>
        </w:rPr>
      </w:pPr>
      <w:r>
        <w:rPr>
          <w:color w:val="auto"/>
          <w:sz w:val="24"/>
          <w:highlight w:val="none"/>
        </w:rPr>
        <w:t>我单位就《</w:t>
      </w:r>
      <w:r>
        <w:rPr>
          <w:rFonts w:hint="eastAsia"/>
          <w:color w:val="auto"/>
          <w:sz w:val="24"/>
          <w:highlight w:val="none"/>
          <w:lang w:eastAsia="zh-CN"/>
        </w:rPr>
        <w:t>四川省达州市大竹县煤炭矿区总体规划环境影响报告书</w:t>
      </w:r>
      <w:r>
        <w:rPr>
          <w:color w:val="auto"/>
          <w:sz w:val="24"/>
          <w:highlight w:val="none"/>
        </w:rPr>
        <w:t>》总共进行了</w:t>
      </w:r>
      <w:r>
        <w:rPr>
          <w:rFonts w:hint="eastAsia"/>
          <w:color w:val="auto"/>
          <w:sz w:val="24"/>
          <w:highlight w:val="none"/>
          <w:lang w:eastAsia="zh-CN"/>
        </w:rPr>
        <w:t>二</w:t>
      </w:r>
      <w:r>
        <w:rPr>
          <w:color w:val="auto"/>
          <w:sz w:val="24"/>
          <w:highlight w:val="none"/>
        </w:rPr>
        <w:t>次公开的意见征询，包括首次环境影响评价信息公开情况公示、环境影响评价第二次公示（征求意见稿），公示方式采取现场张贴公告公示、网络平台公示和报纸公示等多种方式。在本项目公示期间，我单位未收到相关公众的反馈意见。</w:t>
      </w:r>
    </w:p>
    <w:p>
      <w:pPr>
        <w:pStyle w:val="5"/>
        <w:numPr>
          <w:ilvl w:val="1"/>
          <w:numId w:val="5"/>
        </w:numPr>
        <w:bidi w:val="0"/>
        <w:rPr>
          <w:color w:val="auto"/>
          <w:highlight w:val="none"/>
        </w:rPr>
      </w:pPr>
      <w:bookmarkStart w:id="807" w:name="10.2 首次环境影响评价信息公开情况"/>
      <w:bookmarkEnd w:id="807"/>
      <w:bookmarkStart w:id="808" w:name="_bookmark61"/>
      <w:bookmarkEnd w:id="808"/>
      <w:bookmarkStart w:id="809" w:name="_Toc8820"/>
      <w:bookmarkStart w:id="810" w:name="_Toc30684"/>
      <w:r>
        <w:rPr>
          <w:color w:val="auto"/>
          <w:highlight w:val="none"/>
        </w:rPr>
        <w:t>首次环境影响评价信息公开情况</w:t>
      </w:r>
      <w:bookmarkEnd w:id="809"/>
      <w:bookmarkEnd w:id="810"/>
    </w:p>
    <w:p>
      <w:pPr>
        <w:pStyle w:val="6"/>
        <w:numPr>
          <w:ilvl w:val="2"/>
          <w:numId w:val="5"/>
        </w:numPr>
        <w:bidi w:val="0"/>
        <w:rPr>
          <w:color w:val="auto"/>
          <w:highlight w:val="none"/>
        </w:rPr>
      </w:pPr>
      <w:bookmarkStart w:id="811" w:name="10.2.1 公开内容及日期"/>
      <w:bookmarkEnd w:id="811"/>
      <w:bookmarkStart w:id="812" w:name="10.2.1 公开内容及日期"/>
      <w:bookmarkEnd w:id="812"/>
      <w:bookmarkStart w:id="813" w:name="_Toc27163"/>
      <w:bookmarkStart w:id="814" w:name="_Toc2830"/>
      <w:r>
        <w:rPr>
          <w:color w:val="auto"/>
          <w:highlight w:val="none"/>
        </w:rPr>
        <w:t>公开内容及日期</w:t>
      </w:r>
      <w:bookmarkEnd w:id="813"/>
      <w:bookmarkEnd w:id="814"/>
    </w:p>
    <w:p>
      <w:pPr>
        <w:pStyle w:val="7"/>
        <w:numPr>
          <w:ilvl w:val="3"/>
          <w:numId w:val="19"/>
        </w:numPr>
        <w:bidi w:val="0"/>
        <w:ind w:left="0" w:leftChars="0" w:firstLine="0" w:firstLineChars="0"/>
        <w:rPr>
          <w:color w:val="auto"/>
          <w:highlight w:val="none"/>
        </w:rPr>
      </w:pPr>
      <w:r>
        <w:rPr>
          <w:color w:val="auto"/>
          <w:highlight w:val="none"/>
        </w:rPr>
        <w:t>公开内容</w:t>
      </w:r>
    </w:p>
    <w:p>
      <w:pPr>
        <w:bidi w:val="0"/>
        <w:rPr>
          <w:color w:val="auto"/>
          <w:highlight w:val="none"/>
        </w:rPr>
      </w:pPr>
      <w:r>
        <w:rPr>
          <w:color w:val="auto"/>
          <w:highlight w:val="none"/>
        </w:rPr>
        <w:t>项目在</w:t>
      </w:r>
      <w:r>
        <w:rPr>
          <w:rFonts w:hint="eastAsia"/>
          <w:color w:val="auto"/>
          <w:highlight w:val="none"/>
          <w:lang w:eastAsia="zh-CN"/>
        </w:rPr>
        <w:t>大竹县</w:t>
      </w:r>
      <w:r>
        <w:rPr>
          <w:color w:val="auto"/>
          <w:highlight w:val="none"/>
        </w:rPr>
        <w:t>人民政府网站进行了第一次环境影响评价信息公示，网址：</w:t>
      </w:r>
      <w:r>
        <w:rPr>
          <w:rFonts w:hint="eastAsia"/>
          <w:color w:val="auto"/>
          <w:highlight w:val="none"/>
        </w:rPr>
        <w:t>http://www.dazhu.gov.cn/xxgk-show-192193.html</w:t>
      </w:r>
      <w:r>
        <w:rPr>
          <w:color w:val="auto"/>
          <w:highlight w:val="none"/>
        </w:rPr>
        <w:t>，公示截图如下：</w:t>
      </w:r>
    </w:p>
    <w:p>
      <w:pPr>
        <w:pStyle w:val="22"/>
        <w:bidi w:val="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937760" cy="5346700"/>
            <wp:effectExtent l="0" t="0" r="15240" b="6350"/>
            <wp:docPr id="13" name="图片 13" descr="QQ截图2021110809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11108093127"/>
                    <pic:cNvPicPr>
                      <a:picLocks noChangeAspect="1"/>
                    </pic:cNvPicPr>
                  </pic:nvPicPr>
                  <pic:blipFill>
                    <a:blip r:embed="rId188"/>
                    <a:stretch>
                      <a:fillRect/>
                    </a:stretch>
                  </pic:blipFill>
                  <pic:spPr>
                    <a:xfrm>
                      <a:off x="0" y="0"/>
                      <a:ext cx="4937760" cy="5346700"/>
                    </a:xfrm>
                    <a:prstGeom prst="rect">
                      <a:avLst/>
                    </a:prstGeom>
                  </pic:spPr>
                </pic:pic>
              </a:graphicData>
            </a:graphic>
          </wp:inline>
        </w:drawing>
      </w:r>
    </w:p>
    <w:p>
      <w:pPr>
        <w:pStyle w:val="7"/>
        <w:numPr>
          <w:ilvl w:val="3"/>
          <w:numId w:val="19"/>
        </w:numPr>
        <w:bidi w:val="0"/>
        <w:rPr>
          <w:color w:val="auto"/>
          <w:highlight w:val="none"/>
        </w:rPr>
      </w:pPr>
      <w:r>
        <w:rPr>
          <w:color w:val="auto"/>
          <w:highlight w:val="none"/>
        </w:rPr>
        <w:t>公开日期</w:t>
      </w:r>
    </w:p>
    <w:p>
      <w:pPr>
        <w:bidi w:val="0"/>
        <w:rPr>
          <w:color w:val="auto"/>
          <w:highlight w:val="none"/>
        </w:rPr>
      </w:pPr>
      <w:r>
        <w:rPr>
          <w:color w:val="auto"/>
          <w:highlight w:val="none"/>
        </w:rPr>
        <w:t>首次环境影响评价信息公开于</w:t>
      </w:r>
      <w:r>
        <w:rPr>
          <w:rFonts w:ascii="Times New Roman" w:eastAsia="Times New Roman"/>
          <w:color w:val="auto"/>
          <w:highlight w:val="none"/>
        </w:rPr>
        <w:t>2021</w:t>
      </w:r>
      <w:r>
        <w:rPr>
          <w:color w:val="auto"/>
          <w:highlight w:val="none"/>
        </w:rPr>
        <w:t>年</w:t>
      </w:r>
      <w:r>
        <w:rPr>
          <w:rFonts w:hint="eastAsia"/>
          <w:color w:val="auto"/>
          <w:highlight w:val="none"/>
          <w:lang w:val="en-US" w:eastAsia="zh-CN"/>
        </w:rPr>
        <w:t>10</w:t>
      </w:r>
      <w:r>
        <w:rPr>
          <w:color w:val="auto"/>
          <w:highlight w:val="none"/>
        </w:rPr>
        <w:t>月</w:t>
      </w:r>
      <w:r>
        <w:rPr>
          <w:rFonts w:ascii="Times New Roman" w:eastAsia="Times New Roman"/>
          <w:color w:val="auto"/>
          <w:highlight w:val="none"/>
        </w:rPr>
        <w:t>2</w:t>
      </w:r>
      <w:r>
        <w:rPr>
          <w:rFonts w:hint="eastAsia"/>
          <w:color w:val="auto"/>
          <w:highlight w:val="none"/>
          <w:lang w:val="en-US" w:eastAsia="zh-CN"/>
        </w:rPr>
        <w:t>6</w:t>
      </w:r>
      <w:r>
        <w:rPr>
          <w:color w:val="auto"/>
          <w:highlight w:val="none"/>
        </w:rPr>
        <w:t>日进行了网络公示。</w:t>
      </w:r>
    </w:p>
    <w:p>
      <w:pPr>
        <w:pStyle w:val="7"/>
        <w:numPr>
          <w:ilvl w:val="3"/>
          <w:numId w:val="19"/>
        </w:numPr>
        <w:bidi w:val="0"/>
        <w:rPr>
          <w:color w:val="auto"/>
          <w:highlight w:val="none"/>
        </w:rPr>
      </w:pPr>
      <w:bookmarkStart w:id="815" w:name="10.2.2 公众意见情况"/>
      <w:bookmarkEnd w:id="815"/>
      <w:bookmarkStart w:id="816" w:name="10.2.2 公众意见情况"/>
      <w:bookmarkEnd w:id="816"/>
      <w:r>
        <w:rPr>
          <w:color w:val="auto"/>
          <w:highlight w:val="none"/>
        </w:rPr>
        <w:t>公众意见情况</w:t>
      </w:r>
    </w:p>
    <w:p>
      <w:pPr>
        <w:bidi w:val="0"/>
        <w:rPr>
          <w:color w:val="auto"/>
          <w:highlight w:val="none"/>
        </w:rPr>
      </w:pPr>
      <w:r>
        <w:rPr>
          <w:color w:val="auto"/>
          <w:highlight w:val="none"/>
        </w:rPr>
        <w:t>第一次网络公示期间，评价单位、</w:t>
      </w:r>
      <w:r>
        <w:rPr>
          <w:rFonts w:hint="eastAsia"/>
          <w:color w:val="auto"/>
          <w:highlight w:val="none"/>
          <w:lang w:eastAsia="zh-CN"/>
        </w:rPr>
        <w:t>规划</w:t>
      </w:r>
      <w:r>
        <w:rPr>
          <w:color w:val="auto"/>
          <w:highlight w:val="none"/>
        </w:rPr>
        <w:t>实施单位等均未收到任何形式的的意见和建议。</w:t>
      </w:r>
    </w:p>
    <w:p>
      <w:pPr>
        <w:bidi w:val="0"/>
        <w:rPr>
          <w:rFonts w:hint="eastAsia"/>
          <w:color w:val="auto"/>
          <w:highlight w:val="none"/>
          <w:lang w:eastAsia="zh-CN"/>
        </w:rPr>
      </w:pPr>
    </w:p>
    <w:p>
      <w:pPr>
        <w:bidi w:val="0"/>
        <w:rPr>
          <w:rFonts w:hint="eastAsia" w:eastAsia="宋体"/>
          <w:color w:val="auto"/>
          <w:highlight w:val="none"/>
          <w:lang w:eastAsia="zh-CN"/>
        </w:rPr>
      </w:pPr>
      <w:r>
        <w:rPr>
          <w:rFonts w:hint="eastAsia"/>
          <w:color w:val="auto"/>
          <w:highlight w:val="none"/>
          <w:lang w:eastAsia="zh-CN"/>
        </w:rPr>
        <w:t>。</w:t>
      </w:r>
    </w:p>
    <w:p>
      <w:pPr>
        <w:spacing w:after="0" w:line="364" w:lineRule="auto"/>
        <w:rPr>
          <w:color w:val="auto"/>
          <w:highlight w:val="none"/>
        </w:rPr>
        <w:sectPr>
          <w:pgSz w:w="11910" w:h="16840"/>
          <w:pgMar w:top="1360" w:right="1220" w:bottom="1000" w:left="1240" w:header="902" w:footer="804" w:gutter="0"/>
          <w:pgBorders>
            <w:top w:val="none" w:sz="0" w:space="0"/>
            <w:left w:val="none" w:sz="0" w:space="0"/>
            <w:bottom w:val="none" w:sz="0" w:space="0"/>
            <w:right w:val="none" w:sz="0" w:space="0"/>
          </w:pgBorders>
          <w:pgNumType w:fmt="decimal"/>
          <w:cols w:space="720" w:num="1"/>
        </w:sectPr>
      </w:pPr>
    </w:p>
    <w:p>
      <w:pPr>
        <w:pStyle w:val="4"/>
        <w:numPr>
          <w:ilvl w:val="0"/>
          <w:numId w:val="5"/>
        </w:numPr>
        <w:bidi w:val="0"/>
        <w:rPr>
          <w:color w:val="auto"/>
          <w:highlight w:val="none"/>
        </w:rPr>
      </w:pPr>
      <w:bookmarkStart w:id="817" w:name="_bookmark62"/>
      <w:bookmarkEnd w:id="817"/>
      <w:bookmarkStart w:id="818" w:name="11 综合结论"/>
      <w:bookmarkEnd w:id="818"/>
      <w:bookmarkStart w:id="819" w:name="_Toc13401"/>
      <w:bookmarkStart w:id="820" w:name="_Toc28695"/>
      <w:r>
        <w:rPr>
          <w:color w:val="auto"/>
          <w:highlight w:val="none"/>
        </w:rPr>
        <w:t>综合结论</w:t>
      </w:r>
      <w:bookmarkEnd w:id="819"/>
      <w:bookmarkEnd w:id="820"/>
    </w:p>
    <w:p>
      <w:pPr>
        <w:pStyle w:val="5"/>
        <w:numPr>
          <w:ilvl w:val="1"/>
          <w:numId w:val="5"/>
        </w:numPr>
        <w:bidi w:val="0"/>
        <w:rPr>
          <w:color w:val="auto"/>
          <w:highlight w:val="none"/>
        </w:rPr>
      </w:pPr>
      <w:bookmarkStart w:id="821" w:name="_bookmark63"/>
      <w:bookmarkEnd w:id="821"/>
      <w:bookmarkStart w:id="822" w:name="11.1 矿区总体规划概况"/>
      <w:bookmarkEnd w:id="822"/>
      <w:bookmarkStart w:id="823" w:name="_Toc17432"/>
      <w:bookmarkStart w:id="824" w:name="_Toc16369"/>
      <w:r>
        <w:rPr>
          <w:color w:val="auto"/>
          <w:highlight w:val="none"/>
        </w:rPr>
        <w:t>矿区总体规划概况</w:t>
      </w:r>
      <w:bookmarkEnd w:id="823"/>
      <w:bookmarkEnd w:id="824"/>
    </w:p>
    <w:p>
      <w:pPr>
        <w:bidi w:val="0"/>
        <w:rPr>
          <w:color w:val="auto"/>
          <w:highlight w:val="none"/>
        </w:rPr>
      </w:pPr>
      <w:r>
        <w:rPr>
          <w:rFonts w:hint="eastAsia"/>
          <w:color w:val="auto"/>
          <w:highlight w:val="none"/>
        </w:rPr>
        <w:t>大竹县共规划布置有14个采矿权、3个探矿权，境内各矿井范围内保有资源量为5106.4万吨。大竹县各矿井主要分布在华蓥山背斜、铜锣峡背斜和明月峡背斜，结合现有煤矿及关闭煤矿的分布情况，大竹县共划分为2个矿区，分别为华蓥山北段矿区、中山明月峡矿区</w:t>
      </w:r>
      <w:r>
        <w:rPr>
          <w:rFonts w:hint="eastAsia"/>
          <w:color w:val="auto"/>
          <w:highlight w:val="none"/>
          <w:lang w:eastAsia="zh-CN"/>
        </w:rPr>
        <w:t>。其中华蓥山北段矿区位于大竹县西部，地处华蓥山背斜，规划面积为57.8866km</w:t>
      </w:r>
      <w:r>
        <w:rPr>
          <w:rFonts w:hint="eastAsia"/>
          <w:color w:val="auto"/>
          <w:highlight w:val="none"/>
          <w:vertAlign w:val="superscript"/>
          <w:lang w:eastAsia="zh-CN"/>
        </w:rPr>
        <w:t>2</w:t>
      </w:r>
      <w:r>
        <w:rPr>
          <w:rFonts w:hint="eastAsia"/>
          <w:color w:val="auto"/>
          <w:highlight w:val="none"/>
          <w:lang w:eastAsia="zh-CN"/>
        </w:rPr>
        <w:t>，规划布置6个采矿权和1个探矿权，生产能力为165万吨/年；中山明月峡矿区位于铜锣峡背斜和明月峡背斜，规划面积为90.2762km</w:t>
      </w:r>
      <w:r>
        <w:rPr>
          <w:rFonts w:hint="eastAsia"/>
          <w:color w:val="auto"/>
          <w:highlight w:val="none"/>
          <w:vertAlign w:val="superscript"/>
          <w:lang w:eastAsia="zh-CN"/>
        </w:rPr>
        <w:t>2</w:t>
      </w:r>
      <w:r>
        <w:rPr>
          <w:rFonts w:hint="eastAsia"/>
          <w:color w:val="auto"/>
          <w:highlight w:val="none"/>
          <w:lang w:eastAsia="zh-CN"/>
        </w:rPr>
        <w:t>，规划布置8个采矿权和2个探矿权，生产能力为225万吨/年。则大竹县共规划布置有14个采矿权、3个探矿权，总规划面积</w:t>
      </w:r>
      <w:r>
        <w:rPr>
          <w:rFonts w:hint="eastAsia"/>
          <w:color w:val="auto"/>
          <w:highlight w:val="none"/>
          <w:lang w:val="en-US" w:eastAsia="zh-CN"/>
        </w:rPr>
        <w:t>148.1628</w:t>
      </w:r>
      <w:r>
        <w:rPr>
          <w:rFonts w:hint="eastAsia"/>
          <w:color w:val="auto"/>
          <w:highlight w:val="none"/>
          <w:lang w:eastAsia="zh-CN"/>
        </w:rPr>
        <w:t>km</w:t>
      </w:r>
      <w:r>
        <w:rPr>
          <w:rFonts w:hint="eastAsia"/>
          <w:color w:val="auto"/>
          <w:highlight w:val="none"/>
          <w:vertAlign w:val="superscript"/>
          <w:lang w:eastAsia="zh-CN"/>
        </w:rPr>
        <w:t>2</w:t>
      </w:r>
      <w:r>
        <w:rPr>
          <w:rFonts w:hint="eastAsia"/>
          <w:color w:val="auto"/>
          <w:highlight w:val="none"/>
          <w:lang w:eastAsia="zh-CN"/>
        </w:rPr>
        <w:t>，总生产能力为390万吨/年。</w:t>
      </w:r>
    </w:p>
    <w:p>
      <w:pPr>
        <w:bidi w:val="0"/>
        <w:rPr>
          <w:color w:val="auto"/>
          <w:highlight w:val="none"/>
        </w:rPr>
      </w:pPr>
      <w:r>
        <w:rPr>
          <w:color w:val="auto"/>
          <w:highlight w:val="none"/>
        </w:rPr>
        <w:t>本次评价针对矿区总体规划的目标定位、矿区规模、布局、产业链以及重大项目的设计，结合区域生态和环境特征，以矿区污染源分析和生态承载力、资源承载力、环境承载 力分析，环境影响预测分析和污染物控制措施等为评价重点，对矿区总体规划的实施所带来的环境影响进行了全面而深入的评价，并针对矿区所处区域特点提出了生态环境综合整治措施、环境影响减缓措施及矿区清洁生产，得出以下主要结论和建议。</w:t>
      </w:r>
    </w:p>
    <w:p>
      <w:pPr>
        <w:pStyle w:val="5"/>
        <w:numPr>
          <w:ilvl w:val="1"/>
          <w:numId w:val="5"/>
        </w:numPr>
        <w:bidi w:val="0"/>
        <w:rPr>
          <w:color w:val="auto"/>
          <w:highlight w:val="none"/>
        </w:rPr>
      </w:pPr>
      <w:bookmarkStart w:id="825" w:name="11.2 矿区总体规划协调性结论"/>
      <w:bookmarkEnd w:id="825"/>
      <w:bookmarkStart w:id="826" w:name="_bookmark64"/>
      <w:bookmarkEnd w:id="826"/>
      <w:bookmarkStart w:id="827" w:name="_Toc21472"/>
      <w:bookmarkStart w:id="828" w:name="_Toc23649"/>
      <w:r>
        <w:rPr>
          <w:color w:val="auto"/>
          <w:highlight w:val="none"/>
        </w:rPr>
        <w:t>矿区总体规划协调性结论</w:t>
      </w:r>
      <w:bookmarkEnd w:id="827"/>
      <w:bookmarkEnd w:id="828"/>
    </w:p>
    <w:p>
      <w:pPr>
        <w:bidi w:val="0"/>
        <w:rPr>
          <w:color w:val="auto"/>
          <w:highlight w:val="none"/>
        </w:rPr>
      </w:pPr>
      <w:r>
        <w:rPr>
          <w:color w:val="auto"/>
          <w:highlight w:val="none"/>
        </w:rPr>
        <w:t>通过规划方案与相关产业政策、相关规划的符合性及协调性分析可知，</w:t>
      </w:r>
      <w:r>
        <w:rPr>
          <w:rFonts w:hint="eastAsia"/>
          <w:color w:val="auto"/>
          <w:highlight w:val="none"/>
          <w:lang w:eastAsia="zh-CN"/>
        </w:rPr>
        <w:t>四川省达州市大竹县煤炭矿区总体规划</w:t>
      </w:r>
      <w:r>
        <w:rPr>
          <w:color w:val="auto"/>
          <w:highlight w:val="none"/>
        </w:rPr>
        <w:t>与相关政策和相关行业发展规划基本相符，但也存在不相协调之处。</w:t>
      </w:r>
    </w:p>
    <w:p>
      <w:pPr>
        <w:bidi w:val="0"/>
        <w:rPr>
          <w:rFonts w:hint="eastAsia" w:eastAsia="宋体"/>
          <w:color w:val="auto"/>
          <w:highlight w:val="none"/>
          <w:lang w:eastAsia="zh-CN"/>
        </w:rPr>
      </w:pPr>
      <w:r>
        <w:rPr>
          <w:color w:val="auto"/>
          <w:highlight w:val="none"/>
        </w:rPr>
        <w:t>本次规划环评结合现行的法律法规以及环保要求，并根据矿山实际情况提出相应的污染防治措施，结合本次规划环评，本轮规划与相关的主要环境保护法律法规是相符的；矿区规划范围内与基本农田保护区存在重叠，依据2019年自然资源部、农业农村部联合发文《关于加强和改进永久基本农田保护工作的通知》（自然资规[2019]1号）中第八条“处理好涉及永久基本农田的矿业权设置”要求，规划中煤炭等战略性矿产，因按照要求加强基本农田保护，开发和保护并举。依据《基本农田保护条例》，规划环评提出，矿区范围内涉及永久基本农田的矿井，需采取“提升土壤肥力，减少水土流失”保护措施，开采过程中造成地表沉陷区域需进行采空区的充填，减少地表沉陷；地表沉陷造成地表裂缝的需及时对裂缝进行充填恢复，确保基本农田区域土壤水力、肥力不降低。对煤矿生产造成基本农田无法恢复的情况，应当按照“占多少、垦多少”的原则，负责开垦与所占耕地的数量与质量相当的耕地；没有条件开垦或者开垦的耕地不符合要求的，应当按照四川省的规定缴纳耕地开垦费，专款用于开垦新的耕地。</w:t>
      </w:r>
      <w:r>
        <w:rPr>
          <w:rFonts w:hint="eastAsia"/>
          <w:color w:val="auto"/>
          <w:highlight w:val="none"/>
          <w:lang w:eastAsia="zh-CN"/>
        </w:rPr>
        <w:t>矿区工业场区原则上均不得占用基本农田。</w:t>
      </w:r>
    </w:p>
    <w:p>
      <w:pPr>
        <w:pStyle w:val="5"/>
        <w:numPr>
          <w:ilvl w:val="1"/>
          <w:numId w:val="5"/>
        </w:numPr>
        <w:bidi w:val="0"/>
        <w:rPr>
          <w:color w:val="auto"/>
          <w:highlight w:val="none"/>
        </w:rPr>
      </w:pPr>
      <w:bookmarkStart w:id="829" w:name="_bookmark65"/>
      <w:bookmarkEnd w:id="829"/>
      <w:bookmarkStart w:id="830" w:name="11.3 环境质量现状及回顾性评价"/>
      <w:bookmarkEnd w:id="830"/>
      <w:bookmarkStart w:id="831" w:name="_Toc32617"/>
      <w:bookmarkStart w:id="832" w:name="_Toc22017"/>
      <w:r>
        <w:rPr>
          <w:color w:val="auto"/>
          <w:highlight w:val="none"/>
        </w:rPr>
        <w:t>环境质量现状及回顾性评价</w:t>
      </w:r>
      <w:bookmarkEnd w:id="831"/>
      <w:bookmarkEnd w:id="832"/>
    </w:p>
    <w:p>
      <w:pPr>
        <w:pStyle w:val="6"/>
        <w:numPr>
          <w:ilvl w:val="2"/>
          <w:numId w:val="5"/>
        </w:numPr>
        <w:bidi w:val="0"/>
        <w:rPr>
          <w:color w:val="auto"/>
          <w:highlight w:val="none"/>
        </w:rPr>
      </w:pPr>
      <w:bookmarkStart w:id="833" w:name="11.3.1 环境质量现状"/>
      <w:bookmarkEnd w:id="833"/>
      <w:bookmarkStart w:id="834" w:name="11.3.1 环境质量现状"/>
      <w:bookmarkEnd w:id="834"/>
      <w:bookmarkStart w:id="835" w:name="_Toc25473"/>
      <w:bookmarkStart w:id="836" w:name="_Toc25693"/>
      <w:r>
        <w:rPr>
          <w:color w:val="auto"/>
          <w:highlight w:val="none"/>
        </w:rPr>
        <w:t>环境质量现状</w:t>
      </w:r>
      <w:bookmarkEnd w:id="835"/>
      <w:bookmarkEnd w:id="836"/>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生态环境</w:t>
      </w:r>
    </w:p>
    <w:p>
      <w:pPr>
        <w:bidi w:val="0"/>
        <w:rPr>
          <w:color w:val="auto"/>
          <w:highlight w:val="none"/>
        </w:rPr>
      </w:pPr>
      <w:r>
        <w:rPr>
          <w:color w:val="auto"/>
          <w:highlight w:val="none"/>
        </w:rPr>
        <w:t>矿区位于川东平行岭谷区，是四川盆地盆中丘陵区、盆周低山区连接地带，按成因类型属“川东褶皱剥蚀——侵蚀低山丘陵岭谷区”地貌，地貌特征完全受构造、岩性所控制。评价区以农田生态系统为主，区域土地利用类型主要为耕地，植被类型以农作物为主，包括玉米、小麦、水稻等为主，均为区域常见种、广布种，无保护物种分布；受人类活动的干扰，区域内野生动 物的种类较少，无国家和省级重点野生保护动物，也没有需要特殊保护的野生动物分布；土壤侵蚀以中度侵蚀为主。</w:t>
      </w:r>
    </w:p>
    <w:p>
      <w:pPr>
        <w:bidi w:val="0"/>
        <w:rPr>
          <w:color w:val="auto"/>
          <w:highlight w:val="none"/>
        </w:rPr>
      </w:pPr>
      <w:r>
        <w:rPr>
          <w:color w:val="auto"/>
          <w:highlight w:val="none"/>
        </w:rPr>
        <w:t>2、大气环境</w:t>
      </w:r>
    </w:p>
    <w:p>
      <w:pPr>
        <w:bidi w:val="0"/>
        <w:rPr>
          <w:rFonts w:hint="eastAsia" w:eastAsia="宋体"/>
          <w:color w:val="auto"/>
          <w:highlight w:val="none"/>
          <w:lang w:eastAsia="zh-CN"/>
        </w:rPr>
      </w:pPr>
      <w:r>
        <w:rPr>
          <w:color w:val="auto"/>
          <w:highlight w:val="none"/>
        </w:rPr>
        <w:t>根据达州市</w:t>
      </w:r>
      <w:r>
        <w:rPr>
          <w:rFonts w:hint="eastAsia"/>
          <w:color w:val="auto"/>
          <w:highlight w:val="none"/>
          <w:lang w:eastAsia="zh-CN"/>
        </w:rPr>
        <w:t>大竹</w:t>
      </w:r>
      <w:r>
        <w:rPr>
          <w:color w:val="auto"/>
          <w:highlight w:val="none"/>
        </w:rPr>
        <w:t>生态环境局</w:t>
      </w:r>
      <w:r>
        <w:rPr>
          <w:rFonts w:hint="eastAsia"/>
          <w:color w:val="auto"/>
          <w:highlight w:val="none"/>
          <w:lang w:eastAsia="zh-CN"/>
        </w:rPr>
        <w:t>提供的</w:t>
      </w:r>
      <w:r>
        <w:rPr>
          <w:rFonts w:hint="eastAsia"/>
          <w:color w:val="auto"/>
          <w:highlight w:val="none"/>
          <w:lang w:val="en-US" w:eastAsia="zh-CN"/>
        </w:rPr>
        <w:t>2020年大竹县环境空气</w:t>
      </w:r>
      <w:r>
        <w:rPr>
          <w:rFonts w:hint="eastAsia"/>
          <w:color w:val="auto"/>
          <w:highlight w:val="none"/>
          <w:lang w:eastAsia="zh-CN"/>
        </w:rPr>
        <w:t>例行监测</w:t>
      </w:r>
      <w:r>
        <w:rPr>
          <w:color w:val="auto"/>
          <w:highlight w:val="none"/>
        </w:rPr>
        <w:t>数据，对照《环境空气质量评价技术规范（试行）》（HJ663-2013）及《环境空气质量标准》（GB3095-2012）</w:t>
      </w:r>
      <w:r>
        <w:rPr>
          <w:rFonts w:hint="eastAsia"/>
          <w:color w:val="auto"/>
          <w:highlight w:val="none"/>
          <w:lang w:eastAsia="zh-CN"/>
        </w:rPr>
        <w:t>，本规划所在区域大竹县</w:t>
      </w:r>
      <w:r>
        <w:rPr>
          <w:rFonts w:hint="eastAsia"/>
          <w:color w:val="auto"/>
          <w:highlight w:val="none"/>
          <w:lang w:val="en-US" w:eastAsia="zh-CN"/>
        </w:rPr>
        <w:t>2020年环境空气质量为不达标区，主要超标因子为PM</w:t>
      </w:r>
      <w:r>
        <w:rPr>
          <w:rFonts w:hint="eastAsia"/>
          <w:color w:val="auto"/>
          <w:highlight w:val="none"/>
          <w:vertAlign w:val="subscript"/>
          <w:lang w:val="en-US" w:eastAsia="zh-CN"/>
        </w:rPr>
        <w:t>2.5</w:t>
      </w:r>
      <w:r>
        <w:rPr>
          <w:color w:val="auto"/>
          <w:highlight w:val="none"/>
        </w:rPr>
        <w:t>。</w:t>
      </w:r>
      <w:r>
        <w:rPr>
          <w:rFonts w:hint="eastAsia"/>
          <w:color w:val="auto"/>
          <w:highlight w:val="none"/>
          <w:lang w:eastAsia="zh-CN"/>
        </w:rPr>
        <w:t>本次补充现状监测各监测点位及监测因子均达标。</w:t>
      </w:r>
    </w:p>
    <w:p>
      <w:pPr>
        <w:bidi w:val="0"/>
        <w:rPr>
          <w:color w:val="auto"/>
          <w:highlight w:val="none"/>
        </w:rPr>
      </w:pPr>
      <w:r>
        <w:rPr>
          <w:color w:val="auto"/>
          <w:highlight w:val="none"/>
        </w:rPr>
        <w:t>3、地下水</w:t>
      </w:r>
    </w:p>
    <w:p>
      <w:pPr>
        <w:bidi w:val="0"/>
        <w:rPr>
          <w:rFonts w:hint="eastAsia" w:eastAsia="宋体"/>
          <w:color w:val="auto"/>
          <w:highlight w:val="none"/>
          <w:lang w:eastAsia="zh-CN"/>
        </w:rPr>
      </w:pPr>
      <w:r>
        <w:rPr>
          <w:rFonts w:hint="eastAsia"/>
          <w:color w:val="auto"/>
          <w:highlight w:val="none"/>
          <w:lang w:eastAsia="zh-CN"/>
        </w:rPr>
        <w:t>根据本次补充现状监测各监测点位及监测因子均达标。</w:t>
      </w:r>
    </w:p>
    <w:p>
      <w:pPr>
        <w:bidi w:val="0"/>
        <w:rPr>
          <w:color w:val="auto"/>
          <w:highlight w:val="none"/>
        </w:rPr>
      </w:pPr>
      <w:r>
        <w:rPr>
          <w:color w:val="auto"/>
          <w:highlight w:val="none"/>
        </w:rPr>
        <w:t>4、声环境</w:t>
      </w:r>
    </w:p>
    <w:p>
      <w:pPr>
        <w:bidi w:val="0"/>
        <w:rPr>
          <w:color w:val="auto"/>
          <w:highlight w:val="none"/>
        </w:rPr>
      </w:pPr>
      <w:r>
        <w:rPr>
          <w:rFonts w:hint="eastAsia"/>
          <w:color w:val="auto"/>
          <w:highlight w:val="none"/>
          <w:lang w:eastAsia="zh-CN"/>
        </w:rPr>
        <w:t>本次补充监测各</w:t>
      </w:r>
      <w:r>
        <w:rPr>
          <w:color w:val="auto"/>
          <w:highlight w:val="none"/>
        </w:rPr>
        <w:t>监测点昼、夜噪声监测结果能满足《声环境质量标准》（GB3096- 2008）2类区标准要求，区域声环境质量较好。</w:t>
      </w:r>
    </w:p>
    <w:p>
      <w:pPr>
        <w:bidi w:val="0"/>
        <w:rPr>
          <w:color w:val="auto"/>
          <w:highlight w:val="none"/>
        </w:rPr>
      </w:pPr>
      <w:r>
        <w:rPr>
          <w:color w:val="auto"/>
          <w:highlight w:val="none"/>
        </w:rPr>
        <w:t>5、土壤环境</w:t>
      </w:r>
    </w:p>
    <w:p>
      <w:pPr>
        <w:bidi w:val="0"/>
        <w:rPr>
          <w:color w:val="auto"/>
          <w:highlight w:val="none"/>
        </w:rPr>
      </w:pPr>
      <w:r>
        <w:rPr>
          <w:color w:val="auto"/>
          <w:highlight w:val="none"/>
        </w:rPr>
        <w:t>本次在</w:t>
      </w:r>
      <w:r>
        <w:rPr>
          <w:rFonts w:hint="eastAsia"/>
          <w:color w:val="auto"/>
          <w:highlight w:val="none"/>
          <w:lang w:eastAsia="zh-CN"/>
        </w:rPr>
        <w:t>规划矿区及各煤矿厂的</w:t>
      </w:r>
      <w:r>
        <w:rPr>
          <w:color w:val="auto"/>
          <w:highlight w:val="none"/>
        </w:rPr>
        <w:t>工业场地内外分别设置土壤监测点位，其中农用地监测结果能满足《土壤环境质量农用地土壤污染风险管控标准（试 行）》（GB/15618-2018）标准中的风险筛选值标准；建设用地各监测点各项指标均能达到满足《土壤环境质量建设用地土壤风险管控标准（试行）》（GB3600-2018）风险筛选值标准要求。矿区土壤环境质量良好。</w:t>
      </w:r>
    </w:p>
    <w:p>
      <w:pPr>
        <w:pStyle w:val="6"/>
        <w:numPr>
          <w:ilvl w:val="2"/>
          <w:numId w:val="5"/>
        </w:numPr>
        <w:bidi w:val="0"/>
        <w:rPr>
          <w:color w:val="auto"/>
          <w:highlight w:val="none"/>
        </w:rPr>
      </w:pPr>
      <w:bookmarkStart w:id="837" w:name="11.3.2 回顾性评价"/>
      <w:bookmarkEnd w:id="837"/>
      <w:bookmarkStart w:id="838" w:name="11.3.2 回顾性评价"/>
      <w:bookmarkEnd w:id="838"/>
      <w:bookmarkStart w:id="839" w:name="_Toc22098"/>
      <w:bookmarkStart w:id="840" w:name="_Toc22084"/>
      <w:r>
        <w:rPr>
          <w:color w:val="auto"/>
          <w:highlight w:val="none"/>
        </w:rPr>
        <w:t>回顾性评价</w:t>
      </w:r>
      <w:bookmarkEnd w:id="839"/>
      <w:bookmarkEnd w:id="840"/>
    </w:p>
    <w:p>
      <w:pPr>
        <w:bidi w:val="0"/>
        <w:rPr>
          <w:color w:val="auto"/>
          <w:highlight w:val="none"/>
        </w:rPr>
      </w:pPr>
      <w:r>
        <w:rPr>
          <w:rFonts w:hint="eastAsia"/>
          <w:color w:val="auto"/>
          <w:highlight w:val="none"/>
          <w:lang w:eastAsia="zh-CN"/>
        </w:rPr>
        <w:t>规划矿区</w:t>
      </w:r>
      <w:r>
        <w:rPr>
          <w:color w:val="auto"/>
          <w:highlight w:val="none"/>
        </w:rPr>
        <w:t>各矿井均为原有矿井。根据监测结果，区域近年来环境空气质量呈现好转趋势，说明矿区历史开发未对大气环境造成不利影响；各矿井均配套建设有矿井水处理站、生活污水处理站，处理后中水资源化利用，未对水环境造成不利影响；且根据地下水监测结果，历史开发作业未对地下水造成明显不利影响。</w:t>
      </w:r>
    </w:p>
    <w:p>
      <w:pPr>
        <w:bidi w:val="0"/>
        <w:rPr>
          <w:color w:val="auto"/>
          <w:highlight w:val="none"/>
        </w:rPr>
      </w:pPr>
      <w:r>
        <w:rPr>
          <w:color w:val="auto"/>
          <w:highlight w:val="none"/>
        </w:rPr>
        <w:t>通过现场调查，矿区内耕地无明显减少，林地面积有所增加，建设用地、工矿用地呈现增长趋势，说明区域开发建设活动较为活跃，但尚未对矿区耕地等造成不良影响。</w:t>
      </w:r>
    </w:p>
    <w:p>
      <w:pPr>
        <w:pStyle w:val="5"/>
        <w:numPr>
          <w:ilvl w:val="1"/>
          <w:numId w:val="5"/>
        </w:numPr>
        <w:bidi w:val="0"/>
        <w:rPr>
          <w:color w:val="auto"/>
          <w:highlight w:val="none"/>
        </w:rPr>
      </w:pPr>
      <w:bookmarkStart w:id="841" w:name="11.4 矿区规划实施环境影响及措施结论"/>
      <w:bookmarkEnd w:id="841"/>
      <w:bookmarkStart w:id="842" w:name="_bookmark66"/>
      <w:bookmarkEnd w:id="842"/>
      <w:bookmarkStart w:id="843" w:name="_Toc22521"/>
      <w:bookmarkStart w:id="844" w:name="_Toc19615"/>
      <w:r>
        <w:rPr>
          <w:color w:val="auto"/>
          <w:highlight w:val="none"/>
        </w:rPr>
        <w:t>矿区规划实施环境影响及措施结论</w:t>
      </w:r>
      <w:bookmarkEnd w:id="843"/>
      <w:bookmarkEnd w:id="844"/>
    </w:p>
    <w:p>
      <w:pPr>
        <w:pStyle w:val="6"/>
        <w:numPr>
          <w:ilvl w:val="2"/>
          <w:numId w:val="5"/>
        </w:numPr>
        <w:bidi w:val="0"/>
        <w:rPr>
          <w:color w:val="auto"/>
          <w:highlight w:val="none"/>
        </w:rPr>
      </w:pPr>
      <w:bookmarkStart w:id="845" w:name="11.4.1 生态环境影响评价结论"/>
      <w:bookmarkEnd w:id="845"/>
      <w:bookmarkStart w:id="846" w:name="11.4.1 生态环境影响评价结论"/>
      <w:bookmarkEnd w:id="846"/>
      <w:bookmarkStart w:id="847" w:name="_Toc23405"/>
      <w:bookmarkStart w:id="848" w:name="_Toc24466"/>
      <w:r>
        <w:rPr>
          <w:color w:val="auto"/>
          <w:highlight w:val="none"/>
        </w:rPr>
        <w:t>生态环境影响评价结论</w:t>
      </w:r>
      <w:bookmarkEnd w:id="847"/>
      <w:bookmarkEnd w:id="848"/>
    </w:p>
    <w:p>
      <w:pPr>
        <w:bidi w:val="0"/>
        <w:rPr>
          <w:color w:val="auto"/>
          <w:highlight w:val="none"/>
        </w:rPr>
      </w:pPr>
      <w:r>
        <w:rPr>
          <w:color w:val="auto"/>
          <w:highlight w:val="none"/>
        </w:rPr>
        <w:t>达州市</w:t>
      </w:r>
      <w:r>
        <w:rPr>
          <w:rFonts w:hint="eastAsia"/>
          <w:color w:val="auto"/>
          <w:highlight w:val="none"/>
        </w:rPr>
        <w:t>大竹县</w:t>
      </w:r>
      <w:r>
        <w:rPr>
          <w:color w:val="auto"/>
          <w:highlight w:val="none"/>
        </w:rPr>
        <w:t>煤炭矿区总体规划规划建设及运营期间，施工占地、矿山开采、往来车辆等因素会对评价区域内动植物、生态系统、景观等造成一定的影响。矿区规划建设</w:t>
      </w:r>
      <w:r>
        <w:rPr>
          <w:rFonts w:hint="eastAsia"/>
          <w:color w:val="auto"/>
          <w:highlight w:val="none"/>
        </w:rPr>
        <w:t>局限在现有矿山工业场地内，</w:t>
      </w:r>
      <w:r>
        <w:rPr>
          <w:color w:val="auto"/>
          <w:highlight w:val="none"/>
        </w:rPr>
        <w:t>对区域植被、景观、野生动植物多样性、生态系统功能等</w:t>
      </w:r>
      <w:r>
        <w:rPr>
          <w:rFonts w:hint="eastAsia"/>
          <w:color w:val="auto"/>
          <w:highlight w:val="none"/>
        </w:rPr>
        <w:t>的</w:t>
      </w:r>
      <w:r>
        <w:rPr>
          <w:color w:val="auto"/>
          <w:highlight w:val="none"/>
        </w:rPr>
        <w:t>生态影响较弱，在可接受和可控的范围内。只要建设单位加强管理、文明施工，严格按照相关法律法规办事，并按照报告提出的要求把缓解措施落到实处，则项目规划对区域生态环境的影响可降到最低。因此，虽然项目规划会对区域生态环境造成一定的影响，但其影响较小且能够得到较好的控制，项目矿区规划建设可行。</w:t>
      </w:r>
    </w:p>
    <w:p>
      <w:pPr>
        <w:pStyle w:val="6"/>
        <w:numPr>
          <w:ilvl w:val="2"/>
          <w:numId w:val="5"/>
        </w:numPr>
        <w:bidi w:val="0"/>
        <w:rPr>
          <w:color w:val="auto"/>
          <w:highlight w:val="none"/>
        </w:rPr>
      </w:pPr>
      <w:bookmarkStart w:id="849" w:name="11.4.2 地下水环境影响评价结论"/>
      <w:bookmarkEnd w:id="849"/>
      <w:bookmarkStart w:id="850" w:name="11.4.2 地下水环境影响评价结论"/>
      <w:bookmarkEnd w:id="850"/>
      <w:bookmarkStart w:id="851" w:name="_Toc10701"/>
      <w:bookmarkStart w:id="852" w:name="_Toc22"/>
      <w:r>
        <w:rPr>
          <w:color w:val="auto"/>
          <w:highlight w:val="none"/>
        </w:rPr>
        <w:t>地下水环境影响评价结论</w:t>
      </w:r>
      <w:bookmarkEnd w:id="851"/>
      <w:bookmarkEnd w:id="852"/>
    </w:p>
    <w:p>
      <w:pPr>
        <w:bidi w:val="0"/>
        <w:rPr>
          <w:color w:val="auto"/>
          <w:highlight w:val="none"/>
        </w:rPr>
      </w:pPr>
      <w:r>
        <w:rPr>
          <w:color w:val="auto"/>
          <w:highlight w:val="none"/>
        </w:rPr>
        <w:t>煤矿的开采势必对地下水环境造成一定的影响，主要表现在煤层开采后导水裂隙带的发育、矿井水的疏干等使地下水资源减少。</w:t>
      </w:r>
    </w:p>
    <w:p>
      <w:pPr>
        <w:bidi w:val="0"/>
        <w:rPr>
          <w:color w:val="auto"/>
          <w:highlight w:val="none"/>
        </w:rPr>
      </w:pPr>
      <w:r>
        <w:rPr>
          <w:color w:val="auto"/>
          <w:highlight w:val="none"/>
        </w:rPr>
        <w:t>另外，在降雨淋溶作用下临时排矸场中污染物随降雨入渗进入地下水中造成影响，由于该区域降雨量极小，产生矸石淋滤水的条件差，同时评价要求对矸石转运场内的矸石及时清运，不能长期堆存，因此，项目的矸石临时周转对地下水水质影响轻微。</w:t>
      </w:r>
    </w:p>
    <w:p>
      <w:pPr>
        <w:pStyle w:val="6"/>
        <w:numPr>
          <w:ilvl w:val="2"/>
          <w:numId w:val="5"/>
        </w:numPr>
        <w:bidi w:val="0"/>
        <w:rPr>
          <w:color w:val="auto"/>
          <w:highlight w:val="none"/>
        </w:rPr>
      </w:pPr>
      <w:bookmarkStart w:id="853" w:name="11.4.3  地表水环境影响评价结论"/>
      <w:bookmarkEnd w:id="853"/>
      <w:bookmarkStart w:id="854" w:name="11.4.3  地表水环境影响评价结论"/>
      <w:bookmarkEnd w:id="854"/>
      <w:bookmarkStart w:id="855" w:name="_Toc27726"/>
      <w:bookmarkStart w:id="856" w:name="_Toc21108"/>
      <w:r>
        <w:rPr>
          <w:color w:val="auto"/>
          <w:highlight w:val="none"/>
        </w:rPr>
        <w:t>地表水环境影响评价结论</w:t>
      </w:r>
      <w:bookmarkEnd w:id="855"/>
      <w:bookmarkEnd w:id="856"/>
    </w:p>
    <w:p>
      <w:pPr>
        <w:bidi w:val="0"/>
        <w:rPr>
          <w:color w:val="auto"/>
          <w:highlight w:val="none"/>
        </w:rPr>
      </w:pPr>
      <w:r>
        <w:rPr>
          <w:color w:val="auto"/>
          <w:highlight w:val="none"/>
        </w:rPr>
        <w:t>矿区各矿井均配建矿井水处理站、生活污水处理站。井下排水、生活污水分别经处理达标后，</w:t>
      </w:r>
      <w:r>
        <w:rPr>
          <w:rFonts w:hint="eastAsia"/>
          <w:color w:val="auto"/>
          <w:highlight w:val="none"/>
          <w:lang w:eastAsia="zh-CN"/>
        </w:rPr>
        <w:t>其中矿井水尽量</w:t>
      </w:r>
      <w:r>
        <w:rPr>
          <w:color w:val="auto"/>
          <w:highlight w:val="none"/>
        </w:rPr>
        <w:t>回用</w:t>
      </w:r>
      <w:r>
        <w:rPr>
          <w:rFonts w:hint="eastAsia"/>
          <w:color w:val="auto"/>
          <w:highlight w:val="none"/>
          <w:lang w:eastAsia="zh-CN"/>
        </w:rPr>
        <w:t>于</w:t>
      </w:r>
      <w:r>
        <w:rPr>
          <w:color w:val="auto"/>
          <w:highlight w:val="none"/>
        </w:rPr>
        <w:t>井下及地表生产系统、绿化等</w:t>
      </w:r>
      <w:r>
        <w:rPr>
          <w:rFonts w:hint="eastAsia"/>
          <w:color w:val="auto"/>
          <w:highlight w:val="none"/>
          <w:lang w:eastAsia="zh-CN"/>
        </w:rPr>
        <w:t>多余废水达标排放进入周边受纳水体，本次评价根据环环评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w:t>
      </w:r>
      <w:r>
        <w:rPr>
          <w:color w:val="auto"/>
          <w:highlight w:val="none"/>
        </w:rPr>
        <w:t>。</w:t>
      </w:r>
      <w:r>
        <w:rPr>
          <w:rFonts w:hint="eastAsia"/>
          <w:color w:val="auto"/>
          <w:highlight w:val="none"/>
          <w:lang w:eastAsia="zh-CN"/>
        </w:rPr>
        <w:t>因此，矿井水排入受纳水体对水体水质环境影响极小；生活污水全部资源化利用不外排</w:t>
      </w:r>
      <w:r>
        <w:rPr>
          <w:color w:val="auto"/>
          <w:highlight w:val="none"/>
        </w:rPr>
        <w:t>。选煤厂废水</w:t>
      </w:r>
      <w:r>
        <w:rPr>
          <w:rFonts w:hint="eastAsia"/>
          <w:color w:val="auto"/>
          <w:highlight w:val="none"/>
          <w:lang w:eastAsia="zh-CN"/>
        </w:rPr>
        <w:t>一级</w:t>
      </w:r>
      <w:r>
        <w:rPr>
          <w:color w:val="auto"/>
          <w:highlight w:val="none"/>
        </w:rPr>
        <w:t>闭路循环，不外排。对</w:t>
      </w:r>
      <w:r>
        <w:rPr>
          <w:rFonts w:hint="eastAsia"/>
          <w:color w:val="auto"/>
          <w:highlight w:val="none"/>
          <w:lang w:eastAsia="zh-CN"/>
        </w:rPr>
        <w:t>区域水</w:t>
      </w:r>
      <w:r>
        <w:rPr>
          <w:color w:val="auto"/>
          <w:highlight w:val="none"/>
        </w:rPr>
        <w:t>环境影响极小。</w:t>
      </w:r>
    </w:p>
    <w:p>
      <w:pPr>
        <w:pStyle w:val="6"/>
        <w:numPr>
          <w:ilvl w:val="2"/>
          <w:numId w:val="5"/>
        </w:numPr>
        <w:bidi w:val="0"/>
        <w:rPr>
          <w:color w:val="auto"/>
          <w:highlight w:val="none"/>
        </w:rPr>
      </w:pPr>
      <w:bookmarkStart w:id="857" w:name="11.4.4 大气环境影响评价结论"/>
      <w:bookmarkEnd w:id="857"/>
      <w:bookmarkStart w:id="858" w:name="11.4.4 大气环境影响评价结论"/>
      <w:bookmarkEnd w:id="858"/>
      <w:bookmarkStart w:id="859" w:name="_Toc807"/>
      <w:bookmarkStart w:id="860" w:name="_Toc28863"/>
      <w:r>
        <w:rPr>
          <w:color w:val="auto"/>
          <w:highlight w:val="none"/>
        </w:rPr>
        <w:t>大气环境影响评价结论</w:t>
      </w:r>
      <w:bookmarkEnd w:id="859"/>
      <w:bookmarkEnd w:id="860"/>
    </w:p>
    <w:p>
      <w:pPr>
        <w:bidi w:val="0"/>
        <w:rPr>
          <w:color w:val="auto"/>
          <w:highlight w:val="none"/>
        </w:rPr>
      </w:pPr>
      <w:r>
        <w:rPr>
          <w:color w:val="auto"/>
          <w:highlight w:val="none"/>
        </w:rPr>
        <w:t>各矿井排矸场、储煤场、道路扬尘等，在采取绿化、洒水降尘等措施，井下粉尘通过综合防尘洒水系统除尘，不会对矿区大气环境造成明显影响。</w:t>
      </w:r>
    </w:p>
    <w:p>
      <w:pPr>
        <w:bidi w:val="0"/>
        <w:rPr>
          <w:color w:val="auto"/>
          <w:highlight w:val="none"/>
        </w:rPr>
      </w:pPr>
      <w:r>
        <w:rPr>
          <w:color w:val="auto"/>
          <w:highlight w:val="none"/>
        </w:rPr>
        <w:t>因此，从大气环境影响角度而言，在采取合理有效的大气污染防治措施下，矿区开发带来的大气环境影响对矿区规划布局的制约性不大。</w:t>
      </w:r>
    </w:p>
    <w:p>
      <w:pPr>
        <w:pStyle w:val="6"/>
        <w:numPr>
          <w:ilvl w:val="2"/>
          <w:numId w:val="5"/>
        </w:numPr>
        <w:bidi w:val="0"/>
        <w:rPr>
          <w:color w:val="auto"/>
          <w:highlight w:val="none"/>
        </w:rPr>
      </w:pPr>
      <w:bookmarkStart w:id="861" w:name="11.4.5 声环境影响评价结论"/>
      <w:bookmarkEnd w:id="861"/>
      <w:bookmarkStart w:id="862" w:name="11.4.5 声环境影响评价结论"/>
      <w:bookmarkEnd w:id="862"/>
      <w:bookmarkStart w:id="863" w:name="_Toc28426"/>
      <w:bookmarkStart w:id="864" w:name="_Toc16655"/>
      <w:r>
        <w:rPr>
          <w:color w:val="auto"/>
          <w:highlight w:val="none"/>
        </w:rPr>
        <w:t>声环境影响评价结论</w:t>
      </w:r>
      <w:bookmarkEnd w:id="863"/>
      <w:bookmarkEnd w:id="864"/>
    </w:p>
    <w:p>
      <w:pPr>
        <w:bidi w:val="0"/>
        <w:rPr>
          <w:color w:val="auto"/>
          <w:highlight w:val="none"/>
        </w:rPr>
      </w:pPr>
      <w:r>
        <w:rPr>
          <w:color w:val="auto"/>
          <w:highlight w:val="none"/>
        </w:rPr>
        <w:t>矿区工业企业噪声主要为各矿井工业场地设备噪声源，根据一般矿井同类设备噪声源的类比，这些设备的噪声源声压级约为</w:t>
      </w:r>
      <w:r>
        <w:rPr>
          <w:rFonts w:ascii="Times New Roman" w:eastAsia="Times New Roman"/>
          <w:color w:val="auto"/>
          <w:highlight w:val="none"/>
        </w:rPr>
        <w:t>82~105dB</w:t>
      </w:r>
      <w:r>
        <w:rPr>
          <w:color w:val="auto"/>
          <w:highlight w:val="none"/>
        </w:rPr>
        <w:t>（</w:t>
      </w:r>
      <w:r>
        <w:rPr>
          <w:rFonts w:ascii="Times New Roman" w:eastAsia="Times New Roman"/>
          <w:color w:val="auto"/>
          <w:highlight w:val="none"/>
        </w:rPr>
        <w:t>A</w:t>
      </w:r>
      <w:r>
        <w:rPr>
          <w:color w:val="auto"/>
          <w:highlight w:val="none"/>
        </w:rPr>
        <w:t>），在各矿井采取隔声降噪措施以后，厂界噪声可以实现达标，对周围环境影响可接受。</w:t>
      </w:r>
    </w:p>
    <w:p>
      <w:pPr>
        <w:pStyle w:val="6"/>
        <w:numPr>
          <w:ilvl w:val="2"/>
          <w:numId w:val="5"/>
        </w:numPr>
        <w:bidi w:val="0"/>
        <w:rPr>
          <w:color w:val="auto"/>
          <w:highlight w:val="none"/>
        </w:rPr>
      </w:pPr>
      <w:bookmarkStart w:id="865" w:name="11.4.6 固体废物处置环境影响评价结论"/>
      <w:bookmarkEnd w:id="865"/>
      <w:bookmarkStart w:id="866" w:name="11.4.6 固体废物处置环境影响评价结论"/>
      <w:bookmarkEnd w:id="866"/>
      <w:bookmarkStart w:id="867" w:name="_Toc30621"/>
      <w:bookmarkStart w:id="868" w:name="_Toc19556"/>
      <w:r>
        <w:rPr>
          <w:color w:val="auto"/>
          <w:highlight w:val="none"/>
        </w:rPr>
        <w:t>固体废物处置环境影响评价结论</w:t>
      </w:r>
      <w:bookmarkEnd w:id="867"/>
      <w:bookmarkEnd w:id="868"/>
    </w:p>
    <w:p>
      <w:pPr>
        <w:bidi w:val="0"/>
        <w:rPr>
          <w:color w:val="auto"/>
          <w:highlight w:val="none"/>
        </w:rPr>
      </w:pPr>
      <w:r>
        <w:rPr>
          <w:color w:val="auto"/>
          <w:highlight w:val="none"/>
        </w:rPr>
        <w:t>采煤产生的固体废物主要包含煤矸石、生活垃圾</w:t>
      </w:r>
      <w:r>
        <w:rPr>
          <w:rFonts w:hint="eastAsia"/>
          <w:color w:val="auto"/>
          <w:highlight w:val="none"/>
          <w:lang w:eastAsia="zh-CN"/>
        </w:rPr>
        <w:t>及少量危险废物</w:t>
      </w:r>
      <w:r>
        <w:rPr>
          <w:color w:val="auto"/>
          <w:highlight w:val="none"/>
        </w:rPr>
        <w:t>等。目前，矿区各煤矿对于煤矸石的主要处置方法多为排至临时矸石场，</w:t>
      </w:r>
      <w:r>
        <w:rPr>
          <w:rFonts w:hint="eastAsia"/>
          <w:color w:val="auto"/>
          <w:highlight w:val="none"/>
          <w:lang w:eastAsia="zh-CN"/>
        </w:rPr>
        <w:t>然后外售于大竹县境内的矸砖厂利用</w:t>
      </w:r>
      <w:r>
        <w:rPr>
          <w:color w:val="auto"/>
          <w:highlight w:val="none"/>
        </w:rPr>
        <w:t>。在矿区后续开发中应对矸石提出多元化利用途径，同时要求排矸场的设置应满足《煤矸石综合利用管理办法》的规定要求，制定可行的矸石综合利用规划，确保矸石综合利用率达100%；煤矿废水处理站污泥与末煤混合后作为混煤外售，生活垃圾经收集后外运至周边垃圾中转站后，由环卫部门统一运至生活垃圾填埋场处置</w:t>
      </w:r>
      <w:r>
        <w:rPr>
          <w:rFonts w:hint="eastAsia"/>
          <w:color w:val="auto"/>
          <w:highlight w:val="none"/>
          <w:lang w:eastAsia="zh-CN"/>
        </w:rPr>
        <w:t>；少量危险废物收集暂存于各厂区危废间，然后定期交由有资质的单位清运处置，严格按照危险废物的管理要求进行管理</w:t>
      </w:r>
      <w:r>
        <w:rPr>
          <w:color w:val="auto"/>
          <w:highlight w:val="none"/>
        </w:rPr>
        <w:t>。固体废物排放对周边环境影响在可接受范围内。</w:t>
      </w:r>
    </w:p>
    <w:p>
      <w:pPr>
        <w:pStyle w:val="6"/>
        <w:numPr>
          <w:ilvl w:val="2"/>
          <w:numId w:val="5"/>
        </w:numPr>
        <w:bidi w:val="0"/>
        <w:rPr>
          <w:color w:val="auto"/>
          <w:highlight w:val="none"/>
        </w:rPr>
      </w:pPr>
      <w:bookmarkStart w:id="869" w:name="11.4.7 土壤环境影响评价结论"/>
      <w:bookmarkEnd w:id="869"/>
      <w:bookmarkStart w:id="870" w:name="11.4.7 土壤环境影响评价结论"/>
      <w:bookmarkEnd w:id="870"/>
      <w:bookmarkStart w:id="871" w:name="_Toc13830"/>
      <w:bookmarkStart w:id="872" w:name="_Toc26271"/>
      <w:r>
        <w:rPr>
          <w:color w:val="auto"/>
          <w:highlight w:val="none"/>
        </w:rPr>
        <w:t>土壤环境影响评价结论</w:t>
      </w:r>
      <w:bookmarkEnd w:id="871"/>
      <w:bookmarkEnd w:id="872"/>
    </w:p>
    <w:p>
      <w:pPr>
        <w:bidi w:val="0"/>
        <w:rPr>
          <w:color w:val="auto"/>
          <w:highlight w:val="none"/>
        </w:rPr>
      </w:pPr>
      <w:r>
        <w:rPr>
          <w:color w:val="auto"/>
          <w:highlight w:val="none"/>
        </w:rPr>
        <w:t>矿区规划实施后，沉陷区地表发生下沉。根据主要开采煤层导水裂隙带、冒落带计算可知，矿区各可采煤层开采后仅导通承压含水层，未能直接导通第四系含水层。因此煤炭资源开采后，地下水埋深变化不大；区域干燥度、土壤本底含盐量以及土壤质地、地下水溶解性总固体基本无变化。因此，矿区煤炭资源开采后土壤盐化情况基本无明显变化，对土壤环境影响极小。</w:t>
      </w:r>
    </w:p>
    <w:p>
      <w:pPr>
        <w:pStyle w:val="5"/>
        <w:numPr>
          <w:ilvl w:val="1"/>
          <w:numId w:val="5"/>
        </w:numPr>
        <w:bidi w:val="0"/>
        <w:rPr>
          <w:color w:val="auto"/>
          <w:highlight w:val="none"/>
        </w:rPr>
      </w:pPr>
      <w:bookmarkStart w:id="873" w:name="_bookmark67"/>
      <w:bookmarkEnd w:id="873"/>
      <w:bookmarkStart w:id="874" w:name="11.5 资源、环境承载力分析结论"/>
      <w:bookmarkEnd w:id="874"/>
      <w:bookmarkStart w:id="875" w:name="_Toc30490"/>
      <w:bookmarkStart w:id="876" w:name="_Toc5360"/>
      <w:r>
        <w:rPr>
          <w:color w:val="auto"/>
          <w:highlight w:val="none"/>
        </w:rPr>
        <w:t>资源、环境承载力分析结论</w:t>
      </w:r>
      <w:bookmarkEnd w:id="875"/>
      <w:bookmarkEnd w:id="876"/>
    </w:p>
    <w:p>
      <w:pPr>
        <w:pStyle w:val="6"/>
        <w:numPr>
          <w:ilvl w:val="2"/>
          <w:numId w:val="5"/>
        </w:numPr>
        <w:bidi w:val="0"/>
        <w:rPr>
          <w:color w:val="auto"/>
          <w:highlight w:val="none"/>
        </w:rPr>
      </w:pPr>
      <w:bookmarkStart w:id="877" w:name="11.5.1 水资源承载力"/>
      <w:bookmarkEnd w:id="877"/>
      <w:bookmarkStart w:id="878" w:name="11.5.1 水资源承载力"/>
      <w:bookmarkEnd w:id="878"/>
      <w:bookmarkStart w:id="879" w:name="_Toc1556"/>
      <w:bookmarkStart w:id="880" w:name="_Toc10416"/>
      <w:r>
        <w:rPr>
          <w:color w:val="auto"/>
          <w:highlight w:val="none"/>
        </w:rPr>
        <w:t>水资源承载力</w:t>
      </w:r>
      <w:bookmarkEnd w:id="879"/>
      <w:bookmarkEnd w:id="880"/>
    </w:p>
    <w:p>
      <w:pPr>
        <w:bidi w:val="0"/>
        <w:rPr>
          <w:color w:val="auto"/>
          <w:highlight w:val="none"/>
        </w:rPr>
      </w:pPr>
      <w:r>
        <w:rPr>
          <w:color w:val="auto"/>
          <w:highlight w:val="none"/>
        </w:rPr>
        <w:t>规划期矿区最大用水量为</w:t>
      </w:r>
      <w:r>
        <w:rPr>
          <w:rFonts w:ascii="Times New Roman" w:eastAsia="Times New Roman"/>
          <w:color w:val="auto"/>
          <w:highlight w:val="none"/>
        </w:rPr>
        <w:t>132.6303</w:t>
      </w:r>
      <w:r>
        <w:rPr>
          <w:color w:val="auto"/>
          <w:highlight w:val="none"/>
        </w:rPr>
        <w:t>万</w:t>
      </w:r>
      <w:r>
        <w:rPr>
          <w:rFonts w:ascii="Times New Roman" w:eastAsia="Times New Roman"/>
          <w:color w:val="auto"/>
          <w:highlight w:val="none"/>
        </w:rPr>
        <w:t>m</w:t>
      </w:r>
      <w:r>
        <w:rPr>
          <w:rFonts w:ascii="Times New Roman" w:eastAsia="Times New Roman"/>
          <w:color w:val="auto"/>
          <w:position w:val="8"/>
          <w:sz w:val="15"/>
          <w:highlight w:val="none"/>
        </w:rPr>
        <w:t>3</w:t>
      </w:r>
      <w:r>
        <w:rPr>
          <w:rFonts w:ascii="Times New Roman" w:eastAsia="Times New Roman"/>
          <w:color w:val="auto"/>
          <w:highlight w:val="none"/>
        </w:rPr>
        <w:t>/a</w:t>
      </w:r>
      <w:r>
        <w:rPr>
          <w:color w:val="auto"/>
          <w:highlight w:val="none"/>
        </w:rPr>
        <w:t>，可回用矿井水量为</w:t>
      </w:r>
      <w:r>
        <w:rPr>
          <w:rFonts w:ascii="Times New Roman" w:eastAsia="Times New Roman"/>
          <w:color w:val="auto"/>
          <w:highlight w:val="none"/>
        </w:rPr>
        <w:t>248.9421</w:t>
      </w:r>
      <w:r>
        <w:rPr>
          <w:color w:val="auto"/>
          <w:highlight w:val="none"/>
        </w:rPr>
        <w:t>万</w:t>
      </w:r>
      <w:r>
        <w:rPr>
          <w:rFonts w:ascii="Times New Roman" w:eastAsia="Times New Roman"/>
          <w:color w:val="auto"/>
          <w:highlight w:val="none"/>
        </w:rPr>
        <w:t>m</w:t>
      </w:r>
      <w:r>
        <w:rPr>
          <w:rFonts w:ascii="Times New Roman" w:eastAsia="Times New Roman"/>
          <w:color w:val="auto"/>
          <w:position w:val="8"/>
          <w:sz w:val="15"/>
          <w:highlight w:val="none"/>
        </w:rPr>
        <w:t>3</w:t>
      </w:r>
      <w:r>
        <w:rPr>
          <w:rFonts w:ascii="Times New Roman" w:eastAsia="Times New Roman"/>
          <w:color w:val="auto"/>
          <w:highlight w:val="none"/>
        </w:rPr>
        <w:t>/a</w:t>
      </w:r>
      <w:r>
        <w:rPr>
          <w:color w:val="auto"/>
          <w:highlight w:val="none"/>
        </w:rPr>
        <w:t>，煤炭开采中产生的矿井水就可满足矿区用水需求，且有</w:t>
      </w:r>
      <w:r>
        <w:rPr>
          <w:rFonts w:ascii="Times New Roman" w:eastAsia="Times New Roman"/>
          <w:color w:val="auto"/>
          <w:highlight w:val="none"/>
        </w:rPr>
        <w:t>116.3118</w:t>
      </w:r>
      <w:r>
        <w:rPr>
          <w:color w:val="auto"/>
          <w:highlight w:val="none"/>
        </w:rPr>
        <w:t>万</w:t>
      </w:r>
      <w:r>
        <w:rPr>
          <w:rFonts w:ascii="Times New Roman" w:eastAsia="Times New Roman"/>
          <w:color w:val="auto"/>
          <w:highlight w:val="none"/>
        </w:rPr>
        <w:t>m</w:t>
      </w:r>
      <w:r>
        <w:rPr>
          <w:rFonts w:ascii="Times New Roman" w:eastAsia="Times New Roman"/>
          <w:color w:val="auto"/>
          <w:position w:val="8"/>
          <w:sz w:val="15"/>
          <w:highlight w:val="none"/>
        </w:rPr>
        <w:t>3</w:t>
      </w:r>
      <w:r>
        <w:rPr>
          <w:rFonts w:ascii="Times New Roman" w:eastAsia="Times New Roman"/>
          <w:color w:val="auto"/>
          <w:highlight w:val="none"/>
        </w:rPr>
        <w:t>/a</w:t>
      </w:r>
      <w:r>
        <w:rPr>
          <w:color w:val="auto"/>
          <w:highlight w:val="none"/>
        </w:rPr>
        <w:t>矿井水富余。矿区的生态环境用水，主要包括土地复垦、林草浇灌等用水量，主要以矿区矿井涌水、生活污水处理后回用作为来源，因此矿区的开发不会导致现状生态环境用水量的增加。</w:t>
      </w:r>
    </w:p>
    <w:p>
      <w:pPr>
        <w:bidi w:val="0"/>
        <w:rPr>
          <w:color w:val="auto"/>
          <w:highlight w:val="none"/>
        </w:rPr>
      </w:pPr>
      <w:r>
        <w:rPr>
          <w:color w:val="auto"/>
          <w:highlight w:val="none"/>
        </w:rPr>
        <w:t>综上所述，水资源承载力较好，</w:t>
      </w:r>
      <w:r>
        <w:rPr>
          <w:rFonts w:hint="eastAsia"/>
          <w:color w:val="auto"/>
          <w:highlight w:val="none"/>
          <w:lang w:eastAsia="zh-CN"/>
        </w:rPr>
        <w:t>规划矿区</w:t>
      </w:r>
      <w:r>
        <w:rPr>
          <w:color w:val="auto"/>
          <w:highlight w:val="none"/>
        </w:rPr>
        <w:t>开发用水对其他项目的用水不会产生直接影响。</w:t>
      </w:r>
    </w:p>
    <w:p>
      <w:pPr>
        <w:pStyle w:val="6"/>
        <w:numPr>
          <w:ilvl w:val="2"/>
          <w:numId w:val="5"/>
        </w:numPr>
        <w:bidi w:val="0"/>
        <w:rPr>
          <w:color w:val="auto"/>
          <w:highlight w:val="none"/>
        </w:rPr>
      </w:pPr>
      <w:bookmarkStart w:id="881" w:name="11.5.2 土地资源承载力结论"/>
      <w:bookmarkEnd w:id="881"/>
      <w:bookmarkStart w:id="882" w:name="11.5.2 土地资源承载力结论"/>
      <w:bookmarkEnd w:id="882"/>
      <w:bookmarkStart w:id="883" w:name="_Toc19731"/>
      <w:bookmarkStart w:id="884" w:name="_Toc4132"/>
      <w:r>
        <w:rPr>
          <w:color w:val="auto"/>
          <w:highlight w:val="none"/>
        </w:rPr>
        <w:t>土地资源承载力结论</w:t>
      </w:r>
      <w:bookmarkEnd w:id="883"/>
      <w:bookmarkEnd w:id="884"/>
    </w:p>
    <w:p>
      <w:pPr>
        <w:bidi w:val="0"/>
        <w:rPr>
          <w:color w:val="auto"/>
          <w:highlight w:val="none"/>
        </w:rPr>
      </w:pPr>
      <w:r>
        <w:rPr>
          <w:rFonts w:hint="eastAsia"/>
          <w:color w:val="auto"/>
          <w:highlight w:val="none"/>
          <w:lang w:eastAsia="zh-CN"/>
        </w:rPr>
        <w:t>规划矿区</w:t>
      </w:r>
      <w:r>
        <w:rPr>
          <w:color w:val="auto"/>
          <w:highlight w:val="none"/>
        </w:rPr>
        <w:t>面积为</w:t>
      </w:r>
      <w:r>
        <w:rPr>
          <w:rFonts w:hint="eastAsia"/>
          <w:color w:val="auto"/>
          <w:highlight w:val="none"/>
          <w:lang w:val="en-US" w:eastAsia="zh-CN"/>
        </w:rPr>
        <w:t>148.1628</w:t>
      </w:r>
      <w:r>
        <w:rPr>
          <w:color w:val="auto"/>
          <w:highlight w:val="none"/>
        </w:rPr>
        <w:t>km</w:t>
      </w:r>
      <w:r>
        <w:rPr>
          <w:color w:val="auto"/>
          <w:highlight w:val="none"/>
          <w:vertAlign w:val="superscript"/>
        </w:rPr>
        <w:t>2</w:t>
      </w:r>
      <w:r>
        <w:rPr>
          <w:color w:val="auto"/>
          <w:highlight w:val="none"/>
        </w:rPr>
        <w:t>，矿区各矿井工业场地等实际占压总面积为</w:t>
      </w:r>
      <w:r>
        <w:rPr>
          <w:rFonts w:hint="eastAsia"/>
          <w:color w:val="auto"/>
          <w:highlight w:val="none"/>
          <w:lang w:val="en-US" w:eastAsia="zh-CN"/>
        </w:rPr>
        <w:t>61.16</w:t>
      </w:r>
      <w:r>
        <w:rPr>
          <w:color w:val="auto"/>
          <w:highlight w:val="none"/>
        </w:rPr>
        <w:t>hm</w:t>
      </w:r>
      <w:r>
        <w:rPr>
          <w:color w:val="auto"/>
          <w:highlight w:val="none"/>
          <w:vertAlign w:val="superscript"/>
        </w:rPr>
        <w:t>2</w:t>
      </w:r>
      <w:r>
        <w:rPr>
          <w:color w:val="auto"/>
          <w:highlight w:val="none"/>
        </w:rPr>
        <w:t>，占全区土地面积（</w:t>
      </w:r>
      <w:r>
        <w:rPr>
          <w:rFonts w:hint="eastAsia"/>
          <w:color w:val="auto"/>
          <w:highlight w:val="none"/>
          <w:lang w:val="en-US" w:eastAsia="zh-CN"/>
        </w:rPr>
        <w:t>14816</w:t>
      </w:r>
      <w:r>
        <w:rPr>
          <w:color w:val="auto"/>
          <w:highlight w:val="none"/>
        </w:rPr>
        <w:t>.</w:t>
      </w:r>
      <w:r>
        <w:rPr>
          <w:rFonts w:hint="eastAsia"/>
          <w:color w:val="auto"/>
          <w:highlight w:val="none"/>
          <w:lang w:val="en-US" w:eastAsia="zh-CN"/>
        </w:rPr>
        <w:t>28</w:t>
      </w:r>
      <w:r>
        <w:rPr>
          <w:color w:val="auto"/>
          <w:highlight w:val="none"/>
        </w:rPr>
        <w:t>公顷）的</w:t>
      </w:r>
      <w:r>
        <w:rPr>
          <w:rFonts w:hint="eastAsia"/>
          <w:color w:val="auto"/>
          <w:highlight w:val="none"/>
          <w:lang w:val="en-US" w:eastAsia="zh-CN"/>
        </w:rPr>
        <w:t>41.28</w:t>
      </w:r>
      <w:r>
        <w:rPr>
          <w:color w:val="auto"/>
          <w:highlight w:val="none"/>
        </w:rPr>
        <w:t>%，占地面积</w:t>
      </w:r>
      <w:r>
        <w:rPr>
          <w:rFonts w:hint="eastAsia"/>
          <w:color w:val="auto"/>
          <w:highlight w:val="none"/>
          <w:lang w:eastAsia="zh-CN"/>
        </w:rPr>
        <w:t>适中</w:t>
      </w:r>
      <w:r>
        <w:rPr>
          <w:color w:val="auto"/>
          <w:highlight w:val="none"/>
        </w:rPr>
        <w:t>。利用景观生态学方法对矿产资源开发土地承载力综合评判，结果显示土地能承载</w:t>
      </w:r>
      <w:r>
        <w:rPr>
          <w:rFonts w:hint="eastAsia"/>
          <w:color w:val="auto"/>
          <w:highlight w:val="none"/>
          <w:lang w:eastAsia="zh-CN"/>
        </w:rPr>
        <w:t>一般</w:t>
      </w:r>
      <w:r>
        <w:rPr>
          <w:color w:val="auto"/>
          <w:highlight w:val="none"/>
        </w:rPr>
        <w:t>强度的开发活动，主要的外部制约条件为区域水土流失严重。</w:t>
      </w:r>
    </w:p>
    <w:p>
      <w:pPr>
        <w:pStyle w:val="6"/>
        <w:numPr>
          <w:ilvl w:val="2"/>
          <w:numId w:val="5"/>
        </w:numPr>
        <w:bidi w:val="0"/>
        <w:rPr>
          <w:color w:val="auto"/>
          <w:highlight w:val="none"/>
        </w:rPr>
      </w:pPr>
      <w:bookmarkStart w:id="885" w:name="11.5.3 大气环境承载力结论"/>
      <w:bookmarkEnd w:id="885"/>
      <w:bookmarkStart w:id="886" w:name="11.5.3 大气环境承载力结论"/>
      <w:bookmarkEnd w:id="886"/>
      <w:bookmarkStart w:id="887" w:name="_Toc5410"/>
      <w:bookmarkStart w:id="888" w:name="_Toc15549"/>
      <w:r>
        <w:rPr>
          <w:color w:val="auto"/>
          <w:highlight w:val="none"/>
        </w:rPr>
        <w:t>大气环境承载力结论</w:t>
      </w:r>
      <w:bookmarkEnd w:id="887"/>
      <w:bookmarkEnd w:id="888"/>
    </w:p>
    <w:p>
      <w:pPr>
        <w:bidi w:val="0"/>
        <w:rPr>
          <w:color w:val="auto"/>
          <w:highlight w:val="none"/>
        </w:rPr>
      </w:pPr>
      <w:r>
        <w:rPr>
          <w:color w:val="auto"/>
          <w:highlight w:val="none"/>
        </w:rPr>
        <w:t>评价使用</w:t>
      </w:r>
      <w:r>
        <w:rPr>
          <w:rFonts w:ascii="Times New Roman" w:eastAsia="Times New Roman"/>
          <w:color w:val="auto"/>
          <w:highlight w:val="none"/>
        </w:rPr>
        <w:t>A</w:t>
      </w:r>
      <w:r>
        <w:rPr>
          <w:color w:val="auto"/>
          <w:highlight w:val="none"/>
        </w:rPr>
        <w:t>值法计算规划区的大气环境容量，</w:t>
      </w:r>
      <w:r>
        <w:rPr>
          <w:color w:val="auto"/>
          <w:position w:val="2"/>
          <w:highlight w:val="none"/>
        </w:rPr>
        <w:t>矿区</w:t>
      </w:r>
      <w:r>
        <w:rPr>
          <w:rFonts w:ascii="Times New Roman" w:eastAsia="Times New Roman"/>
          <w:color w:val="auto"/>
          <w:position w:val="2"/>
          <w:highlight w:val="none"/>
        </w:rPr>
        <w:t>SO</w:t>
      </w:r>
      <w:r>
        <w:rPr>
          <w:rFonts w:ascii="Times New Roman" w:eastAsia="Times New Roman"/>
          <w:color w:val="auto"/>
          <w:position w:val="2"/>
          <w:highlight w:val="none"/>
          <w:vertAlign w:val="subscript"/>
        </w:rPr>
        <w:t>2</w:t>
      </w:r>
      <w:r>
        <w:rPr>
          <w:color w:val="auto"/>
          <w:position w:val="2"/>
          <w:highlight w:val="none"/>
          <w:vertAlign w:val="baseline"/>
        </w:rPr>
        <w:t>现状剩余容量为</w:t>
      </w:r>
      <w:r>
        <w:rPr>
          <w:rFonts w:hint="eastAsia"/>
          <w:color w:val="auto"/>
          <w:position w:val="2"/>
          <w:highlight w:val="none"/>
          <w:vertAlign w:val="baseline"/>
          <w:lang w:val="en-US" w:eastAsia="zh-CN"/>
        </w:rPr>
        <w:t>1.749</w:t>
      </w:r>
      <w:r>
        <w:rPr>
          <w:color w:val="auto"/>
          <w:position w:val="2"/>
          <w:highlight w:val="none"/>
          <w:vertAlign w:val="baseline"/>
        </w:rPr>
        <w:t>万</w:t>
      </w:r>
      <w:r>
        <w:rPr>
          <w:rFonts w:ascii="Times New Roman" w:eastAsia="Times New Roman"/>
          <w:color w:val="auto"/>
          <w:position w:val="2"/>
          <w:highlight w:val="none"/>
          <w:vertAlign w:val="baseline"/>
        </w:rPr>
        <w:t>t/a</w:t>
      </w:r>
      <w:r>
        <w:rPr>
          <w:color w:val="auto"/>
          <w:position w:val="2"/>
          <w:highlight w:val="none"/>
          <w:vertAlign w:val="baseline"/>
        </w:rPr>
        <w:t>，</w:t>
      </w:r>
      <w:r>
        <w:rPr>
          <w:rFonts w:ascii="Times New Roman" w:eastAsia="Times New Roman"/>
          <w:color w:val="auto"/>
          <w:position w:val="2"/>
          <w:highlight w:val="none"/>
          <w:vertAlign w:val="baseline"/>
        </w:rPr>
        <w:t>NO</w:t>
      </w:r>
      <w:r>
        <w:rPr>
          <w:rFonts w:ascii="Times New Roman" w:eastAsia="Times New Roman"/>
          <w:color w:val="auto"/>
          <w:position w:val="2"/>
          <w:highlight w:val="none"/>
          <w:vertAlign w:val="subscript"/>
        </w:rPr>
        <w:t>2</w:t>
      </w:r>
      <w:r>
        <w:rPr>
          <w:color w:val="auto"/>
          <w:position w:val="2"/>
          <w:highlight w:val="none"/>
          <w:vertAlign w:val="baseline"/>
        </w:rPr>
        <w:t>现状剩余容量为</w:t>
      </w:r>
      <w:r>
        <w:rPr>
          <w:rFonts w:hint="eastAsia"/>
          <w:color w:val="auto"/>
          <w:highlight w:val="none"/>
          <w:lang w:val="en-US" w:eastAsia="zh-CN"/>
        </w:rPr>
        <w:t>2.378</w:t>
      </w:r>
      <w:r>
        <w:rPr>
          <w:color w:val="auto"/>
          <w:highlight w:val="none"/>
        </w:rPr>
        <w:t>万</w:t>
      </w:r>
      <w:r>
        <w:rPr>
          <w:rFonts w:ascii="Times New Roman" w:eastAsia="Times New Roman"/>
          <w:color w:val="auto"/>
          <w:highlight w:val="none"/>
        </w:rPr>
        <w:t>t/a</w:t>
      </w:r>
      <w:r>
        <w:rPr>
          <w:rFonts w:hint="eastAsia" w:ascii="Times New Roman"/>
          <w:color w:val="auto"/>
          <w:highlight w:val="none"/>
          <w:lang w:eastAsia="zh-CN"/>
        </w:rPr>
        <w:t>，</w:t>
      </w:r>
      <w:r>
        <w:rPr>
          <w:color w:val="auto"/>
          <w:highlight w:val="none"/>
        </w:rPr>
        <w:t>结果表明矿区预测环境容量较大。</w:t>
      </w:r>
      <w:r>
        <w:rPr>
          <w:rFonts w:hint="eastAsia"/>
          <w:color w:val="auto"/>
          <w:highlight w:val="none"/>
          <w:lang w:eastAsia="zh-CN"/>
        </w:rPr>
        <w:t>规划矿区</w:t>
      </w:r>
      <w:r>
        <w:rPr>
          <w:color w:val="auto"/>
          <w:highlight w:val="none"/>
        </w:rPr>
        <w:t>内均为已有矿井，各矿井均已淘汰燃煤锅炉，目前采用</w:t>
      </w:r>
      <w:r>
        <w:rPr>
          <w:color w:val="auto"/>
          <w:position w:val="2"/>
          <w:highlight w:val="none"/>
        </w:rPr>
        <w:t>空气压缩机空气源热泵机组</w:t>
      </w:r>
      <w:r>
        <w:rPr>
          <w:rFonts w:hint="eastAsia"/>
          <w:color w:val="auto"/>
          <w:position w:val="2"/>
          <w:highlight w:val="none"/>
          <w:lang w:eastAsia="zh-CN"/>
        </w:rPr>
        <w:t>或电能</w:t>
      </w:r>
      <w:r>
        <w:rPr>
          <w:color w:val="auto"/>
          <w:position w:val="2"/>
          <w:highlight w:val="none"/>
        </w:rPr>
        <w:t>制备生活热水，矿井无</w:t>
      </w:r>
      <w:r>
        <w:rPr>
          <w:rFonts w:ascii="Times New Roman" w:eastAsia="Times New Roman"/>
          <w:color w:val="auto"/>
          <w:position w:val="2"/>
          <w:highlight w:val="none"/>
        </w:rPr>
        <w:t>SO</w:t>
      </w:r>
      <w:r>
        <w:rPr>
          <w:rFonts w:ascii="Times New Roman" w:eastAsia="Times New Roman"/>
          <w:color w:val="auto"/>
          <w:position w:val="2"/>
          <w:highlight w:val="none"/>
          <w:vertAlign w:val="subscript"/>
        </w:rPr>
        <w:t>2</w:t>
      </w:r>
      <w:r>
        <w:rPr>
          <w:color w:val="auto"/>
          <w:position w:val="2"/>
          <w:highlight w:val="none"/>
          <w:vertAlign w:val="baseline"/>
        </w:rPr>
        <w:t>、</w:t>
      </w:r>
      <w:r>
        <w:rPr>
          <w:rFonts w:ascii="Times New Roman" w:eastAsia="Times New Roman"/>
          <w:color w:val="auto"/>
          <w:position w:val="2"/>
          <w:highlight w:val="none"/>
          <w:vertAlign w:val="baseline"/>
        </w:rPr>
        <w:t>NO</w:t>
      </w:r>
      <w:r>
        <w:rPr>
          <w:rFonts w:ascii="Times New Roman" w:eastAsia="Times New Roman"/>
          <w:color w:val="auto"/>
          <w:position w:val="2"/>
          <w:highlight w:val="none"/>
          <w:vertAlign w:val="subscript"/>
        </w:rPr>
        <w:t>2</w:t>
      </w:r>
      <w:r>
        <w:rPr>
          <w:color w:val="auto"/>
          <w:position w:val="2"/>
          <w:highlight w:val="none"/>
          <w:vertAlign w:val="baseline"/>
        </w:rPr>
        <w:t>污染物排放。因此</w:t>
      </w:r>
      <w:r>
        <w:rPr>
          <w:rFonts w:hint="eastAsia"/>
          <w:color w:val="auto"/>
          <w:position w:val="2"/>
          <w:highlight w:val="none"/>
          <w:vertAlign w:val="baseline"/>
          <w:lang w:eastAsia="zh-CN"/>
        </w:rPr>
        <w:t>，</w:t>
      </w:r>
      <w:r>
        <w:rPr>
          <w:color w:val="auto"/>
          <w:highlight w:val="none"/>
        </w:rPr>
        <w:t>矿区大环境环境承载力较好，不会成为矿区开发的限值性因素。</w:t>
      </w:r>
    </w:p>
    <w:p>
      <w:pPr>
        <w:pStyle w:val="6"/>
        <w:numPr>
          <w:ilvl w:val="2"/>
          <w:numId w:val="5"/>
        </w:numPr>
        <w:bidi w:val="0"/>
        <w:rPr>
          <w:color w:val="auto"/>
          <w:highlight w:val="none"/>
        </w:rPr>
      </w:pPr>
      <w:bookmarkStart w:id="889" w:name="11.5.4 生态承载力结论"/>
      <w:bookmarkEnd w:id="889"/>
      <w:bookmarkStart w:id="890" w:name="11.5.4 生态承载力结论"/>
      <w:bookmarkEnd w:id="890"/>
      <w:bookmarkStart w:id="891" w:name="_Toc10698"/>
      <w:bookmarkStart w:id="892" w:name="_Toc32376"/>
      <w:r>
        <w:rPr>
          <w:color w:val="auto"/>
          <w:highlight w:val="none"/>
        </w:rPr>
        <w:t>生态承载力结论</w:t>
      </w:r>
      <w:bookmarkEnd w:id="891"/>
      <w:bookmarkEnd w:id="892"/>
    </w:p>
    <w:p>
      <w:pPr>
        <w:bidi w:val="0"/>
        <w:rPr>
          <w:color w:val="auto"/>
          <w:highlight w:val="none"/>
        </w:rPr>
      </w:pPr>
      <w:r>
        <w:rPr>
          <w:color w:val="auto"/>
          <w:highlight w:val="none"/>
        </w:rPr>
        <w:t>评价使用生态足迹模型计算规划区的生态承载力，结果显示人均生态足迹有一定的生态盈余，能满足矿区现状生态足迹的需要，但仍要加强生态环境保护，以便更大效益的发展矿业。</w:t>
      </w:r>
    </w:p>
    <w:p>
      <w:pPr>
        <w:pStyle w:val="5"/>
        <w:numPr>
          <w:ilvl w:val="1"/>
          <w:numId w:val="5"/>
        </w:numPr>
        <w:bidi w:val="0"/>
        <w:rPr>
          <w:color w:val="auto"/>
          <w:highlight w:val="none"/>
        </w:rPr>
      </w:pPr>
      <w:bookmarkStart w:id="893" w:name="11.6 规划方案综合论证及调整建议"/>
      <w:bookmarkEnd w:id="893"/>
      <w:bookmarkStart w:id="894" w:name="_bookmark68"/>
      <w:bookmarkEnd w:id="894"/>
      <w:bookmarkStart w:id="895" w:name="_Toc16344"/>
      <w:bookmarkStart w:id="896" w:name="_Toc11024"/>
      <w:r>
        <w:rPr>
          <w:color w:val="auto"/>
          <w:highlight w:val="none"/>
        </w:rPr>
        <w:t>规划方案综合论证及调整建议</w:t>
      </w:r>
      <w:bookmarkEnd w:id="895"/>
      <w:bookmarkEnd w:id="896"/>
    </w:p>
    <w:p>
      <w:pPr>
        <w:bidi w:val="0"/>
        <w:rPr>
          <w:color w:val="auto"/>
          <w:highlight w:val="none"/>
        </w:rPr>
      </w:pPr>
      <w:r>
        <w:rPr>
          <w:color w:val="auto"/>
          <w:highlight w:val="none"/>
        </w:rPr>
        <w:t>根据分析，本次规划的产能目标、矿山建设模式目标、环保目标等是合理的；产业定位较为合理。由于矿区范围内分布有大量的基本农田，应采取保护性开采措施；功能分区是合理的，规划环境目标基本可达。针对矿区排水规划、环境保护规划以及环境管理不足之处，本次评价提出以下要求：</w:t>
      </w:r>
    </w:p>
    <w:p>
      <w:pPr>
        <w:bidi w:val="0"/>
        <w:rPr>
          <w:color w:val="auto"/>
          <w:highlight w:val="none"/>
        </w:rPr>
      </w:pPr>
      <w:r>
        <w:rPr>
          <w:rFonts w:hint="eastAsia"/>
          <w:color w:val="auto"/>
          <w:highlight w:val="none"/>
          <w:lang w:eastAsia="zh-CN"/>
        </w:rPr>
        <w:t>①</w:t>
      </w:r>
      <w:r>
        <w:rPr>
          <w:color w:val="auto"/>
          <w:highlight w:val="none"/>
        </w:rPr>
        <w:t>编制矿井水资源化利用方案，</w:t>
      </w:r>
      <w:r>
        <w:rPr>
          <w:rFonts w:hint="eastAsia"/>
          <w:color w:val="auto"/>
          <w:highlight w:val="none"/>
          <w:lang w:eastAsia="zh-CN"/>
        </w:rPr>
        <w:t>确保各煤矿矿井水能做到最大程度的资源化利用，确需排放的矿井水，经处理后多余废水达标（本次评价根据环环评</w:t>
      </w:r>
      <w:r>
        <w:rPr>
          <w:rFonts w:hint="eastAsia"/>
          <w:color w:val="auto"/>
          <w:highlight w:val="none"/>
          <w:lang w:val="en-US" w:eastAsia="zh-CN"/>
        </w:rPr>
        <w:t>[2020]63号文要求，外排矿井水除达到</w:t>
      </w:r>
      <w:r>
        <w:rPr>
          <w:color w:val="auto"/>
          <w:highlight w:val="none"/>
        </w:rPr>
        <w:t>《煤炭工业污染物排放标准》（GB20426-2006）中表1煤炭工业废水有毒污染物排放限值、表2采煤废水排放限值要求</w:t>
      </w:r>
      <w:r>
        <w:rPr>
          <w:rFonts w:hint="eastAsia"/>
          <w:color w:val="auto"/>
          <w:highlight w:val="none"/>
          <w:lang w:eastAsia="zh-CN"/>
        </w:rPr>
        <w:t>外，并且相关水质因子满足或优于受纳水体环境功能区划规定的对应值，含盐量不得超过</w:t>
      </w:r>
      <w:r>
        <w:rPr>
          <w:rFonts w:hint="eastAsia"/>
          <w:color w:val="auto"/>
          <w:highlight w:val="none"/>
          <w:lang w:val="en-US" w:eastAsia="zh-CN"/>
        </w:rPr>
        <w:t>1000mg/L</w:t>
      </w:r>
      <w:r>
        <w:rPr>
          <w:rFonts w:hint="eastAsia"/>
          <w:color w:val="auto"/>
          <w:highlight w:val="none"/>
          <w:lang w:eastAsia="zh-CN"/>
        </w:rPr>
        <w:t>）排放进入周边受纳水体</w:t>
      </w:r>
      <w:r>
        <w:rPr>
          <w:color w:val="auto"/>
          <w:highlight w:val="none"/>
        </w:rPr>
        <w:t>；</w:t>
      </w:r>
    </w:p>
    <w:p>
      <w:pPr>
        <w:bidi w:val="0"/>
        <w:rPr>
          <w:color w:val="auto"/>
          <w:highlight w:val="none"/>
        </w:rPr>
      </w:pPr>
      <w:r>
        <w:rPr>
          <w:rFonts w:hint="eastAsia"/>
          <w:color w:val="auto"/>
          <w:highlight w:val="none"/>
          <w:lang w:eastAsia="zh-CN"/>
        </w:rPr>
        <w:t>②</w:t>
      </w:r>
      <w:r>
        <w:rPr>
          <w:color w:val="auto"/>
          <w:highlight w:val="none"/>
        </w:rPr>
        <w:t>根据《煤矸石综合利用管理办法》，禁止建设永久性煤矸石场，各个井工煤矿矸石场均需设置临时矸石场，排矸场占地面积不超过矿井3a存矸量，且必须有综合利用方案；并对矿区内现有露天储煤场进行封闭式改造；</w:t>
      </w:r>
    </w:p>
    <w:p>
      <w:pPr>
        <w:bidi w:val="0"/>
        <w:rPr>
          <w:color w:val="auto"/>
          <w:highlight w:val="none"/>
        </w:rPr>
      </w:pPr>
      <w:r>
        <w:rPr>
          <w:rFonts w:hint="eastAsia"/>
          <w:color w:val="auto"/>
          <w:highlight w:val="none"/>
          <w:lang w:eastAsia="zh-CN"/>
        </w:rPr>
        <w:t>③</w:t>
      </w:r>
      <w:r>
        <w:rPr>
          <w:color w:val="auto"/>
          <w:highlight w:val="none"/>
        </w:rPr>
        <w:t>针对矿区范围内基本农田需采取“提升土壤肥力，减少水土流失”保护措施，开采过程中造成地表沉陷区域需进行采空区的充填，减少地表沉陷；地表沉陷造成地表裂 缝的需及时对裂缝进行充填恢复，确保基本农田区域土壤水力、肥力不降低；对煤矿生产 造成基本农田无法恢复的情况，应当按照“占多少、垦多少”的原则，负责开垦与所占耕 地的数量与质量相当的耕地；没有条件开垦或者开垦的耕地不符合要求的，应当按照四川省的规定缴纳耕地开垦费，专款用于开垦新的耕地</w:t>
      </w:r>
      <w:r>
        <w:rPr>
          <w:rFonts w:hint="eastAsia"/>
          <w:color w:val="auto"/>
          <w:highlight w:val="none"/>
          <w:lang w:eastAsia="zh-CN"/>
        </w:rPr>
        <w:t>；工业场区原则上不得占用基本农田</w:t>
      </w:r>
      <w:r>
        <w:rPr>
          <w:color w:val="auto"/>
          <w:highlight w:val="none"/>
        </w:rPr>
        <w:t>。</w:t>
      </w:r>
    </w:p>
    <w:p>
      <w:pPr>
        <w:bidi w:val="0"/>
        <w:rPr>
          <w:color w:val="auto"/>
          <w:highlight w:val="none"/>
        </w:rPr>
      </w:pPr>
      <w:r>
        <w:rPr>
          <w:rFonts w:hint="eastAsia"/>
          <w:color w:val="auto"/>
          <w:highlight w:val="none"/>
          <w:lang w:eastAsia="zh-CN"/>
        </w:rPr>
        <w:t>④</w:t>
      </w:r>
      <w:r>
        <w:rPr>
          <w:color w:val="auto"/>
          <w:highlight w:val="none"/>
        </w:rPr>
        <w:t>矿区内各矿井开展清洁生产审核，各矿井开展突发环境事件风险评估，建立导水裂隙带发育高度观测系统，矿区后续跟踪评价。</w:t>
      </w:r>
    </w:p>
    <w:p>
      <w:pPr>
        <w:pStyle w:val="5"/>
        <w:numPr>
          <w:ilvl w:val="1"/>
          <w:numId w:val="5"/>
        </w:numPr>
        <w:bidi w:val="0"/>
        <w:rPr>
          <w:color w:val="auto"/>
          <w:highlight w:val="none"/>
        </w:rPr>
      </w:pPr>
      <w:bookmarkStart w:id="897" w:name="_bookmark69"/>
      <w:bookmarkEnd w:id="897"/>
      <w:bookmarkStart w:id="898" w:name="11.7 综合结论"/>
      <w:bookmarkEnd w:id="898"/>
      <w:bookmarkStart w:id="899" w:name="_Toc9249"/>
      <w:bookmarkStart w:id="900" w:name="_Toc1225"/>
      <w:r>
        <w:rPr>
          <w:color w:val="auto"/>
          <w:highlight w:val="none"/>
        </w:rPr>
        <w:t>综合结论</w:t>
      </w:r>
      <w:bookmarkEnd w:id="899"/>
      <w:bookmarkEnd w:id="900"/>
    </w:p>
    <w:p>
      <w:pPr>
        <w:bidi w:val="0"/>
        <w:rPr>
          <w:rFonts w:hint="eastAsia"/>
          <w:color w:val="auto"/>
          <w:highlight w:val="none"/>
          <w:lang w:eastAsia="zh-CN"/>
        </w:rPr>
      </w:pPr>
      <w:r>
        <w:rPr>
          <w:rFonts w:hint="eastAsia"/>
          <w:color w:val="auto"/>
          <w:highlight w:val="none"/>
          <w:lang w:eastAsia="zh-CN"/>
        </w:rPr>
        <w:t>四川省达州市大竹煤炭矿区总体规划的指导思想、总体发展目标、环境保护目标总体合理；规划符合煤炭工业产业政策；规划方案与国家、地方矿产资源规划相符；规划方案与国家、地方国民经济与社会发展纲要、工业发展规划、土地利用规划、环境保护规划等基本协调一致。</w:t>
      </w:r>
    </w:p>
    <w:p>
      <w:pPr>
        <w:bidi w:val="0"/>
        <w:rPr>
          <w:rFonts w:hint="eastAsia"/>
          <w:color w:val="auto"/>
          <w:highlight w:val="none"/>
        </w:rPr>
      </w:pPr>
      <w:r>
        <w:rPr>
          <w:rFonts w:hint="eastAsia"/>
          <w:color w:val="auto"/>
          <w:highlight w:val="none"/>
        </w:rPr>
        <w:t>规划方案充分利用当地煤炭资源，将资源优势转化为经济优势，对于缓解市场煤炭需求、促进区域经济发展，改善当地基础设施建设等有积极意义</w:t>
      </w:r>
      <w:r>
        <w:rPr>
          <w:rFonts w:hint="eastAsia"/>
          <w:color w:val="auto"/>
          <w:highlight w:val="none"/>
          <w:lang w:eastAsia="zh-CN"/>
        </w:rPr>
        <w:t>；</w:t>
      </w:r>
      <w:r>
        <w:rPr>
          <w:rFonts w:hint="eastAsia"/>
          <w:color w:val="auto"/>
          <w:highlight w:val="none"/>
        </w:rPr>
        <w:t>同时规划实施可能会对环境产生不良影响，在采取行之有效的防治对策和措施后，这种不良影响将会得到有效的减缓和控制</w:t>
      </w:r>
      <w:r>
        <w:rPr>
          <w:rFonts w:hint="eastAsia"/>
          <w:color w:val="auto"/>
          <w:highlight w:val="none"/>
          <w:lang w:eastAsia="zh-CN"/>
        </w:rPr>
        <w:t>；</w:t>
      </w:r>
      <w:r>
        <w:rPr>
          <w:rFonts w:hint="eastAsia"/>
          <w:color w:val="auto"/>
          <w:highlight w:val="none"/>
        </w:rPr>
        <w:t>另外，矿区</w:t>
      </w:r>
      <w:r>
        <w:rPr>
          <w:rFonts w:hint="eastAsia"/>
          <w:color w:val="auto"/>
          <w:highlight w:val="none"/>
          <w:lang w:eastAsia="zh-CN"/>
        </w:rPr>
        <w:t>在落实评价提出的</w:t>
      </w:r>
      <w:r>
        <w:rPr>
          <w:rFonts w:hint="eastAsia"/>
          <w:color w:val="auto"/>
          <w:highlight w:val="none"/>
        </w:rPr>
        <w:t>推行清洁生产、循环经济，对于减少规划实施环境影响有重要作用，同时可使矿区走上可持续发展道路。</w:t>
      </w:r>
    </w:p>
    <w:p>
      <w:pPr>
        <w:bidi w:val="0"/>
        <w:rPr>
          <w:rFonts w:hint="eastAsia"/>
          <w:color w:val="auto"/>
          <w:highlight w:val="none"/>
        </w:rPr>
      </w:pPr>
      <w:r>
        <w:rPr>
          <w:rFonts w:hint="eastAsia"/>
          <w:color w:val="auto"/>
          <w:highlight w:val="none"/>
        </w:rPr>
        <w:t>总体来说，矿区总体规划方案在进行适当优化和实施阶段采取一系列合理、有效的环境保护措施后，对生态环境、水环境、环境空气、声环境等的不利影响会得到削减。从环境保护的角度分析，</w:t>
      </w:r>
      <w:r>
        <w:rPr>
          <w:rFonts w:hint="eastAsia"/>
          <w:color w:val="auto"/>
          <w:highlight w:val="none"/>
          <w:lang w:eastAsia="zh-CN"/>
        </w:rPr>
        <w:t>四川省达州市大竹煤炭矿区总体规</w:t>
      </w:r>
      <w:r>
        <w:rPr>
          <w:rFonts w:hint="eastAsia"/>
          <w:color w:val="auto"/>
          <w:highlight w:val="none"/>
        </w:rPr>
        <w:t>是可行的。</w:t>
      </w:r>
    </w:p>
    <w:p>
      <w:pPr>
        <w:bidi w:val="0"/>
        <w:rPr>
          <w:rFonts w:hint="eastAsia"/>
          <w:color w:val="auto"/>
          <w:highlight w:val="none"/>
          <w:lang w:eastAsia="zh-CN"/>
        </w:rPr>
      </w:pPr>
    </w:p>
    <w:p>
      <w:pPr>
        <w:bidi w:val="0"/>
        <w:outlineLvl w:val="0"/>
        <w:rPr>
          <w:rFonts w:hint="eastAsia" w:eastAsia="宋体"/>
          <w:b/>
          <w:bCs/>
          <w:color w:val="auto"/>
          <w:highlight w:val="none"/>
          <w:lang w:eastAsia="zh-CN"/>
        </w:rPr>
      </w:pPr>
      <w:bookmarkStart w:id="901" w:name="_Toc32720"/>
      <w:bookmarkStart w:id="902" w:name="_Toc22294"/>
      <w:r>
        <w:rPr>
          <w:rFonts w:hint="eastAsia"/>
          <w:b/>
          <w:bCs/>
          <w:color w:val="auto"/>
          <w:highlight w:val="none"/>
        </w:rPr>
        <w:t>建议</w:t>
      </w:r>
      <w:r>
        <w:rPr>
          <w:rFonts w:hint="eastAsia"/>
          <w:b/>
          <w:bCs/>
          <w:color w:val="auto"/>
          <w:highlight w:val="none"/>
          <w:lang w:eastAsia="zh-CN"/>
        </w:rPr>
        <w:t>：</w:t>
      </w:r>
      <w:bookmarkEnd w:id="901"/>
      <w:bookmarkEnd w:id="902"/>
    </w:p>
    <w:p>
      <w:pPr>
        <w:bidi w:val="0"/>
        <w:rPr>
          <w:color w:val="auto"/>
          <w:highlight w:val="none"/>
        </w:rPr>
      </w:pPr>
      <w:r>
        <w:rPr>
          <w:color w:val="auto"/>
          <w:highlight w:val="none"/>
        </w:rPr>
        <w:t>（1）项目规划建设中，矿区需加强宣传教育和管理，强化法制教育和制度建设，以避免项目规划区域内的珍稀重点保护动植物生态景观体系等不造成破坏和显著影响。</w:t>
      </w:r>
    </w:p>
    <w:p>
      <w:pPr>
        <w:bidi w:val="0"/>
        <w:rPr>
          <w:color w:val="auto"/>
          <w:highlight w:val="none"/>
        </w:rPr>
      </w:pPr>
      <w:r>
        <w:rPr>
          <w:color w:val="auto"/>
          <w:highlight w:val="none"/>
        </w:rPr>
        <w:t>（2）项目建设与运营中，矿区管理单位需与</w:t>
      </w:r>
      <w:r>
        <w:rPr>
          <w:rFonts w:hint="eastAsia"/>
          <w:color w:val="auto"/>
          <w:highlight w:val="none"/>
        </w:rPr>
        <w:t>五峰山</w:t>
      </w:r>
      <w:r>
        <w:rPr>
          <w:color w:val="auto"/>
          <w:highlight w:val="none"/>
        </w:rPr>
        <w:t>国家森林公园做好沟通和交流，积极消减项目建设与运营对公园生态环境、生物多样性、景观多样性的影响。</w:t>
      </w:r>
    </w:p>
    <w:p>
      <w:pPr>
        <w:bidi w:val="0"/>
        <w:rPr>
          <w:color w:val="auto"/>
          <w:highlight w:val="none"/>
        </w:rPr>
      </w:pPr>
      <w:r>
        <w:rPr>
          <w:color w:val="auto"/>
          <w:highlight w:val="none"/>
        </w:rPr>
        <w:t>（3）矿山开采中，加强对工作人员进行动植物保护、环境保护等相关法律法规的宣传教育，并制作一定数量的宣传标识牌，时刻提醒施工人员动植物保护和环境保护工作。</w:t>
      </w:r>
    </w:p>
    <w:p>
      <w:pPr>
        <w:bidi w:val="0"/>
        <w:rPr>
          <w:color w:val="auto"/>
          <w:highlight w:val="none"/>
        </w:rPr>
      </w:pPr>
      <w:r>
        <w:rPr>
          <w:color w:val="auto"/>
          <w:highlight w:val="none"/>
        </w:rPr>
        <w:t>（4）对矿山建设造成的生态环境的影响、破坏，应及时采取措施进行生态恢复，积极开展各类监测，以便能及时制定和实施更有效的保护措施。</w:t>
      </w:r>
    </w:p>
    <w:p>
      <w:pPr>
        <w:bidi w:val="0"/>
        <w:rPr>
          <w:color w:val="auto"/>
          <w:highlight w:val="none"/>
        </w:rPr>
      </w:pPr>
      <w:r>
        <w:rPr>
          <w:color w:val="auto"/>
          <w:highlight w:val="none"/>
        </w:rPr>
        <w:t>（5）落实好矿山生态恢复工作，运营后期积极开展生态恢复治理方案，整治矿山开采裸露面，尽快实施植被恢复，恢复时应选择乡土物种，以免对当地生态系统造成危害。</w:t>
      </w:r>
    </w:p>
    <w:p>
      <w:pPr>
        <w:bidi w:val="0"/>
        <w:rPr>
          <w:color w:val="auto"/>
          <w:highlight w:val="none"/>
        </w:rPr>
      </w:pPr>
      <w:r>
        <w:rPr>
          <w:color w:val="auto"/>
          <w:highlight w:val="none"/>
        </w:rPr>
        <w:t>（6）对项目规划建设造成的陆生生态环境的影响、破坏，应及时采取措施进行生态恢复，积极开展各类监测，以便能及时制定和实施更有效的保护措施。</w:t>
      </w:r>
    </w:p>
    <w:p>
      <w:pPr>
        <w:bidi w:val="0"/>
        <w:rPr>
          <w:rFonts w:hint="eastAsia"/>
          <w:color w:val="auto"/>
          <w:highlight w:val="none"/>
          <w:lang w:eastAsia="zh-CN"/>
        </w:rPr>
      </w:pPr>
      <w:r>
        <w:rPr>
          <w:rFonts w:hint="eastAsia"/>
          <w:color w:val="auto"/>
          <w:highlight w:val="none"/>
        </w:rPr>
        <w:t>（7）项目规划环评后，各煤矿开采还需结合自身情况开展环境影响评价工作，进一步落实矿山开采的环境保护措施。</w:t>
      </w:r>
    </w:p>
    <w:sectPr>
      <w:pgSz w:w="11910" w:h="16840"/>
      <w:pgMar w:top="1360" w:right="1220" w:bottom="1000" w:left="1240" w:header="902" w:footer="804"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auto"/>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Italic">
    <w:altName w:val="Segoe Print"/>
    <w:panose1 w:val="000004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textAlignment w:val="auto"/>
      <w:rPr>
        <w:sz w:val="20"/>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ge">
                <wp:posOffset>10041890</wp:posOffset>
              </wp:positionV>
              <wp:extent cx="191770" cy="152400"/>
              <wp:effectExtent l="0" t="0" r="0" b="0"/>
              <wp:wrapNone/>
              <wp:docPr id="143" name="文本框 27"/>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p>
                      </w:txbxContent>
                    </wps:txbx>
                    <wps:bodyPr lIns="0" tIns="0" rIns="0" bIns="0" upright="1"/>
                  </wps:wsp>
                </a:graphicData>
              </a:graphic>
            </wp:anchor>
          </w:drawing>
        </mc:Choice>
        <mc:Fallback>
          <w:pict>
            <v:shape id="文本框 27" o:spid="_x0000_s1026" o:spt="202" type="#_x0000_t202" style="position:absolute;left:0pt;margin-top:790.7pt;height:12pt;width:15.1pt;mso-position-horizontal:center;mso-position-horizontal-relative:margin;mso-position-vertical-relative:page;z-index:251676672;mso-width-relative:page;mso-height-relative:page;" filled="f" stroked="f" coordsize="21600,21600" o:gfxdata="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7dJn2AAAAAkBAAAPAAAAAAAAAAEAIAAAACIAAABkcnMvZG93bnJldi54bWxQSwEC&#10;FAAUAAAACACHTuJAny8fm7sBAAB0AwAADgAAAAAAAAABACAAAAAn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textAlignment w:val="auto"/>
      <w:rPr>
        <w:sz w:val="20"/>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ge">
                <wp:posOffset>10041890</wp:posOffset>
              </wp:positionV>
              <wp:extent cx="191770" cy="152400"/>
              <wp:effectExtent l="0" t="0" r="0" b="0"/>
              <wp:wrapNone/>
              <wp:docPr id="144" name="文本框 28"/>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8" o:spid="_x0000_s1026" o:spt="202" type="#_x0000_t202" style="position:absolute;left:0pt;margin-top:790.7pt;height:12pt;width:15.1pt;mso-position-horizontal:center;mso-position-horizontal-relative:margin;mso-position-vertical-relative:page;z-index:251677696;mso-width-relative:page;mso-height-relative:page;" filled="f" stroked="f" coordsize="21600,21600" o:gfxdata="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u3SZ9gAAAAJAQAADwAAAAAAAAABACAAAAAiAAAAZHJzL2Rvd25yZXYueG1sUEsB&#10;AhQAFAAAAAgAh07iQLTu9Qa8AQAAdAMAAA4AAAAAAAAAAQAgAAAAJw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textAlignment w:val="auto"/>
      <w:rPr>
        <w:sz w:val="20"/>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91770" cy="152400"/>
              <wp:effectExtent l="0" t="0" r="0" b="0"/>
              <wp:wrapNone/>
              <wp:docPr id="147" name="文本框 33"/>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p>
                      </w:txbxContent>
                    </wps:txbx>
                    <wps:bodyPr lIns="0" tIns="0" rIns="0" bIns="0" upright="1"/>
                  </wps:wsp>
                </a:graphicData>
              </a:graphic>
            </wp:anchor>
          </w:drawing>
        </mc:Choice>
        <mc:Fallback>
          <w:pict>
            <v:shape id="文本框 33" o:spid="_x0000_s1026" o:spt="202" type="#_x0000_t202" style="position:absolute;left:0pt;margin-top:0pt;height:12pt;width:15.1pt;mso-position-horizontal:center;mso-position-horizontal-relative:margin;z-index:251680768;mso-width-relative:page;mso-height-relative:page;" filled="f" stroked="f" coordsize="21600,21600" o:gfxdata="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YmCvk1AAAAAMBAAAPAAAAAAAAAAEAIAAAACIAAABkcnMvZG93bnJldi54bWxQSwECFAAU&#10;AAAACACHTuJAQLXkCrwBAAB0AwAADgAAAAAAAAABACAAAAAjAQAAZHJzL2Uyb0RvYy54bWxQSwUG&#10;AAAAAAYABgBZAQAAUQ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spacing w:line="240" w:lineRule="auto"/>
      <w:ind w:left="0" w:firstLine="0" w:firstLineChars="0"/>
      <w:textAlignment w:val="auto"/>
      <w:rPr>
        <w:sz w:val="20"/>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91770" cy="152400"/>
              <wp:effectExtent l="0" t="0" r="0" b="0"/>
              <wp:wrapNone/>
              <wp:docPr id="146" name="文本框 32"/>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r>
                            <w:rPr>
                              <w:sz w:val="18"/>
                            </w:rPr>
                            <w:fldChar w:fldCharType="begin"/>
                          </w:r>
                          <w:r>
                            <w:rPr>
                              <w:sz w:val="18"/>
                            </w:rPr>
                            <w:instrText xml:space="preserve"> PAGE  \* MERGEFORMAT </w:instrText>
                          </w:r>
                          <w:r>
                            <w:rPr>
                              <w:sz w:val="18"/>
                            </w:rPr>
                            <w:fldChar w:fldCharType="separate"/>
                          </w:r>
                          <w:r>
                            <w:rPr>
                              <w:sz w:val="18"/>
                            </w:rPr>
                            <w:t>135</w:t>
                          </w:r>
                          <w:r>
                            <w:rPr>
                              <w:sz w:val="18"/>
                            </w:rPr>
                            <w:fldChar w:fldCharType="end"/>
                          </w:r>
                        </w:p>
                      </w:txbxContent>
                    </wps:txbx>
                    <wps:bodyPr lIns="0" tIns="0" rIns="0" bIns="0" upright="1"/>
                  </wps:wsp>
                </a:graphicData>
              </a:graphic>
            </wp:anchor>
          </w:drawing>
        </mc:Choice>
        <mc:Fallback>
          <w:pict>
            <v:shape id="文本框 32" o:spid="_x0000_s1026" o:spt="202" type="#_x0000_t202" style="position:absolute;left:0pt;margin-top:0pt;height:12pt;width:15.1pt;mso-position-horizontal:center;mso-position-horizontal-relative:margin;z-index:251679744;mso-width-relative:page;mso-height-relative:page;" filled="f" stroked="f" coordsize="21600,21600" o:gfxdata="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Jgr5NQAAAADAQAADwAAAAAAAAABACAAAAAiAAAAZHJzL2Rvd25yZXYueG1sUEsBAhQA&#10;FAAAAAgAh07iQIXJ2tK9AQAAdAMAAA4AAAAAAAAAAQAgAAAAIwEAAGRycy9lMm9Eb2MueG1sUEsF&#10;BgAAAAAGAAYAWQEAAFI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ind w:left="0" w:right="0" w:firstLine="0" w:firstLineChars="0"/>
                      <w:jc w:val="left"/>
                      <w:textAlignment w:val="auto"/>
                      <w:rPr>
                        <w:rFonts w:ascii="Times New Roman"/>
                        <w:sz w:val="18"/>
                      </w:rPr>
                    </w:pPr>
                    <w:r>
                      <w:rPr>
                        <w:sz w:val="18"/>
                      </w:rPr>
                      <w:fldChar w:fldCharType="begin"/>
                    </w:r>
                    <w:r>
                      <w:rPr>
                        <w:sz w:val="18"/>
                      </w:rPr>
                      <w:instrText xml:space="preserve"> PAGE  \* MERGEFORMAT </w:instrText>
                    </w:r>
                    <w:r>
                      <w:rPr>
                        <w:sz w:val="18"/>
                      </w:rPr>
                      <w:fldChar w:fldCharType="separate"/>
                    </w:r>
                    <w:r>
                      <w:rPr>
                        <w:sz w:val="18"/>
                      </w:rPr>
                      <w:t>135</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47650" cy="152400"/>
              <wp:effectExtent l="0" t="0" r="0" b="0"/>
              <wp:wrapNone/>
              <wp:docPr id="136" name="文本框 20"/>
              <wp:cNvGraphicFramePr/>
              <a:graphic xmlns:a="http://schemas.openxmlformats.org/drawingml/2006/main">
                <a:graphicData uri="http://schemas.microsoft.com/office/word/2010/wordprocessingShape">
                  <wps:wsp>
                    <wps:cNvSpPr txBox="1"/>
                    <wps:spPr>
                      <a:xfrm>
                        <a:off x="0" y="0"/>
                        <a:ext cx="247650" cy="152400"/>
                      </a:xfrm>
                      <a:prstGeom prst="rect">
                        <a:avLst/>
                      </a:prstGeom>
                      <a:noFill/>
                      <a:ln>
                        <a:noFill/>
                      </a:ln>
                    </wps:spPr>
                    <wps:txbx>
                      <w:txbxContent>
                        <w:p>
                          <w:pPr>
                            <w:spacing w:before="12"/>
                            <w:ind w:left="60" w:right="0" w:firstLine="0"/>
                            <w:jc w:val="left"/>
                            <w:rPr>
                              <w:rFonts w:ascii="Times New Roman"/>
                              <w:sz w:val="18"/>
                            </w:rPr>
                          </w:pPr>
                          <w:r>
                            <w:rPr>
                              <w:sz w:val="18"/>
                            </w:rPr>
                            <w:fldChar w:fldCharType="begin"/>
                          </w:r>
                          <w:r>
                            <w:rPr>
                              <w:sz w:val="18"/>
                            </w:rPr>
                            <w:instrText xml:space="preserve"> PAGE  \* MERGEFORMAT </w:instrText>
                          </w:r>
                          <w:r>
                            <w:rPr>
                              <w:sz w:val="18"/>
                            </w:rPr>
                            <w:fldChar w:fldCharType="separate"/>
                          </w:r>
                          <w:r>
                            <w:rPr>
                              <w:sz w:val="18"/>
                            </w:rPr>
                            <w:t>355</w:t>
                          </w:r>
                          <w:r>
                            <w:rPr>
                              <w:sz w:val="18"/>
                            </w:rPr>
                            <w:fldChar w:fldCharType="end"/>
                          </w:r>
                        </w:p>
                      </w:txbxContent>
                    </wps:txbx>
                    <wps:bodyPr lIns="0" tIns="0" rIns="0" bIns="0" upright="1"/>
                  </wps:wsp>
                </a:graphicData>
              </a:graphic>
            </wp:anchor>
          </w:drawing>
        </mc:Choice>
        <mc:Fallback>
          <w:pict>
            <v:shape id="文本框 20" o:spid="_x0000_s1026" o:spt="202" type="#_x0000_t202" style="position:absolute;left:0pt;margin-top:0pt;height:12pt;width:19.5pt;mso-position-horizontal:center;mso-position-horizontal-relative:margin;z-index:251669504;mso-width-relative:page;mso-height-relative:page;" filled="f" stroked="f" coordsize="21600,21600" o:gfxdata="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7spNdMAAAADAQAADwAAAAAAAAABACAAAAAiAAAAZHJzL2Rvd25yZXYueG1sUEsBAhQAFAAA&#10;AAgAh07iQHZxXai7AQAAdAMAAA4AAAAAAAAAAQAgAAAAIgEAAGRycy9lMm9Eb2MueG1sUEsFBgAA&#10;AAAGAAYAWQEAAE8FAAAAAA==&#10;">
              <v:fill on="f" focussize="0,0"/>
              <v:stroke on="f"/>
              <v:imagedata o:title=""/>
              <o:lock v:ext="edit" aspectratio="f"/>
              <v:textbox inset="0mm,0mm,0mm,0mm">
                <w:txbxContent>
                  <w:p>
                    <w:pPr>
                      <w:spacing w:before="12"/>
                      <w:ind w:left="60" w:right="0" w:firstLine="0"/>
                      <w:jc w:val="left"/>
                      <w:rPr>
                        <w:rFonts w:ascii="Times New Roman"/>
                        <w:sz w:val="18"/>
                      </w:rPr>
                    </w:pPr>
                    <w:r>
                      <w:rPr>
                        <w:sz w:val="18"/>
                      </w:rPr>
                      <w:fldChar w:fldCharType="begin"/>
                    </w:r>
                    <w:r>
                      <w:rPr>
                        <w:sz w:val="18"/>
                      </w:rPr>
                      <w:instrText xml:space="preserve"> PAGE  \* MERGEFORMAT </w:instrText>
                    </w:r>
                    <w:r>
                      <w:rPr>
                        <w:sz w:val="18"/>
                      </w:rPr>
                      <w:fldChar w:fldCharType="separate"/>
                    </w:r>
                    <w:r>
                      <w:rPr>
                        <w:sz w:val="18"/>
                      </w:rPr>
                      <w:t>355</w:t>
                    </w:r>
                    <w:r>
                      <w:rPr>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247650" cy="152400"/>
              <wp:effectExtent l="0" t="0" r="0" b="0"/>
              <wp:wrapNone/>
              <wp:docPr id="139" name="文本框 23"/>
              <wp:cNvGraphicFramePr/>
              <a:graphic xmlns:a="http://schemas.openxmlformats.org/drawingml/2006/main">
                <a:graphicData uri="http://schemas.microsoft.com/office/word/2010/wordprocessingShape">
                  <wps:wsp>
                    <wps:cNvSpPr txBox="1"/>
                    <wps:spPr>
                      <a:xfrm>
                        <a:off x="0" y="0"/>
                        <a:ext cx="247650" cy="152400"/>
                      </a:xfrm>
                      <a:prstGeom prst="rect">
                        <a:avLst/>
                      </a:prstGeom>
                      <a:noFill/>
                      <a:ln>
                        <a:noFill/>
                      </a:ln>
                    </wps:spPr>
                    <wps:txbx>
                      <w:txbxContent>
                        <w:p>
                          <w:pPr>
                            <w:spacing w:before="12"/>
                            <w:ind w:left="60" w:right="0" w:firstLine="0"/>
                            <w:jc w:val="left"/>
                            <w:rPr>
                              <w:rFonts w:ascii="Times New Roman"/>
                              <w:sz w:val="18"/>
                            </w:rPr>
                          </w:pPr>
                          <w:r>
                            <w:rPr>
                              <w:sz w:val="18"/>
                            </w:rPr>
                            <w:fldChar w:fldCharType="begin"/>
                          </w:r>
                          <w:r>
                            <w:rPr>
                              <w:sz w:val="18"/>
                            </w:rPr>
                            <w:instrText xml:space="preserve"> PAGE  \* MERGEFORMAT </w:instrText>
                          </w:r>
                          <w:r>
                            <w:rPr>
                              <w:sz w:val="18"/>
                            </w:rPr>
                            <w:fldChar w:fldCharType="separate"/>
                          </w:r>
                          <w:r>
                            <w:rPr>
                              <w:sz w:val="18"/>
                            </w:rPr>
                            <w:t>359</w:t>
                          </w:r>
                          <w:r>
                            <w:rPr>
                              <w:sz w:val="18"/>
                            </w:rPr>
                            <w:fldChar w:fldCharType="end"/>
                          </w:r>
                        </w:p>
                      </w:txbxContent>
                    </wps:txbx>
                    <wps:bodyPr lIns="0" tIns="0" rIns="0" bIns="0" upright="1"/>
                  </wps:wsp>
                </a:graphicData>
              </a:graphic>
            </wp:anchor>
          </w:drawing>
        </mc:Choice>
        <mc:Fallback>
          <w:pict>
            <v:shape id="文本框 23" o:spid="_x0000_s1026" o:spt="202" type="#_x0000_t202" style="position:absolute;left:0pt;margin-top:0pt;height:12pt;width:19.5pt;mso-position-horizontal:center;mso-position-horizontal-relative:margin;z-index:251672576;mso-width-relative:page;mso-height-relative:page;" filled="f" stroked="f" coordsize="21600,21600" o:gfxdata="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7KTXTAAAAAwEAAA8AAAAAAAAAAQAgAAAAIgAAAGRycy9kb3ducmV2LnhtbFBLAQIUABQA&#10;AAAIAIdO4kDJlCjTvAEAAHQDAAAOAAAAAAAAAAEAIAAAACIBAABkcnMvZTJvRG9jLnhtbFBLBQYA&#10;AAAABgAGAFkBAABQBQAAAAA=&#10;">
              <v:fill on="f" focussize="0,0"/>
              <v:stroke on="f"/>
              <v:imagedata o:title=""/>
              <o:lock v:ext="edit" aspectratio="f"/>
              <v:textbox inset="0mm,0mm,0mm,0mm">
                <w:txbxContent>
                  <w:p>
                    <w:pPr>
                      <w:spacing w:before="12"/>
                      <w:ind w:left="60" w:right="0" w:firstLine="0"/>
                      <w:jc w:val="left"/>
                      <w:rPr>
                        <w:rFonts w:ascii="Times New Roman"/>
                        <w:sz w:val="18"/>
                      </w:rPr>
                    </w:pPr>
                    <w:r>
                      <w:rPr>
                        <w:sz w:val="18"/>
                      </w:rPr>
                      <w:fldChar w:fldCharType="begin"/>
                    </w:r>
                    <w:r>
                      <w:rPr>
                        <w:sz w:val="18"/>
                      </w:rPr>
                      <w:instrText xml:space="preserve"> PAGE  \* MERGEFORMAT </w:instrText>
                    </w:r>
                    <w:r>
                      <w:rPr>
                        <w:sz w:val="18"/>
                      </w:rPr>
                      <w:fldChar w:fldCharType="separate"/>
                    </w:r>
                    <w:r>
                      <w:rPr>
                        <w:sz w:val="18"/>
                      </w:rPr>
                      <w:t>359</w:t>
                    </w:r>
                    <w:r>
                      <w:rPr>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368</w:t>
                          </w:r>
                          <w:r>
                            <w:fldChar w:fldCharType="end"/>
                          </w:r>
                        </w:p>
                      </w:txbxContent>
                    </wps:txbx>
                    <wps:bodyPr wrap="none" lIns="0" tIns="0" rIns="0" bIns="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oNVKcoBAACc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lvchBcvKXHc4sgv379dfvy6/PxK&#10;ni+zQn2AGhPvAqam4Y0fMHv2Azoz8UFFm79IiWAc9T1f9ZVDIiI/Wq/W6wpDAmPzBfHZ/fMQIb2V&#10;3pJsNDTiAIuu/PQe0pg6p+Rqzt9qY8oQjfvLgZjZw3LvY4/ZSsN+mAjtfXtGPj3OvqEOV50S886h&#10;tHlNZiPOxn42jiHqQ1f2KNeD8PqYsInSW64wwk6FcWiF3bRgeSv+vJes+59q+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oNVKc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247650" cy="152400"/>
              <wp:effectExtent l="0" t="0" r="0" b="0"/>
              <wp:wrapNone/>
              <wp:docPr id="142" name="文本框 26"/>
              <wp:cNvGraphicFramePr/>
              <a:graphic xmlns:a="http://schemas.openxmlformats.org/drawingml/2006/main">
                <a:graphicData uri="http://schemas.microsoft.com/office/word/2010/wordprocessingShape">
                  <wps:wsp>
                    <wps:cNvSpPr txBox="1"/>
                    <wps:spPr>
                      <a:xfrm>
                        <a:off x="0" y="0"/>
                        <a:ext cx="247650" cy="152400"/>
                      </a:xfrm>
                      <a:prstGeom prst="rect">
                        <a:avLst/>
                      </a:prstGeom>
                      <a:noFill/>
                      <a:ln>
                        <a:noFill/>
                      </a:ln>
                    </wps:spPr>
                    <wps:txbx>
                      <w:txbxContent>
                        <w:p>
                          <w:pPr>
                            <w:spacing w:before="12"/>
                            <w:ind w:left="60" w:right="0" w:firstLine="0"/>
                            <w:jc w:val="left"/>
                            <w:rPr>
                              <w:rFonts w:ascii="Times New Roman"/>
                              <w:sz w:val="18"/>
                            </w:rPr>
                          </w:pPr>
                          <w:r>
                            <w:rPr>
                              <w:sz w:val="18"/>
                            </w:rPr>
                            <w:fldChar w:fldCharType="begin"/>
                          </w:r>
                          <w:r>
                            <w:rPr>
                              <w:sz w:val="18"/>
                            </w:rPr>
                            <w:instrText xml:space="preserve"> PAGE  \* MERGEFORMAT </w:instrText>
                          </w:r>
                          <w:r>
                            <w:rPr>
                              <w:sz w:val="18"/>
                            </w:rPr>
                            <w:fldChar w:fldCharType="separate"/>
                          </w:r>
                          <w:r>
                            <w:rPr>
                              <w:sz w:val="18"/>
                            </w:rPr>
                            <w:t>369</w:t>
                          </w:r>
                          <w:r>
                            <w:rPr>
                              <w:sz w:val="18"/>
                            </w:rPr>
                            <w:fldChar w:fldCharType="end"/>
                          </w:r>
                        </w:p>
                      </w:txbxContent>
                    </wps:txbx>
                    <wps:bodyPr lIns="0" tIns="0" rIns="0" bIns="0" upright="1"/>
                  </wps:wsp>
                </a:graphicData>
              </a:graphic>
            </wp:anchor>
          </w:drawing>
        </mc:Choice>
        <mc:Fallback>
          <w:pict>
            <v:shape id="文本框 26" o:spid="_x0000_s1026" o:spt="202" type="#_x0000_t202" style="position:absolute;left:0pt;margin-top:0pt;height:12pt;width:19.5pt;mso-position-horizontal:center;mso-position-horizontal-relative:margin;z-index:251675648;mso-width-relative:page;mso-height-relative:page;" filled="f" stroked="f" coordsize="21600,21600" o:gfxdata="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7spNdMAAAADAQAADwAAAAAAAAABACAAAAAiAAAAZHJzL2Rvd25yZXYueG1sUEsBAhQAFAAA&#10;AAgAh07iQIjscym7AQAAdAMAAA4AAAAAAAAAAQAgAAAAIgEAAGRycy9lMm9Eb2MueG1sUEsFBgAA&#10;AAAGAAYAWQEAAE8FAAAAAA==&#10;">
              <v:fill on="f" focussize="0,0"/>
              <v:stroke on="f"/>
              <v:imagedata o:title=""/>
              <o:lock v:ext="edit" aspectratio="f"/>
              <v:textbox inset="0mm,0mm,0mm,0mm">
                <w:txbxContent>
                  <w:p>
                    <w:pPr>
                      <w:spacing w:before="12"/>
                      <w:ind w:left="60" w:right="0" w:firstLine="0"/>
                      <w:jc w:val="left"/>
                      <w:rPr>
                        <w:rFonts w:ascii="Times New Roman"/>
                        <w:sz w:val="18"/>
                      </w:rPr>
                    </w:pPr>
                    <w:r>
                      <w:rPr>
                        <w:sz w:val="18"/>
                      </w:rPr>
                      <w:fldChar w:fldCharType="begin"/>
                    </w:r>
                    <w:r>
                      <w:rPr>
                        <w:sz w:val="18"/>
                      </w:rPr>
                      <w:instrText xml:space="preserve"> PAGE  \* MERGEFORMAT </w:instrText>
                    </w:r>
                    <w:r>
                      <w:rPr>
                        <w:sz w:val="18"/>
                      </w:rPr>
                      <w:fldChar w:fldCharType="separate"/>
                    </w:r>
                    <w:r>
                      <w:rPr>
                        <w:sz w:val="18"/>
                      </w:rPr>
                      <w:t>369</w:t>
                    </w:r>
                    <w:r>
                      <w:rPr>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1130935</wp:posOffset>
              </wp:positionH>
              <wp:positionV relativeFrom="page">
                <wp:posOffset>716280</wp:posOffset>
              </wp:positionV>
              <wp:extent cx="5284470" cy="0"/>
              <wp:effectExtent l="0" t="0" r="0" b="0"/>
              <wp:wrapNone/>
              <wp:docPr id="126" name="直线 1"/>
              <wp:cNvGraphicFramePr/>
              <a:graphic xmlns:a="http://schemas.openxmlformats.org/drawingml/2006/main">
                <a:graphicData uri="http://schemas.microsoft.com/office/word/2010/wordprocessingShape">
                  <wps:wsp>
                    <wps:cNvCnPr/>
                    <wps:spPr>
                      <a:xfrm>
                        <a:off x="0" y="0"/>
                        <a:ext cx="528447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89.05pt;margin-top:56.4pt;height:0pt;width:416.1pt;mso-position-horizontal-relative:page;mso-position-vertical-relative:page;z-index:-251655168;mso-width-relative:page;mso-height-relative:page;" filled="f" stroked="t" coordsize="21600,21600" o:gfxdata="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fZUZtYA&#10;AAAMAQAADwAAAAAAAAABACAAAAAiAAAAZHJzL2Rvd25yZXYueG1sUEsBAhQAFAAAAAgAh07iQIRQ&#10;BL3oAQAA3QMAAA4AAAAAAAAAAQAgAAAAJQEAAGRycy9lMm9Eb2MueG1sUEsFBgAAAAAGAAYAWQEA&#10;AH8FAAAAAA==&#10;">
              <v:fill on="f" focussize="0,0"/>
              <v:stroke weight="0.6pt" color="#000000" joinstyle="round"/>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2222500</wp:posOffset>
              </wp:positionH>
              <wp:positionV relativeFrom="page">
                <wp:posOffset>560070</wp:posOffset>
              </wp:positionV>
              <wp:extent cx="3111500" cy="139700"/>
              <wp:effectExtent l="0" t="0" r="0" b="0"/>
              <wp:wrapNone/>
              <wp:docPr id="128" name="文本框 2"/>
              <wp:cNvGraphicFramePr/>
              <a:graphic xmlns:a="http://schemas.openxmlformats.org/drawingml/2006/main">
                <a:graphicData uri="http://schemas.microsoft.com/office/word/2010/wordprocessingShape">
                  <wps:wsp>
                    <wps:cNvSpPr txBox="1"/>
                    <wps:spPr>
                      <a:xfrm>
                        <a:off x="0" y="0"/>
                        <a:ext cx="3111500" cy="139700"/>
                      </a:xfrm>
                      <a:prstGeom prst="rect">
                        <a:avLst/>
                      </a:prstGeom>
                      <a:noFill/>
                      <a:ln>
                        <a:noFill/>
                      </a:ln>
                    </wps:spPr>
                    <wps:txbx>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w:t>
                          </w:r>
                          <w:r>
                            <w:rPr>
                              <w:rFonts w:hint="eastAsia" w:ascii="楷体" w:eastAsia="楷体"/>
                              <w:sz w:val="18"/>
                            </w:rPr>
                            <w:t>达州市</w:t>
                          </w:r>
                          <w:r>
                            <w:rPr>
                              <w:rFonts w:hint="eastAsia" w:ascii="楷体" w:eastAsia="楷体"/>
                              <w:sz w:val="18"/>
                              <w:lang w:eastAsia="zh-CN"/>
                            </w:rPr>
                            <w:t>大竹县</w:t>
                          </w:r>
                          <w:r>
                            <w:rPr>
                              <w:rFonts w:hint="eastAsia" w:ascii="楷体" w:eastAsia="楷体"/>
                              <w:sz w:val="18"/>
                            </w:rPr>
                            <w:t>煤炭矿区总体规划环境影响报告书</w:t>
                          </w:r>
                        </w:p>
                      </w:txbxContent>
                    </wps:txbx>
                    <wps:bodyPr lIns="0" tIns="0" rIns="0" bIns="0" upright="1"/>
                  </wps:wsp>
                </a:graphicData>
              </a:graphic>
            </wp:anchor>
          </w:drawing>
        </mc:Choice>
        <mc:Fallback>
          <w:pict>
            <v:shape id="文本框 2" o:spid="_x0000_s1026" o:spt="202" type="#_x0000_t202" style="position:absolute;left:0pt;margin-left:175pt;margin-top:44.1pt;height:11pt;width:245pt;mso-position-horizontal-relative:page;mso-position-vertical-relative:page;z-index:-251654144;mso-width-relative:page;mso-height-relative:page;" filled="f" stroked="f" coordsize="21600,21600" o:gfxdata="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Y4N4rYAAAACgEAAA8AAAAAAAAAAQAgAAAAIgAAAGRycy9kb3ducmV2LnhtbFBLAQIU&#10;ABQAAAAIAIdO4kCjdvPfugEAAHQDAAAOAAAAAAAAAAEAIAAAACcBAABkcnMvZTJvRG9jLnhtbFBL&#10;BQYAAAAABgAGAFkBAABTBQAAAAA=&#10;">
              <v:fill on="f" focussize="0,0"/>
              <v:stroke on="f"/>
              <v:imagedata o:title=""/>
              <o:lock v:ext="edit" aspectratio="f"/>
              <v:textbox inset="0mm,0mm,0mm,0mm">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w:t>
                    </w:r>
                    <w:r>
                      <w:rPr>
                        <w:rFonts w:hint="eastAsia" w:ascii="楷体" w:eastAsia="楷体"/>
                        <w:sz w:val="18"/>
                      </w:rPr>
                      <w:t>达州市</w:t>
                    </w:r>
                    <w:r>
                      <w:rPr>
                        <w:rFonts w:hint="eastAsia" w:ascii="楷体" w:eastAsia="楷体"/>
                        <w:sz w:val="18"/>
                        <w:lang w:eastAsia="zh-CN"/>
                      </w:rPr>
                      <w:t>大竹县</w:t>
                    </w:r>
                    <w:r>
                      <w:rPr>
                        <w:rFonts w:hint="eastAsia" w:ascii="楷体" w:eastAsia="楷体"/>
                        <w:sz w:val="18"/>
                      </w:rPr>
                      <w:t>煤炭矿区总体规划环境影响报告书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63360" behindDoc="1" locked="0" layoutInCell="1" allowOverlap="1">
              <wp:simplePos x="0" y="0"/>
              <wp:positionH relativeFrom="page">
                <wp:posOffset>1130935</wp:posOffset>
              </wp:positionH>
              <wp:positionV relativeFrom="page">
                <wp:posOffset>716280</wp:posOffset>
              </wp:positionV>
              <wp:extent cx="5284470" cy="0"/>
              <wp:effectExtent l="0" t="0" r="0" b="0"/>
              <wp:wrapNone/>
              <wp:docPr id="129" name="直线 3"/>
              <wp:cNvGraphicFramePr/>
              <a:graphic xmlns:a="http://schemas.openxmlformats.org/drawingml/2006/main">
                <a:graphicData uri="http://schemas.microsoft.com/office/word/2010/wordprocessingShape">
                  <wps:wsp>
                    <wps:cNvCnPr/>
                    <wps:spPr>
                      <a:xfrm>
                        <a:off x="0" y="0"/>
                        <a:ext cx="528447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9.05pt;margin-top:56.4pt;height:0pt;width:416.1pt;mso-position-horizontal-relative:page;mso-position-vertical-relative:page;z-index:-251653120;mso-width-relative:page;mso-height-relative:page;" filled="f" stroked="t" coordsize="21600,21600" o:gfxdata="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9lRm&#10;1gAAAAwBAAAPAAAAAAAAAAEAIAAAACIAAABkcnMvZG93bnJldi54bWxQSwECFAAUAAAACACHTuJA&#10;RtJ3X+oBAADdAwAADgAAAAAAAAABACAAAAAlAQAAZHJzL2Uyb0RvYy54bWxQSwUGAAAAAAYABgBZ&#10;AQAAgQUAAAAA&#10;">
              <v:fill on="f" focussize="0,0"/>
              <v:stroke weight="0.6pt" color="#000000" joinstyle="round"/>
              <v:imagedata o:title=""/>
              <o:lock v:ext="edit" aspectratio="f"/>
            </v:lin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2222500</wp:posOffset>
              </wp:positionH>
              <wp:positionV relativeFrom="page">
                <wp:posOffset>560070</wp:posOffset>
              </wp:positionV>
              <wp:extent cx="3111500" cy="139700"/>
              <wp:effectExtent l="0" t="0" r="0" b="0"/>
              <wp:wrapNone/>
              <wp:docPr id="130" name="文本框 4"/>
              <wp:cNvGraphicFramePr/>
              <a:graphic xmlns:a="http://schemas.openxmlformats.org/drawingml/2006/main">
                <a:graphicData uri="http://schemas.microsoft.com/office/word/2010/wordprocessingShape">
                  <wps:wsp>
                    <wps:cNvSpPr txBox="1"/>
                    <wps:spPr>
                      <a:xfrm>
                        <a:off x="0" y="0"/>
                        <a:ext cx="3111500" cy="139700"/>
                      </a:xfrm>
                      <a:prstGeom prst="rect">
                        <a:avLst/>
                      </a:prstGeom>
                      <a:noFill/>
                      <a:ln>
                        <a:noFill/>
                      </a:ln>
                    </wps:spPr>
                    <wps:txbx>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w:t>
                          </w:r>
                          <w:r>
                            <w:rPr>
                              <w:rFonts w:hint="eastAsia" w:ascii="楷体" w:eastAsia="楷体"/>
                              <w:sz w:val="18"/>
                            </w:rPr>
                            <w:t>达州市</w:t>
                          </w:r>
                          <w:r>
                            <w:rPr>
                              <w:rFonts w:hint="eastAsia" w:ascii="楷体" w:eastAsia="楷体"/>
                              <w:sz w:val="18"/>
                              <w:lang w:eastAsia="zh-CN"/>
                            </w:rPr>
                            <w:t>大竹县</w:t>
                          </w:r>
                          <w:r>
                            <w:rPr>
                              <w:rFonts w:hint="eastAsia" w:ascii="楷体" w:eastAsia="楷体"/>
                              <w:sz w:val="18"/>
                            </w:rPr>
                            <w:t>煤炭矿区总体规划环境影响报告书</w:t>
                          </w:r>
                        </w:p>
                        <w:p>
                          <w:pPr>
                            <w:spacing w:before="0" w:line="220" w:lineRule="exact"/>
                            <w:ind w:left="20" w:right="0" w:firstLine="0"/>
                            <w:jc w:val="left"/>
                            <w:rPr>
                              <w:rFonts w:hint="eastAsia" w:ascii="楷体" w:eastAsia="楷体"/>
                              <w:sz w:val="18"/>
                            </w:rPr>
                          </w:pPr>
                        </w:p>
                      </w:txbxContent>
                    </wps:txbx>
                    <wps:bodyPr lIns="0" tIns="0" rIns="0" bIns="0" upright="1"/>
                  </wps:wsp>
                </a:graphicData>
              </a:graphic>
            </wp:anchor>
          </w:drawing>
        </mc:Choice>
        <mc:Fallback>
          <w:pict>
            <v:shape id="文本框 4" o:spid="_x0000_s1026" o:spt="202" type="#_x0000_t202" style="position:absolute;left:0pt;margin-left:175pt;margin-top:44.1pt;height:11pt;width:245pt;mso-position-horizontal-relative:page;mso-position-vertical-relative:page;z-index:-251652096;mso-width-relative:page;mso-height-relative:page;" filled="f" stroked="f" coordsize="21600,21600" o:gfxdata="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jg3itgAAAAKAQAADwAAAAAAAAABACAAAAAiAAAAZHJzL2Rvd25yZXYueG1sUEsBAhQA&#10;FAAAAAgAh07iQIAGcbe5AQAAdAMAAA4AAAAAAAAAAQAgAAAAJwEAAGRycy9lMm9Eb2MueG1sUEsF&#10;BgAAAAAGAAYAWQEAAFIFAAAAAA==&#10;">
              <v:fill on="f" focussize="0,0"/>
              <v:stroke on="f"/>
              <v:imagedata o:title=""/>
              <o:lock v:ext="edit" aspectratio="f"/>
              <v:textbox inset="0mm,0mm,0mm,0mm">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w:t>
                    </w:r>
                    <w:r>
                      <w:rPr>
                        <w:rFonts w:hint="eastAsia" w:ascii="楷体" w:eastAsia="楷体"/>
                        <w:sz w:val="18"/>
                      </w:rPr>
                      <w:t>达州市</w:t>
                    </w:r>
                    <w:r>
                      <w:rPr>
                        <w:rFonts w:hint="eastAsia" w:ascii="楷体" w:eastAsia="楷体"/>
                        <w:sz w:val="18"/>
                        <w:lang w:eastAsia="zh-CN"/>
                      </w:rPr>
                      <w:t>大竹县</w:t>
                    </w:r>
                    <w:r>
                      <w:rPr>
                        <w:rFonts w:hint="eastAsia" w:ascii="楷体" w:eastAsia="楷体"/>
                        <w:sz w:val="18"/>
                      </w:rPr>
                      <w:t>煤炭矿区总体规划环境影响报告书</w:t>
                    </w:r>
                  </w:p>
                  <w:p>
                    <w:pPr>
                      <w:spacing w:before="0" w:line="220" w:lineRule="exact"/>
                      <w:ind w:left="20" w:right="0" w:firstLine="0"/>
                      <w:jc w:val="left"/>
                      <w:rPr>
                        <w:rFonts w:hint="eastAsia" w:ascii="楷体" w:eastAsia="楷体"/>
                        <w:sz w:val="18"/>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65408" behindDoc="1" locked="0" layoutInCell="1" allowOverlap="1">
              <wp:simplePos x="0" y="0"/>
              <wp:positionH relativeFrom="page">
                <wp:posOffset>1130935</wp:posOffset>
              </wp:positionH>
              <wp:positionV relativeFrom="page">
                <wp:posOffset>716280</wp:posOffset>
              </wp:positionV>
              <wp:extent cx="5284470" cy="0"/>
              <wp:effectExtent l="0" t="0" r="0" b="0"/>
              <wp:wrapNone/>
              <wp:docPr id="132" name="直线 15"/>
              <wp:cNvGraphicFramePr/>
              <a:graphic xmlns:a="http://schemas.openxmlformats.org/drawingml/2006/main">
                <a:graphicData uri="http://schemas.microsoft.com/office/word/2010/wordprocessingShape">
                  <wps:wsp>
                    <wps:cNvCnPr/>
                    <wps:spPr>
                      <a:xfrm>
                        <a:off x="0" y="0"/>
                        <a:ext cx="528447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5" o:spid="_x0000_s1026" o:spt="20" style="position:absolute;left:0pt;margin-left:89.05pt;margin-top:56.4pt;height:0pt;width:416.1pt;mso-position-horizontal-relative:page;mso-position-vertical-relative:page;z-index:-251651072;mso-width-relative:page;mso-height-relative:page;" filled="f" stroked="t" coordsize="21600,21600" o:gfxdata="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9lRm&#10;1gAAAAwBAAAPAAAAAAAAAAEAIAAAACIAAABkcnMvZG93bnJldi54bWxQSwECFAAUAAAACACHTuJA&#10;DjtoseoBAADeAwAADgAAAAAAAAABACAAAAAlAQAAZHJzL2Uyb0RvYy54bWxQSwUGAAAAAAYABgBZ&#10;AQAAgQUAAAAA&#10;">
              <v:fill on="f" focussize="0,0"/>
              <v:stroke weight="0.6pt" color="#000000" joinstyle="round"/>
              <v:imagedata o:title=""/>
              <o:lock v:ext="edit" aspectratio="f"/>
            </v:lin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2222500</wp:posOffset>
              </wp:positionH>
              <wp:positionV relativeFrom="page">
                <wp:posOffset>560070</wp:posOffset>
              </wp:positionV>
              <wp:extent cx="3111500" cy="139700"/>
              <wp:effectExtent l="0" t="0" r="0" b="0"/>
              <wp:wrapNone/>
              <wp:docPr id="133" name="文本框 16"/>
              <wp:cNvGraphicFramePr/>
              <a:graphic xmlns:a="http://schemas.openxmlformats.org/drawingml/2006/main">
                <a:graphicData uri="http://schemas.microsoft.com/office/word/2010/wordprocessingShape">
                  <wps:wsp>
                    <wps:cNvSpPr txBox="1"/>
                    <wps:spPr>
                      <a:xfrm>
                        <a:off x="0" y="0"/>
                        <a:ext cx="3111500" cy="139700"/>
                      </a:xfrm>
                      <a:prstGeom prst="rect">
                        <a:avLst/>
                      </a:prstGeom>
                      <a:noFill/>
                      <a:ln>
                        <a:noFill/>
                      </a:ln>
                    </wps:spPr>
                    <wps:txbx>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w:t>
                          </w:r>
                          <w:r>
                            <w:rPr>
                              <w:rFonts w:hint="eastAsia" w:ascii="楷体" w:eastAsia="楷体"/>
                              <w:sz w:val="18"/>
                            </w:rPr>
                            <w:t>达州市</w:t>
                          </w:r>
                          <w:r>
                            <w:rPr>
                              <w:rFonts w:hint="eastAsia" w:ascii="楷体" w:eastAsia="楷体"/>
                              <w:sz w:val="18"/>
                              <w:lang w:eastAsia="zh-CN"/>
                            </w:rPr>
                            <w:t>大竹县</w:t>
                          </w:r>
                          <w:r>
                            <w:rPr>
                              <w:rFonts w:hint="eastAsia" w:ascii="楷体" w:eastAsia="楷体"/>
                              <w:sz w:val="18"/>
                            </w:rPr>
                            <w:t>煤炭矿区总体规划环境影响报告书</w:t>
                          </w:r>
                        </w:p>
                        <w:p>
                          <w:pPr>
                            <w:rPr>
                              <w:rFonts w:hint="eastAsia"/>
                            </w:rPr>
                          </w:pPr>
                        </w:p>
                      </w:txbxContent>
                    </wps:txbx>
                    <wps:bodyPr lIns="0" tIns="0" rIns="0" bIns="0" upright="1"/>
                  </wps:wsp>
                </a:graphicData>
              </a:graphic>
            </wp:anchor>
          </w:drawing>
        </mc:Choice>
        <mc:Fallback>
          <w:pict>
            <v:shape id="文本框 16" o:spid="_x0000_s1026" o:spt="202" type="#_x0000_t202" style="position:absolute;left:0pt;margin-left:175pt;margin-top:44.1pt;height:11pt;width:245pt;mso-position-horizontal-relative:page;mso-position-vertical-relative:page;z-index:-251650048;mso-width-relative:page;mso-height-relative:page;" filled="f" stroked="f" coordsize="21600,21600" o:gfxdata="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ODeK2AAAAAoBAAAPAAAAAAAAAAEAIAAAACIAAABkcnMvZG93bnJldi54bWxQSwEC&#10;FAAUAAAACACHTuJAQEt2PrsBAAB1AwAADgAAAAAAAAABACAAAAAnAQAAZHJzL2Uyb0RvYy54bWxQ&#10;SwUGAAAAAAYABgBZAQAAVAUAAAAA&#10;">
              <v:fill on="f" focussize="0,0"/>
              <v:stroke on="f"/>
              <v:imagedata o:title=""/>
              <o:lock v:ext="edit" aspectratio="f"/>
              <v:textbox inset="0mm,0mm,0mm,0mm">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w:t>
                    </w:r>
                    <w:r>
                      <w:rPr>
                        <w:rFonts w:hint="eastAsia" w:ascii="楷体" w:eastAsia="楷体"/>
                        <w:sz w:val="18"/>
                      </w:rPr>
                      <w:t>达州市</w:t>
                    </w:r>
                    <w:r>
                      <w:rPr>
                        <w:rFonts w:hint="eastAsia" w:ascii="楷体" w:eastAsia="楷体"/>
                        <w:sz w:val="18"/>
                        <w:lang w:eastAsia="zh-CN"/>
                      </w:rPr>
                      <w:t>大竹县</w:t>
                    </w:r>
                    <w:r>
                      <w:rPr>
                        <w:rFonts w:hint="eastAsia" w:ascii="楷体" w:eastAsia="楷体"/>
                        <w:sz w:val="18"/>
                      </w:rPr>
                      <w:t>煤炭矿区总体规划环境影响报告书</w:t>
                    </w:r>
                  </w:p>
                  <w:p>
                    <w:pPr>
                      <w:rPr>
                        <w:rFonts w:hint="eastAsia"/>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67456" behindDoc="1" locked="0" layoutInCell="1" allowOverlap="1">
              <wp:simplePos x="0" y="0"/>
              <wp:positionH relativeFrom="page">
                <wp:posOffset>1130935</wp:posOffset>
              </wp:positionH>
              <wp:positionV relativeFrom="page">
                <wp:posOffset>716280</wp:posOffset>
              </wp:positionV>
              <wp:extent cx="5284470" cy="0"/>
              <wp:effectExtent l="0" t="0" r="0" b="0"/>
              <wp:wrapNone/>
              <wp:docPr id="134" name="直线 18"/>
              <wp:cNvGraphicFramePr/>
              <a:graphic xmlns:a="http://schemas.openxmlformats.org/drawingml/2006/main">
                <a:graphicData uri="http://schemas.microsoft.com/office/word/2010/wordprocessingShape">
                  <wps:wsp>
                    <wps:cNvCnPr/>
                    <wps:spPr>
                      <a:xfrm>
                        <a:off x="0" y="0"/>
                        <a:ext cx="528447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89.05pt;margin-top:56.4pt;height:0pt;width:416.1pt;mso-position-horizontal-relative:page;mso-position-vertical-relative:page;z-index:-251649024;mso-width-relative:page;mso-height-relative:page;" filled="f" stroked="t" coordsize="21600,21600" o:gfxdata="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9lRm&#10;1gAAAAwBAAAPAAAAAAAAAAEAIAAAACIAAABkcnMvZG93bnJldi54bWxQSwECFAAUAAAACACHTuJA&#10;qYS0+OoBAADeAwAADgAAAAAAAAABACAAAAAlAQAAZHJzL2Uyb0RvYy54bWxQSwUGAAAAAAYABgBZ&#10;AQAAgQUAAAAA&#10;">
              <v:fill on="f" focussize="0,0"/>
              <v:stroke weight="0.6pt" color="#000000" joinstyle="round"/>
              <v:imagedata o:title=""/>
              <o:lock v:ext="edit" aspectratio="f"/>
            </v:lin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3789045</wp:posOffset>
              </wp:positionH>
              <wp:positionV relativeFrom="page">
                <wp:posOffset>560070</wp:posOffset>
              </wp:positionV>
              <wp:extent cx="4170680" cy="128270"/>
              <wp:effectExtent l="0" t="0" r="0" b="0"/>
              <wp:wrapNone/>
              <wp:docPr id="135" name="文本框 19"/>
              <wp:cNvGraphicFramePr/>
              <a:graphic xmlns:a="http://schemas.openxmlformats.org/drawingml/2006/main">
                <a:graphicData uri="http://schemas.microsoft.com/office/word/2010/wordprocessingShape">
                  <wps:wsp>
                    <wps:cNvSpPr txBox="1"/>
                    <wps:spPr>
                      <a:xfrm>
                        <a:off x="0" y="0"/>
                        <a:ext cx="4170680" cy="128270"/>
                      </a:xfrm>
                      <a:prstGeom prst="rect">
                        <a:avLst/>
                      </a:prstGeom>
                      <a:noFill/>
                      <a:ln>
                        <a:noFill/>
                      </a:ln>
                    </wps:spPr>
                    <wps:txbx>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四川省达州市大竹县煤炭矿区总体规划</w:t>
                          </w:r>
                          <w:r>
                            <w:rPr>
                              <w:rFonts w:hint="eastAsia" w:ascii="楷体" w:eastAsia="楷体"/>
                              <w:sz w:val="18"/>
                            </w:rPr>
                            <w:t>环境影响报告书</w:t>
                          </w:r>
                        </w:p>
                      </w:txbxContent>
                    </wps:txbx>
                    <wps:bodyPr lIns="0" tIns="0" rIns="0" bIns="0" upright="1"/>
                  </wps:wsp>
                </a:graphicData>
              </a:graphic>
            </wp:anchor>
          </w:drawing>
        </mc:Choice>
        <mc:Fallback>
          <w:pict>
            <v:shape id="文本框 19" o:spid="_x0000_s1026" o:spt="202" type="#_x0000_t202" style="position:absolute;left:0pt;margin-left:298.35pt;margin-top:44.1pt;height:10.1pt;width:328.4pt;mso-position-horizontal-relative:page;mso-position-vertical-relative:page;z-index:-251648000;mso-width-relative:page;mso-height-relative:page;" filled="f" stroked="f" coordsize="21600,21600" o:gfxdata="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X4+qtoAAAALAQAADwAAAAAAAAABACAAAAAiAAAAZHJzL2Rvd25yZXYueG1s&#10;UEsBAhQAFAAAAAgAh07iQDFc/p+9AQAAdQMAAA4AAAAAAAAAAQAgAAAAKQEAAGRycy9lMm9Eb2Mu&#10;eG1sUEsFBgAAAAAGAAYAWQEAAFgFAAAAAA==&#10;">
              <v:fill on="f" focussize="0,0"/>
              <v:stroke on="f"/>
              <v:imagedata o:title=""/>
              <o:lock v:ext="edit" aspectratio="f"/>
              <v:textbox inset="0mm,0mm,0mm,0mm">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四川省达州市大竹县煤炭矿区总体规划</w:t>
                    </w:r>
                    <w:r>
                      <w:rPr>
                        <w:rFonts w:hint="eastAsia" w:ascii="楷体" w:eastAsia="楷体"/>
                        <w:sz w:val="18"/>
                      </w:rPr>
                      <w:t>环境影响报告书</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70528" behindDoc="1" locked="0" layoutInCell="1" allowOverlap="1">
              <wp:simplePos x="0" y="0"/>
              <wp:positionH relativeFrom="page">
                <wp:posOffset>1130935</wp:posOffset>
              </wp:positionH>
              <wp:positionV relativeFrom="page">
                <wp:posOffset>716280</wp:posOffset>
              </wp:positionV>
              <wp:extent cx="5284470" cy="0"/>
              <wp:effectExtent l="0" t="0" r="0" b="0"/>
              <wp:wrapNone/>
              <wp:docPr id="137" name="直线 21"/>
              <wp:cNvGraphicFramePr/>
              <a:graphic xmlns:a="http://schemas.openxmlformats.org/drawingml/2006/main">
                <a:graphicData uri="http://schemas.microsoft.com/office/word/2010/wordprocessingShape">
                  <wps:wsp>
                    <wps:cNvCnPr/>
                    <wps:spPr>
                      <a:xfrm>
                        <a:off x="0" y="0"/>
                        <a:ext cx="528447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21" o:spid="_x0000_s1026" o:spt="20" style="position:absolute;left:0pt;margin-left:89.05pt;margin-top:56.4pt;height:0pt;width:416.1pt;mso-position-horizontal-relative:page;mso-position-vertical-relative:page;z-index:-251645952;mso-width-relative:page;mso-height-relative:page;" filled="f" stroked="t" coordsize="21600,21600" o:gfxdata="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9lRm&#10;1gAAAAwBAAAPAAAAAAAAAAEAIAAAACIAAABkcnMvZG93bnJldi54bWxQSwECFAAUAAAACACHTuJA&#10;oJyLhuoBAADeAwAADgAAAAAAAAABACAAAAAlAQAAZHJzL2Uyb0RvYy54bWxQSwUGAAAAAAYABgBZ&#10;AQAAgQUAAAAA&#10;">
              <v:fill on="f" focussize="0,0"/>
              <v:stroke weight="0.6pt" color="#000000" joinstyle="round"/>
              <v:imagedata o:title=""/>
              <o:lock v:ext="edit" aspectratio="f"/>
            </v:lin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2222500</wp:posOffset>
              </wp:positionH>
              <wp:positionV relativeFrom="page">
                <wp:posOffset>560070</wp:posOffset>
              </wp:positionV>
              <wp:extent cx="3610610" cy="163195"/>
              <wp:effectExtent l="0" t="0" r="0" b="0"/>
              <wp:wrapNone/>
              <wp:docPr id="138" name="文本框 22"/>
              <wp:cNvGraphicFramePr/>
              <a:graphic xmlns:a="http://schemas.openxmlformats.org/drawingml/2006/main">
                <a:graphicData uri="http://schemas.microsoft.com/office/word/2010/wordprocessingShape">
                  <wps:wsp>
                    <wps:cNvSpPr txBox="1"/>
                    <wps:spPr>
                      <a:xfrm>
                        <a:off x="0" y="0"/>
                        <a:ext cx="3610610" cy="163195"/>
                      </a:xfrm>
                      <a:prstGeom prst="rect">
                        <a:avLst/>
                      </a:prstGeom>
                      <a:noFill/>
                      <a:ln>
                        <a:noFill/>
                      </a:ln>
                    </wps:spPr>
                    <wps:txbx>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四川省达州市大竹县煤炭矿区总体规划</w:t>
                          </w:r>
                          <w:r>
                            <w:rPr>
                              <w:rFonts w:hint="eastAsia" w:ascii="楷体" w:eastAsia="楷体"/>
                              <w:sz w:val="18"/>
                            </w:rPr>
                            <w:t>环境影响报告书</w:t>
                          </w:r>
                        </w:p>
                      </w:txbxContent>
                    </wps:txbx>
                    <wps:bodyPr lIns="0" tIns="0" rIns="0" bIns="0" upright="1"/>
                  </wps:wsp>
                </a:graphicData>
              </a:graphic>
            </wp:anchor>
          </w:drawing>
        </mc:Choice>
        <mc:Fallback>
          <w:pict>
            <v:shape id="文本框 22" o:spid="_x0000_s1026" o:spt="202" type="#_x0000_t202" style="position:absolute;left:0pt;margin-left:175pt;margin-top:44.1pt;height:12.85pt;width:284.3pt;mso-position-horizontal-relative:page;mso-position-vertical-relative:page;z-index:-251644928;mso-width-relative:page;mso-height-relative:page;" filled="f" stroked="f" coordsize="21600,21600" o:gfxdata="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WiDefZAAAACgEAAA8AAAAAAAAAAQAgAAAAIgAAAGRycy9kb3ducmV2LnhtbFBL&#10;AQIUABQAAAAIAIdO4kBsgziSvAEAAHUDAAAOAAAAAAAAAAEAIAAAACgBAABkcnMvZTJvRG9jLnht&#10;bFBLBQYAAAAABgAGAFkBAABWBQAAAAA=&#10;">
              <v:fill on="f" focussize="0,0"/>
              <v:stroke on="f"/>
              <v:imagedata o:title=""/>
              <o:lock v:ext="edit" aspectratio="f"/>
              <v:textbox inset="0mm,0mm,0mm,0mm">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四川省达州市大竹县煤炭矿区总体规划</w:t>
                    </w:r>
                    <w:r>
                      <w:rPr>
                        <w:rFonts w:hint="eastAsia" w:ascii="楷体" w:eastAsia="楷体"/>
                        <w:sz w:val="18"/>
                      </w:rPr>
                      <w:t>环境影响报告书</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left="0"/>
      <w:rPr>
        <w:sz w:val="20"/>
      </w:rPr>
    </w:pPr>
    <w:r>
      <mc:AlternateContent>
        <mc:Choice Requires="wps">
          <w:drawing>
            <wp:anchor distT="0" distB="0" distL="114300" distR="114300" simplePos="0" relativeHeight="251673600" behindDoc="1" locked="0" layoutInCell="1" allowOverlap="1">
              <wp:simplePos x="0" y="0"/>
              <wp:positionH relativeFrom="page">
                <wp:posOffset>1130935</wp:posOffset>
              </wp:positionH>
              <wp:positionV relativeFrom="page">
                <wp:posOffset>716280</wp:posOffset>
              </wp:positionV>
              <wp:extent cx="5284470" cy="0"/>
              <wp:effectExtent l="0" t="0" r="0" b="0"/>
              <wp:wrapNone/>
              <wp:docPr id="140" name="直线 24"/>
              <wp:cNvGraphicFramePr/>
              <a:graphic xmlns:a="http://schemas.openxmlformats.org/drawingml/2006/main">
                <a:graphicData uri="http://schemas.microsoft.com/office/word/2010/wordprocessingShape">
                  <wps:wsp>
                    <wps:cNvCnPr/>
                    <wps:spPr>
                      <a:xfrm>
                        <a:off x="0" y="0"/>
                        <a:ext cx="528447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24" o:spid="_x0000_s1026" o:spt="20" style="position:absolute;left:0pt;margin-left:89.05pt;margin-top:56.4pt;height:0pt;width:416.1pt;mso-position-horizontal-relative:page;mso-position-vertical-relative:page;z-index:-251642880;mso-width-relative:page;mso-height-relative:page;" filled="f" stroked="t" coordsize="21600,21600" o:gfxdata="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n2VGbW&#10;AAAADAEAAA8AAAAAAAAAAQAgAAAAIgAAAGRycy9kb3ducmV2LnhtbFBLAQIUABQAAAAIAIdO4kBK&#10;JTGH6QEAAN4DAAAOAAAAAAAAAAEAIAAAACUBAABkcnMvZTJvRG9jLnhtbFBLBQYAAAAABgAGAFkB&#10;AACABQAAAAA=&#10;">
              <v:fill on="f" focussize="0,0"/>
              <v:stroke weight="0.6pt" color="#000000" joinstyle="round"/>
              <v:imagedata o:title=""/>
              <o:lock v:ext="edit" aspectratio="f"/>
            </v:lin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2222500</wp:posOffset>
              </wp:positionH>
              <wp:positionV relativeFrom="page">
                <wp:posOffset>560070</wp:posOffset>
              </wp:positionV>
              <wp:extent cx="3111500" cy="139700"/>
              <wp:effectExtent l="0" t="0" r="0" b="0"/>
              <wp:wrapNone/>
              <wp:docPr id="141" name="文本框 25"/>
              <wp:cNvGraphicFramePr/>
              <a:graphic xmlns:a="http://schemas.openxmlformats.org/drawingml/2006/main">
                <a:graphicData uri="http://schemas.microsoft.com/office/word/2010/wordprocessingShape">
                  <wps:wsp>
                    <wps:cNvSpPr txBox="1"/>
                    <wps:spPr>
                      <a:xfrm>
                        <a:off x="0" y="0"/>
                        <a:ext cx="3111500" cy="139700"/>
                      </a:xfrm>
                      <a:prstGeom prst="rect">
                        <a:avLst/>
                      </a:prstGeom>
                      <a:noFill/>
                      <a:ln>
                        <a:noFill/>
                      </a:ln>
                    </wps:spPr>
                    <wps:txbx>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四川省达州市大竹县煤炭矿区总体规划</w:t>
                          </w:r>
                          <w:r>
                            <w:rPr>
                              <w:rFonts w:hint="eastAsia" w:ascii="楷体" w:eastAsia="楷体"/>
                              <w:sz w:val="18"/>
                            </w:rPr>
                            <w:t>环境影响报告书</w:t>
                          </w:r>
                        </w:p>
                      </w:txbxContent>
                    </wps:txbx>
                    <wps:bodyPr lIns="0" tIns="0" rIns="0" bIns="0" upright="1"/>
                  </wps:wsp>
                </a:graphicData>
              </a:graphic>
            </wp:anchor>
          </w:drawing>
        </mc:Choice>
        <mc:Fallback>
          <w:pict>
            <v:shape id="文本框 25" o:spid="_x0000_s1026" o:spt="202" type="#_x0000_t202" style="position:absolute;left:0pt;margin-left:175pt;margin-top:44.1pt;height:11pt;width:245pt;mso-position-horizontal-relative:page;mso-position-vertical-relative:page;z-index:-251641856;mso-width-relative:page;mso-height-relative:page;" filled="f" stroked="f" coordsize="21600,21600" o:gfxdata="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g3itgAAAAKAQAADwAAAAAAAAABACAAAAAiAAAAZHJzL2Rvd25yZXYueG1sUEsB&#10;AhQAFAAAAAgAh07iQKcFfKi8AQAAdQMAAA4AAAAAAAAAAQAgAAAAJwEAAGRycy9lMm9Eb2MueG1s&#10;UEsFBgAAAAAGAAYAWQEAAFUFAAAAAA==&#10;">
              <v:fill on="f" focussize="0,0"/>
              <v:stroke on="f"/>
              <v:imagedata o:title=""/>
              <o:lock v:ext="edit" aspectratio="f"/>
              <v:textbox inset="0mm,0mm,0mm,0mm">
                <w:txbxContent>
                  <w:p>
                    <w:pPr>
                      <w:spacing w:before="0" w:line="220" w:lineRule="exact"/>
                      <w:ind w:left="20" w:right="0" w:firstLine="0"/>
                      <w:jc w:val="left"/>
                      <w:rPr>
                        <w:rFonts w:hint="eastAsia" w:ascii="楷体" w:eastAsia="楷体"/>
                        <w:sz w:val="18"/>
                      </w:rPr>
                    </w:pPr>
                    <w:r>
                      <w:rPr>
                        <w:rFonts w:hint="eastAsia" w:ascii="楷体" w:eastAsia="楷体"/>
                        <w:sz w:val="18"/>
                        <w:lang w:eastAsia="zh-CN"/>
                      </w:rPr>
                      <w:t>四川省达州市大竹县煤炭矿区总体规划</w:t>
                    </w:r>
                    <w:r>
                      <w:rPr>
                        <w:rFonts w:hint="eastAsia" w:ascii="楷体" w:eastAsia="楷体"/>
                        <w:sz w:val="18"/>
                      </w:rPr>
                      <w:t>环境影响报告书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A3567"/>
    <w:multiLevelType w:val="multilevel"/>
    <w:tmpl w:val="81EA3567"/>
    <w:lvl w:ilvl="0" w:tentative="0">
      <w:start w:val="6"/>
      <w:numFmt w:val="decimal"/>
      <w:lvlText w:val="%1"/>
      <w:lvlJc w:val="left"/>
      <w:pPr>
        <w:ind w:left="1257" w:hanging="720"/>
        <w:jc w:val="left"/>
      </w:pPr>
      <w:rPr>
        <w:rFonts w:hint="default"/>
      </w:rPr>
    </w:lvl>
    <w:lvl w:ilvl="1" w:tentative="0">
      <w:start w:val="1"/>
      <w:numFmt w:val="decimal"/>
      <w:lvlText w:val="%1.%2"/>
      <w:lvlJc w:val="left"/>
      <w:pPr>
        <w:ind w:left="1257" w:hanging="720"/>
        <w:jc w:val="left"/>
      </w:pPr>
      <w:rPr>
        <w:rFonts w:hint="default"/>
      </w:rPr>
    </w:lvl>
    <w:lvl w:ilvl="2" w:tentative="0">
      <w:start w:val="2"/>
      <w:numFmt w:val="decimal"/>
      <w:lvlText w:val="%1.%2.%3"/>
      <w:lvlJc w:val="left"/>
      <w:pPr>
        <w:ind w:left="125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suff w:val="nothing"/>
      <w:lvlText w:val="（%5）"/>
      <w:lvlJc w:val="left"/>
      <w:pPr>
        <w:ind w:left="0" w:leftChars="0" w:firstLine="0" w:firstLineChars="0"/>
        <w:jc w:val="left"/>
      </w:pPr>
      <w:rPr>
        <w:rFonts w:hint="default" w:ascii="宋体" w:hAnsi="宋体" w:eastAsia="宋体" w:cs="宋体"/>
        <w:w w:val="100"/>
        <w:sz w:val="22"/>
        <w:szCs w:val="22"/>
      </w:rPr>
    </w:lvl>
    <w:lvl w:ilvl="5" w:tentative="0">
      <w:start w:val="0"/>
      <w:numFmt w:val="bullet"/>
      <w:lvlText w:val="•"/>
      <w:lvlJc w:val="left"/>
      <w:pPr>
        <w:ind w:left="5080" w:hanging="601"/>
      </w:pPr>
      <w:rPr>
        <w:rFonts w:hint="default"/>
      </w:rPr>
    </w:lvl>
    <w:lvl w:ilvl="6" w:tentative="0">
      <w:start w:val="0"/>
      <w:numFmt w:val="bullet"/>
      <w:lvlText w:val="•"/>
      <w:lvlJc w:val="left"/>
      <w:pPr>
        <w:ind w:left="5945" w:hanging="601"/>
      </w:pPr>
      <w:rPr>
        <w:rFonts w:hint="default"/>
      </w:rPr>
    </w:lvl>
    <w:lvl w:ilvl="7" w:tentative="0">
      <w:start w:val="0"/>
      <w:numFmt w:val="bullet"/>
      <w:lvlText w:val="•"/>
      <w:lvlJc w:val="left"/>
      <w:pPr>
        <w:ind w:left="6810" w:hanging="601"/>
      </w:pPr>
      <w:rPr>
        <w:rFonts w:hint="default"/>
      </w:rPr>
    </w:lvl>
    <w:lvl w:ilvl="8" w:tentative="0">
      <w:start w:val="0"/>
      <w:numFmt w:val="bullet"/>
      <w:lvlText w:val="•"/>
      <w:lvlJc w:val="left"/>
      <w:pPr>
        <w:ind w:left="7675" w:hanging="601"/>
      </w:pPr>
      <w:rPr>
        <w:rFonts w:hint="default"/>
      </w:rPr>
    </w:lvl>
  </w:abstractNum>
  <w:abstractNum w:abstractNumId="1">
    <w:nsid w:val="82393732"/>
    <w:multiLevelType w:val="multilevel"/>
    <w:tmpl w:val="82393732"/>
    <w:lvl w:ilvl="0" w:tentative="0">
      <w:start w:val="9"/>
      <w:numFmt w:val="decimal"/>
      <w:lvlText w:val="%1"/>
      <w:lvlJc w:val="left"/>
      <w:pPr>
        <w:ind w:left="1277" w:hanging="720"/>
        <w:jc w:val="left"/>
      </w:pPr>
      <w:rPr>
        <w:rFonts w:hint="default"/>
      </w:rPr>
    </w:lvl>
    <w:lvl w:ilvl="1" w:tentative="0">
      <w:start w:val="3"/>
      <w:numFmt w:val="decimal"/>
      <w:lvlText w:val="%1.%2"/>
      <w:lvlJc w:val="left"/>
      <w:pPr>
        <w:ind w:left="1277" w:hanging="720"/>
        <w:jc w:val="left"/>
      </w:pPr>
      <w:rPr>
        <w:rFonts w:hint="default"/>
      </w:rPr>
    </w:lvl>
    <w:lvl w:ilvl="2" w:tentative="0">
      <w:start w:val="2"/>
      <w:numFmt w:val="decimal"/>
      <w:lvlText w:val="%1.%2.%3"/>
      <w:lvlJc w:val="left"/>
      <w:pPr>
        <w:ind w:left="1277" w:hanging="720"/>
        <w:jc w:val="left"/>
      </w:pPr>
      <w:rPr>
        <w:rFonts w:hint="default"/>
      </w:rPr>
    </w:lvl>
    <w:lvl w:ilvl="3" w:tentative="0">
      <w:start w:val="2"/>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546" w:hanging="720"/>
      </w:pPr>
      <w:rPr>
        <w:rFonts w:hint="default"/>
      </w:rPr>
    </w:lvl>
    <w:lvl w:ilvl="5" w:tentative="0">
      <w:start w:val="0"/>
      <w:numFmt w:val="bullet"/>
      <w:lvlText w:val="•"/>
      <w:lvlJc w:val="left"/>
      <w:pPr>
        <w:ind w:left="5362" w:hanging="720"/>
      </w:pPr>
      <w:rPr>
        <w:rFonts w:hint="default"/>
      </w:rPr>
    </w:lvl>
    <w:lvl w:ilvl="6" w:tentative="0">
      <w:start w:val="0"/>
      <w:numFmt w:val="bullet"/>
      <w:lvlText w:val="•"/>
      <w:lvlJc w:val="left"/>
      <w:pPr>
        <w:ind w:left="6179" w:hanging="720"/>
      </w:pPr>
      <w:rPr>
        <w:rFonts w:hint="default"/>
      </w:rPr>
    </w:lvl>
    <w:lvl w:ilvl="7" w:tentative="0">
      <w:start w:val="0"/>
      <w:numFmt w:val="bullet"/>
      <w:lvlText w:val="•"/>
      <w:lvlJc w:val="left"/>
      <w:pPr>
        <w:ind w:left="6995" w:hanging="720"/>
      </w:pPr>
      <w:rPr>
        <w:rFonts w:hint="default"/>
      </w:rPr>
    </w:lvl>
    <w:lvl w:ilvl="8" w:tentative="0">
      <w:start w:val="0"/>
      <w:numFmt w:val="bullet"/>
      <w:lvlText w:val="•"/>
      <w:lvlJc w:val="left"/>
      <w:pPr>
        <w:ind w:left="7812" w:hanging="720"/>
      </w:pPr>
      <w:rPr>
        <w:rFonts w:hint="default"/>
      </w:rPr>
    </w:lvl>
  </w:abstractNum>
  <w:abstractNum w:abstractNumId="2">
    <w:nsid w:val="9138C4AC"/>
    <w:multiLevelType w:val="multilevel"/>
    <w:tmpl w:val="9138C4AC"/>
    <w:lvl w:ilvl="0" w:tentative="0">
      <w:start w:val="3"/>
      <w:numFmt w:val="decimal"/>
      <w:lvlText w:val="%1"/>
      <w:lvlJc w:val="left"/>
      <w:pPr>
        <w:ind w:left="1257" w:hanging="720"/>
        <w:jc w:val="left"/>
      </w:pPr>
      <w:rPr>
        <w:rFonts w:hint="default"/>
      </w:rPr>
    </w:lvl>
    <w:lvl w:ilvl="1" w:tentative="0">
      <w:start w:val="2"/>
      <w:numFmt w:val="decimal"/>
      <w:lvlText w:val="%1.%2"/>
      <w:lvlJc w:val="left"/>
      <w:pPr>
        <w:ind w:left="1257" w:hanging="720"/>
        <w:jc w:val="left"/>
      </w:pPr>
      <w:rPr>
        <w:rFonts w:hint="default"/>
      </w:rPr>
    </w:lvl>
    <w:lvl w:ilvl="2" w:tentative="0">
      <w:start w:val="1"/>
      <w:numFmt w:val="decimal"/>
      <w:lvlText w:val="%1.%2.%3"/>
      <w:lvlJc w:val="left"/>
      <w:pPr>
        <w:ind w:left="125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518" w:hanging="720"/>
      </w:pPr>
      <w:rPr>
        <w:rFonts w:hint="default"/>
      </w:rPr>
    </w:lvl>
    <w:lvl w:ilvl="5" w:tentative="0">
      <w:start w:val="0"/>
      <w:numFmt w:val="bullet"/>
      <w:lvlText w:val="•"/>
      <w:lvlJc w:val="left"/>
      <w:pPr>
        <w:ind w:left="5332" w:hanging="720"/>
      </w:pPr>
      <w:rPr>
        <w:rFonts w:hint="default"/>
      </w:rPr>
    </w:lvl>
    <w:lvl w:ilvl="6" w:tentative="0">
      <w:start w:val="0"/>
      <w:numFmt w:val="bullet"/>
      <w:lvlText w:val="•"/>
      <w:lvlJc w:val="left"/>
      <w:pPr>
        <w:ind w:left="6147" w:hanging="720"/>
      </w:pPr>
      <w:rPr>
        <w:rFonts w:hint="default"/>
      </w:rPr>
    </w:lvl>
    <w:lvl w:ilvl="7" w:tentative="0">
      <w:start w:val="0"/>
      <w:numFmt w:val="bullet"/>
      <w:lvlText w:val="•"/>
      <w:lvlJc w:val="left"/>
      <w:pPr>
        <w:ind w:left="6961" w:hanging="720"/>
      </w:pPr>
      <w:rPr>
        <w:rFonts w:hint="default"/>
      </w:rPr>
    </w:lvl>
    <w:lvl w:ilvl="8" w:tentative="0">
      <w:start w:val="0"/>
      <w:numFmt w:val="bullet"/>
      <w:lvlText w:val="•"/>
      <w:lvlJc w:val="left"/>
      <w:pPr>
        <w:ind w:left="7776" w:hanging="720"/>
      </w:pPr>
      <w:rPr>
        <w:rFonts w:hint="default"/>
      </w:rPr>
    </w:lvl>
  </w:abstractNum>
  <w:abstractNum w:abstractNumId="3">
    <w:nsid w:val="A54394BC"/>
    <w:multiLevelType w:val="multilevel"/>
    <w:tmpl w:val="A54394BC"/>
    <w:lvl w:ilvl="0" w:tentative="0">
      <w:start w:val="3"/>
      <w:numFmt w:val="decimal"/>
      <w:lvlText w:val="%1"/>
      <w:lvlJc w:val="left"/>
      <w:pPr>
        <w:ind w:left="1257" w:hanging="720"/>
        <w:jc w:val="left"/>
      </w:pPr>
      <w:rPr>
        <w:rFonts w:hint="default"/>
      </w:rPr>
    </w:lvl>
    <w:lvl w:ilvl="1" w:tentative="0">
      <w:start w:val="1"/>
      <w:numFmt w:val="decimal"/>
      <w:lvlText w:val="%1.%2"/>
      <w:lvlJc w:val="left"/>
      <w:pPr>
        <w:ind w:left="1257" w:hanging="720"/>
        <w:jc w:val="left"/>
      </w:pPr>
      <w:rPr>
        <w:rFonts w:hint="default"/>
      </w:rPr>
    </w:lvl>
    <w:lvl w:ilvl="2" w:tentative="0">
      <w:start w:val="1"/>
      <w:numFmt w:val="decimal"/>
      <w:lvlText w:val="%1.%2.%3"/>
      <w:lvlJc w:val="left"/>
      <w:pPr>
        <w:ind w:left="125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1618" w:hanging="601"/>
        <w:jc w:val="left"/>
      </w:pPr>
      <w:rPr>
        <w:rFonts w:hint="default" w:ascii="宋体" w:hAnsi="宋体" w:eastAsia="宋体" w:cs="宋体"/>
        <w:w w:val="100"/>
        <w:sz w:val="22"/>
        <w:szCs w:val="22"/>
      </w:rPr>
    </w:lvl>
    <w:lvl w:ilvl="5" w:tentative="0">
      <w:start w:val="0"/>
      <w:numFmt w:val="bullet"/>
      <w:lvlText w:val="•"/>
      <w:lvlJc w:val="left"/>
      <w:pPr>
        <w:ind w:left="5080" w:hanging="601"/>
      </w:pPr>
      <w:rPr>
        <w:rFonts w:hint="default"/>
      </w:rPr>
    </w:lvl>
    <w:lvl w:ilvl="6" w:tentative="0">
      <w:start w:val="0"/>
      <w:numFmt w:val="bullet"/>
      <w:lvlText w:val="•"/>
      <w:lvlJc w:val="left"/>
      <w:pPr>
        <w:ind w:left="5945" w:hanging="601"/>
      </w:pPr>
      <w:rPr>
        <w:rFonts w:hint="default"/>
      </w:rPr>
    </w:lvl>
    <w:lvl w:ilvl="7" w:tentative="0">
      <w:start w:val="0"/>
      <w:numFmt w:val="bullet"/>
      <w:lvlText w:val="•"/>
      <w:lvlJc w:val="left"/>
      <w:pPr>
        <w:ind w:left="6810" w:hanging="601"/>
      </w:pPr>
      <w:rPr>
        <w:rFonts w:hint="default"/>
      </w:rPr>
    </w:lvl>
    <w:lvl w:ilvl="8" w:tentative="0">
      <w:start w:val="0"/>
      <w:numFmt w:val="bullet"/>
      <w:lvlText w:val="•"/>
      <w:lvlJc w:val="left"/>
      <w:pPr>
        <w:ind w:left="7675" w:hanging="601"/>
      </w:pPr>
      <w:rPr>
        <w:rFonts w:hint="default"/>
      </w:rPr>
    </w:lvl>
  </w:abstractNum>
  <w:abstractNum w:abstractNumId="4">
    <w:nsid w:val="D12E15FE"/>
    <w:multiLevelType w:val="multilevel"/>
    <w:tmpl w:val="D12E15FE"/>
    <w:lvl w:ilvl="0" w:tentative="0">
      <w:start w:val="1"/>
      <w:numFmt w:val="decimal"/>
      <w:suff w:val="space"/>
      <w:lvlText w:val="%1"/>
      <w:lvlJc w:val="left"/>
      <w:pPr>
        <w:ind w:left="0" w:leftChars="0" w:firstLine="0" w:firstLineChars="0"/>
        <w:jc w:val="left"/>
      </w:pPr>
      <w:rPr>
        <w:rFonts w:hint="default" w:ascii="Times New Roman" w:hAnsi="Times New Roman" w:eastAsia="Times New Roman" w:cs="Times New Roman"/>
        <w:b/>
        <w:bCs/>
        <w:w w:val="99"/>
        <w:sz w:val="32"/>
        <w:szCs w:val="32"/>
      </w:rPr>
    </w:lvl>
    <w:lvl w:ilvl="1" w:tentative="0">
      <w:start w:val="1"/>
      <w:numFmt w:val="decimal"/>
      <w:suff w:val="space"/>
      <w:lvlText w:val="%1.%2"/>
      <w:lvlJc w:val="left"/>
      <w:pPr>
        <w:ind w:left="0" w:leftChars="0" w:firstLine="0" w:firstLineChars="0"/>
        <w:jc w:val="left"/>
      </w:pPr>
      <w:rPr>
        <w:rFonts w:hint="default" w:ascii="Times New Roman" w:hAnsi="Times New Roman" w:eastAsia="Times New Roman" w:cs="Times New Roman"/>
        <w:b/>
        <w:bCs/>
        <w:spacing w:val="-1"/>
        <w:w w:val="100"/>
        <w:sz w:val="28"/>
        <w:szCs w:val="28"/>
      </w:rPr>
    </w:lvl>
    <w:lvl w:ilvl="2" w:tentative="0">
      <w:start w:val="1"/>
      <w:numFmt w:val="decimal"/>
      <w:suff w:val="space"/>
      <w:lvlText w:val="%1.%2.%3"/>
      <w:lvlJc w:val="left"/>
      <w:pPr>
        <w:ind w:left="0" w:leftChars="0" w:firstLine="0" w:firstLineChars="0"/>
        <w:jc w:val="left"/>
      </w:pPr>
      <w:rPr>
        <w:rFonts w:hint="default" w:ascii="Times New Roman" w:hAnsi="Times New Roman" w:eastAsia="Times New Roman" w:cs="Times New Roman"/>
        <w:b/>
        <w:bCs/>
        <w:w w:val="99"/>
        <w:sz w:val="24"/>
        <w:szCs w:val="24"/>
      </w:rPr>
    </w:lvl>
    <w:lvl w:ilvl="3" w:tentative="0">
      <w:start w:val="1"/>
      <w:numFmt w:val="decimal"/>
      <w:suff w:val="nothing"/>
      <w:lvlText w:val="（%4）"/>
      <w:lvlJc w:val="left"/>
      <w:pPr>
        <w:ind w:left="1134" w:leftChars="0" w:hanging="1134" w:firstLineChars="0"/>
        <w:jc w:val="left"/>
      </w:pPr>
      <w:rPr>
        <w:rFonts w:hint="default" w:ascii="宋体" w:hAnsi="宋体" w:eastAsia="宋体" w:cs="宋体"/>
        <w:w w:val="100"/>
        <w:sz w:val="24"/>
        <w:szCs w:val="24"/>
      </w:rPr>
    </w:lvl>
    <w:lvl w:ilvl="4" w:tentative="0">
      <w:start w:val="0"/>
      <w:numFmt w:val="bullet"/>
      <w:lvlText w:val="•"/>
      <w:lvlJc w:val="left"/>
      <w:pPr>
        <w:ind w:left="2732" w:hanging="601"/>
      </w:pPr>
      <w:rPr>
        <w:rFonts w:hint="default"/>
      </w:rPr>
    </w:lvl>
    <w:lvl w:ilvl="5" w:tentative="0">
      <w:start w:val="0"/>
      <w:numFmt w:val="bullet"/>
      <w:lvlText w:val="•"/>
      <w:lvlJc w:val="left"/>
      <w:pPr>
        <w:ind w:left="3844" w:hanging="601"/>
      </w:pPr>
      <w:rPr>
        <w:rFonts w:hint="default"/>
      </w:rPr>
    </w:lvl>
    <w:lvl w:ilvl="6" w:tentative="0">
      <w:start w:val="0"/>
      <w:numFmt w:val="bullet"/>
      <w:lvlText w:val="•"/>
      <w:lvlJc w:val="left"/>
      <w:pPr>
        <w:ind w:left="4956" w:hanging="601"/>
      </w:pPr>
      <w:rPr>
        <w:rFonts w:hint="default"/>
      </w:rPr>
    </w:lvl>
    <w:lvl w:ilvl="7" w:tentative="0">
      <w:start w:val="0"/>
      <w:numFmt w:val="bullet"/>
      <w:lvlText w:val="•"/>
      <w:lvlJc w:val="left"/>
      <w:pPr>
        <w:ind w:left="6068" w:hanging="601"/>
      </w:pPr>
      <w:rPr>
        <w:rFonts w:hint="default"/>
      </w:rPr>
    </w:lvl>
    <w:lvl w:ilvl="8" w:tentative="0">
      <w:start w:val="0"/>
      <w:numFmt w:val="bullet"/>
      <w:lvlText w:val="•"/>
      <w:lvlJc w:val="left"/>
      <w:pPr>
        <w:ind w:left="7180" w:hanging="601"/>
      </w:pPr>
      <w:rPr>
        <w:rFonts w:hint="default"/>
      </w:rPr>
    </w:lvl>
  </w:abstractNum>
  <w:abstractNum w:abstractNumId="5">
    <w:nsid w:val="D3498582"/>
    <w:multiLevelType w:val="multilevel"/>
    <w:tmpl w:val="D3498582"/>
    <w:lvl w:ilvl="0" w:tentative="0">
      <w:start w:val="1"/>
      <w:numFmt w:val="decimal"/>
      <w:suff w:val="nothing"/>
      <w:lvlText w:val="（%1）"/>
      <w:lvlJc w:val="left"/>
      <w:pPr>
        <w:ind w:left="0" w:leftChars="0" w:firstLine="0" w:firstLineChars="0"/>
        <w:jc w:val="left"/>
      </w:pPr>
      <w:rPr>
        <w:rFonts w:hint="default" w:ascii="宋体" w:hAnsi="宋体" w:eastAsia="宋体" w:cs="宋体"/>
        <w:spacing w:val="-1"/>
        <w:w w:val="100"/>
        <w:sz w:val="22"/>
        <w:szCs w:val="22"/>
      </w:rPr>
    </w:lvl>
    <w:lvl w:ilvl="1" w:tentative="0">
      <w:start w:val="0"/>
      <w:numFmt w:val="bullet"/>
      <w:lvlText w:val="•"/>
      <w:lvlJc w:val="left"/>
      <w:pPr>
        <w:ind w:left="2398" w:hanging="601"/>
      </w:pPr>
      <w:rPr>
        <w:rFonts w:hint="default"/>
      </w:rPr>
    </w:lvl>
    <w:lvl w:ilvl="2" w:tentative="0">
      <w:start w:val="0"/>
      <w:numFmt w:val="bullet"/>
      <w:lvlText w:val="•"/>
      <w:lvlJc w:val="left"/>
      <w:pPr>
        <w:ind w:left="3177" w:hanging="601"/>
      </w:pPr>
      <w:rPr>
        <w:rFonts w:hint="default"/>
      </w:rPr>
    </w:lvl>
    <w:lvl w:ilvl="3" w:tentative="0">
      <w:start w:val="0"/>
      <w:numFmt w:val="bullet"/>
      <w:lvlText w:val="•"/>
      <w:lvlJc w:val="left"/>
      <w:pPr>
        <w:ind w:left="3955" w:hanging="601"/>
      </w:pPr>
      <w:rPr>
        <w:rFonts w:hint="default"/>
      </w:rPr>
    </w:lvl>
    <w:lvl w:ilvl="4" w:tentative="0">
      <w:start w:val="0"/>
      <w:numFmt w:val="bullet"/>
      <w:lvlText w:val="•"/>
      <w:lvlJc w:val="left"/>
      <w:pPr>
        <w:ind w:left="4734" w:hanging="601"/>
      </w:pPr>
      <w:rPr>
        <w:rFonts w:hint="default"/>
      </w:rPr>
    </w:lvl>
    <w:lvl w:ilvl="5" w:tentative="0">
      <w:start w:val="0"/>
      <w:numFmt w:val="bullet"/>
      <w:lvlText w:val="•"/>
      <w:lvlJc w:val="left"/>
      <w:pPr>
        <w:ind w:left="5512" w:hanging="601"/>
      </w:pPr>
      <w:rPr>
        <w:rFonts w:hint="default"/>
      </w:rPr>
    </w:lvl>
    <w:lvl w:ilvl="6" w:tentative="0">
      <w:start w:val="0"/>
      <w:numFmt w:val="bullet"/>
      <w:lvlText w:val="•"/>
      <w:lvlJc w:val="left"/>
      <w:pPr>
        <w:ind w:left="6291" w:hanging="601"/>
      </w:pPr>
      <w:rPr>
        <w:rFonts w:hint="default"/>
      </w:rPr>
    </w:lvl>
    <w:lvl w:ilvl="7" w:tentative="0">
      <w:start w:val="0"/>
      <w:numFmt w:val="bullet"/>
      <w:lvlText w:val="•"/>
      <w:lvlJc w:val="left"/>
      <w:pPr>
        <w:ind w:left="7069" w:hanging="601"/>
      </w:pPr>
      <w:rPr>
        <w:rFonts w:hint="default"/>
      </w:rPr>
    </w:lvl>
    <w:lvl w:ilvl="8" w:tentative="0">
      <w:start w:val="0"/>
      <w:numFmt w:val="bullet"/>
      <w:lvlText w:val="•"/>
      <w:lvlJc w:val="left"/>
      <w:pPr>
        <w:ind w:left="7848" w:hanging="601"/>
      </w:pPr>
      <w:rPr>
        <w:rFonts w:hint="default"/>
      </w:rPr>
    </w:lvl>
  </w:abstractNum>
  <w:abstractNum w:abstractNumId="6">
    <w:nsid w:val="DD15A843"/>
    <w:multiLevelType w:val="multilevel"/>
    <w:tmpl w:val="DD15A843"/>
    <w:lvl w:ilvl="0" w:tentative="0">
      <w:start w:val="6"/>
      <w:numFmt w:val="decimal"/>
      <w:lvlText w:val="%1"/>
      <w:lvlJc w:val="left"/>
      <w:pPr>
        <w:ind w:left="1257" w:hanging="720"/>
        <w:jc w:val="left"/>
      </w:pPr>
      <w:rPr>
        <w:rFonts w:hint="default"/>
      </w:rPr>
    </w:lvl>
    <w:lvl w:ilvl="1" w:tentative="0">
      <w:start w:val="1"/>
      <w:numFmt w:val="decimal"/>
      <w:lvlText w:val="%1.%2"/>
      <w:lvlJc w:val="left"/>
      <w:pPr>
        <w:ind w:left="1257" w:hanging="720"/>
        <w:jc w:val="left"/>
      </w:pPr>
      <w:rPr>
        <w:rFonts w:hint="default"/>
      </w:rPr>
    </w:lvl>
    <w:lvl w:ilvl="2" w:tentative="0">
      <w:start w:val="3"/>
      <w:numFmt w:val="decimal"/>
      <w:lvlText w:val="%1.%2.%3"/>
      <w:lvlJc w:val="left"/>
      <w:pPr>
        <w:ind w:left="125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1378" w:hanging="361"/>
        <w:jc w:val="left"/>
      </w:pPr>
      <w:rPr>
        <w:rFonts w:hint="default" w:ascii="Times New Roman" w:hAnsi="Times New Roman" w:eastAsia="Times New Roman" w:cs="Times New Roman"/>
        <w:w w:val="100"/>
        <w:sz w:val="22"/>
        <w:szCs w:val="22"/>
      </w:rPr>
    </w:lvl>
    <w:lvl w:ilvl="5" w:tentative="0">
      <w:start w:val="0"/>
      <w:numFmt w:val="bullet"/>
      <w:lvlText w:val="•"/>
      <w:lvlJc w:val="left"/>
      <w:pPr>
        <w:ind w:left="4946" w:hanging="361"/>
      </w:pPr>
      <w:rPr>
        <w:rFonts w:hint="default"/>
      </w:rPr>
    </w:lvl>
    <w:lvl w:ilvl="6" w:tentative="0">
      <w:start w:val="0"/>
      <w:numFmt w:val="bullet"/>
      <w:lvlText w:val="•"/>
      <w:lvlJc w:val="left"/>
      <w:pPr>
        <w:ind w:left="5838" w:hanging="361"/>
      </w:pPr>
      <w:rPr>
        <w:rFonts w:hint="default"/>
      </w:rPr>
    </w:lvl>
    <w:lvl w:ilvl="7" w:tentative="0">
      <w:start w:val="0"/>
      <w:numFmt w:val="bullet"/>
      <w:lvlText w:val="•"/>
      <w:lvlJc w:val="left"/>
      <w:pPr>
        <w:ind w:left="6730" w:hanging="361"/>
      </w:pPr>
      <w:rPr>
        <w:rFonts w:hint="default"/>
      </w:rPr>
    </w:lvl>
    <w:lvl w:ilvl="8" w:tentative="0">
      <w:start w:val="0"/>
      <w:numFmt w:val="bullet"/>
      <w:lvlText w:val="•"/>
      <w:lvlJc w:val="left"/>
      <w:pPr>
        <w:ind w:left="7621" w:hanging="361"/>
      </w:pPr>
      <w:rPr>
        <w:rFonts w:hint="default"/>
      </w:rPr>
    </w:lvl>
  </w:abstractNum>
  <w:abstractNum w:abstractNumId="7">
    <w:nsid w:val="DD643186"/>
    <w:multiLevelType w:val="multilevel"/>
    <w:tmpl w:val="DD643186"/>
    <w:lvl w:ilvl="0" w:tentative="0">
      <w:start w:val="1"/>
      <w:numFmt w:val="decimal"/>
      <w:lvlText w:val="%1"/>
      <w:lvlJc w:val="left"/>
      <w:pPr>
        <w:ind w:left="1257" w:hanging="720"/>
        <w:jc w:val="left"/>
      </w:pPr>
      <w:rPr>
        <w:rFonts w:hint="default"/>
      </w:rPr>
    </w:lvl>
    <w:lvl w:ilvl="1" w:tentative="0">
      <w:start w:val="4"/>
      <w:numFmt w:val="decimal"/>
      <w:lvlText w:val="%1.%2"/>
      <w:lvlJc w:val="left"/>
      <w:pPr>
        <w:ind w:left="1257" w:hanging="720"/>
        <w:jc w:val="left"/>
      </w:pPr>
      <w:rPr>
        <w:rFonts w:hint="default"/>
      </w:rPr>
    </w:lvl>
    <w:lvl w:ilvl="2" w:tentative="0">
      <w:start w:val="2"/>
      <w:numFmt w:val="decimal"/>
      <w:lvlText w:val="%1.%2.%3"/>
      <w:lvlJc w:val="left"/>
      <w:pPr>
        <w:ind w:left="1257" w:hanging="720"/>
        <w:jc w:val="left"/>
      </w:pPr>
      <w:rPr>
        <w:rFonts w:hint="default"/>
      </w:rPr>
    </w:lvl>
    <w:lvl w:ilvl="3" w:tentative="0">
      <w:start w:val="1"/>
      <w:numFmt w:val="decimal"/>
      <w:suff w:val="nothing"/>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518" w:hanging="720"/>
      </w:pPr>
      <w:rPr>
        <w:rFonts w:hint="default"/>
      </w:rPr>
    </w:lvl>
    <w:lvl w:ilvl="5" w:tentative="0">
      <w:start w:val="0"/>
      <w:numFmt w:val="bullet"/>
      <w:lvlText w:val="•"/>
      <w:lvlJc w:val="left"/>
      <w:pPr>
        <w:ind w:left="5332" w:hanging="720"/>
      </w:pPr>
      <w:rPr>
        <w:rFonts w:hint="default"/>
      </w:rPr>
    </w:lvl>
    <w:lvl w:ilvl="6" w:tentative="0">
      <w:start w:val="0"/>
      <w:numFmt w:val="bullet"/>
      <w:lvlText w:val="•"/>
      <w:lvlJc w:val="left"/>
      <w:pPr>
        <w:ind w:left="6147" w:hanging="720"/>
      </w:pPr>
      <w:rPr>
        <w:rFonts w:hint="default"/>
      </w:rPr>
    </w:lvl>
    <w:lvl w:ilvl="7" w:tentative="0">
      <w:start w:val="0"/>
      <w:numFmt w:val="bullet"/>
      <w:lvlText w:val="•"/>
      <w:lvlJc w:val="left"/>
      <w:pPr>
        <w:ind w:left="6961" w:hanging="720"/>
      </w:pPr>
      <w:rPr>
        <w:rFonts w:hint="default"/>
      </w:rPr>
    </w:lvl>
    <w:lvl w:ilvl="8" w:tentative="0">
      <w:start w:val="0"/>
      <w:numFmt w:val="bullet"/>
      <w:lvlText w:val="•"/>
      <w:lvlJc w:val="left"/>
      <w:pPr>
        <w:ind w:left="7776" w:hanging="720"/>
      </w:pPr>
      <w:rPr>
        <w:rFonts w:hint="default"/>
      </w:rPr>
    </w:lvl>
  </w:abstractNum>
  <w:abstractNum w:abstractNumId="8">
    <w:nsid w:val="E5A56C21"/>
    <w:multiLevelType w:val="multilevel"/>
    <w:tmpl w:val="E5A56C21"/>
    <w:lvl w:ilvl="0" w:tentative="0">
      <w:start w:val="9"/>
      <w:numFmt w:val="decimal"/>
      <w:lvlText w:val="%1"/>
      <w:lvlJc w:val="left"/>
      <w:pPr>
        <w:ind w:left="1237" w:hanging="720"/>
        <w:jc w:val="left"/>
      </w:pPr>
      <w:rPr>
        <w:rFonts w:hint="default"/>
      </w:rPr>
    </w:lvl>
    <w:lvl w:ilvl="1" w:tentative="0">
      <w:start w:val="1"/>
      <w:numFmt w:val="decimal"/>
      <w:lvlText w:val="%1.%2"/>
      <w:lvlJc w:val="left"/>
      <w:pPr>
        <w:ind w:left="1237" w:hanging="720"/>
        <w:jc w:val="left"/>
      </w:pPr>
      <w:rPr>
        <w:rFonts w:hint="default"/>
      </w:rPr>
    </w:lvl>
    <w:lvl w:ilvl="2" w:tentative="0">
      <w:start w:val="7"/>
      <w:numFmt w:val="decimal"/>
      <w:lvlText w:val="%1.%2.%3"/>
      <w:lvlJc w:val="left"/>
      <w:pPr>
        <w:ind w:left="123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517" w:hanging="601"/>
        <w:jc w:val="left"/>
      </w:pPr>
      <w:rPr>
        <w:rFonts w:hint="default" w:ascii="宋体" w:hAnsi="宋体" w:eastAsia="宋体" w:cs="宋体"/>
        <w:w w:val="100"/>
        <w:sz w:val="22"/>
        <w:szCs w:val="22"/>
      </w:rPr>
    </w:lvl>
    <w:lvl w:ilvl="5" w:tentative="0">
      <w:start w:val="0"/>
      <w:numFmt w:val="bullet"/>
      <w:lvlText w:val="•"/>
      <w:lvlJc w:val="left"/>
      <w:pPr>
        <w:ind w:left="4842" w:hanging="601"/>
      </w:pPr>
      <w:rPr>
        <w:rFonts w:hint="default"/>
      </w:rPr>
    </w:lvl>
    <w:lvl w:ilvl="6" w:tentative="0">
      <w:start w:val="0"/>
      <w:numFmt w:val="bullet"/>
      <w:lvlText w:val="•"/>
      <w:lvlJc w:val="left"/>
      <w:pPr>
        <w:ind w:left="5742" w:hanging="601"/>
      </w:pPr>
      <w:rPr>
        <w:rFonts w:hint="default"/>
      </w:rPr>
    </w:lvl>
    <w:lvl w:ilvl="7" w:tentative="0">
      <w:start w:val="0"/>
      <w:numFmt w:val="bullet"/>
      <w:lvlText w:val="•"/>
      <w:lvlJc w:val="left"/>
      <w:pPr>
        <w:ind w:left="6643" w:hanging="601"/>
      </w:pPr>
      <w:rPr>
        <w:rFonts w:hint="default"/>
      </w:rPr>
    </w:lvl>
    <w:lvl w:ilvl="8" w:tentative="0">
      <w:start w:val="0"/>
      <w:numFmt w:val="bullet"/>
      <w:lvlText w:val="•"/>
      <w:lvlJc w:val="left"/>
      <w:pPr>
        <w:ind w:left="7543" w:hanging="601"/>
      </w:pPr>
      <w:rPr>
        <w:rFonts w:hint="default"/>
      </w:rPr>
    </w:lvl>
  </w:abstractNum>
  <w:abstractNum w:abstractNumId="9">
    <w:nsid w:val="EF42EF5E"/>
    <w:multiLevelType w:val="multilevel"/>
    <w:tmpl w:val="EF42EF5E"/>
    <w:lvl w:ilvl="0" w:tentative="0">
      <w:start w:val="2"/>
      <w:numFmt w:val="decimal"/>
      <w:suff w:val="space"/>
      <w:lvlText w:val="%1"/>
      <w:lvlJc w:val="left"/>
      <w:pPr>
        <w:ind w:left="0" w:leftChars="0" w:firstLine="0" w:firstLineChars="0"/>
        <w:jc w:val="left"/>
      </w:pPr>
      <w:rPr>
        <w:rFonts w:hint="default" w:ascii="Times New Roman" w:hAnsi="Times New Roman" w:eastAsia="Times New Roman" w:cs="Times New Roman"/>
        <w:b/>
        <w:bCs/>
        <w:w w:val="99"/>
        <w:sz w:val="32"/>
        <w:szCs w:val="32"/>
      </w:rPr>
    </w:lvl>
    <w:lvl w:ilvl="1" w:tentative="0">
      <w:start w:val="1"/>
      <w:numFmt w:val="decimal"/>
      <w:suff w:val="space"/>
      <w:lvlText w:val="%1.%2"/>
      <w:lvlJc w:val="left"/>
      <w:pPr>
        <w:ind w:left="0" w:leftChars="0" w:firstLine="0" w:firstLineChars="0"/>
        <w:jc w:val="left"/>
      </w:pPr>
      <w:rPr>
        <w:rFonts w:hint="default" w:ascii="Times New Roman" w:hAnsi="Times New Roman" w:eastAsia="Times New Roman" w:cs="Times New Roman"/>
        <w:b/>
        <w:bCs/>
        <w:spacing w:val="-1"/>
        <w:w w:val="100"/>
        <w:sz w:val="28"/>
        <w:szCs w:val="28"/>
      </w:rPr>
    </w:lvl>
    <w:lvl w:ilvl="2" w:tentative="0">
      <w:start w:val="1"/>
      <w:numFmt w:val="decimal"/>
      <w:suff w:val="space"/>
      <w:lvlText w:val="%1.%2.%3"/>
      <w:lvlJc w:val="left"/>
      <w:pPr>
        <w:ind w:left="0" w:leftChars="0" w:firstLine="0" w:firstLineChars="0"/>
        <w:jc w:val="left"/>
      </w:pPr>
      <w:rPr>
        <w:rFonts w:hint="default" w:ascii="Times New Roman" w:hAnsi="Times New Roman" w:eastAsia="Times New Roman" w:cs="Times New Roman"/>
        <w:b/>
        <w:bCs/>
        <w:w w:val="99"/>
        <w:sz w:val="24"/>
        <w:szCs w:val="24"/>
      </w:rPr>
    </w:lvl>
    <w:lvl w:ilvl="3" w:tentative="0">
      <w:start w:val="1"/>
      <w:numFmt w:val="decimal"/>
      <w:lvlText w:val="（%4）"/>
      <w:lvlJc w:val="left"/>
      <w:pPr>
        <w:ind w:left="1618" w:hanging="601"/>
        <w:jc w:val="left"/>
      </w:pPr>
      <w:rPr>
        <w:rFonts w:hint="default" w:ascii="宋体" w:hAnsi="宋体" w:eastAsia="宋体" w:cs="宋体"/>
        <w:w w:val="100"/>
        <w:sz w:val="22"/>
        <w:szCs w:val="22"/>
      </w:rPr>
    </w:lvl>
    <w:lvl w:ilvl="4" w:tentative="0">
      <w:start w:val="0"/>
      <w:numFmt w:val="bullet"/>
      <w:lvlText w:val="•"/>
      <w:lvlJc w:val="left"/>
      <w:pPr>
        <w:ind w:left="1080" w:hanging="601"/>
      </w:pPr>
      <w:rPr>
        <w:rFonts w:hint="default"/>
      </w:rPr>
    </w:lvl>
    <w:lvl w:ilvl="5" w:tentative="0">
      <w:start w:val="0"/>
      <w:numFmt w:val="bullet"/>
      <w:lvlText w:val="•"/>
      <w:lvlJc w:val="left"/>
      <w:pPr>
        <w:ind w:left="1120" w:hanging="601"/>
      </w:pPr>
      <w:rPr>
        <w:rFonts w:hint="default"/>
      </w:rPr>
    </w:lvl>
    <w:lvl w:ilvl="6" w:tentative="0">
      <w:start w:val="0"/>
      <w:numFmt w:val="bullet"/>
      <w:lvlText w:val="•"/>
      <w:lvlJc w:val="left"/>
      <w:pPr>
        <w:ind w:left="1220" w:hanging="601"/>
      </w:pPr>
      <w:rPr>
        <w:rFonts w:hint="default"/>
      </w:rPr>
    </w:lvl>
    <w:lvl w:ilvl="7" w:tentative="0">
      <w:start w:val="0"/>
      <w:numFmt w:val="bullet"/>
      <w:lvlText w:val="•"/>
      <w:lvlJc w:val="left"/>
      <w:pPr>
        <w:ind w:left="1620" w:hanging="601"/>
      </w:pPr>
      <w:rPr>
        <w:rFonts w:hint="default"/>
      </w:rPr>
    </w:lvl>
    <w:lvl w:ilvl="8" w:tentative="0">
      <w:start w:val="0"/>
      <w:numFmt w:val="bullet"/>
      <w:lvlText w:val="•"/>
      <w:lvlJc w:val="left"/>
      <w:pPr>
        <w:ind w:left="4195" w:hanging="601"/>
      </w:pPr>
      <w:rPr>
        <w:rFonts w:hint="default"/>
      </w:rPr>
    </w:lvl>
  </w:abstractNum>
  <w:abstractNum w:abstractNumId="10">
    <w:nsid w:val="0FAB5407"/>
    <w:multiLevelType w:val="multilevel"/>
    <w:tmpl w:val="0FAB5407"/>
    <w:lvl w:ilvl="0" w:tentative="0">
      <w:start w:val="7"/>
      <w:numFmt w:val="decimal"/>
      <w:lvlText w:val="%1"/>
      <w:lvlJc w:val="left"/>
      <w:pPr>
        <w:ind w:left="957" w:hanging="420"/>
        <w:jc w:val="left"/>
      </w:pPr>
      <w:rPr>
        <w:rFonts w:hint="default"/>
      </w:rPr>
    </w:lvl>
    <w:lvl w:ilvl="1" w:tentative="0">
      <w:start w:val="2"/>
      <w:numFmt w:val="decimal"/>
      <w:suff w:val="space"/>
      <w:lvlText w:val="%1.%2"/>
      <w:lvlJc w:val="left"/>
      <w:pPr>
        <w:ind w:left="0" w:leftChars="0" w:firstLine="0" w:firstLineChars="0"/>
        <w:jc w:val="left"/>
      </w:pPr>
      <w:rPr>
        <w:rFonts w:hint="default" w:ascii="Times New Roman" w:hAnsi="Times New Roman" w:eastAsia="Times New Roman" w:cs="Times New Roman"/>
        <w:b/>
        <w:bCs/>
        <w:spacing w:val="-1"/>
        <w:w w:val="100"/>
        <w:sz w:val="28"/>
        <w:szCs w:val="28"/>
      </w:rPr>
    </w:lvl>
    <w:lvl w:ilvl="2" w:tentative="0">
      <w:start w:val="1"/>
      <w:numFmt w:val="decimal"/>
      <w:suff w:val="space"/>
      <w:lvlText w:val="%1.%2.%3"/>
      <w:lvlJc w:val="left"/>
      <w:pPr>
        <w:ind w:left="0" w:leftChars="0" w:firstLine="0" w:firstLineChars="0"/>
        <w:jc w:val="left"/>
      </w:pPr>
      <w:rPr>
        <w:rFonts w:hint="default" w:ascii="Times New Roman" w:hAnsi="Times New Roman" w:eastAsia="Times New Roman" w:cs="Times New Roman"/>
        <w:b/>
        <w:bCs/>
        <w:w w:val="99"/>
        <w:sz w:val="24"/>
        <w:szCs w:val="24"/>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537" w:hanging="601"/>
        <w:jc w:val="left"/>
      </w:pPr>
      <w:rPr>
        <w:rFonts w:hint="default" w:ascii="宋体" w:hAnsi="宋体" w:eastAsia="宋体" w:cs="宋体"/>
        <w:w w:val="100"/>
        <w:sz w:val="22"/>
        <w:szCs w:val="22"/>
      </w:rPr>
    </w:lvl>
    <w:lvl w:ilvl="5" w:tentative="0">
      <w:start w:val="0"/>
      <w:numFmt w:val="bullet"/>
      <w:lvlText w:val="•"/>
      <w:lvlJc w:val="left"/>
      <w:pPr>
        <w:ind w:left="3587" w:hanging="601"/>
      </w:pPr>
      <w:rPr>
        <w:rFonts w:hint="default"/>
      </w:rPr>
    </w:lvl>
    <w:lvl w:ilvl="6" w:tentative="0">
      <w:start w:val="0"/>
      <w:numFmt w:val="bullet"/>
      <w:lvlText w:val="•"/>
      <w:lvlJc w:val="left"/>
      <w:pPr>
        <w:ind w:left="4750" w:hanging="601"/>
      </w:pPr>
      <w:rPr>
        <w:rFonts w:hint="default"/>
      </w:rPr>
    </w:lvl>
    <w:lvl w:ilvl="7" w:tentative="0">
      <w:start w:val="0"/>
      <w:numFmt w:val="bullet"/>
      <w:lvlText w:val="•"/>
      <w:lvlJc w:val="left"/>
      <w:pPr>
        <w:ind w:left="5914" w:hanging="601"/>
      </w:pPr>
      <w:rPr>
        <w:rFonts w:hint="default"/>
      </w:rPr>
    </w:lvl>
    <w:lvl w:ilvl="8" w:tentative="0">
      <w:start w:val="0"/>
      <w:numFmt w:val="bullet"/>
      <w:lvlText w:val="•"/>
      <w:lvlJc w:val="left"/>
      <w:pPr>
        <w:ind w:left="7077" w:hanging="601"/>
      </w:pPr>
      <w:rPr>
        <w:rFonts w:hint="default"/>
      </w:rPr>
    </w:lvl>
  </w:abstractNum>
  <w:abstractNum w:abstractNumId="11">
    <w:nsid w:val="41BADBC4"/>
    <w:multiLevelType w:val="multilevel"/>
    <w:tmpl w:val="41BADBC4"/>
    <w:lvl w:ilvl="0" w:tentative="0">
      <w:start w:val="1"/>
      <w:numFmt w:val="decimal"/>
      <w:suff w:val="nothing"/>
      <w:lvlText w:val="（%1）"/>
      <w:lvlJc w:val="left"/>
      <w:pPr>
        <w:ind w:left="0" w:leftChars="0" w:firstLine="0" w:firstLineChars="0"/>
        <w:jc w:val="left"/>
      </w:pPr>
      <w:rPr>
        <w:rFonts w:hint="default" w:ascii="宋体" w:hAnsi="宋体" w:eastAsia="宋体" w:cs="宋体"/>
        <w:spacing w:val="2"/>
        <w:w w:val="100"/>
        <w:sz w:val="24"/>
        <w:szCs w:val="24"/>
      </w:rPr>
    </w:lvl>
    <w:lvl w:ilvl="1" w:tentative="0">
      <w:start w:val="0"/>
      <w:numFmt w:val="bullet"/>
      <w:lvlText w:val="•"/>
      <w:lvlJc w:val="left"/>
      <w:pPr>
        <w:ind w:left="2398" w:hanging="608"/>
      </w:pPr>
      <w:rPr>
        <w:rFonts w:hint="default"/>
      </w:rPr>
    </w:lvl>
    <w:lvl w:ilvl="2" w:tentative="0">
      <w:start w:val="0"/>
      <w:numFmt w:val="bullet"/>
      <w:lvlText w:val="•"/>
      <w:lvlJc w:val="left"/>
      <w:pPr>
        <w:ind w:left="3177" w:hanging="608"/>
      </w:pPr>
      <w:rPr>
        <w:rFonts w:hint="default"/>
      </w:rPr>
    </w:lvl>
    <w:lvl w:ilvl="3" w:tentative="0">
      <w:start w:val="0"/>
      <w:numFmt w:val="bullet"/>
      <w:lvlText w:val="•"/>
      <w:lvlJc w:val="left"/>
      <w:pPr>
        <w:ind w:left="3955" w:hanging="608"/>
      </w:pPr>
      <w:rPr>
        <w:rFonts w:hint="default"/>
      </w:rPr>
    </w:lvl>
    <w:lvl w:ilvl="4" w:tentative="0">
      <w:start w:val="0"/>
      <w:numFmt w:val="bullet"/>
      <w:lvlText w:val="•"/>
      <w:lvlJc w:val="left"/>
      <w:pPr>
        <w:ind w:left="4734" w:hanging="608"/>
      </w:pPr>
      <w:rPr>
        <w:rFonts w:hint="default"/>
      </w:rPr>
    </w:lvl>
    <w:lvl w:ilvl="5" w:tentative="0">
      <w:start w:val="0"/>
      <w:numFmt w:val="bullet"/>
      <w:lvlText w:val="•"/>
      <w:lvlJc w:val="left"/>
      <w:pPr>
        <w:ind w:left="5512" w:hanging="608"/>
      </w:pPr>
      <w:rPr>
        <w:rFonts w:hint="default"/>
      </w:rPr>
    </w:lvl>
    <w:lvl w:ilvl="6" w:tentative="0">
      <w:start w:val="0"/>
      <w:numFmt w:val="bullet"/>
      <w:lvlText w:val="•"/>
      <w:lvlJc w:val="left"/>
      <w:pPr>
        <w:ind w:left="6291" w:hanging="608"/>
      </w:pPr>
      <w:rPr>
        <w:rFonts w:hint="default"/>
      </w:rPr>
    </w:lvl>
    <w:lvl w:ilvl="7" w:tentative="0">
      <w:start w:val="0"/>
      <w:numFmt w:val="bullet"/>
      <w:lvlText w:val="•"/>
      <w:lvlJc w:val="left"/>
      <w:pPr>
        <w:ind w:left="7069" w:hanging="608"/>
      </w:pPr>
      <w:rPr>
        <w:rFonts w:hint="default"/>
      </w:rPr>
    </w:lvl>
    <w:lvl w:ilvl="8" w:tentative="0">
      <w:start w:val="0"/>
      <w:numFmt w:val="bullet"/>
      <w:lvlText w:val="•"/>
      <w:lvlJc w:val="left"/>
      <w:pPr>
        <w:ind w:left="7848" w:hanging="608"/>
      </w:pPr>
      <w:rPr>
        <w:rFonts w:hint="default"/>
      </w:rPr>
    </w:lvl>
  </w:abstractNum>
  <w:abstractNum w:abstractNumId="12">
    <w:nsid w:val="58F77851"/>
    <w:multiLevelType w:val="multilevel"/>
    <w:tmpl w:val="58F77851"/>
    <w:lvl w:ilvl="0" w:tentative="0">
      <w:start w:val="10"/>
      <w:numFmt w:val="decimal"/>
      <w:lvlText w:val="%1"/>
      <w:lvlJc w:val="left"/>
      <w:pPr>
        <w:ind w:left="1397" w:hanging="840"/>
        <w:jc w:val="left"/>
      </w:pPr>
      <w:rPr>
        <w:rFonts w:hint="default"/>
      </w:rPr>
    </w:lvl>
    <w:lvl w:ilvl="1" w:tentative="0">
      <w:start w:val="2"/>
      <w:numFmt w:val="decimal"/>
      <w:lvlText w:val="%1.%2"/>
      <w:lvlJc w:val="left"/>
      <w:pPr>
        <w:ind w:left="1397" w:hanging="840"/>
        <w:jc w:val="left"/>
      </w:pPr>
      <w:rPr>
        <w:rFonts w:hint="default"/>
      </w:rPr>
    </w:lvl>
    <w:lvl w:ilvl="2" w:tentative="0">
      <w:start w:val="1"/>
      <w:numFmt w:val="decimal"/>
      <w:lvlText w:val="%1.%2.%3"/>
      <w:lvlJc w:val="left"/>
      <w:pPr>
        <w:ind w:left="1397" w:hanging="84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618" w:hanging="840"/>
      </w:pPr>
      <w:rPr>
        <w:rFonts w:hint="default"/>
      </w:rPr>
    </w:lvl>
    <w:lvl w:ilvl="5" w:tentative="0">
      <w:start w:val="0"/>
      <w:numFmt w:val="bullet"/>
      <w:lvlText w:val="•"/>
      <w:lvlJc w:val="left"/>
      <w:pPr>
        <w:ind w:left="5422" w:hanging="840"/>
      </w:pPr>
      <w:rPr>
        <w:rFonts w:hint="default"/>
      </w:rPr>
    </w:lvl>
    <w:lvl w:ilvl="6" w:tentative="0">
      <w:start w:val="0"/>
      <w:numFmt w:val="bullet"/>
      <w:lvlText w:val="•"/>
      <w:lvlJc w:val="left"/>
      <w:pPr>
        <w:ind w:left="6227" w:hanging="840"/>
      </w:pPr>
      <w:rPr>
        <w:rFonts w:hint="default"/>
      </w:rPr>
    </w:lvl>
    <w:lvl w:ilvl="7" w:tentative="0">
      <w:start w:val="0"/>
      <w:numFmt w:val="bullet"/>
      <w:lvlText w:val="•"/>
      <w:lvlJc w:val="left"/>
      <w:pPr>
        <w:ind w:left="7031" w:hanging="840"/>
      </w:pPr>
      <w:rPr>
        <w:rFonts w:hint="default"/>
      </w:rPr>
    </w:lvl>
    <w:lvl w:ilvl="8" w:tentative="0">
      <w:start w:val="0"/>
      <w:numFmt w:val="bullet"/>
      <w:lvlText w:val="•"/>
      <w:lvlJc w:val="left"/>
      <w:pPr>
        <w:ind w:left="7836" w:hanging="840"/>
      </w:pPr>
      <w:rPr>
        <w:rFonts w:hint="default"/>
      </w:rPr>
    </w:lvl>
  </w:abstractNum>
  <w:abstractNum w:abstractNumId="13">
    <w:nsid w:val="5926A791"/>
    <w:multiLevelType w:val="multilevel"/>
    <w:tmpl w:val="5926A791"/>
    <w:lvl w:ilvl="0" w:tentative="0">
      <w:start w:val="5"/>
      <w:numFmt w:val="decimal"/>
      <w:lvlText w:val="%1"/>
      <w:lvlJc w:val="left"/>
      <w:pPr>
        <w:ind w:left="957" w:hanging="420"/>
        <w:jc w:val="left"/>
      </w:pPr>
      <w:rPr>
        <w:rFonts w:hint="default"/>
      </w:rPr>
    </w:lvl>
    <w:lvl w:ilvl="1" w:tentative="0">
      <w:start w:val="2"/>
      <w:numFmt w:val="decimal"/>
      <w:suff w:val="space"/>
      <w:lvlText w:val="%1.%2"/>
      <w:lvlJc w:val="left"/>
      <w:pPr>
        <w:ind w:left="0" w:leftChars="0" w:firstLine="0" w:firstLineChars="0"/>
        <w:jc w:val="left"/>
      </w:pPr>
      <w:rPr>
        <w:rFonts w:hint="default" w:ascii="Times New Roman" w:hAnsi="Times New Roman" w:eastAsia="Times New Roman" w:cs="Times New Roman"/>
        <w:b/>
        <w:bCs/>
        <w:spacing w:val="-1"/>
        <w:w w:val="100"/>
        <w:sz w:val="28"/>
        <w:szCs w:val="28"/>
      </w:rPr>
    </w:lvl>
    <w:lvl w:ilvl="2" w:tentative="0">
      <w:start w:val="1"/>
      <w:numFmt w:val="decimal"/>
      <w:suff w:val="space"/>
      <w:lvlText w:val="%1.%2.%3"/>
      <w:lvlJc w:val="left"/>
      <w:pPr>
        <w:ind w:left="0" w:leftChars="0" w:firstLine="0" w:firstLineChars="0"/>
        <w:jc w:val="left"/>
      </w:pPr>
      <w:rPr>
        <w:rFonts w:hint="default" w:ascii="Times New Roman" w:hAnsi="Times New Roman" w:eastAsia="Times New Roman" w:cs="Times New Roman"/>
        <w:b/>
        <w:bCs/>
        <w:w w:val="99"/>
        <w:sz w:val="24"/>
        <w:szCs w:val="24"/>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1618" w:hanging="601"/>
        <w:jc w:val="left"/>
      </w:pPr>
      <w:rPr>
        <w:rFonts w:hint="default" w:ascii="宋体" w:hAnsi="宋体" w:eastAsia="宋体" w:cs="宋体"/>
        <w:spacing w:val="-2"/>
        <w:w w:val="100"/>
        <w:position w:val="2"/>
        <w:sz w:val="22"/>
        <w:szCs w:val="22"/>
      </w:rPr>
    </w:lvl>
    <w:lvl w:ilvl="5" w:tentative="0">
      <w:start w:val="0"/>
      <w:numFmt w:val="bullet"/>
      <w:lvlText w:val="•"/>
      <w:lvlJc w:val="left"/>
      <w:pPr>
        <w:ind w:left="1620" w:hanging="601"/>
      </w:pPr>
      <w:rPr>
        <w:rFonts w:hint="default"/>
      </w:rPr>
    </w:lvl>
    <w:lvl w:ilvl="6" w:tentative="0">
      <w:start w:val="0"/>
      <w:numFmt w:val="bullet"/>
      <w:lvlText w:val="•"/>
      <w:lvlJc w:val="left"/>
      <w:pPr>
        <w:ind w:left="3177" w:hanging="601"/>
      </w:pPr>
      <w:rPr>
        <w:rFonts w:hint="default"/>
      </w:rPr>
    </w:lvl>
    <w:lvl w:ilvl="7" w:tentative="0">
      <w:start w:val="0"/>
      <w:numFmt w:val="bullet"/>
      <w:lvlText w:val="•"/>
      <w:lvlJc w:val="left"/>
      <w:pPr>
        <w:ind w:left="4734" w:hanging="601"/>
      </w:pPr>
      <w:rPr>
        <w:rFonts w:hint="default"/>
      </w:rPr>
    </w:lvl>
    <w:lvl w:ilvl="8" w:tentative="0">
      <w:start w:val="0"/>
      <w:numFmt w:val="bullet"/>
      <w:lvlText w:val="•"/>
      <w:lvlJc w:val="left"/>
      <w:pPr>
        <w:ind w:left="6291" w:hanging="601"/>
      </w:pPr>
      <w:rPr>
        <w:rFonts w:hint="default"/>
      </w:rPr>
    </w:lvl>
  </w:abstractNum>
  <w:abstractNum w:abstractNumId="14">
    <w:nsid w:val="627F407A"/>
    <w:multiLevelType w:val="multilevel"/>
    <w:tmpl w:val="627F407A"/>
    <w:lvl w:ilvl="0" w:tentative="0">
      <w:start w:val="9"/>
      <w:numFmt w:val="decimal"/>
      <w:lvlText w:val="%1"/>
      <w:lvlJc w:val="left"/>
      <w:pPr>
        <w:ind w:left="1237" w:hanging="720"/>
        <w:jc w:val="left"/>
      </w:pPr>
      <w:rPr>
        <w:rFonts w:hint="default"/>
      </w:rPr>
    </w:lvl>
    <w:lvl w:ilvl="1" w:tentative="0">
      <w:start w:val="2"/>
      <w:numFmt w:val="decimal"/>
      <w:lvlText w:val="%1.%2"/>
      <w:lvlJc w:val="left"/>
      <w:pPr>
        <w:ind w:left="1237" w:hanging="720"/>
        <w:jc w:val="left"/>
      </w:pPr>
      <w:rPr>
        <w:rFonts w:hint="default"/>
      </w:rPr>
    </w:lvl>
    <w:lvl w:ilvl="2" w:tentative="0">
      <w:start w:val="1"/>
      <w:numFmt w:val="decimal"/>
      <w:lvlText w:val="%1.%2.%3"/>
      <w:lvlJc w:val="left"/>
      <w:pPr>
        <w:ind w:left="123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1598" w:hanging="601"/>
        <w:jc w:val="left"/>
      </w:pPr>
      <w:rPr>
        <w:rFonts w:hint="default" w:ascii="宋体" w:hAnsi="宋体" w:eastAsia="宋体" w:cs="宋体"/>
        <w:w w:val="100"/>
        <w:sz w:val="22"/>
        <w:szCs w:val="22"/>
      </w:rPr>
    </w:lvl>
    <w:lvl w:ilvl="5" w:tentative="0">
      <w:start w:val="0"/>
      <w:numFmt w:val="bullet"/>
      <w:lvlText w:val="•"/>
      <w:lvlJc w:val="left"/>
      <w:pPr>
        <w:ind w:left="5042" w:hanging="601"/>
      </w:pPr>
      <w:rPr>
        <w:rFonts w:hint="default"/>
      </w:rPr>
    </w:lvl>
    <w:lvl w:ilvl="6" w:tentative="0">
      <w:start w:val="0"/>
      <w:numFmt w:val="bullet"/>
      <w:lvlText w:val="•"/>
      <w:lvlJc w:val="left"/>
      <w:pPr>
        <w:ind w:left="5902" w:hanging="601"/>
      </w:pPr>
      <w:rPr>
        <w:rFonts w:hint="default"/>
      </w:rPr>
    </w:lvl>
    <w:lvl w:ilvl="7" w:tentative="0">
      <w:start w:val="0"/>
      <w:numFmt w:val="bullet"/>
      <w:lvlText w:val="•"/>
      <w:lvlJc w:val="left"/>
      <w:pPr>
        <w:ind w:left="6763" w:hanging="601"/>
      </w:pPr>
      <w:rPr>
        <w:rFonts w:hint="default"/>
      </w:rPr>
    </w:lvl>
    <w:lvl w:ilvl="8" w:tentative="0">
      <w:start w:val="0"/>
      <w:numFmt w:val="bullet"/>
      <w:lvlText w:val="•"/>
      <w:lvlJc w:val="left"/>
      <w:pPr>
        <w:ind w:left="7623" w:hanging="601"/>
      </w:pPr>
      <w:rPr>
        <w:rFonts w:hint="default"/>
      </w:rPr>
    </w:lvl>
  </w:abstractNum>
  <w:abstractNum w:abstractNumId="15">
    <w:nsid w:val="64B8214C"/>
    <w:multiLevelType w:val="multilevel"/>
    <w:tmpl w:val="64B8214C"/>
    <w:lvl w:ilvl="0" w:tentative="0">
      <w:start w:val="9"/>
      <w:numFmt w:val="decimal"/>
      <w:lvlText w:val="%1"/>
      <w:lvlJc w:val="left"/>
      <w:pPr>
        <w:ind w:left="1237" w:hanging="720"/>
        <w:jc w:val="left"/>
      </w:pPr>
      <w:rPr>
        <w:rFonts w:hint="default"/>
      </w:rPr>
    </w:lvl>
    <w:lvl w:ilvl="1" w:tentative="0">
      <w:start w:val="2"/>
      <w:numFmt w:val="decimal"/>
      <w:lvlText w:val="%1.%2"/>
      <w:lvlJc w:val="left"/>
      <w:pPr>
        <w:ind w:left="1237" w:hanging="720"/>
        <w:jc w:val="left"/>
      </w:pPr>
      <w:rPr>
        <w:rFonts w:hint="default"/>
      </w:rPr>
    </w:lvl>
    <w:lvl w:ilvl="2" w:tentative="0">
      <w:start w:val="2"/>
      <w:numFmt w:val="decimal"/>
      <w:lvlText w:val="%1.%2.%3"/>
      <w:lvlJc w:val="left"/>
      <w:pPr>
        <w:ind w:left="123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482" w:hanging="720"/>
      </w:pPr>
      <w:rPr>
        <w:rFonts w:hint="default"/>
      </w:rPr>
    </w:lvl>
    <w:lvl w:ilvl="5" w:tentative="0">
      <w:start w:val="0"/>
      <w:numFmt w:val="bullet"/>
      <w:lvlText w:val="•"/>
      <w:lvlJc w:val="left"/>
      <w:pPr>
        <w:ind w:left="5292" w:hanging="720"/>
      </w:pPr>
      <w:rPr>
        <w:rFonts w:hint="default"/>
      </w:rPr>
    </w:lvl>
    <w:lvl w:ilvl="6" w:tentative="0">
      <w:start w:val="0"/>
      <w:numFmt w:val="bullet"/>
      <w:lvlText w:val="•"/>
      <w:lvlJc w:val="left"/>
      <w:pPr>
        <w:ind w:left="6103" w:hanging="720"/>
      </w:pPr>
      <w:rPr>
        <w:rFonts w:hint="default"/>
      </w:rPr>
    </w:lvl>
    <w:lvl w:ilvl="7" w:tentative="0">
      <w:start w:val="0"/>
      <w:numFmt w:val="bullet"/>
      <w:lvlText w:val="•"/>
      <w:lvlJc w:val="left"/>
      <w:pPr>
        <w:ind w:left="6913" w:hanging="720"/>
      </w:pPr>
      <w:rPr>
        <w:rFonts w:hint="default"/>
      </w:rPr>
    </w:lvl>
    <w:lvl w:ilvl="8" w:tentative="0">
      <w:start w:val="0"/>
      <w:numFmt w:val="bullet"/>
      <w:lvlText w:val="•"/>
      <w:lvlJc w:val="left"/>
      <w:pPr>
        <w:ind w:left="7724" w:hanging="720"/>
      </w:pPr>
      <w:rPr>
        <w:rFonts w:hint="default"/>
      </w:rPr>
    </w:lvl>
  </w:abstractNum>
  <w:abstractNum w:abstractNumId="16">
    <w:nsid w:val="6F2DA52A"/>
    <w:multiLevelType w:val="multilevel"/>
    <w:tmpl w:val="6F2DA52A"/>
    <w:lvl w:ilvl="0" w:tentative="0">
      <w:start w:val="6"/>
      <w:numFmt w:val="decimal"/>
      <w:lvlText w:val="%1"/>
      <w:lvlJc w:val="left"/>
      <w:pPr>
        <w:ind w:left="957" w:hanging="420"/>
        <w:jc w:val="left"/>
      </w:pPr>
      <w:rPr>
        <w:rFonts w:hint="default"/>
      </w:rPr>
    </w:lvl>
    <w:lvl w:ilvl="1" w:tentative="0">
      <w:start w:val="2"/>
      <w:numFmt w:val="decimal"/>
      <w:suff w:val="space"/>
      <w:lvlText w:val="%1.%2"/>
      <w:lvlJc w:val="left"/>
      <w:pPr>
        <w:ind w:left="0" w:leftChars="0" w:firstLine="0" w:firstLineChars="0"/>
        <w:jc w:val="left"/>
      </w:pPr>
      <w:rPr>
        <w:rFonts w:hint="default" w:ascii="Times New Roman" w:hAnsi="Times New Roman" w:eastAsia="Times New Roman" w:cs="Times New Roman"/>
        <w:b/>
        <w:bCs/>
        <w:spacing w:val="-1"/>
        <w:w w:val="100"/>
        <w:sz w:val="28"/>
        <w:szCs w:val="28"/>
      </w:rPr>
    </w:lvl>
    <w:lvl w:ilvl="2" w:tentative="0">
      <w:start w:val="1"/>
      <w:numFmt w:val="decimal"/>
      <w:suff w:val="space"/>
      <w:lvlText w:val="%1.%2.%3"/>
      <w:lvlJc w:val="left"/>
      <w:pPr>
        <w:ind w:left="0" w:leftChars="0" w:firstLine="0" w:firstLineChars="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2930" w:hanging="540"/>
      </w:pPr>
      <w:rPr>
        <w:rFonts w:hint="default"/>
      </w:rPr>
    </w:lvl>
    <w:lvl w:ilvl="4" w:tentative="0">
      <w:start w:val="0"/>
      <w:numFmt w:val="bullet"/>
      <w:lvlText w:val="•"/>
      <w:lvlJc w:val="left"/>
      <w:pPr>
        <w:ind w:left="3855" w:hanging="540"/>
      </w:pPr>
      <w:rPr>
        <w:rFonts w:hint="default"/>
      </w:rPr>
    </w:lvl>
    <w:lvl w:ilvl="5" w:tentative="0">
      <w:start w:val="0"/>
      <w:numFmt w:val="bullet"/>
      <w:lvlText w:val="•"/>
      <w:lvlJc w:val="left"/>
      <w:pPr>
        <w:ind w:left="4780" w:hanging="540"/>
      </w:pPr>
      <w:rPr>
        <w:rFonts w:hint="default"/>
      </w:rPr>
    </w:lvl>
    <w:lvl w:ilvl="6" w:tentative="0">
      <w:start w:val="0"/>
      <w:numFmt w:val="bullet"/>
      <w:lvlText w:val="•"/>
      <w:lvlJc w:val="left"/>
      <w:pPr>
        <w:ind w:left="5705" w:hanging="540"/>
      </w:pPr>
      <w:rPr>
        <w:rFonts w:hint="default"/>
      </w:rPr>
    </w:lvl>
    <w:lvl w:ilvl="7" w:tentative="0">
      <w:start w:val="0"/>
      <w:numFmt w:val="bullet"/>
      <w:lvlText w:val="•"/>
      <w:lvlJc w:val="left"/>
      <w:pPr>
        <w:ind w:left="6630" w:hanging="540"/>
      </w:pPr>
      <w:rPr>
        <w:rFonts w:hint="default"/>
      </w:rPr>
    </w:lvl>
    <w:lvl w:ilvl="8" w:tentative="0">
      <w:start w:val="0"/>
      <w:numFmt w:val="bullet"/>
      <w:lvlText w:val="•"/>
      <w:lvlJc w:val="left"/>
      <w:pPr>
        <w:ind w:left="7555" w:hanging="540"/>
      </w:pPr>
      <w:rPr>
        <w:rFonts w:hint="default"/>
      </w:rPr>
    </w:lvl>
  </w:abstractNum>
  <w:abstractNum w:abstractNumId="17">
    <w:nsid w:val="754511D6"/>
    <w:multiLevelType w:val="multilevel"/>
    <w:tmpl w:val="754511D6"/>
    <w:lvl w:ilvl="0" w:tentative="0">
      <w:start w:val="5"/>
      <w:numFmt w:val="decimal"/>
      <w:lvlText w:val="%1"/>
      <w:lvlJc w:val="left"/>
      <w:pPr>
        <w:ind w:left="1257" w:hanging="720"/>
        <w:jc w:val="left"/>
      </w:pPr>
      <w:rPr>
        <w:rFonts w:hint="default"/>
      </w:rPr>
    </w:lvl>
    <w:lvl w:ilvl="1" w:tentative="0">
      <w:start w:val="1"/>
      <w:numFmt w:val="decimal"/>
      <w:lvlText w:val="%1.%2"/>
      <w:lvlJc w:val="left"/>
      <w:pPr>
        <w:ind w:left="1257" w:hanging="720"/>
        <w:jc w:val="left"/>
      </w:pPr>
      <w:rPr>
        <w:rFonts w:hint="default"/>
      </w:rPr>
    </w:lvl>
    <w:lvl w:ilvl="2" w:tentative="0">
      <w:start w:val="1"/>
      <w:numFmt w:val="decimal"/>
      <w:lvlText w:val="%1.%2.%3"/>
      <w:lvlJc w:val="left"/>
      <w:pPr>
        <w:ind w:left="125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1"/>
      <w:numFmt w:val="decimal"/>
      <w:lvlText w:val="（%5）"/>
      <w:lvlJc w:val="left"/>
      <w:pPr>
        <w:ind w:left="1618" w:hanging="601"/>
        <w:jc w:val="left"/>
      </w:pPr>
      <w:rPr>
        <w:rFonts w:hint="default" w:ascii="宋体" w:hAnsi="宋体" w:eastAsia="宋体" w:cs="宋体"/>
        <w:w w:val="100"/>
        <w:sz w:val="22"/>
        <w:szCs w:val="22"/>
      </w:rPr>
    </w:lvl>
    <w:lvl w:ilvl="5" w:tentative="0">
      <w:start w:val="0"/>
      <w:numFmt w:val="bullet"/>
      <w:lvlText w:val="•"/>
      <w:lvlJc w:val="left"/>
      <w:pPr>
        <w:ind w:left="5080" w:hanging="601"/>
      </w:pPr>
      <w:rPr>
        <w:rFonts w:hint="default"/>
      </w:rPr>
    </w:lvl>
    <w:lvl w:ilvl="6" w:tentative="0">
      <w:start w:val="0"/>
      <w:numFmt w:val="bullet"/>
      <w:lvlText w:val="•"/>
      <w:lvlJc w:val="left"/>
      <w:pPr>
        <w:ind w:left="5945" w:hanging="601"/>
      </w:pPr>
      <w:rPr>
        <w:rFonts w:hint="default"/>
      </w:rPr>
    </w:lvl>
    <w:lvl w:ilvl="7" w:tentative="0">
      <w:start w:val="0"/>
      <w:numFmt w:val="bullet"/>
      <w:lvlText w:val="•"/>
      <w:lvlJc w:val="left"/>
      <w:pPr>
        <w:ind w:left="6810" w:hanging="601"/>
      </w:pPr>
      <w:rPr>
        <w:rFonts w:hint="default"/>
      </w:rPr>
    </w:lvl>
    <w:lvl w:ilvl="8" w:tentative="0">
      <w:start w:val="0"/>
      <w:numFmt w:val="bullet"/>
      <w:lvlText w:val="•"/>
      <w:lvlJc w:val="left"/>
      <w:pPr>
        <w:ind w:left="7675" w:hanging="601"/>
      </w:pPr>
      <w:rPr>
        <w:rFonts w:hint="default"/>
      </w:rPr>
    </w:lvl>
  </w:abstractNum>
  <w:abstractNum w:abstractNumId="18">
    <w:nsid w:val="76958E74"/>
    <w:multiLevelType w:val="multilevel"/>
    <w:tmpl w:val="76958E74"/>
    <w:lvl w:ilvl="0" w:tentative="0">
      <w:start w:val="4"/>
      <w:numFmt w:val="decimal"/>
      <w:lvlText w:val="%1"/>
      <w:lvlJc w:val="left"/>
      <w:pPr>
        <w:ind w:left="1257" w:hanging="720"/>
        <w:jc w:val="left"/>
      </w:pPr>
      <w:rPr>
        <w:rFonts w:hint="default"/>
      </w:rPr>
    </w:lvl>
    <w:lvl w:ilvl="1" w:tentative="0">
      <w:start w:val="1"/>
      <w:numFmt w:val="decimal"/>
      <w:lvlText w:val="%1.%2"/>
      <w:lvlJc w:val="left"/>
      <w:pPr>
        <w:ind w:left="1257" w:hanging="720"/>
        <w:jc w:val="left"/>
      </w:pPr>
      <w:rPr>
        <w:rFonts w:hint="default"/>
      </w:rPr>
    </w:lvl>
    <w:lvl w:ilvl="2" w:tentative="0">
      <w:start w:val="1"/>
      <w:numFmt w:val="decimal"/>
      <w:lvlText w:val="%1.%2.%3"/>
      <w:lvlJc w:val="left"/>
      <w:pPr>
        <w:ind w:left="1257" w:hanging="720"/>
        <w:jc w:val="left"/>
      </w:pPr>
      <w:rPr>
        <w:rFonts w:hint="default"/>
      </w:rPr>
    </w:lvl>
    <w:lvl w:ilvl="3" w:tentative="0">
      <w:start w:val="1"/>
      <w:numFmt w:val="decimal"/>
      <w:suff w:val="space"/>
      <w:lvlText w:val="%1.%2.%3.%4"/>
      <w:lvlJc w:val="left"/>
      <w:pPr>
        <w:ind w:left="0" w:leftChars="0" w:firstLine="0" w:firstLineChars="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518" w:hanging="720"/>
      </w:pPr>
      <w:rPr>
        <w:rFonts w:hint="default"/>
      </w:rPr>
    </w:lvl>
    <w:lvl w:ilvl="5" w:tentative="0">
      <w:start w:val="0"/>
      <w:numFmt w:val="bullet"/>
      <w:lvlText w:val="•"/>
      <w:lvlJc w:val="left"/>
      <w:pPr>
        <w:ind w:left="5332" w:hanging="720"/>
      </w:pPr>
      <w:rPr>
        <w:rFonts w:hint="default"/>
      </w:rPr>
    </w:lvl>
    <w:lvl w:ilvl="6" w:tentative="0">
      <w:start w:val="0"/>
      <w:numFmt w:val="bullet"/>
      <w:lvlText w:val="•"/>
      <w:lvlJc w:val="left"/>
      <w:pPr>
        <w:ind w:left="6147" w:hanging="720"/>
      </w:pPr>
      <w:rPr>
        <w:rFonts w:hint="default"/>
      </w:rPr>
    </w:lvl>
    <w:lvl w:ilvl="7" w:tentative="0">
      <w:start w:val="0"/>
      <w:numFmt w:val="bullet"/>
      <w:lvlText w:val="•"/>
      <w:lvlJc w:val="left"/>
      <w:pPr>
        <w:ind w:left="6961" w:hanging="720"/>
      </w:pPr>
      <w:rPr>
        <w:rFonts w:hint="default"/>
      </w:rPr>
    </w:lvl>
    <w:lvl w:ilvl="8" w:tentative="0">
      <w:start w:val="0"/>
      <w:numFmt w:val="bullet"/>
      <w:lvlText w:val="•"/>
      <w:lvlJc w:val="left"/>
      <w:pPr>
        <w:ind w:left="7776" w:hanging="720"/>
      </w:pPr>
      <w:rPr>
        <w:rFonts w:hint="default"/>
      </w:rPr>
    </w:lvl>
  </w:abstractNum>
  <w:num w:numId="1">
    <w:abstractNumId w:val="4"/>
  </w:num>
  <w:num w:numId="2">
    <w:abstractNumId w:val="11"/>
  </w:num>
  <w:num w:numId="3">
    <w:abstractNumId w:val="5"/>
  </w:num>
  <w:num w:numId="4">
    <w:abstractNumId w:val="7"/>
  </w:num>
  <w:num w:numId="5">
    <w:abstractNumId w:val="9"/>
  </w:num>
  <w:num w:numId="6">
    <w:abstractNumId w:val="3"/>
  </w:num>
  <w:num w:numId="7">
    <w:abstractNumId w:val="2"/>
  </w:num>
  <w:num w:numId="8">
    <w:abstractNumId w:val="18"/>
  </w:num>
  <w:num w:numId="9">
    <w:abstractNumId w:val="17"/>
  </w:num>
  <w:num w:numId="10">
    <w:abstractNumId w:val="13"/>
  </w:num>
  <w:num w:numId="11">
    <w:abstractNumId w:val="0"/>
  </w:num>
  <w:num w:numId="12">
    <w:abstractNumId w:val="6"/>
  </w:num>
  <w:num w:numId="13">
    <w:abstractNumId w:val="16"/>
  </w:num>
  <w:num w:numId="14">
    <w:abstractNumId w:val="10"/>
  </w:num>
  <w:num w:numId="15">
    <w:abstractNumId w:val="8"/>
  </w:num>
  <w:num w:numId="16">
    <w:abstractNumId w:val="14"/>
  </w:num>
  <w:num w:numId="17">
    <w:abstractNumId w:val="15"/>
  </w:num>
  <w:num w:numId="18">
    <w:abstractNumId w:val="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2YjBiZjhhOTkwMGQwNWQ3ZDg2N2E0NTlhNDY4ZTMifQ=="/>
  </w:docVars>
  <w:rsids>
    <w:rsidRoot w:val="00000000"/>
    <w:rsid w:val="00F04DE2"/>
    <w:rsid w:val="00F620E2"/>
    <w:rsid w:val="016C2D4F"/>
    <w:rsid w:val="01767D68"/>
    <w:rsid w:val="017F478B"/>
    <w:rsid w:val="01B1038A"/>
    <w:rsid w:val="01D5675C"/>
    <w:rsid w:val="01DF598E"/>
    <w:rsid w:val="02510E02"/>
    <w:rsid w:val="02FA4A6D"/>
    <w:rsid w:val="0366286F"/>
    <w:rsid w:val="04E241C4"/>
    <w:rsid w:val="051554AC"/>
    <w:rsid w:val="051C5AEF"/>
    <w:rsid w:val="052F5876"/>
    <w:rsid w:val="058A54CA"/>
    <w:rsid w:val="058D4AA5"/>
    <w:rsid w:val="06494858"/>
    <w:rsid w:val="06AE683C"/>
    <w:rsid w:val="071F2B04"/>
    <w:rsid w:val="0730481F"/>
    <w:rsid w:val="07550729"/>
    <w:rsid w:val="075838FA"/>
    <w:rsid w:val="07C35693"/>
    <w:rsid w:val="08107B22"/>
    <w:rsid w:val="08535CDD"/>
    <w:rsid w:val="0879136E"/>
    <w:rsid w:val="087C3AC8"/>
    <w:rsid w:val="09BF122B"/>
    <w:rsid w:val="0AEE6B75"/>
    <w:rsid w:val="0B132FB7"/>
    <w:rsid w:val="0B536D2E"/>
    <w:rsid w:val="0B9E269F"/>
    <w:rsid w:val="0BFB2C53"/>
    <w:rsid w:val="0CC40F66"/>
    <w:rsid w:val="0D237C74"/>
    <w:rsid w:val="0FB31FBB"/>
    <w:rsid w:val="10132668"/>
    <w:rsid w:val="104108E8"/>
    <w:rsid w:val="115243C5"/>
    <w:rsid w:val="12364BCE"/>
    <w:rsid w:val="12C549B5"/>
    <w:rsid w:val="14163232"/>
    <w:rsid w:val="1490098E"/>
    <w:rsid w:val="15370588"/>
    <w:rsid w:val="157A56A0"/>
    <w:rsid w:val="179C684D"/>
    <w:rsid w:val="183B65C6"/>
    <w:rsid w:val="184400AB"/>
    <w:rsid w:val="187118C1"/>
    <w:rsid w:val="189D173D"/>
    <w:rsid w:val="18AC23B2"/>
    <w:rsid w:val="18BF025D"/>
    <w:rsid w:val="19DC39BF"/>
    <w:rsid w:val="1B6603B7"/>
    <w:rsid w:val="1B711819"/>
    <w:rsid w:val="1C5A5BEA"/>
    <w:rsid w:val="1CE066BD"/>
    <w:rsid w:val="1D030621"/>
    <w:rsid w:val="1E1C7453"/>
    <w:rsid w:val="1E2A0473"/>
    <w:rsid w:val="1E9F6FA0"/>
    <w:rsid w:val="1EF03386"/>
    <w:rsid w:val="202F74D3"/>
    <w:rsid w:val="21832724"/>
    <w:rsid w:val="21920345"/>
    <w:rsid w:val="21CB3390"/>
    <w:rsid w:val="2219440B"/>
    <w:rsid w:val="22566A24"/>
    <w:rsid w:val="22BB6D79"/>
    <w:rsid w:val="22BD0D95"/>
    <w:rsid w:val="23327085"/>
    <w:rsid w:val="24037766"/>
    <w:rsid w:val="24414822"/>
    <w:rsid w:val="24464BB8"/>
    <w:rsid w:val="244A6F85"/>
    <w:rsid w:val="24A95308"/>
    <w:rsid w:val="25493054"/>
    <w:rsid w:val="25627E42"/>
    <w:rsid w:val="259B1656"/>
    <w:rsid w:val="264D1766"/>
    <w:rsid w:val="26671EC7"/>
    <w:rsid w:val="26DD5257"/>
    <w:rsid w:val="273F118F"/>
    <w:rsid w:val="285679E7"/>
    <w:rsid w:val="289767F2"/>
    <w:rsid w:val="290D40D1"/>
    <w:rsid w:val="29622B06"/>
    <w:rsid w:val="2A3034C7"/>
    <w:rsid w:val="2A35148E"/>
    <w:rsid w:val="2A9713C0"/>
    <w:rsid w:val="2BF65F7F"/>
    <w:rsid w:val="2DA31D38"/>
    <w:rsid w:val="2E3507E9"/>
    <w:rsid w:val="2F5379A9"/>
    <w:rsid w:val="2FE974E0"/>
    <w:rsid w:val="30586477"/>
    <w:rsid w:val="30E22CDA"/>
    <w:rsid w:val="31712BF4"/>
    <w:rsid w:val="31A86D6E"/>
    <w:rsid w:val="31F641E6"/>
    <w:rsid w:val="32490CAE"/>
    <w:rsid w:val="327B35F5"/>
    <w:rsid w:val="32E74E37"/>
    <w:rsid w:val="332B22D6"/>
    <w:rsid w:val="334353D9"/>
    <w:rsid w:val="34442BC7"/>
    <w:rsid w:val="34D927A8"/>
    <w:rsid w:val="34FB7939"/>
    <w:rsid w:val="36CA4712"/>
    <w:rsid w:val="36D44917"/>
    <w:rsid w:val="36FA6970"/>
    <w:rsid w:val="37540984"/>
    <w:rsid w:val="382F2E63"/>
    <w:rsid w:val="38A135CA"/>
    <w:rsid w:val="39FE0E2E"/>
    <w:rsid w:val="3A487B92"/>
    <w:rsid w:val="3A763032"/>
    <w:rsid w:val="3AE0388B"/>
    <w:rsid w:val="3BC640CA"/>
    <w:rsid w:val="3C482939"/>
    <w:rsid w:val="3C9478BC"/>
    <w:rsid w:val="3CA17F1B"/>
    <w:rsid w:val="3CC07663"/>
    <w:rsid w:val="3D97204F"/>
    <w:rsid w:val="3DDE2F12"/>
    <w:rsid w:val="3E0D21B1"/>
    <w:rsid w:val="3ED43706"/>
    <w:rsid w:val="3EED2ADA"/>
    <w:rsid w:val="3EF73899"/>
    <w:rsid w:val="3F4B275D"/>
    <w:rsid w:val="3F60143E"/>
    <w:rsid w:val="3F941ADA"/>
    <w:rsid w:val="3FBD419A"/>
    <w:rsid w:val="3FEF20DF"/>
    <w:rsid w:val="408A2D8F"/>
    <w:rsid w:val="40CB387D"/>
    <w:rsid w:val="410709F2"/>
    <w:rsid w:val="41B578F4"/>
    <w:rsid w:val="421B04D6"/>
    <w:rsid w:val="46472A10"/>
    <w:rsid w:val="465810C1"/>
    <w:rsid w:val="46CE7B4A"/>
    <w:rsid w:val="48416B4F"/>
    <w:rsid w:val="496A6A97"/>
    <w:rsid w:val="49E25898"/>
    <w:rsid w:val="4A04505A"/>
    <w:rsid w:val="4A3C7A6F"/>
    <w:rsid w:val="4A4D3960"/>
    <w:rsid w:val="4AC53012"/>
    <w:rsid w:val="4AF05B54"/>
    <w:rsid w:val="4B33705B"/>
    <w:rsid w:val="4B40188C"/>
    <w:rsid w:val="4C596ADA"/>
    <w:rsid w:val="4C7E0B5D"/>
    <w:rsid w:val="4C8659B2"/>
    <w:rsid w:val="4CB6269D"/>
    <w:rsid w:val="4CFC61BA"/>
    <w:rsid w:val="4D7E67B7"/>
    <w:rsid w:val="4E4F48B4"/>
    <w:rsid w:val="4E6525CD"/>
    <w:rsid w:val="4F8F7FCE"/>
    <w:rsid w:val="500F19A4"/>
    <w:rsid w:val="50EE4A51"/>
    <w:rsid w:val="519E71ED"/>
    <w:rsid w:val="522F38A0"/>
    <w:rsid w:val="52474F17"/>
    <w:rsid w:val="527502DB"/>
    <w:rsid w:val="52795345"/>
    <w:rsid w:val="53B310CC"/>
    <w:rsid w:val="54606147"/>
    <w:rsid w:val="54AC3D80"/>
    <w:rsid w:val="54C72DC0"/>
    <w:rsid w:val="54CD67FD"/>
    <w:rsid w:val="555D4D89"/>
    <w:rsid w:val="558C043F"/>
    <w:rsid w:val="55B51A01"/>
    <w:rsid w:val="562359F4"/>
    <w:rsid w:val="56353741"/>
    <w:rsid w:val="567535C9"/>
    <w:rsid w:val="56C61E97"/>
    <w:rsid w:val="57166E1F"/>
    <w:rsid w:val="573D75FC"/>
    <w:rsid w:val="5748116E"/>
    <w:rsid w:val="5795338B"/>
    <w:rsid w:val="57A92A8B"/>
    <w:rsid w:val="57EE2A0C"/>
    <w:rsid w:val="59A53174"/>
    <w:rsid w:val="5A6F6D1D"/>
    <w:rsid w:val="5A8738CB"/>
    <w:rsid w:val="5ACA41B3"/>
    <w:rsid w:val="5CD32DF8"/>
    <w:rsid w:val="5D8B1499"/>
    <w:rsid w:val="5DC145E1"/>
    <w:rsid w:val="5DCD5662"/>
    <w:rsid w:val="5DF80505"/>
    <w:rsid w:val="5FE423A2"/>
    <w:rsid w:val="60A204FC"/>
    <w:rsid w:val="60D4426C"/>
    <w:rsid w:val="6129729C"/>
    <w:rsid w:val="613604C0"/>
    <w:rsid w:val="6139168D"/>
    <w:rsid w:val="61985E76"/>
    <w:rsid w:val="61AF3013"/>
    <w:rsid w:val="622B5839"/>
    <w:rsid w:val="626C10AF"/>
    <w:rsid w:val="62FF66F4"/>
    <w:rsid w:val="630951DF"/>
    <w:rsid w:val="63573F06"/>
    <w:rsid w:val="63A945F3"/>
    <w:rsid w:val="63AB3BD3"/>
    <w:rsid w:val="63EE1587"/>
    <w:rsid w:val="6401024A"/>
    <w:rsid w:val="64032DE5"/>
    <w:rsid w:val="64846130"/>
    <w:rsid w:val="667C3755"/>
    <w:rsid w:val="66CC65D5"/>
    <w:rsid w:val="66FC247C"/>
    <w:rsid w:val="678E0888"/>
    <w:rsid w:val="67A26B47"/>
    <w:rsid w:val="67FF0F45"/>
    <w:rsid w:val="689069B9"/>
    <w:rsid w:val="689428D2"/>
    <w:rsid w:val="699F6438"/>
    <w:rsid w:val="69C26FC0"/>
    <w:rsid w:val="6A0E4BC2"/>
    <w:rsid w:val="6A990A96"/>
    <w:rsid w:val="6B40233E"/>
    <w:rsid w:val="6BB12A20"/>
    <w:rsid w:val="6C5A7A8C"/>
    <w:rsid w:val="6D663D7A"/>
    <w:rsid w:val="6DDA2C45"/>
    <w:rsid w:val="6DDE0341"/>
    <w:rsid w:val="6E0B130D"/>
    <w:rsid w:val="6E6F3730"/>
    <w:rsid w:val="6E747390"/>
    <w:rsid w:val="6EBB3054"/>
    <w:rsid w:val="6EBC265B"/>
    <w:rsid w:val="6F6A6667"/>
    <w:rsid w:val="708A3C0F"/>
    <w:rsid w:val="70DD3DED"/>
    <w:rsid w:val="70E976A3"/>
    <w:rsid w:val="71312C91"/>
    <w:rsid w:val="71E3783C"/>
    <w:rsid w:val="734700A5"/>
    <w:rsid w:val="73C26D54"/>
    <w:rsid w:val="741A583C"/>
    <w:rsid w:val="742B300F"/>
    <w:rsid w:val="748E1E73"/>
    <w:rsid w:val="75367B70"/>
    <w:rsid w:val="75822CF1"/>
    <w:rsid w:val="75C724E8"/>
    <w:rsid w:val="75D03567"/>
    <w:rsid w:val="75E561EF"/>
    <w:rsid w:val="760A0EAA"/>
    <w:rsid w:val="77345E51"/>
    <w:rsid w:val="789B1568"/>
    <w:rsid w:val="78ED3D31"/>
    <w:rsid w:val="79A4194C"/>
    <w:rsid w:val="7A3C2665"/>
    <w:rsid w:val="7B191EC6"/>
    <w:rsid w:val="7B8912FA"/>
    <w:rsid w:val="7C9252EC"/>
    <w:rsid w:val="7CEF3B23"/>
    <w:rsid w:val="7DCF35A1"/>
    <w:rsid w:val="7E1C72BC"/>
    <w:rsid w:val="7E8D43A0"/>
    <w:rsid w:val="7FEB1D65"/>
    <w:rsid w:val="7FFC53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360" w:lineRule="auto"/>
      <w:ind w:left="0" w:right="0" w:firstLine="400" w:firstLineChars="200"/>
      <w:jc w:val="both"/>
    </w:pPr>
    <w:rPr>
      <w:rFonts w:ascii="Times New Roman" w:hAnsi="Times New Roman" w:eastAsia="宋体" w:cs="宋体"/>
      <w:sz w:val="24"/>
      <w:szCs w:val="24"/>
      <w:lang w:val="en-US" w:eastAsia="en-US" w:bidi="ar-SA"/>
    </w:rPr>
  </w:style>
  <w:style w:type="paragraph" w:styleId="4">
    <w:name w:val="heading 1"/>
    <w:basedOn w:val="1"/>
    <w:next w:val="5"/>
    <w:link w:val="39"/>
    <w:qFormat/>
    <w:uiPriority w:val="1"/>
    <w:pPr>
      <w:spacing w:before="100" w:beforeLines="100" w:after="100" w:afterLines="100"/>
      <w:ind w:left="480" w:leftChars="200" w:hanging="241"/>
      <w:jc w:val="center"/>
      <w:outlineLvl w:val="0"/>
    </w:pPr>
    <w:rPr>
      <w:rFonts w:ascii="宋体" w:hAnsi="宋体"/>
      <w:b/>
      <w:bCs/>
      <w:sz w:val="32"/>
      <w:szCs w:val="32"/>
    </w:rPr>
  </w:style>
  <w:style w:type="paragraph" w:styleId="5">
    <w:name w:val="heading 2"/>
    <w:basedOn w:val="1"/>
    <w:next w:val="6"/>
    <w:qFormat/>
    <w:uiPriority w:val="1"/>
    <w:pPr>
      <w:ind w:left="0" w:firstLine="0" w:firstLineChars="0"/>
      <w:outlineLvl w:val="1"/>
    </w:pPr>
    <w:rPr>
      <w:rFonts w:ascii="Times New Roman" w:hAnsi="Times New Roman"/>
      <w:b/>
      <w:bCs/>
      <w:sz w:val="28"/>
      <w:szCs w:val="28"/>
    </w:rPr>
  </w:style>
  <w:style w:type="paragraph" w:styleId="6">
    <w:name w:val="heading 3"/>
    <w:basedOn w:val="1"/>
    <w:next w:val="1"/>
    <w:qFormat/>
    <w:uiPriority w:val="1"/>
    <w:pPr>
      <w:ind w:left="0" w:firstLine="0" w:firstLineChars="0"/>
      <w:outlineLvl w:val="2"/>
    </w:pPr>
    <w:rPr>
      <w:rFonts w:ascii="Times New Roman" w:hAnsi="Times New Roman"/>
      <w:b/>
      <w:bCs/>
    </w:rPr>
  </w:style>
  <w:style w:type="paragraph" w:styleId="7">
    <w:name w:val="heading 4"/>
    <w:basedOn w:val="1"/>
    <w:next w:val="1"/>
    <w:unhideWhenUsed/>
    <w:qFormat/>
    <w:uiPriority w:val="0"/>
    <w:pPr>
      <w:ind w:left="0" w:firstLine="0" w:firstLineChars="0"/>
      <w:outlineLvl w:val="3"/>
    </w:pPr>
    <w:rPr>
      <w:rFonts w:ascii="Times New Roman" w:hAnsi="Times New Roman"/>
      <w:b/>
      <w:bCs/>
    </w:rPr>
  </w:style>
  <w:style w:type="character" w:default="1" w:styleId="19">
    <w:name w:val="Default Paragraph Font"/>
    <w:semiHidden/>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正文2"/>
    <w:basedOn w:val="3"/>
    <w:next w:val="1"/>
    <w:qFormat/>
    <w:uiPriority w:val="0"/>
    <w:pPr>
      <w:spacing w:line="360" w:lineRule="auto"/>
    </w:pPr>
    <w:rPr>
      <w:rFonts w:eastAsia="仿宋_GB2312"/>
      <w:color w:val="auto"/>
      <w:szCs w:val="28"/>
      <w:lang w:val="zh-CN"/>
    </w:rPr>
  </w:style>
  <w:style w:type="paragraph" w:styleId="3">
    <w:name w:val="Body Text Indent"/>
    <w:basedOn w:val="1"/>
    <w:qFormat/>
    <w:uiPriority w:val="0"/>
    <w:pPr>
      <w:spacing w:line="600" w:lineRule="atLeast"/>
      <w:ind w:firstLine="560" w:firstLineChars="200"/>
    </w:pPr>
    <w:rPr>
      <w:rFonts w:ascii="宋体" w:hAnsi="宋体"/>
      <w:color w:val="FF0000"/>
      <w:sz w:val="28"/>
      <w:szCs w:val="24"/>
    </w:rPr>
  </w:style>
  <w:style w:type="paragraph" w:styleId="8">
    <w:name w:val="Normal Indent"/>
    <w:basedOn w:val="1"/>
    <w:qFormat/>
    <w:uiPriority w:val="0"/>
    <w:pPr>
      <w:ind w:firstLine="420"/>
    </w:pPr>
  </w:style>
  <w:style w:type="paragraph" w:styleId="9">
    <w:name w:val="annotation text"/>
    <w:basedOn w:val="1"/>
    <w:qFormat/>
    <w:uiPriority w:val="0"/>
    <w:pPr>
      <w:jc w:val="left"/>
    </w:pPr>
  </w:style>
  <w:style w:type="paragraph" w:styleId="10">
    <w:name w:val="Body Text"/>
    <w:basedOn w:val="1"/>
    <w:next w:val="1"/>
    <w:qFormat/>
    <w:uiPriority w:val="1"/>
    <w:pPr>
      <w:ind w:left="537"/>
    </w:pPr>
    <w:rPr>
      <w:rFonts w:ascii="宋体" w:hAnsi="宋体" w:eastAsia="宋体" w:cs="宋体"/>
      <w:sz w:val="24"/>
      <w:szCs w:val="24"/>
    </w:rPr>
  </w:style>
  <w:style w:type="paragraph" w:styleId="11">
    <w:name w:val="toc 3"/>
    <w:basedOn w:val="1"/>
    <w:next w:val="1"/>
    <w:semiHidden/>
    <w:qFormat/>
    <w:uiPriority w:val="0"/>
    <w:pPr>
      <w:ind w:left="480"/>
    </w:pPr>
    <w:rPr>
      <w:rFonts w:ascii="Times New Roman"/>
      <w:i/>
      <w:iCs/>
      <w:sz w:val="20"/>
      <w:szCs w:val="20"/>
    </w:rPr>
  </w:style>
  <w:style w:type="paragraph" w:styleId="12">
    <w:name w:val="Plain Text"/>
    <w:basedOn w:val="1"/>
    <w:qFormat/>
    <w:uiPriority w:val="0"/>
    <w:rPr>
      <w:rFonts w:ascii="宋体" w:hAnsi="Courier New" w:cs="Courier New"/>
      <w:szCs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toc 1"/>
    <w:basedOn w:val="1"/>
    <w:next w:val="1"/>
    <w:qFormat/>
    <w:uiPriority w:val="1"/>
    <w:pPr>
      <w:spacing w:before="5"/>
      <w:ind w:left="717" w:hanging="181"/>
    </w:pPr>
    <w:rPr>
      <w:rFonts w:ascii="宋体" w:hAnsi="宋体" w:eastAsia="宋体" w:cs="宋体"/>
      <w:sz w:val="24"/>
      <w:szCs w:val="24"/>
    </w:rPr>
  </w:style>
  <w:style w:type="paragraph" w:styleId="15">
    <w:name w:val="toc 2"/>
    <w:basedOn w:val="1"/>
    <w:next w:val="1"/>
    <w:qFormat/>
    <w:uiPriority w:val="1"/>
    <w:pPr>
      <w:spacing w:before="5"/>
      <w:ind w:left="1377" w:hanging="361"/>
    </w:pPr>
    <w:rPr>
      <w:rFonts w:ascii="宋体" w:hAnsi="宋体" w:eastAsia="宋体" w:cs="宋体"/>
      <w:sz w:val="24"/>
      <w:szCs w:val="24"/>
    </w:rPr>
  </w:style>
  <w:style w:type="paragraph" w:styleId="1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0"/>
    <w:rPr>
      <w:i/>
    </w:rPr>
  </w:style>
  <w:style w:type="character" w:styleId="21">
    <w:name w:val="Hyperlink"/>
    <w:unhideWhenUsed/>
    <w:qFormat/>
    <w:uiPriority w:val="99"/>
    <w:rPr>
      <w:color w:val="0000FF"/>
      <w:u w:val="single"/>
    </w:rPr>
  </w:style>
  <w:style w:type="paragraph" w:customStyle="1" w:styleId="22">
    <w:name w:val="表格"/>
    <w:basedOn w:val="1"/>
    <w:next w:val="1"/>
    <w:link w:val="30"/>
    <w:qFormat/>
    <w:uiPriority w:val="0"/>
    <w:pPr>
      <w:spacing w:line="240" w:lineRule="auto"/>
      <w:ind w:firstLine="0" w:firstLineChars="0"/>
      <w:jc w:val="center"/>
    </w:pPr>
    <w:rPr>
      <w:rFonts w:ascii="Times New Roman" w:hAnsi="Times New Roman"/>
      <w:sz w:val="21"/>
      <w:szCs w:val="21"/>
    </w:r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1618" w:hanging="602"/>
    </w:pPr>
    <w:rPr>
      <w:rFonts w:ascii="宋体" w:hAnsi="宋体" w:eastAsia="宋体" w:cs="宋体"/>
    </w:rPr>
  </w:style>
  <w:style w:type="paragraph" w:customStyle="1" w:styleId="25">
    <w:name w:val="Table Paragraph"/>
    <w:basedOn w:val="1"/>
    <w:qFormat/>
    <w:uiPriority w:val="1"/>
    <w:pPr>
      <w:jc w:val="center"/>
    </w:pPr>
    <w:rPr>
      <w:rFonts w:ascii="宋体" w:hAnsi="宋体" w:eastAsia="宋体" w:cs="宋体"/>
    </w:rPr>
  </w:style>
  <w:style w:type="paragraph" w:customStyle="1" w:styleId="26">
    <w:name w:val="WPSOffice手动目录 3"/>
    <w:qFormat/>
    <w:uiPriority w:val="0"/>
    <w:pPr>
      <w:ind w:leftChars="400"/>
    </w:pPr>
    <w:rPr>
      <w:rFonts w:asciiTheme="minorHAnsi" w:hAnsiTheme="minorHAnsi" w:eastAsiaTheme="minorHAnsi" w:cstheme="minorBidi"/>
      <w:sz w:val="20"/>
      <w:szCs w:val="20"/>
    </w:rPr>
  </w:style>
  <w:style w:type="paragraph" w:customStyle="1" w:styleId="27">
    <w:name w:val="WPSOffice手动目录 2"/>
    <w:qFormat/>
    <w:uiPriority w:val="0"/>
    <w:pPr>
      <w:ind w:leftChars="200"/>
    </w:pPr>
    <w:rPr>
      <w:rFonts w:asciiTheme="minorHAnsi" w:hAnsiTheme="minorHAnsi" w:eastAsiaTheme="minorHAnsi" w:cstheme="minorBidi"/>
      <w:sz w:val="20"/>
      <w:szCs w:val="20"/>
    </w:rPr>
  </w:style>
  <w:style w:type="paragraph" w:customStyle="1" w:styleId="28">
    <w:name w:val="WPSOffice手动目录 1"/>
    <w:qFormat/>
    <w:uiPriority w:val="0"/>
    <w:pPr>
      <w:ind w:leftChars="0"/>
    </w:pPr>
    <w:rPr>
      <w:rFonts w:asciiTheme="minorHAnsi" w:hAnsiTheme="minorHAnsi" w:eastAsiaTheme="minorHAnsi" w:cstheme="minorBidi"/>
      <w:sz w:val="20"/>
      <w:szCs w:val="20"/>
    </w:rPr>
  </w:style>
  <w:style w:type="character" w:customStyle="1" w:styleId="29">
    <w:name w:val="font31"/>
    <w:basedOn w:val="19"/>
    <w:qFormat/>
    <w:uiPriority w:val="0"/>
    <w:rPr>
      <w:rFonts w:hint="eastAsia" w:ascii="宋体" w:hAnsi="宋体" w:eastAsia="宋体" w:cs="宋体"/>
      <w:color w:val="000000"/>
      <w:sz w:val="20"/>
      <w:szCs w:val="20"/>
      <w:u w:val="none"/>
    </w:rPr>
  </w:style>
  <w:style w:type="character" w:customStyle="1" w:styleId="30">
    <w:name w:val="表格 Char"/>
    <w:link w:val="22"/>
    <w:qFormat/>
    <w:uiPriority w:val="0"/>
    <w:rPr>
      <w:rFonts w:ascii="Times New Roman" w:hAnsi="Times New Roman"/>
      <w:sz w:val="21"/>
      <w:szCs w:val="21"/>
    </w:rPr>
  </w:style>
  <w:style w:type="paragraph" w:customStyle="1" w:styleId="31">
    <w:name w:val="标题三（L）"/>
    <w:qFormat/>
    <w:uiPriority w:val="0"/>
    <w:pPr>
      <w:spacing w:line="500" w:lineRule="exact"/>
      <w:ind w:firstLine="200" w:firstLineChars="200"/>
      <w:outlineLvl w:val="2"/>
    </w:pPr>
    <w:rPr>
      <w:rFonts w:ascii="Times New Roman" w:hAnsi="Times New Roman" w:eastAsia="华文中宋" w:cs="Times New Roman"/>
      <w:b/>
      <w:smallCaps/>
      <w:kern w:val="2"/>
      <w:sz w:val="24"/>
      <w:szCs w:val="24"/>
      <w:lang w:val="en-US" w:eastAsia="zh-CN" w:bidi="ar-SA"/>
    </w:rPr>
  </w:style>
  <w:style w:type="paragraph" w:customStyle="1" w:styleId="32">
    <w:name w:val="Heading2"/>
    <w:next w:val="1"/>
    <w:qFormat/>
    <w:uiPriority w:val="0"/>
    <w:pPr>
      <w:keepNext/>
      <w:keepLines/>
      <w:widowControl w:val="0"/>
      <w:spacing w:before="260" w:after="260" w:line="416" w:lineRule="auto"/>
      <w:jc w:val="both"/>
    </w:pPr>
    <w:rPr>
      <w:rFonts w:ascii="Cambria" w:hAnsi="Cambria" w:eastAsia="宋体" w:cs="Times New Roman"/>
      <w:b/>
      <w:bCs/>
      <w:kern w:val="2"/>
      <w:sz w:val="32"/>
      <w:szCs w:val="32"/>
      <w:lang w:val="en-US" w:eastAsia="zh-CN" w:bidi="ar-SA"/>
    </w:rPr>
  </w:style>
  <w:style w:type="paragraph" w:customStyle="1" w:styleId="33">
    <w:name w:val="表/图标题"/>
    <w:basedOn w:val="1"/>
    <w:qFormat/>
    <w:uiPriority w:val="99"/>
    <w:pPr>
      <w:jc w:val="center"/>
    </w:pPr>
    <w:rPr>
      <w:b/>
    </w:rPr>
  </w:style>
  <w:style w:type="paragraph" w:customStyle="1" w:styleId="34">
    <w:name w:val="表格1"/>
    <w:basedOn w:val="1"/>
    <w:qFormat/>
    <w:uiPriority w:val="0"/>
    <w:pPr>
      <w:adjustRightInd w:val="0"/>
      <w:spacing w:line="20" w:lineRule="atLeast"/>
      <w:jc w:val="center"/>
      <w:textAlignment w:val="center"/>
    </w:pPr>
    <w:rPr>
      <w:rFonts w:ascii="宋体"/>
      <w:kern w:val="0"/>
      <w:szCs w:val="20"/>
    </w:rPr>
  </w:style>
  <w:style w:type="paragraph" w:customStyle="1" w:styleId="35">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Times New Roman"/>
      <w:kern w:val="0"/>
      <w:sz w:val="18"/>
      <w:szCs w:val="18"/>
    </w:rPr>
  </w:style>
  <w:style w:type="character" w:customStyle="1" w:styleId="36">
    <w:name w:val="font01"/>
    <w:qFormat/>
    <w:uiPriority w:val="0"/>
    <w:rPr>
      <w:rFonts w:hint="eastAsia" w:ascii="宋体" w:hAnsi="宋体" w:eastAsia="宋体" w:cs="宋体"/>
      <w:color w:val="000000"/>
      <w:sz w:val="22"/>
      <w:szCs w:val="22"/>
      <w:u w:val="none"/>
    </w:rPr>
  </w:style>
  <w:style w:type="paragraph" w:customStyle="1" w:styleId="37">
    <w:name w:val="表名样式"/>
    <w:basedOn w:val="1"/>
    <w:qFormat/>
    <w:uiPriority w:val="0"/>
    <w:pPr>
      <w:ind w:firstLine="480" w:firstLineChars="200"/>
      <w:jc w:val="center"/>
    </w:pPr>
    <w:rPr>
      <w:rFonts w:ascii="宋体" w:hAnsi="宋体"/>
      <w:b/>
      <w:sz w:val="24"/>
    </w:rPr>
  </w:style>
  <w:style w:type="paragraph" w:customStyle="1" w:styleId="38">
    <w:name w:val="表中文字"/>
    <w:basedOn w:val="1"/>
    <w:qFormat/>
    <w:uiPriority w:val="0"/>
    <w:pPr>
      <w:adjustRightInd w:val="0"/>
      <w:snapToGrid w:val="0"/>
      <w:jc w:val="center"/>
    </w:pPr>
    <w:rPr>
      <w:rFonts w:ascii="宋体" w:hAnsi="宋体"/>
      <w:sz w:val="24"/>
    </w:rPr>
  </w:style>
  <w:style w:type="character" w:customStyle="1" w:styleId="39">
    <w:name w:val="标题 1 Char"/>
    <w:link w:val="4"/>
    <w:qFormat/>
    <w:uiPriority w:val="1"/>
    <w:rPr>
      <w:rFonts w:ascii="宋体" w:hAnsi="宋体"/>
      <w:b/>
      <w:bCs/>
      <w:sz w:val="32"/>
      <w:szCs w:val="32"/>
    </w:rPr>
  </w:style>
</w:styles>
</file>

<file path=word/_rels/document.xml.rels><?xml version="1.0" encoding="UTF-8" standalone="yes"?>
<Relationships xmlns="http://schemas.openxmlformats.org/package/2006/relationships"><Relationship Id="rId99" Type="http://schemas.openxmlformats.org/officeDocument/2006/relationships/chart" Target="charts/chart39.xml"/><Relationship Id="rId98" Type="http://schemas.openxmlformats.org/officeDocument/2006/relationships/chart" Target="charts/chart38.xml"/><Relationship Id="rId97" Type="http://schemas.openxmlformats.org/officeDocument/2006/relationships/chart" Target="charts/chart37.xml"/><Relationship Id="rId96" Type="http://schemas.openxmlformats.org/officeDocument/2006/relationships/chart" Target="charts/chart36.xml"/><Relationship Id="rId95" Type="http://schemas.openxmlformats.org/officeDocument/2006/relationships/chart" Target="charts/chart35.xml"/><Relationship Id="rId94" Type="http://schemas.openxmlformats.org/officeDocument/2006/relationships/chart" Target="charts/chart34.xml"/><Relationship Id="rId93" Type="http://schemas.openxmlformats.org/officeDocument/2006/relationships/chart" Target="charts/chart33.xml"/><Relationship Id="rId92" Type="http://schemas.openxmlformats.org/officeDocument/2006/relationships/chart" Target="charts/chart32.xml"/><Relationship Id="rId91" Type="http://schemas.openxmlformats.org/officeDocument/2006/relationships/chart" Target="charts/chart31.xml"/><Relationship Id="rId90" Type="http://schemas.openxmlformats.org/officeDocument/2006/relationships/chart" Target="charts/chart30.xml"/><Relationship Id="rId9" Type="http://schemas.openxmlformats.org/officeDocument/2006/relationships/footer" Target="footer3.xml"/><Relationship Id="rId89" Type="http://schemas.openxmlformats.org/officeDocument/2006/relationships/chart" Target="charts/chart29.xml"/><Relationship Id="rId88" Type="http://schemas.openxmlformats.org/officeDocument/2006/relationships/chart" Target="charts/chart28.xml"/><Relationship Id="rId87" Type="http://schemas.openxmlformats.org/officeDocument/2006/relationships/chart" Target="charts/chart27.xml"/><Relationship Id="rId86" Type="http://schemas.openxmlformats.org/officeDocument/2006/relationships/chart" Target="charts/chart26.xml"/><Relationship Id="rId85" Type="http://schemas.openxmlformats.org/officeDocument/2006/relationships/chart" Target="charts/chart25.xml"/><Relationship Id="rId84" Type="http://schemas.openxmlformats.org/officeDocument/2006/relationships/chart" Target="charts/chart24.xml"/><Relationship Id="rId83" Type="http://schemas.openxmlformats.org/officeDocument/2006/relationships/chart" Target="charts/chart23.xml"/><Relationship Id="rId82" Type="http://schemas.openxmlformats.org/officeDocument/2006/relationships/chart" Target="charts/chart22.xml"/><Relationship Id="rId81" Type="http://schemas.openxmlformats.org/officeDocument/2006/relationships/chart" Target="charts/chart21.xml"/><Relationship Id="rId80" Type="http://schemas.openxmlformats.org/officeDocument/2006/relationships/chart" Target="charts/chart20.xml"/><Relationship Id="rId8" Type="http://schemas.openxmlformats.org/officeDocument/2006/relationships/footer" Target="footer2.xml"/><Relationship Id="rId79" Type="http://schemas.openxmlformats.org/officeDocument/2006/relationships/chart" Target="charts/chart19.xml"/><Relationship Id="rId78" Type="http://schemas.openxmlformats.org/officeDocument/2006/relationships/chart" Target="charts/chart18.xml"/><Relationship Id="rId77" Type="http://schemas.openxmlformats.org/officeDocument/2006/relationships/chart" Target="charts/chart17.xml"/><Relationship Id="rId76" Type="http://schemas.openxmlformats.org/officeDocument/2006/relationships/chart" Target="charts/chart16.xml"/><Relationship Id="rId75" Type="http://schemas.openxmlformats.org/officeDocument/2006/relationships/chart" Target="charts/chart15.xml"/><Relationship Id="rId74" Type="http://schemas.openxmlformats.org/officeDocument/2006/relationships/chart" Target="charts/chart14.xml"/><Relationship Id="rId73" Type="http://schemas.openxmlformats.org/officeDocument/2006/relationships/chart" Target="charts/chart13.xml"/><Relationship Id="rId72" Type="http://schemas.openxmlformats.org/officeDocument/2006/relationships/chart" Target="charts/chart12.xml"/><Relationship Id="rId71" Type="http://schemas.openxmlformats.org/officeDocument/2006/relationships/chart" Target="charts/chart11.xml"/><Relationship Id="rId70" Type="http://schemas.openxmlformats.org/officeDocument/2006/relationships/chart" Target="charts/chart10.xml"/><Relationship Id="rId7" Type="http://schemas.openxmlformats.org/officeDocument/2006/relationships/header" Target="header2.xml"/><Relationship Id="rId69" Type="http://schemas.openxmlformats.org/officeDocument/2006/relationships/chart" Target="charts/chart9.xml"/><Relationship Id="rId68" Type="http://schemas.openxmlformats.org/officeDocument/2006/relationships/chart" Target="charts/chart8.xml"/><Relationship Id="rId67" Type="http://schemas.openxmlformats.org/officeDocument/2006/relationships/chart" Target="charts/chart7.xml"/><Relationship Id="rId66" Type="http://schemas.openxmlformats.org/officeDocument/2006/relationships/chart" Target="charts/chart6.xml"/><Relationship Id="rId65" Type="http://schemas.openxmlformats.org/officeDocument/2006/relationships/chart" Target="charts/chart5.xml"/><Relationship Id="rId64" Type="http://schemas.openxmlformats.org/officeDocument/2006/relationships/chart" Target="charts/chart4.xml"/><Relationship Id="rId63" Type="http://schemas.openxmlformats.org/officeDocument/2006/relationships/chart" Target="charts/chart3.xml"/><Relationship Id="rId62" Type="http://schemas.openxmlformats.org/officeDocument/2006/relationships/chart" Target="charts/chart2.xml"/><Relationship Id="rId61" Type="http://schemas.openxmlformats.org/officeDocument/2006/relationships/chart" Target="charts/chart1.xml"/><Relationship Id="rId60" Type="http://schemas.openxmlformats.org/officeDocument/2006/relationships/image" Target="media/image24.wmf"/><Relationship Id="rId6" Type="http://schemas.openxmlformats.org/officeDocument/2006/relationships/footer" Target="footer1.xml"/><Relationship Id="rId59" Type="http://schemas.openxmlformats.org/officeDocument/2006/relationships/oleObject" Target="embeddings/oleObject15.bin"/><Relationship Id="rId58" Type="http://schemas.openxmlformats.org/officeDocument/2006/relationships/image" Target="media/image23.wmf"/><Relationship Id="rId57" Type="http://schemas.openxmlformats.org/officeDocument/2006/relationships/oleObject" Target="embeddings/oleObject14.bin"/><Relationship Id="rId56" Type="http://schemas.openxmlformats.org/officeDocument/2006/relationships/image" Target="media/image22.wmf"/><Relationship Id="rId55" Type="http://schemas.openxmlformats.org/officeDocument/2006/relationships/image" Target="media/image21.wmf"/><Relationship Id="rId54" Type="http://schemas.openxmlformats.org/officeDocument/2006/relationships/oleObject" Target="embeddings/oleObject13.bin"/><Relationship Id="rId53" Type="http://schemas.openxmlformats.org/officeDocument/2006/relationships/image" Target="media/image20.wmf"/><Relationship Id="rId52" Type="http://schemas.openxmlformats.org/officeDocument/2006/relationships/oleObject" Target="embeddings/oleObject12.bin"/><Relationship Id="rId51" Type="http://schemas.openxmlformats.org/officeDocument/2006/relationships/image" Target="media/image19.wmf"/><Relationship Id="rId50" Type="http://schemas.openxmlformats.org/officeDocument/2006/relationships/image" Target="media/image18.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17.wmf"/><Relationship Id="rId47" Type="http://schemas.openxmlformats.org/officeDocument/2006/relationships/image" Target="media/image16.jpe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wmf"/><Relationship Id="rId41" Type="http://schemas.openxmlformats.org/officeDocument/2006/relationships/oleObject" Target="embeddings/oleObject10.bin"/><Relationship Id="rId40" Type="http://schemas.openxmlformats.org/officeDocument/2006/relationships/image" Target="media/image10.wmf"/><Relationship Id="rId4" Type="http://schemas.openxmlformats.org/officeDocument/2006/relationships/endnotes" Target="endnotes.xml"/><Relationship Id="rId39" Type="http://schemas.openxmlformats.org/officeDocument/2006/relationships/oleObject" Target="embeddings/oleObject9.bin"/><Relationship Id="rId38" Type="http://schemas.openxmlformats.org/officeDocument/2006/relationships/image" Target="media/image9.wmf"/><Relationship Id="rId37" Type="http://schemas.openxmlformats.org/officeDocument/2006/relationships/oleObject" Target="embeddings/oleObject8.bin"/><Relationship Id="rId36" Type="http://schemas.openxmlformats.org/officeDocument/2006/relationships/image" Target="media/image8.wmf"/><Relationship Id="rId35" Type="http://schemas.openxmlformats.org/officeDocument/2006/relationships/oleObject" Target="embeddings/oleObject7.bin"/><Relationship Id="rId34" Type="http://schemas.openxmlformats.org/officeDocument/2006/relationships/image" Target="media/image7.wmf"/><Relationship Id="rId33" Type="http://schemas.openxmlformats.org/officeDocument/2006/relationships/oleObject" Target="embeddings/oleObject6.bin"/><Relationship Id="rId32" Type="http://schemas.openxmlformats.org/officeDocument/2006/relationships/image" Target="media/image6.wmf"/><Relationship Id="rId31" Type="http://schemas.openxmlformats.org/officeDocument/2006/relationships/oleObject" Target="embeddings/oleObject5.bin"/><Relationship Id="rId30" Type="http://schemas.openxmlformats.org/officeDocument/2006/relationships/image" Target="media/image5.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4.wmf"/><Relationship Id="rId27" Type="http://schemas.openxmlformats.org/officeDocument/2006/relationships/oleObject" Target="embeddings/oleObject3.bin"/><Relationship Id="rId26" Type="http://schemas.openxmlformats.org/officeDocument/2006/relationships/image" Target="media/image3.wmf"/><Relationship Id="rId25" Type="http://schemas.openxmlformats.org/officeDocument/2006/relationships/oleObject" Target="embeddings/oleObject2.bin"/><Relationship Id="rId24" Type="http://schemas.openxmlformats.org/officeDocument/2006/relationships/image" Target="media/image2.wmf"/><Relationship Id="rId23" Type="http://schemas.openxmlformats.org/officeDocument/2006/relationships/oleObject" Target="embeddings/oleObject1.bin"/><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1" Type="http://schemas.openxmlformats.org/officeDocument/2006/relationships/fontTable" Target="fontTable.xml"/><Relationship Id="rId190" Type="http://schemas.openxmlformats.org/officeDocument/2006/relationships/numbering" Target="numbering.xml"/><Relationship Id="rId19" Type="http://schemas.openxmlformats.org/officeDocument/2006/relationships/header" Target="header7.xml"/><Relationship Id="rId189" Type="http://schemas.openxmlformats.org/officeDocument/2006/relationships/customXml" Target="../customXml/item1.xml"/><Relationship Id="rId188" Type="http://schemas.openxmlformats.org/officeDocument/2006/relationships/image" Target="media/image107.png"/><Relationship Id="rId187" Type="http://schemas.openxmlformats.org/officeDocument/2006/relationships/image" Target="media/image106.jpeg"/><Relationship Id="rId186" Type="http://schemas.openxmlformats.org/officeDocument/2006/relationships/image" Target="media/image105.wmf"/><Relationship Id="rId185" Type="http://schemas.openxmlformats.org/officeDocument/2006/relationships/oleObject" Target="embeddings/oleObject20.bin"/><Relationship Id="rId184" Type="http://schemas.openxmlformats.org/officeDocument/2006/relationships/image" Target="media/image104.wmf"/><Relationship Id="rId183" Type="http://schemas.openxmlformats.org/officeDocument/2006/relationships/oleObject" Target="embeddings/oleObject19.bin"/><Relationship Id="rId182" Type="http://schemas.openxmlformats.org/officeDocument/2006/relationships/image" Target="media/image103.wmf"/><Relationship Id="rId181" Type="http://schemas.openxmlformats.org/officeDocument/2006/relationships/oleObject" Target="embeddings/oleObject18.bin"/><Relationship Id="rId180" Type="http://schemas.openxmlformats.org/officeDocument/2006/relationships/image" Target="media/image102.wmf"/><Relationship Id="rId18" Type="http://schemas.openxmlformats.org/officeDocument/2006/relationships/footer" Target="footer8.xml"/><Relationship Id="rId179" Type="http://schemas.openxmlformats.org/officeDocument/2006/relationships/oleObject" Target="embeddings/oleObject17.bin"/><Relationship Id="rId178" Type="http://schemas.openxmlformats.org/officeDocument/2006/relationships/image" Target="media/image101.wmf"/><Relationship Id="rId177" Type="http://schemas.openxmlformats.org/officeDocument/2006/relationships/oleObject" Target="embeddings/oleObject16.bin"/><Relationship Id="rId176" Type="http://schemas.openxmlformats.org/officeDocument/2006/relationships/image" Target="media/image100.png"/><Relationship Id="rId175" Type="http://schemas.openxmlformats.org/officeDocument/2006/relationships/image" Target="media/image99.jpeg"/><Relationship Id="rId174" Type="http://schemas.openxmlformats.org/officeDocument/2006/relationships/image" Target="media/image98.jpeg"/><Relationship Id="rId173" Type="http://schemas.openxmlformats.org/officeDocument/2006/relationships/image" Target="media/image97.jpeg"/><Relationship Id="rId172" Type="http://schemas.openxmlformats.org/officeDocument/2006/relationships/image" Target="media/image96.png"/><Relationship Id="rId171" Type="http://schemas.openxmlformats.org/officeDocument/2006/relationships/image" Target="media/image95.png"/><Relationship Id="rId170" Type="http://schemas.openxmlformats.org/officeDocument/2006/relationships/image" Target="media/image94.png"/><Relationship Id="rId17" Type="http://schemas.openxmlformats.org/officeDocument/2006/relationships/header" Target="header6.xml"/><Relationship Id="rId169" Type="http://schemas.openxmlformats.org/officeDocument/2006/relationships/image" Target="media/image93.png"/><Relationship Id="rId168" Type="http://schemas.openxmlformats.org/officeDocument/2006/relationships/image" Target="media/image92.png"/><Relationship Id="rId167" Type="http://schemas.openxmlformats.org/officeDocument/2006/relationships/image" Target="media/image91.png"/><Relationship Id="rId166" Type="http://schemas.openxmlformats.org/officeDocument/2006/relationships/image" Target="media/image90.png"/><Relationship Id="rId165" Type="http://schemas.openxmlformats.org/officeDocument/2006/relationships/image" Target="media/image89.png"/><Relationship Id="rId164" Type="http://schemas.openxmlformats.org/officeDocument/2006/relationships/image" Target="media/image88.png"/><Relationship Id="rId163" Type="http://schemas.openxmlformats.org/officeDocument/2006/relationships/image" Target="media/image87.jpeg"/><Relationship Id="rId162" Type="http://schemas.openxmlformats.org/officeDocument/2006/relationships/image" Target="media/image86.jpeg"/><Relationship Id="rId161" Type="http://schemas.openxmlformats.org/officeDocument/2006/relationships/image" Target="media/image85.jpeg"/><Relationship Id="rId160" Type="http://schemas.openxmlformats.org/officeDocument/2006/relationships/image" Target="media/image84.jpeg"/><Relationship Id="rId16" Type="http://schemas.openxmlformats.org/officeDocument/2006/relationships/footer" Target="footer7.xml"/><Relationship Id="rId159" Type="http://schemas.openxmlformats.org/officeDocument/2006/relationships/image" Target="media/image83.jpeg"/><Relationship Id="rId158" Type="http://schemas.openxmlformats.org/officeDocument/2006/relationships/image" Target="media/image82.jpeg"/><Relationship Id="rId157" Type="http://schemas.openxmlformats.org/officeDocument/2006/relationships/image" Target="media/image81.jpeg"/><Relationship Id="rId156" Type="http://schemas.openxmlformats.org/officeDocument/2006/relationships/image" Target="media/image80.jpeg"/><Relationship Id="rId155" Type="http://schemas.openxmlformats.org/officeDocument/2006/relationships/image" Target="media/image79.jpeg"/><Relationship Id="rId154" Type="http://schemas.openxmlformats.org/officeDocument/2006/relationships/image" Target="media/image78.jpeg"/><Relationship Id="rId153" Type="http://schemas.openxmlformats.org/officeDocument/2006/relationships/image" Target="media/image77.jpeg"/><Relationship Id="rId152" Type="http://schemas.openxmlformats.org/officeDocument/2006/relationships/image" Target="media/image76.jpeg"/><Relationship Id="rId151" Type="http://schemas.openxmlformats.org/officeDocument/2006/relationships/image" Target="media/image75.jpeg"/><Relationship Id="rId150" Type="http://schemas.openxmlformats.org/officeDocument/2006/relationships/image" Target="media/image74.jpeg"/><Relationship Id="rId15" Type="http://schemas.openxmlformats.org/officeDocument/2006/relationships/header" Target="header5.xml"/><Relationship Id="rId149" Type="http://schemas.openxmlformats.org/officeDocument/2006/relationships/image" Target="media/image73.jpeg"/><Relationship Id="rId148" Type="http://schemas.openxmlformats.org/officeDocument/2006/relationships/image" Target="media/image72.jpeg"/><Relationship Id="rId147" Type="http://schemas.openxmlformats.org/officeDocument/2006/relationships/image" Target="media/image71.jpeg"/><Relationship Id="rId146" Type="http://schemas.openxmlformats.org/officeDocument/2006/relationships/image" Target="media/image70.jpeg"/><Relationship Id="rId145" Type="http://schemas.openxmlformats.org/officeDocument/2006/relationships/image" Target="media/image69.jpeg"/><Relationship Id="rId144" Type="http://schemas.openxmlformats.org/officeDocument/2006/relationships/image" Target="media/image68.jpeg"/><Relationship Id="rId143" Type="http://schemas.openxmlformats.org/officeDocument/2006/relationships/image" Target="media/image67.jpeg"/><Relationship Id="rId142" Type="http://schemas.openxmlformats.org/officeDocument/2006/relationships/image" Target="media/image66.jpeg"/><Relationship Id="rId141" Type="http://schemas.openxmlformats.org/officeDocument/2006/relationships/image" Target="media/image65.jpeg"/><Relationship Id="rId140" Type="http://schemas.openxmlformats.org/officeDocument/2006/relationships/image" Target="media/image64.jpeg"/><Relationship Id="rId14" Type="http://schemas.openxmlformats.org/officeDocument/2006/relationships/footer" Target="footer6.xml"/><Relationship Id="rId139" Type="http://schemas.openxmlformats.org/officeDocument/2006/relationships/image" Target="media/image63.jpeg"/><Relationship Id="rId138" Type="http://schemas.openxmlformats.org/officeDocument/2006/relationships/image" Target="media/image62.jpeg"/><Relationship Id="rId137" Type="http://schemas.openxmlformats.org/officeDocument/2006/relationships/image" Target="media/image61.jpeg"/><Relationship Id="rId136" Type="http://schemas.openxmlformats.org/officeDocument/2006/relationships/image" Target="media/image60.jpeg"/><Relationship Id="rId135" Type="http://schemas.openxmlformats.org/officeDocument/2006/relationships/image" Target="media/image59.jpeg"/><Relationship Id="rId134" Type="http://schemas.openxmlformats.org/officeDocument/2006/relationships/image" Target="media/image58.jpeg"/><Relationship Id="rId133" Type="http://schemas.openxmlformats.org/officeDocument/2006/relationships/image" Target="media/image57.jpeg"/><Relationship Id="rId132" Type="http://schemas.openxmlformats.org/officeDocument/2006/relationships/image" Target="media/image56.jpeg"/><Relationship Id="rId131" Type="http://schemas.openxmlformats.org/officeDocument/2006/relationships/image" Target="media/image55.jpeg"/><Relationship Id="rId130" Type="http://schemas.openxmlformats.org/officeDocument/2006/relationships/image" Target="media/image54.jpeg"/><Relationship Id="rId13" Type="http://schemas.openxmlformats.org/officeDocument/2006/relationships/header" Target="header4.xml"/><Relationship Id="rId129" Type="http://schemas.openxmlformats.org/officeDocument/2006/relationships/image" Target="media/image53.jpeg"/><Relationship Id="rId128" Type="http://schemas.openxmlformats.org/officeDocument/2006/relationships/image" Target="media/image52.jpeg"/><Relationship Id="rId127" Type="http://schemas.openxmlformats.org/officeDocument/2006/relationships/image" Target="media/image51.jpeg"/><Relationship Id="rId126" Type="http://schemas.openxmlformats.org/officeDocument/2006/relationships/image" Target="media/image50.jpeg"/><Relationship Id="rId125" Type="http://schemas.openxmlformats.org/officeDocument/2006/relationships/image" Target="media/image49.jpeg"/><Relationship Id="rId124" Type="http://schemas.openxmlformats.org/officeDocument/2006/relationships/image" Target="media/image48.jpeg"/><Relationship Id="rId123" Type="http://schemas.openxmlformats.org/officeDocument/2006/relationships/image" Target="media/image47.jpeg"/><Relationship Id="rId122" Type="http://schemas.openxmlformats.org/officeDocument/2006/relationships/image" Target="media/image46.jpeg"/><Relationship Id="rId121" Type="http://schemas.openxmlformats.org/officeDocument/2006/relationships/image" Target="media/image45.jpeg"/><Relationship Id="rId120" Type="http://schemas.openxmlformats.org/officeDocument/2006/relationships/image" Target="media/image44.jpeg"/><Relationship Id="rId12" Type="http://schemas.openxmlformats.org/officeDocument/2006/relationships/footer" Target="footer5.xml"/><Relationship Id="rId119" Type="http://schemas.openxmlformats.org/officeDocument/2006/relationships/image" Target="media/image43.jpeg"/><Relationship Id="rId118" Type="http://schemas.openxmlformats.org/officeDocument/2006/relationships/image" Target="media/image42.jpeg"/><Relationship Id="rId117" Type="http://schemas.openxmlformats.org/officeDocument/2006/relationships/image" Target="media/image41.jpeg"/><Relationship Id="rId116" Type="http://schemas.openxmlformats.org/officeDocument/2006/relationships/image" Target="media/image40.jpeg"/><Relationship Id="rId115" Type="http://schemas.openxmlformats.org/officeDocument/2006/relationships/image" Target="media/image39.jpeg"/><Relationship Id="rId114" Type="http://schemas.openxmlformats.org/officeDocument/2006/relationships/image" Target="media/image38.jpeg"/><Relationship Id="rId113" Type="http://schemas.openxmlformats.org/officeDocument/2006/relationships/image" Target="media/image37.jpeg"/><Relationship Id="rId112" Type="http://schemas.openxmlformats.org/officeDocument/2006/relationships/image" Target="media/image36.jpeg"/><Relationship Id="rId111" Type="http://schemas.openxmlformats.org/officeDocument/2006/relationships/image" Target="media/image35.jpeg"/><Relationship Id="rId110" Type="http://schemas.openxmlformats.org/officeDocument/2006/relationships/image" Target="media/image34.jpeg"/><Relationship Id="rId11" Type="http://schemas.openxmlformats.org/officeDocument/2006/relationships/header" Target="header3.xml"/><Relationship Id="rId109" Type="http://schemas.openxmlformats.org/officeDocument/2006/relationships/image" Target="media/image33.jpeg"/><Relationship Id="rId108" Type="http://schemas.openxmlformats.org/officeDocument/2006/relationships/image" Target="media/image32.jpeg"/><Relationship Id="rId107" Type="http://schemas.openxmlformats.org/officeDocument/2006/relationships/image" Target="media/image31.jpeg"/><Relationship Id="rId106" Type="http://schemas.openxmlformats.org/officeDocument/2006/relationships/image" Target="media/image30.jpeg"/><Relationship Id="rId105" Type="http://schemas.openxmlformats.org/officeDocument/2006/relationships/image" Target="media/image29.png"/><Relationship Id="rId104" Type="http://schemas.openxmlformats.org/officeDocument/2006/relationships/image" Target="media/image28.jpeg"/><Relationship Id="rId103" Type="http://schemas.openxmlformats.org/officeDocument/2006/relationships/image" Target="media/image27.jpeg"/><Relationship Id="rId102" Type="http://schemas.openxmlformats.org/officeDocument/2006/relationships/image" Target="media/image26.jpeg"/><Relationship Id="rId101" Type="http://schemas.openxmlformats.org/officeDocument/2006/relationships/image" Target="media/image25.jpeg"/><Relationship Id="rId100" Type="http://schemas.openxmlformats.org/officeDocument/2006/relationships/chart" Target="charts/chart40.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CC\&#29615;&#35780;&#25991;&#20214;\&#36798;&#24030;&#24066;\&#22823;&#31481;\&#29028;&#30719;&#35268;&#21010;\&#25253;&#21578;\&#21021;&#31295;\&#35745;&#31639;.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F:\CC\&#29615;&#35780;&#25991;&#20214;\&#36798;&#24030;&#24066;\&#22823;&#31481;\&#29028;&#30719;&#35268;&#21010;\&#25253;&#21578;\&#21021;&#31295;\&#35745;&#31639;.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F:\CC\&#29615;&#35780;&#25991;&#20214;\&#36798;&#24030;&#24066;\&#22823;&#31481;\&#29028;&#30719;&#35268;&#21010;\&#25253;&#21578;\&#21021;&#31295;\&#35745;&#31639;.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F:\CC\&#29615;&#35780;&#25991;&#20214;\&#36798;&#24030;&#24066;\&#22823;&#31481;\&#29028;&#30719;&#35268;&#21010;\&#25253;&#21578;\&#21021;&#31295;\&#35745;&#31639;.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F:\CC\&#29615;&#35780;&#25991;&#20214;\&#36798;&#24030;&#24066;\&#22823;&#31481;\&#29028;&#30719;&#35268;&#21010;\&#25253;&#21578;\&#21021;&#31295;\&#35745;&#31639;.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F:\CC\&#29615;&#35780;&#25991;&#20214;\&#36798;&#24030;&#24066;\&#22823;&#31481;\&#29028;&#30719;&#35268;&#21010;\&#25253;&#21578;\&#21021;&#31295;\&#35745;&#31639;.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F:\CC\&#29615;&#35780;&#25991;&#20214;\&#36798;&#24030;&#24066;\&#22823;&#31481;\&#29028;&#30719;&#35268;&#21010;\&#25253;&#21578;\&#21021;&#31295;\&#35745;&#31639;.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F:\CC\&#29615;&#35780;&#25991;&#20214;\&#36798;&#24030;&#24066;\&#22823;&#31481;\&#29028;&#30719;&#35268;&#21010;\&#25253;&#21578;\&#21021;&#31295;\&#35745;&#31639;.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F:\CC\&#29615;&#35780;&#25991;&#20214;\&#36798;&#24030;&#24066;\&#22823;&#31481;\&#29028;&#30719;&#35268;&#21010;\&#25253;&#21578;\&#21021;&#31295;\&#35745;&#31639;.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F:\CC\&#29615;&#35780;&#25991;&#20214;\&#36798;&#24030;&#24066;\&#22823;&#31481;\&#29028;&#30719;&#35268;&#21010;\&#25253;&#21578;\&#21021;&#31295;\&#35745;&#31639;.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F:\CC\&#29615;&#35780;&#25991;&#20214;\&#36798;&#24030;&#24066;\&#22823;&#31481;\&#29028;&#30719;&#35268;&#21010;\&#25253;&#21578;\&#21021;&#31295;\&#35745;&#3163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CC\&#29615;&#35780;&#25991;&#20214;\&#36798;&#24030;&#24066;\&#22823;&#31481;\&#29028;&#30719;&#35268;&#21010;\&#25253;&#21578;\&#21021;&#31295;\&#35745;&#31639;.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F:\CC\&#29615;&#35780;&#25991;&#20214;\&#36798;&#24030;&#24066;\&#22823;&#31481;\&#29028;&#30719;&#35268;&#21010;\&#25253;&#21578;\&#21021;&#31295;\&#35745;&#31639;.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F:\CC\&#29615;&#35780;&#25991;&#20214;\&#36798;&#24030;&#24066;\&#22823;&#31481;\&#29028;&#30719;&#35268;&#21010;\&#25253;&#21578;\&#21021;&#31295;\&#35745;&#31639;.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F:\CC\&#29615;&#35780;&#25991;&#20214;\&#36798;&#24030;&#24066;\&#22823;&#31481;\&#29028;&#30719;&#35268;&#21010;\&#25253;&#21578;\&#21021;&#31295;\&#35745;&#31639;.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F:\CC\&#29615;&#35780;&#25991;&#20214;\&#36798;&#24030;&#24066;\&#22823;&#31481;\&#29028;&#30719;&#35268;&#21010;\&#25253;&#21578;\&#21021;&#31295;\&#35745;&#31639;.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F:\CC\&#29615;&#35780;&#25991;&#20214;\&#36798;&#24030;&#24066;\&#22823;&#31481;\&#29028;&#30719;&#35268;&#21010;\&#25253;&#21578;\&#21021;&#31295;\&#35745;&#31639;.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F:\CC\&#29615;&#35780;&#25991;&#20214;\&#36798;&#24030;&#24066;\&#22823;&#31481;\&#29028;&#30719;&#35268;&#21010;\&#25253;&#21578;\&#21021;&#31295;\&#35745;&#31639;.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F:\CC\&#29615;&#35780;&#25991;&#20214;\&#36798;&#24030;&#24066;\&#22823;&#31481;\&#29028;&#30719;&#35268;&#21010;\&#25253;&#21578;\&#21021;&#31295;\&#35745;&#31639;.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F:\CC\&#29615;&#35780;&#25991;&#20214;\&#36798;&#24030;&#24066;\&#22823;&#31481;\&#29028;&#30719;&#35268;&#21010;\&#25253;&#21578;\&#21021;&#31295;\&#35745;&#31639;.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F:\CC\&#29615;&#35780;&#25991;&#20214;\&#36798;&#24030;&#24066;\&#22823;&#31481;\&#29028;&#30719;&#35268;&#21010;\&#25253;&#21578;\&#21021;&#31295;\&#35745;&#31639;.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F:\CC\&#29615;&#35780;&#25991;&#20214;\&#36798;&#24030;&#24066;\&#22823;&#31481;\&#29028;&#30719;&#35268;&#21010;\&#25253;&#21578;\&#21021;&#31295;\&#35745;&#3163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CC\&#29615;&#35780;&#25991;&#20214;\&#36798;&#24030;&#24066;\&#22823;&#31481;\&#29028;&#30719;&#35268;&#21010;\&#25253;&#21578;\&#21021;&#31295;\&#35745;&#31639;.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F:\CC\&#29615;&#35780;&#25991;&#20214;\&#36798;&#24030;&#24066;\&#22823;&#31481;\&#29028;&#30719;&#35268;&#21010;\&#25253;&#21578;\&#21021;&#31295;\&#35745;&#31639;.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F:\CC\&#29615;&#35780;&#25991;&#20214;\&#36798;&#24030;&#24066;\&#22823;&#31481;\&#29028;&#30719;&#35268;&#21010;\&#25253;&#21578;\&#21021;&#31295;\&#35745;&#31639;.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F:\CC\&#29615;&#35780;&#25991;&#20214;\&#36798;&#24030;&#24066;\&#22823;&#31481;\&#29028;&#30719;&#35268;&#21010;\&#25253;&#21578;\&#21021;&#31295;\&#35745;&#31639;.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F:\CC\&#29615;&#35780;&#25991;&#20214;\&#36798;&#24030;&#24066;\&#22823;&#31481;\&#29028;&#30719;&#35268;&#21010;\&#25253;&#21578;\&#21021;&#31295;\&#35745;&#31639;.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F:\CC\&#29615;&#35780;&#25991;&#20214;\&#36798;&#24030;&#24066;\&#22823;&#31481;\&#29028;&#30719;&#35268;&#21010;\&#25253;&#21578;\&#21021;&#31295;\&#35745;&#31639;.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F:\CC\&#29615;&#35780;&#25991;&#20214;\&#36798;&#24030;&#24066;\&#22823;&#31481;\&#29028;&#30719;&#35268;&#21010;\&#25253;&#21578;\&#21021;&#31295;\&#35745;&#31639;.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F:\CC\&#29615;&#35780;&#25991;&#20214;\&#36798;&#24030;&#24066;\&#22823;&#31481;\&#29028;&#30719;&#35268;&#21010;\&#25253;&#21578;\&#21021;&#31295;\&#35745;&#31639;.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F:\CC\&#29615;&#35780;&#25991;&#20214;\&#36798;&#24030;&#24066;\&#22823;&#31481;\&#29028;&#30719;&#35268;&#21010;\&#25253;&#21578;\&#21021;&#31295;\&#35745;&#31639;.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F:\CC\&#29615;&#35780;&#25991;&#20214;\&#36798;&#24030;&#24066;\&#22823;&#31481;\&#29028;&#30719;&#35268;&#21010;\&#25253;&#21578;\&#21021;&#31295;\&#35745;&#31639;.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F:\CC\&#29615;&#35780;&#25991;&#20214;\&#36798;&#24030;&#24066;\&#22823;&#31481;\&#29028;&#30719;&#35268;&#21010;\&#25253;&#21578;\&#21021;&#31295;\&#35745;&#31639;.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CC\&#29615;&#35780;&#25991;&#20214;\&#36798;&#24030;&#24066;\&#22823;&#31481;\&#29028;&#30719;&#35268;&#21010;\&#25253;&#21578;\&#21021;&#31295;\&#35745;&#31639;.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F:\CC\&#29615;&#35780;&#25991;&#20214;\&#36798;&#24030;&#24066;\&#22823;&#31481;\&#29028;&#30719;&#35268;&#21010;\&#25253;&#21578;\&#21021;&#31295;\&#35745;&#3163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CC\&#29615;&#35780;&#25991;&#20214;\&#36798;&#24030;&#24066;\&#22823;&#31481;\&#29028;&#30719;&#35268;&#21010;\&#25253;&#21578;\&#21021;&#31295;\&#35745;&#3163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F:\CC\&#29615;&#35780;&#25991;&#20214;\&#36798;&#24030;&#24066;\&#22823;&#31481;\&#29028;&#30719;&#35268;&#21010;\&#25253;&#21578;\&#21021;&#31295;\&#35745;&#31639;.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CC\&#29615;&#35780;&#25991;&#20214;\&#36798;&#24030;&#24066;\&#22823;&#31481;\&#29028;&#30719;&#35268;&#21010;\&#25253;&#21578;\&#21021;&#31295;\&#35745;&#31639;.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CC\&#29615;&#35780;&#25991;&#20214;\&#36798;&#24030;&#24066;\&#22823;&#31481;\&#29028;&#30719;&#35268;&#21010;\&#25253;&#21578;\&#21021;&#31295;\&#35745;&#31639;.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F:\CC\&#29615;&#35780;&#25991;&#20214;\&#36798;&#24030;&#24066;\&#22823;&#31481;\&#29028;&#30719;&#35268;&#21010;\&#25253;&#21578;\&#21021;&#31295;\&#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[计算.xlsx]Sheet1!$L$231</c:f>
              <c:strCache>
                <c:ptCount val="1"/>
                <c:pt idx="0">
                  <c:v>SO2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[计算.xlsx]Sheet1!$L$232:$L$236</c:f>
              <c:numCache>
                <c:formatCode>General</c:formatCode>
                <c:ptCount val="5"/>
                <c:pt idx="0">
                  <c:v>15</c:v>
                </c:pt>
                <c:pt idx="1">
                  <c:v>20</c:v>
                </c:pt>
                <c:pt idx="2">
                  <c:v>13</c:v>
                </c:pt>
                <c:pt idx="3">
                  <c:v>12.7</c:v>
                </c:pt>
                <c:pt idx="4">
                  <c:v>17.3</c:v>
                </c:pt>
              </c:numCache>
            </c:numRef>
          </c:val>
          <c:smooth val="0"/>
        </c:ser>
        <c:ser>
          <c:idx val="1"/>
          <c:order val="1"/>
          <c:tx>
            <c:strRef>
              <c:f>[计算.xlsx]Sheet1!$M$231</c:f>
              <c:strCache>
                <c:ptCount val="1"/>
                <c:pt idx="0">
                  <c:v>标准值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[计算.xlsx]Sheet1!$M$232:$M$236</c:f>
              <c:numCache>
                <c:formatCode>General</c:formatCode>
                <c:ptCount val="5"/>
                <c:pt idx="0">
                  <c:v>60</c:v>
                </c:pt>
                <c:pt idx="1">
                  <c:v>60</c:v>
                </c:pt>
                <c:pt idx="2">
                  <c:v>60</c:v>
                </c:pt>
                <c:pt idx="3">
                  <c:v>60</c:v>
                </c:pt>
                <c:pt idx="4">
                  <c:v>60</c:v>
                </c:pt>
              </c:numCache>
            </c:numRef>
          </c:val>
          <c:smooth val="0"/>
        </c:ser>
        <c:dLbls>
          <c:showLegendKey val="0"/>
          <c:showVal val="0"/>
          <c:showCatName val="0"/>
          <c:showSerName val="0"/>
          <c:showPercent val="0"/>
          <c:showBubbleSize val="0"/>
        </c:dLbls>
        <c:marker val="1"/>
        <c:smooth val="0"/>
        <c:axId val="535421761"/>
        <c:axId val="858239241"/>
      </c:lineChart>
      <c:catAx>
        <c:axId val="535421761"/>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8239241"/>
        <c:crosses val="autoZero"/>
        <c:auto val="1"/>
        <c:lblAlgn val="ctr"/>
        <c:lblOffset val="100"/>
        <c:noMultiLvlLbl val="0"/>
      </c:catAx>
      <c:valAx>
        <c:axId val="85823924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年均浓度（</a:t>
                </a:r>
                <a:r>
                  <a:rPr lang="en-US" altLang="zh-CN"/>
                  <a:t>ug/m3</a:t>
                </a:r>
                <a:r>
                  <a:rPr altLang="en-US"/>
                  <a:t>）</a:t>
                </a:r>
                <a:endParaRPr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542176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4.23</c:v>
                </c:pt>
                <c:pt idx="1">
                  <c:v>4.84</c:v>
                </c:pt>
                <c:pt idx="2">
                  <c:v>5.32</c:v>
                </c:pt>
                <c:pt idx="3">
                  <c:v>4.53</c:v>
                </c:pt>
                <c:pt idx="4">
                  <c:v>4.22</c:v>
                </c:pt>
                <c:pt idx="5">
                  <c:v>4.26</c:v>
                </c:pt>
                <c:pt idx="6">
                  <c:v>4.47</c:v>
                </c:pt>
                <c:pt idx="7">
                  <c:v>3.64</c:v>
                </c:pt>
                <c:pt idx="8">
                  <c:v>4.45</c:v>
                </c:pt>
                <c:pt idx="9">
                  <c:v>5.62</c:v>
                </c:pt>
                <c:pt idx="10">
                  <c:v>4.61</c:v>
                </c:pt>
                <c:pt idx="11">
                  <c:v>4.16</c:v>
                </c:pt>
                <c:pt idx="12">
                  <c:v>4.5</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4.3</c:v>
                </c:pt>
                <c:pt idx="1">
                  <c:v>4.6</c:v>
                </c:pt>
                <c:pt idx="2">
                  <c:v>4.4</c:v>
                </c:pt>
                <c:pt idx="3">
                  <c:v>4.5</c:v>
                </c:pt>
                <c:pt idx="4">
                  <c:v>4.1</c:v>
                </c:pt>
                <c:pt idx="5">
                  <c:v>4.2</c:v>
                </c:pt>
                <c:pt idx="6">
                  <c:v>4.3</c:v>
                </c:pt>
                <c:pt idx="7">
                  <c:v>4.5</c:v>
                </c:pt>
                <c:pt idx="8">
                  <c:v>4.5</c:v>
                </c:pt>
                <c:pt idx="9">
                  <c:v>4.2</c:v>
                </c:pt>
                <c:pt idx="10">
                  <c:v>4.3</c:v>
                </c:pt>
                <c:pt idx="11">
                  <c:v>4.2</c:v>
                </c:pt>
                <c:pt idx="12">
                  <c:v>4.3</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4.3</c:v>
                </c:pt>
                <c:pt idx="1">
                  <c:v>4.6</c:v>
                </c:pt>
                <c:pt idx="2">
                  <c:v>4.1</c:v>
                </c:pt>
                <c:pt idx="3">
                  <c:v>5.8</c:v>
                </c:pt>
                <c:pt idx="4">
                  <c:v>4.7</c:v>
                </c:pt>
                <c:pt idx="5">
                  <c:v>4.3</c:v>
                </c:pt>
                <c:pt idx="6">
                  <c:v>4.7</c:v>
                </c:pt>
                <c:pt idx="7">
                  <c:v>3.4</c:v>
                </c:pt>
                <c:pt idx="8">
                  <c:v>3.3</c:v>
                </c:pt>
                <c:pt idx="9">
                  <c:v>5</c:v>
                </c:pt>
                <c:pt idx="10">
                  <c:v>4</c:v>
                </c:pt>
                <c:pt idx="11">
                  <c:v>3.7</c:v>
                </c:pt>
                <c:pt idx="12">
                  <c:v>4.3</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CODcr</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15</c:v>
                </c:pt>
                <c:pt idx="1">
                  <c:v>26</c:v>
                </c:pt>
                <c:pt idx="2">
                  <c:v>34</c:v>
                </c:pt>
                <c:pt idx="3">
                  <c:v>40</c:v>
                </c:pt>
                <c:pt idx="4">
                  <c:v>21</c:v>
                </c:pt>
                <c:pt idx="5">
                  <c:v>22</c:v>
                </c:pt>
                <c:pt idx="6">
                  <c:v>28</c:v>
                </c:pt>
                <c:pt idx="7">
                  <c:v>27</c:v>
                </c:pt>
                <c:pt idx="8">
                  <c:v>25</c:v>
                </c:pt>
                <c:pt idx="9">
                  <c:v>20</c:v>
                </c:pt>
                <c:pt idx="10">
                  <c:v>13</c:v>
                </c:pt>
                <c:pt idx="11">
                  <c:v>20</c:v>
                </c:pt>
                <c:pt idx="12">
                  <c:v>24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14</c:v>
                </c:pt>
                <c:pt idx="1">
                  <c:v>17</c:v>
                </c:pt>
                <c:pt idx="2">
                  <c:v>17</c:v>
                </c:pt>
                <c:pt idx="3">
                  <c:v>23</c:v>
                </c:pt>
                <c:pt idx="4">
                  <c:v>17</c:v>
                </c:pt>
                <c:pt idx="5">
                  <c:v>29</c:v>
                </c:pt>
                <c:pt idx="6">
                  <c:v>20</c:v>
                </c:pt>
                <c:pt idx="7">
                  <c:v>21</c:v>
                </c:pt>
                <c:pt idx="8">
                  <c:v>20</c:v>
                </c:pt>
                <c:pt idx="9">
                  <c:v>19</c:v>
                </c:pt>
                <c:pt idx="10">
                  <c:v>15</c:v>
                </c:pt>
                <c:pt idx="11">
                  <c:v>20</c:v>
                </c:pt>
                <c:pt idx="12">
                  <c:v>19</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20</c:v>
                </c:pt>
                <c:pt idx="1">
                  <c:v>20</c:v>
                </c:pt>
                <c:pt idx="2">
                  <c:v>20</c:v>
                </c:pt>
                <c:pt idx="3">
                  <c:v>20</c:v>
                </c:pt>
                <c:pt idx="4">
                  <c:v>20</c:v>
                </c:pt>
                <c:pt idx="5">
                  <c:v>20</c:v>
                </c:pt>
                <c:pt idx="6">
                  <c:v>20</c:v>
                </c:pt>
                <c:pt idx="7">
                  <c:v>20</c:v>
                </c:pt>
                <c:pt idx="8">
                  <c:v>20</c:v>
                </c:pt>
                <c:pt idx="9">
                  <c:v>20</c:v>
                </c:pt>
                <c:pt idx="10">
                  <c:v>20</c:v>
                </c:pt>
                <c:pt idx="11">
                  <c:v>20</c:v>
                </c:pt>
                <c:pt idx="12">
                  <c:v>20</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0.222</c:v>
                </c:pt>
                <c:pt idx="1">
                  <c:v>0.338</c:v>
                </c:pt>
                <c:pt idx="2">
                  <c:v>0.583</c:v>
                </c:pt>
                <c:pt idx="3">
                  <c:v>0.662</c:v>
                </c:pt>
                <c:pt idx="4">
                  <c:v>0.17</c:v>
                </c:pt>
                <c:pt idx="5">
                  <c:v>0.213</c:v>
                </c:pt>
                <c:pt idx="6">
                  <c:v>0.265</c:v>
                </c:pt>
                <c:pt idx="7">
                  <c:v>0.316</c:v>
                </c:pt>
                <c:pt idx="8">
                  <c:v>0.284</c:v>
                </c:pt>
                <c:pt idx="9">
                  <c:v>0.216</c:v>
                </c:pt>
                <c:pt idx="10">
                  <c:v>0.26</c:v>
                </c:pt>
                <c:pt idx="11">
                  <c:v>0.253</c:v>
                </c:pt>
                <c:pt idx="12">
                  <c:v>0.315</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0.36</c:v>
                </c:pt>
                <c:pt idx="1">
                  <c:v>0.65</c:v>
                </c:pt>
                <c:pt idx="2">
                  <c:v>0.86</c:v>
                </c:pt>
                <c:pt idx="3">
                  <c:v>0.66</c:v>
                </c:pt>
                <c:pt idx="4">
                  <c:v>0.48</c:v>
                </c:pt>
                <c:pt idx="5">
                  <c:v>0.35</c:v>
                </c:pt>
                <c:pt idx="6">
                  <c:v>0.17</c:v>
                </c:pt>
                <c:pt idx="7">
                  <c:v>0.22</c:v>
                </c:pt>
                <c:pt idx="8">
                  <c:v>0.24</c:v>
                </c:pt>
                <c:pt idx="9">
                  <c:v>0.17</c:v>
                </c:pt>
                <c:pt idx="10">
                  <c:v>0.21</c:v>
                </c:pt>
                <c:pt idx="11">
                  <c:v>0.22</c:v>
                </c:pt>
                <c:pt idx="12">
                  <c:v>0.38</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0.29</c:v>
                </c:pt>
                <c:pt idx="1">
                  <c:v>0.44</c:v>
                </c:pt>
                <c:pt idx="2">
                  <c:v>0.39</c:v>
                </c:pt>
                <c:pt idx="3">
                  <c:v>0.35</c:v>
                </c:pt>
                <c:pt idx="4">
                  <c:v>0.28</c:v>
                </c:pt>
                <c:pt idx="5">
                  <c:v>0.45</c:v>
                </c:pt>
                <c:pt idx="6">
                  <c:v>0.19</c:v>
                </c:pt>
                <c:pt idx="7">
                  <c:v>0.21</c:v>
                </c:pt>
                <c:pt idx="8">
                  <c:v>0.29</c:v>
                </c:pt>
                <c:pt idx="9">
                  <c:v>0.25</c:v>
                </c:pt>
                <c:pt idx="10">
                  <c:v>0.31</c:v>
                </c:pt>
                <c:pt idx="11">
                  <c:v>0.32</c:v>
                </c:pt>
                <c:pt idx="12">
                  <c:v>0.31</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0.997</c:v>
                </c:pt>
                <c:pt idx="1">
                  <c:v>1.81</c:v>
                </c:pt>
                <c:pt idx="2">
                  <c:v>2.556</c:v>
                </c:pt>
                <c:pt idx="3">
                  <c:v>1.08</c:v>
                </c:pt>
                <c:pt idx="4">
                  <c:v>0.358</c:v>
                </c:pt>
                <c:pt idx="5">
                  <c:v>0.152</c:v>
                </c:pt>
                <c:pt idx="6">
                  <c:v>0.309</c:v>
                </c:pt>
                <c:pt idx="7">
                  <c:v>0.3</c:v>
                </c:pt>
                <c:pt idx="8">
                  <c:v>0.688</c:v>
                </c:pt>
                <c:pt idx="9">
                  <c:v>0.282</c:v>
                </c:pt>
                <c:pt idx="10">
                  <c:v>0.342</c:v>
                </c:pt>
                <c:pt idx="11">
                  <c:v>0.356</c:v>
                </c:pt>
                <c:pt idx="12">
                  <c:v>0.769</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2.02</c:v>
                </c:pt>
                <c:pt idx="1">
                  <c:v>3.84</c:v>
                </c:pt>
                <c:pt idx="2">
                  <c:v>4.77</c:v>
                </c:pt>
                <c:pt idx="3">
                  <c:v>4.26</c:v>
                </c:pt>
                <c:pt idx="4">
                  <c:v>2.44</c:v>
                </c:pt>
                <c:pt idx="5">
                  <c:v>0.56</c:v>
                </c:pt>
                <c:pt idx="6">
                  <c:v>0.449</c:v>
                </c:pt>
                <c:pt idx="7">
                  <c:v>0.257</c:v>
                </c:pt>
                <c:pt idx="8">
                  <c:v>0.303</c:v>
                </c:pt>
                <c:pt idx="9">
                  <c:v>0.26</c:v>
                </c:pt>
                <c:pt idx="10">
                  <c:v>0.66</c:v>
                </c:pt>
                <c:pt idx="11">
                  <c:v>0.51</c:v>
                </c:pt>
                <c:pt idx="12">
                  <c:v>1.69</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0.58</c:v>
                </c:pt>
                <c:pt idx="1">
                  <c:v>0.63</c:v>
                </c:pt>
                <c:pt idx="2">
                  <c:v>0.67</c:v>
                </c:pt>
                <c:pt idx="3">
                  <c:v>0.65</c:v>
                </c:pt>
                <c:pt idx="4">
                  <c:v>0.27</c:v>
                </c:pt>
                <c:pt idx="5">
                  <c:v>0.43</c:v>
                </c:pt>
                <c:pt idx="6">
                  <c:v>0.35</c:v>
                </c:pt>
                <c:pt idx="7">
                  <c:v>0.33</c:v>
                </c:pt>
                <c:pt idx="8">
                  <c:v>0.3</c:v>
                </c:pt>
                <c:pt idx="9">
                  <c:v>0.24</c:v>
                </c:pt>
                <c:pt idx="10">
                  <c:v>0.3</c:v>
                </c:pt>
                <c:pt idx="11">
                  <c:v>0.67</c:v>
                </c:pt>
                <c:pt idx="12">
                  <c:v>0.45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3.6</c:v>
                </c:pt>
                <c:pt idx="1">
                  <c:v>4.93</c:v>
                </c:pt>
                <c:pt idx="2">
                  <c:v>6.86</c:v>
                </c:pt>
                <c:pt idx="3">
                  <c:v>7.62</c:v>
                </c:pt>
                <c:pt idx="4">
                  <c:v>5.73</c:v>
                </c:pt>
                <c:pt idx="5">
                  <c:v>5.32</c:v>
                </c:pt>
                <c:pt idx="6">
                  <c:v>5.1</c:v>
                </c:pt>
                <c:pt idx="7">
                  <c:v>5.37</c:v>
                </c:pt>
                <c:pt idx="8">
                  <c:v>6.1</c:v>
                </c:pt>
                <c:pt idx="9">
                  <c:v>5.68</c:v>
                </c:pt>
                <c:pt idx="10">
                  <c:v>4.82</c:v>
                </c:pt>
                <c:pt idx="11">
                  <c:v>4.42</c:v>
                </c:pt>
                <c:pt idx="12">
                  <c:v>5.46</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4.1</c:v>
                </c:pt>
                <c:pt idx="1">
                  <c:v>7.4</c:v>
                </c:pt>
                <c:pt idx="2">
                  <c:v>9.6</c:v>
                </c:pt>
                <c:pt idx="3">
                  <c:v>7.2</c:v>
                </c:pt>
                <c:pt idx="4">
                  <c:v>6.7</c:v>
                </c:pt>
                <c:pt idx="5">
                  <c:v>4.7</c:v>
                </c:pt>
                <c:pt idx="6">
                  <c:v>5.4</c:v>
                </c:pt>
                <c:pt idx="7">
                  <c:v>4.5</c:v>
                </c:pt>
                <c:pt idx="8">
                  <c:v>6</c:v>
                </c:pt>
                <c:pt idx="9">
                  <c:v>5.4</c:v>
                </c:pt>
                <c:pt idx="10">
                  <c:v>4.9</c:v>
                </c:pt>
                <c:pt idx="11">
                  <c:v>5.7</c:v>
                </c:pt>
                <c:pt idx="12">
                  <c:v>6</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3</c:v>
                </c:pt>
                <c:pt idx="1">
                  <c:v>3.5</c:v>
                </c:pt>
                <c:pt idx="2">
                  <c:v>3.7</c:v>
                </c:pt>
                <c:pt idx="3">
                  <c:v>6.7</c:v>
                </c:pt>
                <c:pt idx="4">
                  <c:v>4.1</c:v>
                </c:pt>
                <c:pt idx="5">
                  <c:v>6.4</c:v>
                </c:pt>
                <c:pt idx="6">
                  <c:v>5.1</c:v>
                </c:pt>
                <c:pt idx="7">
                  <c:v>5</c:v>
                </c:pt>
                <c:pt idx="8">
                  <c:v>5.1</c:v>
                </c:pt>
                <c:pt idx="9">
                  <c:v>4.9</c:v>
                </c:pt>
                <c:pt idx="10">
                  <c:v>4.4</c:v>
                </c:pt>
                <c:pt idx="11">
                  <c:v>4.7</c:v>
                </c:pt>
                <c:pt idx="12">
                  <c:v>4.7</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CODcr</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1">
                  <c:v>26</c:v>
                </c:pt>
                <c:pt idx="2">
                  <c:v>21</c:v>
                </c:pt>
                <c:pt idx="3">
                  <c:v>25</c:v>
                </c:pt>
                <c:pt idx="4">
                  <c:v>21</c:v>
                </c:pt>
                <c:pt idx="5">
                  <c:v>25</c:v>
                </c:pt>
                <c:pt idx="6">
                  <c:v>22</c:v>
                </c:pt>
                <c:pt idx="7">
                  <c:v>18</c:v>
                </c:pt>
                <c:pt idx="8">
                  <c:v>18</c:v>
                </c:pt>
                <c:pt idx="9">
                  <c:v>16</c:v>
                </c:pt>
                <c:pt idx="10">
                  <c:v>16</c:v>
                </c:pt>
                <c:pt idx="11">
                  <c:v>18</c:v>
                </c:pt>
                <c:pt idx="12">
                  <c:v>21</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17</c:v>
                </c:pt>
                <c:pt idx="1">
                  <c:v>14</c:v>
                </c:pt>
                <c:pt idx="2">
                  <c:v>17</c:v>
                </c:pt>
                <c:pt idx="3">
                  <c:v>17</c:v>
                </c:pt>
                <c:pt idx="4">
                  <c:v>17</c:v>
                </c:pt>
                <c:pt idx="5">
                  <c:v>16</c:v>
                </c:pt>
                <c:pt idx="6">
                  <c:v>18</c:v>
                </c:pt>
                <c:pt idx="7">
                  <c:v>16</c:v>
                </c:pt>
                <c:pt idx="8">
                  <c:v>17</c:v>
                </c:pt>
                <c:pt idx="9">
                  <c:v>20</c:v>
                </c:pt>
                <c:pt idx="10">
                  <c:v>17</c:v>
                </c:pt>
                <c:pt idx="11">
                  <c:v>17</c:v>
                </c:pt>
                <c:pt idx="12">
                  <c:v>17</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17</c:v>
                </c:pt>
                <c:pt idx="1">
                  <c:v>16</c:v>
                </c:pt>
                <c:pt idx="2">
                  <c:v>15</c:v>
                </c:pt>
                <c:pt idx="3">
                  <c:v>15</c:v>
                </c:pt>
                <c:pt idx="4">
                  <c:v>16</c:v>
                </c:pt>
                <c:pt idx="5">
                  <c:v>17</c:v>
                </c:pt>
                <c:pt idx="6">
                  <c:v>15</c:v>
                </c:pt>
                <c:pt idx="7">
                  <c:v>9</c:v>
                </c:pt>
                <c:pt idx="8">
                  <c:v>19</c:v>
                </c:pt>
                <c:pt idx="9">
                  <c:v>14</c:v>
                </c:pt>
                <c:pt idx="10">
                  <c:v>13</c:v>
                </c:pt>
                <c:pt idx="11">
                  <c:v>17</c:v>
                </c:pt>
                <c:pt idx="12">
                  <c:v>15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20</c:v>
                </c:pt>
                <c:pt idx="1">
                  <c:v>20</c:v>
                </c:pt>
                <c:pt idx="2">
                  <c:v>20</c:v>
                </c:pt>
                <c:pt idx="3">
                  <c:v>20</c:v>
                </c:pt>
                <c:pt idx="4">
                  <c:v>20</c:v>
                </c:pt>
                <c:pt idx="5">
                  <c:v>20</c:v>
                </c:pt>
                <c:pt idx="6">
                  <c:v>20</c:v>
                </c:pt>
                <c:pt idx="7">
                  <c:v>20</c:v>
                </c:pt>
                <c:pt idx="8">
                  <c:v>20</c:v>
                </c:pt>
                <c:pt idx="9">
                  <c:v>20</c:v>
                </c:pt>
                <c:pt idx="10">
                  <c:v>20</c:v>
                </c:pt>
                <c:pt idx="11">
                  <c:v>20</c:v>
                </c:pt>
                <c:pt idx="12">
                  <c:v>20</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0.119</c:v>
                </c:pt>
                <c:pt idx="1">
                  <c:v>0.171</c:v>
                </c:pt>
                <c:pt idx="2">
                  <c:v>0.247</c:v>
                </c:pt>
                <c:pt idx="3">
                  <c:v>0.167</c:v>
                </c:pt>
                <c:pt idx="4">
                  <c:v>0.087</c:v>
                </c:pt>
                <c:pt idx="5">
                  <c:v>0.14</c:v>
                </c:pt>
                <c:pt idx="6">
                  <c:v>0.194</c:v>
                </c:pt>
                <c:pt idx="7">
                  <c:v>0.089</c:v>
                </c:pt>
                <c:pt idx="8">
                  <c:v>0.103</c:v>
                </c:pt>
                <c:pt idx="9">
                  <c:v>0.118</c:v>
                </c:pt>
                <c:pt idx="10">
                  <c:v>0.105</c:v>
                </c:pt>
                <c:pt idx="11">
                  <c:v>0.09</c:v>
                </c:pt>
                <c:pt idx="12">
                  <c:v>0.136</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0.09</c:v>
                </c:pt>
                <c:pt idx="1">
                  <c:v>0.24</c:v>
                </c:pt>
                <c:pt idx="2">
                  <c:v>0.2</c:v>
                </c:pt>
                <c:pt idx="3">
                  <c:v>0.16</c:v>
                </c:pt>
                <c:pt idx="4">
                  <c:v>0.19</c:v>
                </c:pt>
                <c:pt idx="5">
                  <c:v>0.11</c:v>
                </c:pt>
                <c:pt idx="6">
                  <c:v>0.08</c:v>
                </c:pt>
                <c:pt idx="7">
                  <c:v>0.13</c:v>
                </c:pt>
                <c:pt idx="8">
                  <c:v>0.08</c:v>
                </c:pt>
                <c:pt idx="9">
                  <c:v>0.12</c:v>
                </c:pt>
                <c:pt idx="10">
                  <c:v>0.15</c:v>
                </c:pt>
                <c:pt idx="11">
                  <c:v>0.1</c:v>
                </c:pt>
                <c:pt idx="12">
                  <c:v>0.14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0.11</c:v>
                </c:pt>
                <c:pt idx="1">
                  <c:v>0.24</c:v>
                </c:pt>
                <c:pt idx="2">
                  <c:v>0.25</c:v>
                </c:pt>
                <c:pt idx="3">
                  <c:v>0.2</c:v>
                </c:pt>
                <c:pt idx="4">
                  <c:v>0.1</c:v>
                </c:pt>
                <c:pt idx="5">
                  <c:v>0.16</c:v>
                </c:pt>
                <c:pt idx="6">
                  <c:v>0.12</c:v>
                </c:pt>
                <c:pt idx="7">
                  <c:v>0.1</c:v>
                </c:pt>
                <c:pt idx="8">
                  <c:v>0.09</c:v>
                </c:pt>
                <c:pt idx="9">
                  <c:v>0.09</c:v>
                </c:pt>
                <c:pt idx="10">
                  <c:v>0.09</c:v>
                </c:pt>
                <c:pt idx="11">
                  <c:v>0.2</c:v>
                </c:pt>
                <c:pt idx="12">
                  <c:v>0.15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0.675</c:v>
                </c:pt>
                <c:pt idx="1">
                  <c:v>0.961</c:v>
                </c:pt>
                <c:pt idx="2">
                  <c:v>1.169</c:v>
                </c:pt>
                <c:pt idx="3">
                  <c:v>1.117</c:v>
                </c:pt>
                <c:pt idx="4">
                  <c:v>0.693</c:v>
                </c:pt>
                <c:pt idx="5">
                  <c:v>0.158</c:v>
                </c:pt>
                <c:pt idx="6">
                  <c:v>0.262</c:v>
                </c:pt>
                <c:pt idx="7">
                  <c:v>0.371</c:v>
                </c:pt>
                <c:pt idx="8">
                  <c:v>0.283</c:v>
                </c:pt>
                <c:pt idx="9">
                  <c:v>0.361</c:v>
                </c:pt>
                <c:pt idx="10">
                  <c:v>0.101</c:v>
                </c:pt>
                <c:pt idx="11">
                  <c:v>0.449</c:v>
                </c:pt>
                <c:pt idx="12">
                  <c:v>0.55</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0.994</c:v>
                </c:pt>
                <c:pt idx="1">
                  <c:v>1.21</c:v>
                </c:pt>
                <c:pt idx="2">
                  <c:v>0.532</c:v>
                </c:pt>
                <c:pt idx="3">
                  <c:v>0.475</c:v>
                </c:pt>
                <c:pt idx="4">
                  <c:v>1.13</c:v>
                </c:pt>
                <c:pt idx="5">
                  <c:v>0.174</c:v>
                </c:pt>
                <c:pt idx="6">
                  <c:v>0.158</c:v>
                </c:pt>
                <c:pt idx="7">
                  <c:v>0.158</c:v>
                </c:pt>
                <c:pt idx="8">
                  <c:v>0.142</c:v>
                </c:pt>
                <c:pt idx="9">
                  <c:v>0.262</c:v>
                </c:pt>
                <c:pt idx="10">
                  <c:v>0.2</c:v>
                </c:pt>
                <c:pt idx="11">
                  <c:v>0.31</c:v>
                </c:pt>
                <c:pt idx="12">
                  <c:v>0.48</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0.65</c:v>
                </c:pt>
                <c:pt idx="1">
                  <c:v>1.04</c:v>
                </c:pt>
                <c:pt idx="2">
                  <c:v>0.84</c:v>
                </c:pt>
                <c:pt idx="3">
                  <c:v>0.9</c:v>
                </c:pt>
                <c:pt idx="4">
                  <c:v>0.17</c:v>
                </c:pt>
                <c:pt idx="5">
                  <c:v>0.24</c:v>
                </c:pt>
                <c:pt idx="6">
                  <c:v>0.12</c:v>
                </c:pt>
                <c:pt idx="7">
                  <c:v>0.07</c:v>
                </c:pt>
                <c:pt idx="8">
                  <c:v>0.06</c:v>
                </c:pt>
                <c:pt idx="9">
                  <c:v>0.19</c:v>
                </c:pt>
                <c:pt idx="10">
                  <c:v>0.15</c:v>
                </c:pt>
                <c:pt idx="11">
                  <c:v>1.65</c:v>
                </c:pt>
                <c:pt idx="12">
                  <c:v>0.51</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4.31</c:v>
                </c:pt>
                <c:pt idx="1">
                  <c:v>4.87</c:v>
                </c:pt>
                <c:pt idx="2">
                  <c:v>5.23</c:v>
                </c:pt>
                <c:pt idx="3">
                  <c:v>4.39</c:v>
                </c:pt>
                <c:pt idx="4">
                  <c:v>4.53</c:v>
                </c:pt>
                <c:pt idx="5">
                  <c:v>4.53</c:v>
                </c:pt>
                <c:pt idx="6">
                  <c:v>4.2</c:v>
                </c:pt>
                <c:pt idx="7">
                  <c:v>3.91</c:v>
                </c:pt>
                <c:pt idx="8">
                  <c:v>4.48</c:v>
                </c:pt>
                <c:pt idx="9">
                  <c:v>4.36</c:v>
                </c:pt>
                <c:pt idx="10">
                  <c:v>4.65</c:v>
                </c:pt>
                <c:pt idx="11">
                  <c:v>3.84</c:v>
                </c:pt>
                <c:pt idx="12">
                  <c:v>4.4</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3.8</c:v>
                </c:pt>
                <c:pt idx="1">
                  <c:v>4.7</c:v>
                </c:pt>
                <c:pt idx="2">
                  <c:v>5.7</c:v>
                </c:pt>
                <c:pt idx="3">
                  <c:v>5</c:v>
                </c:pt>
                <c:pt idx="4">
                  <c:v>4.1</c:v>
                </c:pt>
                <c:pt idx="5">
                  <c:v>4.1</c:v>
                </c:pt>
                <c:pt idx="6">
                  <c:v>4.1</c:v>
                </c:pt>
                <c:pt idx="7">
                  <c:v>4</c:v>
                </c:pt>
                <c:pt idx="8">
                  <c:v>4.6</c:v>
                </c:pt>
                <c:pt idx="9">
                  <c:v>4.5</c:v>
                </c:pt>
                <c:pt idx="10">
                  <c:v>4.3</c:v>
                </c:pt>
                <c:pt idx="11">
                  <c:v>4.5</c:v>
                </c:pt>
                <c:pt idx="12">
                  <c:v>4.4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4.3</c:v>
                </c:pt>
                <c:pt idx="1">
                  <c:v>4.4</c:v>
                </c:pt>
                <c:pt idx="2">
                  <c:v>4.5</c:v>
                </c:pt>
                <c:pt idx="3">
                  <c:v>4.9</c:v>
                </c:pt>
                <c:pt idx="4">
                  <c:v>5</c:v>
                </c:pt>
                <c:pt idx="5">
                  <c:v>4.5</c:v>
                </c:pt>
                <c:pt idx="6">
                  <c:v>4.3</c:v>
                </c:pt>
                <c:pt idx="7">
                  <c:v>3.5</c:v>
                </c:pt>
                <c:pt idx="8">
                  <c:v>3.5</c:v>
                </c:pt>
                <c:pt idx="9">
                  <c:v>4.4</c:v>
                </c:pt>
                <c:pt idx="10">
                  <c:v>5.8</c:v>
                </c:pt>
                <c:pt idx="11">
                  <c:v>4.9</c:v>
                </c:pt>
                <c:pt idx="12">
                  <c:v>4.5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CODcr</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13</c:v>
                </c:pt>
                <c:pt idx="1">
                  <c:v>15</c:v>
                </c:pt>
                <c:pt idx="2">
                  <c:v>12</c:v>
                </c:pt>
                <c:pt idx="3">
                  <c:v>10</c:v>
                </c:pt>
                <c:pt idx="4">
                  <c:v>13</c:v>
                </c:pt>
                <c:pt idx="5">
                  <c:v>12</c:v>
                </c:pt>
                <c:pt idx="6">
                  <c:v>12</c:v>
                </c:pt>
                <c:pt idx="7">
                  <c:v>12</c:v>
                </c:pt>
                <c:pt idx="8">
                  <c:v>10</c:v>
                </c:pt>
                <c:pt idx="9">
                  <c:v>14</c:v>
                </c:pt>
                <c:pt idx="10">
                  <c:v>15</c:v>
                </c:pt>
                <c:pt idx="11">
                  <c:v>10</c:v>
                </c:pt>
                <c:pt idx="12">
                  <c:v>12</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12</c:v>
                </c:pt>
                <c:pt idx="1">
                  <c:v>12</c:v>
                </c:pt>
                <c:pt idx="2">
                  <c:v>13</c:v>
                </c:pt>
                <c:pt idx="3">
                  <c:v>15</c:v>
                </c:pt>
                <c:pt idx="4">
                  <c:v>8</c:v>
                </c:pt>
                <c:pt idx="5">
                  <c:v>12</c:v>
                </c:pt>
                <c:pt idx="6">
                  <c:v>15</c:v>
                </c:pt>
                <c:pt idx="7">
                  <c:v>12</c:v>
                </c:pt>
                <c:pt idx="8">
                  <c:v>15</c:v>
                </c:pt>
                <c:pt idx="9">
                  <c:v>17</c:v>
                </c:pt>
                <c:pt idx="10">
                  <c:v>18</c:v>
                </c:pt>
                <c:pt idx="11">
                  <c:v>14</c:v>
                </c:pt>
                <c:pt idx="12">
                  <c:v>14</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20</c:v>
                </c:pt>
                <c:pt idx="1">
                  <c:v>20</c:v>
                </c:pt>
                <c:pt idx="2">
                  <c:v>20</c:v>
                </c:pt>
                <c:pt idx="3">
                  <c:v>20</c:v>
                </c:pt>
                <c:pt idx="4">
                  <c:v>20</c:v>
                </c:pt>
                <c:pt idx="5">
                  <c:v>20</c:v>
                </c:pt>
                <c:pt idx="6">
                  <c:v>20</c:v>
                </c:pt>
                <c:pt idx="7">
                  <c:v>20</c:v>
                </c:pt>
                <c:pt idx="8">
                  <c:v>20</c:v>
                </c:pt>
                <c:pt idx="9">
                  <c:v>20</c:v>
                </c:pt>
                <c:pt idx="10">
                  <c:v>20</c:v>
                </c:pt>
                <c:pt idx="11">
                  <c:v>20</c:v>
                </c:pt>
                <c:pt idx="12">
                  <c:v>20</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[计算.xlsx]Sheet1!$L$231</c:f>
              <c:strCache>
                <c:ptCount val="1"/>
                <c:pt idx="0">
                  <c:v>SO2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[计算.xlsx]Sheet1!$L$232:$L$236</c:f>
              <c:numCache>
                <c:formatCode>General</c:formatCode>
                <c:ptCount val="5"/>
                <c:pt idx="0">
                  <c:v>19</c:v>
                </c:pt>
                <c:pt idx="1">
                  <c:v>28</c:v>
                </c:pt>
                <c:pt idx="2">
                  <c:v>31</c:v>
                </c:pt>
                <c:pt idx="3">
                  <c:v>23.7</c:v>
                </c:pt>
                <c:pt idx="4">
                  <c:v>27.6</c:v>
                </c:pt>
              </c:numCache>
            </c:numRef>
          </c:val>
          <c:smooth val="0"/>
        </c:ser>
        <c:ser>
          <c:idx val="1"/>
          <c:order val="1"/>
          <c:tx>
            <c:strRef>
              <c:f>[计算.xlsx]Sheet1!$M$231</c:f>
              <c:strCache>
                <c:ptCount val="1"/>
                <c:pt idx="0">
                  <c:v>标准值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[计算.xlsx]Sheet1!$M$232:$M$236</c:f>
              <c:numCache>
                <c:formatCode>General</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233981796"/>
        <c:axId val="863174336"/>
      </c:lineChart>
      <c:catAx>
        <c:axId val="2339817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174336"/>
        <c:crosses val="autoZero"/>
        <c:auto val="1"/>
        <c:lblAlgn val="ctr"/>
        <c:lblOffset val="100"/>
        <c:noMultiLvlLbl val="0"/>
      </c:catAx>
      <c:valAx>
        <c:axId val="8631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年均浓度（</a:t>
                </a:r>
                <a:r>
                  <a:rPr lang="en-US" altLang="zh-CN"/>
                  <a:t>ug/m3</a:t>
                </a:r>
                <a:r>
                  <a:rPr altLang="en-US"/>
                  <a:t>）</a:t>
                </a:r>
                <a:endParaRPr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9817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0.088</c:v>
                </c:pt>
                <c:pt idx="1">
                  <c:v>0.1</c:v>
                </c:pt>
                <c:pt idx="2">
                  <c:v>0.142</c:v>
                </c:pt>
                <c:pt idx="3">
                  <c:v>0.098</c:v>
                </c:pt>
                <c:pt idx="4">
                  <c:v>0.057</c:v>
                </c:pt>
                <c:pt idx="5">
                  <c:v>0.169</c:v>
                </c:pt>
                <c:pt idx="6">
                  <c:v>0.162</c:v>
                </c:pt>
                <c:pt idx="7">
                  <c:v>0.075</c:v>
                </c:pt>
                <c:pt idx="8">
                  <c:v>0.156</c:v>
                </c:pt>
                <c:pt idx="9">
                  <c:v>0.113</c:v>
                </c:pt>
                <c:pt idx="10">
                  <c:v>0.084</c:v>
                </c:pt>
                <c:pt idx="11">
                  <c:v>0.08</c:v>
                </c:pt>
                <c:pt idx="12">
                  <c:v>0.11</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0.08</c:v>
                </c:pt>
                <c:pt idx="1">
                  <c:v>0.08</c:v>
                </c:pt>
                <c:pt idx="2">
                  <c:v>0.05</c:v>
                </c:pt>
                <c:pt idx="3">
                  <c:v>0.09</c:v>
                </c:pt>
                <c:pt idx="4">
                  <c:v>0.14</c:v>
                </c:pt>
                <c:pt idx="5">
                  <c:v>0.11</c:v>
                </c:pt>
                <c:pt idx="6">
                  <c:v>0.07</c:v>
                </c:pt>
                <c:pt idx="7">
                  <c:v>0.11</c:v>
                </c:pt>
                <c:pt idx="8">
                  <c:v>0.09</c:v>
                </c:pt>
                <c:pt idx="9">
                  <c:v>0.09</c:v>
                </c:pt>
                <c:pt idx="10">
                  <c:v>0.06</c:v>
                </c:pt>
                <c:pt idx="11">
                  <c:v>0.09</c:v>
                </c:pt>
                <c:pt idx="12">
                  <c:v>0.09</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0.11</c:v>
                </c:pt>
                <c:pt idx="1">
                  <c:v>0.11</c:v>
                </c:pt>
                <c:pt idx="2">
                  <c:v>0.13</c:v>
                </c:pt>
                <c:pt idx="3">
                  <c:v>0.17</c:v>
                </c:pt>
                <c:pt idx="4">
                  <c:v>0.09</c:v>
                </c:pt>
                <c:pt idx="5">
                  <c:v>0.07</c:v>
                </c:pt>
                <c:pt idx="6">
                  <c:v>0.1</c:v>
                </c:pt>
                <c:pt idx="7">
                  <c:v>0.07</c:v>
                </c:pt>
                <c:pt idx="8">
                  <c:v>0.07</c:v>
                </c:pt>
                <c:pt idx="9">
                  <c:v>0.13</c:v>
                </c:pt>
                <c:pt idx="10">
                  <c:v>0.12</c:v>
                </c:pt>
                <c:pt idx="11">
                  <c:v>0.11</c:v>
                </c:pt>
                <c:pt idx="12">
                  <c:v>0.11</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0.634</c:v>
                </c:pt>
                <c:pt idx="1">
                  <c:v>0.844</c:v>
                </c:pt>
                <c:pt idx="2">
                  <c:v>0.932</c:v>
                </c:pt>
                <c:pt idx="3">
                  <c:v>0.909</c:v>
                </c:pt>
                <c:pt idx="4">
                  <c:v>0.322</c:v>
                </c:pt>
                <c:pt idx="5">
                  <c:v>0.886</c:v>
                </c:pt>
                <c:pt idx="6">
                  <c:v>0.296</c:v>
                </c:pt>
                <c:pt idx="7">
                  <c:v>0.548</c:v>
                </c:pt>
                <c:pt idx="8">
                  <c:v>0.415</c:v>
                </c:pt>
                <c:pt idx="9">
                  <c:v>0.512</c:v>
                </c:pt>
                <c:pt idx="10">
                  <c:v>0.35</c:v>
                </c:pt>
                <c:pt idx="11">
                  <c:v>0.752</c:v>
                </c:pt>
                <c:pt idx="12">
                  <c:v>0.617</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0.63</c:v>
                </c:pt>
                <c:pt idx="1">
                  <c:v>0.704</c:v>
                </c:pt>
                <c:pt idx="2">
                  <c:v>0.257</c:v>
                </c:pt>
                <c:pt idx="3">
                  <c:v>0.462</c:v>
                </c:pt>
                <c:pt idx="4">
                  <c:v>0.632</c:v>
                </c:pt>
                <c:pt idx="5">
                  <c:v>0.584</c:v>
                </c:pt>
                <c:pt idx="6">
                  <c:v>0.686</c:v>
                </c:pt>
                <c:pt idx="7">
                  <c:v>0.618</c:v>
                </c:pt>
                <c:pt idx="8">
                  <c:v>0.25</c:v>
                </c:pt>
                <c:pt idx="9">
                  <c:v>0.54</c:v>
                </c:pt>
                <c:pt idx="10">
                  <c:v>0.403</c:v>
                </c:pt>
                <c:pt idx="11">
                  <c:v>0.316</c:v>
                </c:pt>
                <c:pt idx="12">
                  <c:v>0.507</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0.236</c:v>
                </c:pt>
                <c:pt idx="1">
                  <c:v>0.653</c:v>
                </c:pt>
                <c:pt idx="2">
                  <c:v>0.988</c:v>
                </c:pt>
                <c:pt idx="3">
                  <c:v>0.761</c:v>
                </c:pt>
                <c:pt idx="4">
                  <c:v>0.671</c:v>
                </c:pt>
                <c:pt idx="5">
                  <c:v>0.552</c:v>
                </c:pt>
                <c:pt idx="6">
                  <c:v>0.52</c:v>
                </c:pt>
                <c:pt idx="7">
                  <c:v>0.3</c:v>
                </c:pt>
                <c:pt idx="8">
                  <c:v>0.358</c:v>
                </c:pt>
                <c:pt idx="9">
                  <c:v>0.49</c:v>
                </c:pt>
                <c:pt idx="10">
                  <c:v>0.54</c:v>
                </c:pt>
                <c:pt idx="11">
                  <c:v>0.47</c:v>
                </c:pt>
                <c:pt idx="12">
                  <c:v>0.55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3.4</c:v>
                </c:pt>
                <c:pt idx="1">
                  <c:v>1.9</c:v>
                </c:pt>
                <c:pt idx="2">
                  <c:v>5.12</c:v>
                </c:pt>
                <c:pt idx="3">
                  <c:v>4.4</c:v>
                </c:pt>
                <c:pt idx="4">
                  <c:v>4.85</c:v>
                </c:pt>
                <c:pt idx="5">
                  <c:v>4.2</c:v>
                </c:pt>
                <c:pt idx="6">
                  <c:v>4.8</c:v>
                </c:pt>
                <c:pt idx="7">
                  <c:v>3.8</c:v>
                </c:pt>
                <c:pt idx="8">
                  <c:v>5.8</c:v>
                </c:pt>
                <c:pt idx="9">
                  <c:v>4.6</c:v>
                </c:pt>
                <c:pt idx="10">
                  <c:v>3.94</c:v>
                </c:pt>
                <c:pt idx="11">
                  <c:v>3.5</c:v>
                </c:pt>
                <c:pt idx="12">
                  <c:v>4.2</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4.1</c:v>
                </c:pt>
                <c:pt idx="1">
                  <c:v>3.9</c:v>
                </c:pt>
                <c:pt idx="2">
                  <c:v>2.5</c:v>
                </c:pt>
                <c:pt idx="3">
                  <c:v>6.2</c:v>
                </c:pt>
                <c:pt idx="4">
                  <c:v>5.4</c:v>
                </c:pt>
                <c:pt idx="5">
                  <c:v>4.9</c:v>
                </c:pt>
                <c:pt idx="6">
                  <c:v>3.9</c:v>
                </c:pt>
                <c:pt idx="7">
                  <c:v>3.3</c:v>
                </c:pt>
                <c:pt idx="8">
                  <c:v>3.2</c:v>
                </c:pt>
                <c:pt idx="9">
                  <c:v>4</c:v>
                </c:pt>
                <c:pt idx="10">
                  <c:v>4</c:v>
                </c:pt>
                <c:pt idx="11">
                  <c:v>3.6</c:v>
                </c:pt>
                <c:pt idx="12">
                  <c:v>4.1</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4.5</c:v>
                </c:pt>
                <c:pt idx="1">
                  <c:v>3.5</c:v>
                </c:pt>
                <c:pt idx="2">
                  <c:v>5.1</c:v>
                </c:pt>
                <c:pt idx="3">
                  <c:v>5</c:v>
                </c:pt>
                <c:pt idx="4">
                  <c:v>3.8</c:v>
                </c:pt>
                <c:pt idx="5">
                  <c:v>3.7</c:v>
                </c:pt>
                <c:pt idx="6">
                  <c:v>3.5</c:v>
                </c:pt>
                <c:pt idx="7">
                  <c:v>2.5</c:v>
                </c:pt>
                <c:pt idx="8">
                  <c:v>3.8</c:v>
                </c:pt>
                <c:pt idx="9">
                  <c:v>3.5</c:v>
                </c:pt>
                <c:pt idx="10">
                  <c:v>3.2</c:v>
                </c:pt>
                <c:pt idx="11">
                  <c:v>3.5</c:v>
                </c:pt>
                <c:pt idx="12">
                  <c:v>3.8</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0.276</c:v>
                </c:pt>
                <c:pt idx="4">
                  <c:v>0.087</c:v>
                </c:pt>
                <c:pt idx="5">
                  <c:v>0.056</c:v>
                </c:pt>
                <c:pt idx="6">
                  <c:v>0.129</c:v>
                </c:pt>
                <c:pt idx="7">
                  <c:v>0.166</c:v>
                </c:pt>
                <c:pt idx="8">
                  <c:v>0.083</c:v>
                </c:pt>
                <c:pt idx="9">
                  <c:v>0.103</c:v>
                </c:pt>
                <c:pt idx="10">
                  <c:v>0.041</c:v>
                </c:pt>
                <c:pt idx="11">
                  <c:v>0.09</c:v>
                </c:pt>
                <c:pt idx="12">
                  <c:v>0.115</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0.08</c:v>
                </c:pt>
                <c:pt idx="1">
                  <c:v>0.07</c:v>
                </c:pt>
                <c:pt idx="2">
                  <c:v>0.06</c:v>
                </c:pt>
                <c:pt idx="3">
                  <c:v>0.3</c:v>
                </c:pt>
                <c:pt idx="4">
                  <c:v>0.1</c:v>
                </c:pt>
                <c:pt idx="5">
                  <c:v>0.15</c:v>
                </c:pt>
                <c:pt idx="6">
                  <c:v>0.11</c:v>
                </c:pt>
                <c:pt idx="7">
                  <c:v>0.03</c:v>
                </c:pt>
                <c:pt idx="8">
                  <c:v>0.09</c:v>
                </c:pt>
                <c:pt idx="9">
                  <c:v>0.14</c:v>
                </c:pt>
                <c:pt idx="10">
                  <c:v>0.09</c:v>
                </c:pt>
                <c:pt idx="11">
                  <c:v>0.06</c:v>
                </c:pt>
                <c:pt idx="12">
                  <c:v>0.11</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0.09</c:v>
                </c:pt>
                <c:pt idx="1">
                  <c:v>0.12</c:v>
                </c:pt>
                <c:pt idx="2">
                  <c:v>0.08</c:v>
                </c:pt>
                <c:pt idx="3">
                  <c:v>0.15</c:v>
                </c:pt>
                <c:pt idx="4">
                  <c:v>0.14</c:v>
                </c:pt>
                <c:pt idx="5">
                  <c:v>0.35</c:v>
                </c:pt>
                <c:pt idx="6">
                  <c:v>0.12</c:v>
                </c:pt>
                <c:pt idx="7">
                  <c:v>0.09</c:v>
                </c:pt>
                <c:pt idx="8">
                  <c:v>0.08</c:v>
                </c:pt>
                <c:pt idx="9">
                  <c:v>0.07</c:v>
                </c:pt>
                <c:pt idx="10">
                  <c:v>0.06</c:v>
                </c:pt>
                <c:pt idx="11">
                  <c:v>0.12</c:v>
                </c:pt>
                <c:pt idx="12">
                  <c:v>0.12</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0.494</c:v>
                </c:pt>
                <c:pt idx="4">
                  <c:v>0.423</c:v>
                </c:pt>
                <c:pt idx="5">
                  <c:v>0.215</c:v>
                </c:pt>
                <c:pt idx="6">
                  <c:v>0.179</c:v>
                </c:pt>
                <c:pt idx="7">
                  <c:v>0.246</c:v>
                </c:pt>
                <c:pt idx="8">
                  <c:v>0.262</c:v>
                </c:pt>
                <c:pt idx="9">
                  <c:v>0.168</c:v>
                </c:pt>
                <c:pt idx="10">
                  <c:v>0.168</c:v>
                </c:pt>
                <c:pt idx="11">
                  <c:v>0.194</c:v>
                </c:pt>
                <c:pt idx="12">
                  <c:v>0.261</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0.475</c:v>
                </c:pt>
                <c:pt idx="1">
                  <c:v>0.272</c:v>
                </c:pt>
                <c:pt idx="2">
                  <c:v>0.153</c:v>
                </c:pt>
                <c:pt idx="3">
                  <c:v>1.46</c:v>
                </c:pt>
                <c:pt idx="4">
                  <c:v>0.631</c:v>
                </c:pt>
                <c:pt idx="5">
                  <c:v>0.225</c:v>
                </c:pt>
                <c:pt idx="6">
                  <c:v>0.267</c:v>
                </c:pt>
                <c:pt idx="7">
                  <c:v>0.215</c:v>
                </c:pt>
                <c:pt idx="8">
                  <c:v>0.179</c:v>
                </c:pt>
                <c:pt idx="9">
                  <c:v>0.231</c:v>
                </c:pt>
                <c:pt idx="10">
                  <c:v>0.24</c:v>
                </c:pt>
                <c:pt idx="11">
                  <c:v>0.39</c:v>
                </c:pt>
                <c:pt idx="12">
                  <c:v>0.395</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0.85</c:v>
                </c:pt>
                <c:pt idx="1">
                  <c:v>0.89</c:v>
                </c:pt>
                <c:pt idx="2">
                  <c:v>0.69</c:v>
                </c:pt>
                <c:pt idx="3">
                  <c:v>0.32</c:v>
                </c:pt>
                <c:pt idx="4">
                  <c:v>0.15</c:v>
                </c:pt>
                <c:pt idx="5">
                  <c:v>0.17</c:v>
                </c:pt>
                <c:pt idx="6">
                  <c:v>0.09</c:v>
                </c:pt>
                <c:pt idx="7">
                  <c:v>0.04</c:v>
                </c:pt>
                <c:pt idx="8">
                  <c:v>0.07</c:v>
                </c:pt>
                <c:pt idx="9">
                  <c:v>0.25</c:v>
                </c:pt>
                <c:pt idx="10">
                  <c:v>0.28</c:v>
                </c:pt>
                <c:pt idx="11">
                  <c:v>0.37</c:v>
                </c:pt>
                <c:pt idx="12">
                  <c:v>0.35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5.09</c:v>
                </c:pt>
                <c:pt idx="4">
                  <c:v>3.1</c:v>
                </c:pt>
                <c:pt idx="5">
                  <c:v>5.66</c:v>
                </c:pt>
                <c:pt idx="6">
                  <c:v>3.48</c:v>
                </c:pt>
                <c:pt idx="7">
                  <c:v>3.25</c:v>
                </c:pt>
                <c:pt idx="8">
                  <c:v>4.15</c:v>
                </c:pt>
                <c:pt idx="9">
                  <c:v>3.88</c:v>
                </c:pt>
                <c:pt idx="10">
                  <c:v>4.45</c:v>
                </c:pt>
                <c:pt idx="11">
                  <c:v>3.36</c:v>
                </c:pt>
                <c:pt idx="12">
                  <c:v>4.05</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3.8</c:v>
                </c:pt>
                <c:pt idx="1">
                  <c:v>3.2</c:v>
                </c:pt>
                <c:pt idx="2">
                  <c:v>3.8</c:v>
                </c:pt>
                <c:pt idx="3">
                  <c:v>4.3</c:v>
                </c:pt>
                <c:pt idx="4">
                  <c:v>4.9</c:v>
                </c:pt>
                <c:pt idx="5">
                  <c:v>4.9</c:v>
                </c:pt>
                <c:pt idx="6">
                  <c:v>5.1</c:v>
                </c:pt>
                <c:pt idx="7">
                  <c:v>5.3</c:v>
                </c:pt>
                <c:pt idx="8">
                  <c:v>5.3</c:v>
                </c:pt>
                <c:pt idx="9">
                  <c:v>4.2</c:v>
                </c:pt>
                <c:pt idx="10">
                  <c:v>4.5</c:v>
                </c:pt>
                <c:pt idx="11">
                  <c:v>5.6</c:v>
                </c:pt>
                <c:pt idx="12">
                  <c:v>4.6</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4.5</c:v>
                </c:pt>
                <c:pt idx="1">
                  <c:v>4.8</c:v>
                </c:pt>
                <c:pt idx="2">
                  <c:v>4.8</c:v>
                </c:pt>
                <c:pt idx="3">
                  <c:v>5.3</c:v>
                </c:pt>
                <c:pt idx="4">
                  <c:v>5.6</c:v>
                </c:pt>
                <c:pt idx="5">
                  <c:v>4.3</c:v>
                </c:pt>
                <c:pt idx="6">
                  <c:v>5.4</c:v>
                </c:pt>
                <c:pt idx="7">
                  <c:v>4.5</c:v>
                </c:pt>
                <c:pt idx="8">
                  <c:v>4.4</c:v>
                </c:pt>
                <c:pt idx="9">
                  <c:v>4.1</c:v>
                </c:pt>
                <c:pt idx="10">
                  <c:v>5.3</c:v>
                </c:pt>
                <c:pt idx="11">
                  <c:v>5.7</c:v>
                </c:pt>
                <c:pt idx="12">
                  <c:v>4.9</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0.373</c:v>
                </c:pt>
                <c:pt idx="4">
                  <c:v>0.101</c:v>
                </c:pt>
                <c:pt idx="5">
                  <c:v>0.07</c:v>
                </c:pt>
                <c:pt idx="6">
                  <c:v>0.179</c:v>
                </c:pt>
                <c:pt idx="7">
                  <c:v>0.129</c:v>
                </c:pt>
                <c:pt idx="8">
                  <c:v>0.079</c:v>
                </c:pt>
                <c:pt idx="9">
                  <c:v>0.134</c:v>
                </c:pt>
                <c:pt idx="10">
                  <c:v>0.115</c:v>
                </c:pt>
                <c:pt idx="11">
                  <c:v>0.13</c:v>
                </c:pt>
                <c:pt idx="12">
                  <c:v>0.15</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0.17</c:v>
                </c:pt>
                <c:pt idx="1">
                  <c:v>0.41</c:v>
                </c:pt>
                <c:pt idx="2">
                  <c:v>0.45</c:v>
                </c:pt>
                <c:pt idx="3">
                  <c:v>0.68</c:v>
                </c:pt>
                <c:pt idx="4">
                  <c:v>0.39</c:v>
                </c:pt>
                <c:pt idx="5">
                  <c:v>0.18</c:v>
                </c:pt>
                <c:pt idx="6">
                  <c:v>0.11</c:v>
                </c:pt>
                <c:pt idx="7">
                  <c:v>0.12</c:v>
                </c:pt>
                <c:pt idx="8">
                  <c:v>0.08</c:v>
                </c:pt>
                <c:pt idx="9">
                  <c:v>0.27</c:v>
                </c:pt>
                <c:pt idx="10">
                  <c:v>0.08</c:v>
                </c:pt>
                <c:pt idx="11">
                  <c:v>0.1</c:v>
                </c:pt>
                <c:pt idx="12">
                  <c:v>0.25</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0.1</c:v>
                </c:pt>
                <c:pt idx="1">
                  <c:v>0.23</c:v>
                </c:pt>
                <c:pt idx="2">
                  <c:v>0.3</c:v>
                </c:pt>
                <c:pt idx="3">
                  <c:v>0.23</c:v>
                </c:pt>
                <c:pt idx="4">
                  <c:v>0.18</c:v>
                </c:pt>
                <c:pt idx="5">
                  <c:v>0.19</c:v>
                </c:pt>
                <c:pt idx="6">
                  <c:v>0.11</c:v>
                </c:pt>
                <c:pt idx="7">
                  <c:v>0.11</c:v>
                </c:pt>
                <c:pt idx="8">
                  <c:v>0.1</c:v>
                </c:pt>
                <c:pt idx="9">
                  <c:v>0.14</c:v>
                </c:pt>
                <c:pt idx="10">
                  <c:v>0.15</c:v>
                </c:pt>
                <c:pt idx="11">
                  <c:v>0.13</c:v>
                </c:pt>
                <c:pt idx="12">
                  <c:v>0.16</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0.896</c:v>
                </c:pt>
                <c:pt idx="4">
                  <c:v>0.433</c:v>
                </c:pt>
                <c:pt idx="5">
                  <c:v>0.288</c:v>
                </c:pt>
                <c:pt idx="6">
                  <c:v>0.236</c:v>
                </c:pt>
                <c:pt idx="7">
                  <c:v>0.314</c:v>
                </c:pt>
                <c:pt idx="8">
                  <c:v>0.376</c:v>
                </c:pt>
                <c:pt idx="9">
                  <c:v>0.386</c:v>
                </c:pt>
                <c:pt idx="10">
                  <c:v>0.189</c:v>
                </c:pt>
                <c:pt idx="11">
                  <c:v>0.361</c:v>
                </c:pt>
                <c:pt idx="12">
                  <c:v>0.387</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0.563</c:v>
                </c:pt>
                <c:pt idx="1">
                  <c:v>1.61</c:v>
                </c:pt>
                <c:pt idx="2">
                  <c:v>0.61</c:v>
                </c:pt>
                <c:pt idx="3">
                  <c:v>1.5</c:v>
                </c:pt>
                <c:pt idx="4">
                  <c:v>0.724</c:v>
                </c:pt>
                <c:pt idx="5">
                  <c:v>0.158</c:v>
                </c:pt>
                <c:pt idx="6">
                  <c:v>0.257</c:v>
                </c:pt>
                <c:pt idx="7">
                  <c:v>0.241</c:v>
                </c:pt>
                <c:pt idx="8">
                  <c:v>0.158</c:v>
                </c:pt>
                <c:pt idx="9">
                  <c:v>0.205</c:v>
                </c:pt>
                <c:pt idx="10">
                  <c:v>0.3</c:v>
                </c:pt>
                <c:pt idx="11">
                  <c:v>0.37</c:v>
                </c:pt>
                <c:pt idx="12">
                  <c:v>0.558</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0.91</c:v>
                </c:pt>
                <c:pt idx="1">
                  <c:v>1.1</c:v>
                </c:pt>
                <c:pt idx="2">
                  <c:v>0.79</c:v>
                </c:pt>
                <c:pt idx="3">
                  <c:v>0.66</c:v>
                </c:pt>
                <c:pt idx="4">
                  <c:v>0.13</c:v>
                </c:pt>
                <c:pt idx="5">
                  <c:v>0.15</c:v>
                </c:pt>
                <c:pt idx="6">
                  <c:v>0.12</c:v>
                </c:pt>
                <c:pt idx="7">
                  <c:v>0.09</c:v>
                </c:pt>
                <c:pt idx="8">
                  <c:v>0.09</c:v>
                </c:pt>
                <c:pt idx="9">
                  <c:v>0.3</c:v>
                </c:pt>
                <c:pt idx="10">
                  <c:v>0.26</c:v>
                </c:pt>
                <c:pt idx="11">
                  <c:v>0.52</c:v>
                </c:pt>
                <c:pt idx="12">
                  <c:v>0.43</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5.13</c:v>
                </c:pt>
                <c:pt idx="4">
                  <c:v>4.92</c:v>
                </c:pt>
                <c:pt idx="5">
                  <c:v>4.03</c:v>
                </c:pt>
                <c:pt idx="6">
                  <c:v>4.75</c:v>
                </c:pt>
                <c:pt idx="7">
                  <c:v>3.8</c:v>
                </c:pt>
                <c:pt idx="8">
                  <c:v>5.37</c:v>
                </c:pt>
                <c:pt idx="9">
                  <c:v>6.08</c:v>
                </c:pt>
                <c:pt idx="10">
                  <c:v>5.39</c:v>
                </c:pt>
                <c:pt idx="11">
                  <c:v>4.28</c:v>
                </c:pt>
                <c:pt idx="12">
                  <c:v>4.86</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5.1</c:v>
                </c:pt>
                <c:pt idx="1">
                  <c:v>5.6</c:v>
                </c:pt>
                <c:pt idx="2">
                  <c:v>8.1</c:v>
                </c:pt>
                <c:pt idx="3">
                  <c:v>8.1</c:v>
                </c:pt>
                <c:pt idx="4">
                  <c:v>6.8</c:v>
                </c:pt>
                <c:pt idx="5">
                  <c:v>6.7</c:v>
                </c:pt>
                <c:pt idx="6">
                  <c:v>5.7</c:v>
                </c:pt>
                <c:pt idx="7">
                  <c:v>5.9</c:v>
                </c:pt>
                <c:pt idx="8">
                  <c:v>7.5</c:v>
                </c:pt>
                <c:pt idx="9">
                  <c:v>6.9</c:v>
                </c:pt>
                <c:pt idx="10">
                  <c:v>6.8</c:v>
                </c:pt>
                <c:pt idx="11">
                  <c:v>7</c:v>
                </c:pt>
                <c:pt idx="12">
                  <c:v>6.7</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7.1</c:v>
                </c:pt>
                <c:pt idx="1">
                  <c:v>6.5</c:v>
                </c:pt>
                <c:pt idx="2">
                  <c:v>7.6</c:v>
                </c:pt>
                <c:pt idx="3">
                  <c:v>6.4</c:v>
                </c:pt>
                <c:pt idx="4">
                  <c:v>7.4</c:v>
                </c:pt>
                <c:pt idx="5">
                  <c:v>5.5</c:v>
                </c:pt>
                <c:pt idx="6">
                  <c:v>7.6</c:v>
                </c:pt>
                <c:pt idx="7">
                  <c:v>7.1</c:v>
                </c:pt>
                <c:pt idx="8">
                  <c:v>5.5</c:v>
                </c:pt>
                <c:pt idx="9">
                  <c:v>6.1</c:v>
                </c:pt>
                <c:pt idx="10">
                  <c:v>6</c:v>
                </c:pt>
                <c:pt idx="11">
                  <c:v>5.8</c:v>
                </c:pt>
                <c:pt idx="12">
                  <c:v>6.6</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1.31</c:v>
                </c:pt>
                <c:pt idx="4">
                  <c:v>0.168</c:v>
                </c:pt>
                <c:pt idx="5">
                  <c:v>0.193</c:v>
                </c:pt>
                <c:pt idx="6">
                  <c:v>0.545</c:v>
                </c:pt>
                <c:pt idx="7">
                  <c:v>0.545</c:v>
                </c:pt>
                <c:pt idx="8">
                  <c:v>0.355</c:v>
                </c:pt>
                <c:pt idx="9">
                  <c:v>0.192</c:v>
                </c:pt>
                <c:pt idx="10">
                  <c:v>0.169</c:v>
                </c:pt>
                <c:pt idx="11">
                  <c:v>0.26</c:v>
                </c:pt>
                <c:pt idx="12">
                  <c:v>0.42</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0.56</c:v>
                </c:pt>
                <c:pt idx="1">
                  <c:v>1.79</c:v>
                </c:pt>
                <c:pt idx="2">
                  <c:v>1.46</c:v>
                </c:pt>
                <c:pt idx="3">
                  <c:v>1.45</c:v>
                </c:pt>
                <c:pt idx="4">
                  <c:v>0.26</c:v>
                </c:pt>
                <c:pt idx="5">
                  <c:v>0.37</c:v>
                </c:pt>
                <c:pt idx="6">
                  <c:v>0.16</c:v>
                </c:pt>
                <c:pt idx="7">
                  <c:v>0.19</c:v>
                </c:pt>
                <c:pt idx="8">
                  <c:v>0.25</c:v>
                </c:pt>
                <c:pt idx="9">
                  <c:v>0.5</c:v>
                </c:pt>
                <c:pt idx="10">
                  <c:v>0.22</c:v>
                </c:pt>
                <c:pt idx="11">
                  <c:v>0.27</c:v>
                </c:pt>
                <c:pt idx="12">
                  <c:v>0.62</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0.29</c:v>
                </c:pt>
                <c:pt idx="1">
                  <c:v>0.44</c:v>
                </c:pt>
                <c:pt idx="2">
                  <c:v>1.43</c:v>
                </c:pt>
                <c:pt idx="3">
                  <c:v>0.51</c:v>
                </c:pt>
                <c:pt idx="4">
                  <c:v>0.35</c:v>
                </c:pt>
                <c:pt idx="5">
                  <c:v>0.38</c:v>
                </c:pt>
                <c:pt idx="6">
                  <c:v>0.21</c:v>
                </c:pt>
                <c:pt idx="7">
                  <c:v>0.2</c:v>
                </c:pt>
                <c:pt idx="8">
                  <c:v>0.26</c:v>
                </c:pt>
                <c:pt idx="9">
                  <c:v>0.17</c:v>
                </c:pt>
                <c:pt idx="10">
                  <c:v>0.23</c:v>
                </c:pt>
                <c:pt idx="11">
                  <c:v>0.24</c:v>
                </c:pt>
                <c:pt idx="12">
                  <c:v>0.39</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[计算.xlsx]Sheet1!$L$231</c:f>
              <c:strCache>
                <c:ptCount val="1"/>
                <c:pt idx="0">
                  <c:v>PM10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[计算.xlsx]Sheet1!$L$232:$L$236</c:f>
              <c:numCache>
                <c:formatCode>General</c:formatCode>
                <c:ptCount val="5"/>
                <c:pt idx="0">
                  <c:v>101</c:v>
                </c:pt>
                <c:pt idx="1">
                  <c:v>81.3</c:v>
                </c:pt>
                <c:pt idx="2">
                  <c:v>75</c:v>
                </c:pt>
                <c:pt idx="3">
                  <c:v>59.7</c:v>
                </c:pt>
                <c:pt idx="4">
                  <c:v>55</c:v>
                </c:pt>
              </c:numCache>
            </c:numRef>
          </c:val>
          <c:smooth val="0"/>
        </c:ser>
        <c:ser>
          <c:idx val="1"/>
          <c:order val="1"/>
          <c:tx>
            <c:strRef>
              <c:f>[计算.xlsx]Sheet1!$M$231</c:f>
              <c:strCache>
                <c:ptCount val="1"/>
                <c:pt idx="0">
                  <c:v>标准值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[计算.xlsx]Sheet1!$M$232:$M$236</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233981796"/>
        <c:axId val="863174336"/>
      </c:lineChart>
      <c:catAx>
        <c:axId val="2339817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174336"/>
        <c:crosses val="autoZero"/>
        <c:auto val="1"/>
        <c:lblAlgn val="ctr"/>
        <c:lblOffset val="100"/>
        <c:noMultiLvlLbl val="0"/>
      </c:catAx>
      <c:valAx>
        <c:axId val="8631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年均浓度（</a:t>
                </a:r>
                <a:r>
                  <a:rPr lang="en-US" altLang="zh-CN"/>
                  <a:t>ug/m3</a:t>
                </a:r>
                <a:r>
                  <a:rPr altLang="en-US"/>
                  <a:t>）</a:t>
                </a:r>
                <a:endParaRPr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9817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5.13</c:v>
                </c:pt>
                <c:pt idx="4">
                  <c:v>0.714</c:v>
                </c:pt>
                <c:pt idx="5">
                  <c:v>1.046</c:v>
                </c:pt>
                <c:pt idx="6">
                  <c:v>0.231</c:v>
                </c:pt>
                <c:pt idx="7">
                  <c:v>0.293</c:v>
                </c:pt>
                <c:pt idx="8">
                  <c:v>0.501</c:v>
                </c:pt>
                <c:pt idx="9">
                  <c:v>0.194</c:v>
                </c:pt>
                <c:pt idx="10">
                  <c:v>0.132</c:v>
                </c:pt>
                <c:pt idx="11">
                  <c:v>0.963</c:v>
                </c:pt>
                <c:pt idx="12">
                  <c:v>1.023</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3.124</c:v>
                </c:pt>
                <c:pt idx="1">
                  <c:v>7.54</c:v>
                </c:pt>
                <c:pt idx="2">
                  <c:v>7.28</c:v>
                </c:pt>
                <c:pt idx="3">
                  <c:v>6.82</c:v>
                </c:pt>
                <c:pt idx="4">
                  <c:v>1.59</c:v>
                </c:pt>
                <c:pt idx="5">
                  <c:v>0.761</c:v>
                </c:pt>
                <c:pt idx="6">
                  <c:v>0.163</c:v>
                </c:pt>
                <c:pt idx="7">
                  <c:v>0.163</c:v>
                </c:pt>
                <c:pt idx="8">
                  <c:v>0.532</c:v>
                </c:pt>
                <c:pt idx="9">
                  <c:v>0.605</c:v>
                </c:pt>
                <c:pt idx="10">
                  <c:v>0.25</c:v>
                </c:pt>
                <c:pt idx="11">
                  <c:v>0.41</c:v>
                </c:pt>
                <c:pt idx="12">
                  <c:v>2.44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1.17</c:v>
                </c:pt>
                <c:pt idx="1">
                  <c:v>1.59</c:v>
                </c:pt>
                <c:pt idx="2">
                  <c:v>1.31</c:v>
                </c:pt>
                <c:pt idx="3">
                  <c:v>2.73</c:v>
                </c:pt>
                <c:pt idx="4">
                  <c:v>0.52</c:v>
                </c:pt>
                <c:pt idx="5">
                  <c:v>0.49</c:v>
                </c:pt>
                <c:pt idx="6">
                  <c:v>0.24</c:v>
                </c:pt>
                <c:pt idx="7">
                  <c:v>0.1</c:v>
                </c:pt>
                <c:pt idx="8">
                  <c:v>0.13</c:v>
                </c:pt>
                <c:pt idx="9">
                  <c:v>0.27</c:v>
                </c:pt>
                <c:pt idx="10">
                  <c:v>0.25</c:v>
                </c:pt>
                <c:pt idx="11">
                  <c:v>0.67</c:v>
                </c:pt>
                <c:pt idx="12">
                  <c:v>0.79</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8.67</c:v>
                </c:pt>
                <c:pt idx="4">
                  <c:v>4.1</c:v>
                </c:pt>
                <c:pt idx="5">
                  <c:v>5.78</c:v>
                </c:pt>
                <c:pt idx="6">
                  <c:v>4.95</c:v>
                </c:pt>
                <c:pt idx="7">
                  <c:v>5.11</c:v>
                </c:pt>
                <c:pt idx="8">
                  <c:v>5.25</c:v>
                </c:pt>
                <c:pt idx="9">
                  <c:v>6.51</c:v>
                </c:pt>
                <c:pt idx="10">
                  <c:v>5.46</c:v>
                </c:pt>
                <c:pt idx="11">
                  <c:v>3.89</c:v>
                </c:pt>
                <c:pt idx="12">
                  <c:v>5.52</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5.8</c:v>
                </c:pt>
                <c:pt idx="1">
                  <c:v>8.4</c:v>
                </c:pt>
                <c:pt idx="2">
                  <c:v>6.8</c:v>
                </c:pt>
                <c:pt idx="3">
                  <c:v>6.5</c:v>
                </c:pt>
                <c:pt idx="4">
                  <c:v>7.3</c:v>
                </c:pt>
                <c:pt idx="5">
                  <c:v>7.8</c:v>
                </c:pt>
                <c:pt idx="6">
                  <c:v>7.4</c:v>
                </c:pt>
                <c:pt idx="7">
                  <c:v>6.8</c:v>
                </c:pt>
                <c:pt idx="8">
                  <c:v>7.6</c:v>
                </c:pt>
                <c:pt idx="9">
                  <c:v>7.2</c:v>
                </c:pt>
                <c:pt idx="10">
                  <c:v>6.8</c:v>
                </c:pt>
                <c:pt idx="11">
                  <c:v>7</c:v>
                </c:pt>
                <c:pt idx="12">
                  <c:v>7.1</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6.9</c:v>
                </c:pt>
                <c:pt idx="1">
                  <c:v>7.5</c:v>
                </c:pt>
                <c:pt idx="2">
                  <c:v>7.5</c:v>
                </c:pt>
                <c:pt idx="3">
                  <c:v>7.2</c:v>
                </c:pt>
                <c:pt idx="4">
                  <c:v>7.6</c:v>
                </c:pt>
                <c:pt idx="5">
                  <c:v>7.1</c:v>
                </c:pt>
                <c:pt idx="6">
                  <c:v>7.5</c:v>
                </c:pt>
                <c:pt idx="7">
                  <c:v>6.8</c:v>
                </c:pt>
                <c:pt idx="8">
                  <c:v>7.2</c:v>
                </c:pt>
                <c:pt idx="9">
                  <c:v>6.9</c:v>
                </c:pt>
                <c:pt idx="10">
                  <c:v>7.3</c:v>
                </c:pt>
                <c:pt idx="11">
                  <c:v>7</c:v>
                </c:pt>
                <c:pt idx="12">
                  <c:v>7.2</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0.854</c:v>
                </c:pt>
                <c:pt idx="4">
                  <c:v>0.161</c:v>
                </c:pt>
                <c:pt idx="5">
                  <c:v>0.153</c:v>
                </c:pt>
                <c:pt idx="6">
                  <c:v>0.305</c:v>
                </c:pt>
                <c:pt idx="7">
                  <c:v>0.272</c:v>
                </c:pt>
                <c:pt idx="8">
                  <c:v>0.249</c:v>
                </c:pt>
                <c:pt idx="9">
                  <c:v>0.196</c:v>
                </c:pt>
                <c:pt idx="10">
                  <c:v>0.163</c:v>
                </c:pt>
                <c:pt idx="11">
                  <c:v>0.18</c:v>
                </c:pt>
                <c:pt idx="12">
                  <c:v>0.28</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0.23</c:v>
                </c:pt>
                <c:pt idx="1">
                  <c:v>0.27</c:v>
                </c:pt>
                <c:pt idx="2">
                  <c:v>0.23</c:v>
                </c:pt>
                <c:pt idx="3">
                  <c:v>0.51</c:v>
                </c:pt>
                <c:pt idx="4">
                  <c:v>0.36</c:v>
                </c:pt>
                <c:pt idx="5">
                  <c:v>0.38</c:v>
                </c:pt>
                <c:pt idx="6">
                  <c:v>0.17</c:v>
                </c:pt>
                <c:pt idx="7">
                  <c:v>0.19</c:v>
                </c:pt>
                <c:pt idx="8">
                  <c:v>0.26</c:v>
                </c:pt>
                <c:pt idx="9">
                  <c:v>0.21</c:v>
                </c:pt>
                <c:pt idx="10">
                  <c:v>0.15</c:v>
                </c:pt>
                <c:pt idx="11">
                  <c:v>0.2</c:v>
                </c:pt>
                <c:pt idx="12">
                  <c:v>0.26</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0.24</c:v>
                </c:pt>
                <c:pt idx="1">
                  <c:v>0.29</c:v>
                </c:pt>
                <c:pt idx="2">
                  <c:v>0.23</c:v>
                </c:pt>
                <c:pt idx="3">
                  <c:v>0.37</c:v>
                </c:pt>
                <c:pt idx="4">
                  <c:v>0.16</c:v>
                </c:pt>
                <c:pt idx="5">
                  <c:v>0.32</c:v>
                </c:pt>
                <c:pt idx="6">
                  <c:v>0.22</c:v>
                </c:pt>
                <c:pt idx="7">
                  <c:v>0.23</c:v>
                </c:pt>
                <c:pt idx="8">
                  <c:v>0.07</c:v>
                </c:pt>
                <c:pt idx="9">
                  <c:v>0.17</c:v>
                </c:pt>
                <c:pt idx="10">
                  <c:v>0.19</c:v>
                </c:pt>
                <c:pt idx="11">
                  <c:v>0.15</c:v>
                </c:pt>
                <c:pt idx="12">
                  <c:v>0.22</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1.429</c:v>
                </c:pt>
                <c:pt idx="4">
                  <c:v>0.729</c:v>
                </c:pt>
                <c:pt idx="5">
                  <c:v>0.646</c:v>
                </c:pt>
                <c:pt idx="6">
                  <c:v>0.309</c:v>
                </c:pt>
                <c:pt idx="7">
                  <c:v>0.366</c:v>
                </c:pt>
                <c:pt idx="8">
                  <c:v>0.392</c:v>
                </c:pt>
                <c:pt idx="9">
                  <c:v>0.293</c:v>
                </c:pt>
                <c:pt idx="10">
                  <c:v>0.137</c:v>
                </c:pt>
                <c:pt idx="11">
                  <c:v>0.454</c:v>
                </c:pt>
                <c:pt idx="12">
                  <c:v>0.528</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0.631</c:v>
                </c:pt>
                <c:pt idx="1">
                  <c:v>1.4</c:v>
                </c:pt>
                <c:pt idx="2">
                  <c:v>0.475</c:v>
                </c:pt>
                <c:pt idx="3">
                  <c:v>1.38</c:v>
                </c:pt>
                <c:pt idx="4">
                  <c:v>0.506</c:v>
                </c:pt>
                <c:pt idx="5">
                  <c:v>0.548</c:v>
                </c:pt>
                <c:pt idx="6">
                  <c:v>0.215</c:v>
                </c:pt>
                <c:pt idx="7">
                  <c:v>0.215</c:v>
                </c:pt>
                <c:pt idx="8">
                  <c:v>0.199</c:v>
                </c:pt>
                <c:pt idx="9">
                  <c:v>0.303</c:v>
                </c:pt>
                <c:pt idx="10">
                  <c:v>0.25</c:v>
                </c:pt>
                <c:pt idx="11">
                  <c:v>0.4</c:v>
                </c:pt>
                <c:pt idx="12">
                  <c:v>0.544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0.97</c:v>
                </c:pt>
                <c:pt idx="1">
                  <c:v>1.08</c:v>
                </c:pt>
                <c:pt idx="2">
                  <c:v>0.93</c:v>
                </c:pt>
                <c:pt idx="3">
                  <c:v>0.97</c:v>
                </c:pt>
                <c:pt idx="4">
                  <c:v>0.15</c:v>
                </c:pt>
                <c:pt idx="5">
                  <c:v>0.19</c:v>
                </c:pt>
                <c:pt idx="6">
                  <c:v>0.1</c:v>
                </c:pt>
                <c:pt idx="7">
                  <c:v>0.09</c:v>
                </c:pt>
                <c:pt idx="8">
                  <c:v>0.11</c:v>
                </c:pt>
                <c:pt idx="9">
                  <c:v>0.31</c:v>
                </c:pt>
                <c:pt idx="10">
                  <c:v>0.28</c:v>
                </c:pt>
                <c:pt idx="11">
                  <c:v>0.59</c:v>
                </c:pt>
                <c:pt idx="12">
                  <c:v>0.48</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8.75</c:v>
                </c:pt>
                <c:pt idx="4">
                  <c:v>7.52</c:v>
                </c:pt>
                <c:pt idx="5">
                  <c:v>6.95</c:v>
                </c:pt>
                <c:pt idx="6">
                  <c:v>5.62</c:v>
                </c:pt>
                <c:pt idx="7">
                  <c:v>4.8</c:v>
                </c:pt>
                <c:pt idx="8">
                  <c:v>5.13</c:v>
                </c:pt>
                <c:pt idx="9">
                  <c:v>7.23</c:v>
                </c:pt>
                <c:pt idx="10">
                  <c:v>6.28</c:v>
                </c:pt>
                <c:pt idx="11">
                  <c:v>5.16</c:v>
                </c:pt>
                <c:pt idx="12">
                  <c:v>6.38</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4.7</c:v>
                </c:pt>
                <c:pt idx="1">
                  <c:v>5.7</c:v>
                </c:pt>
                <c:pt idx="2">
                  <c:v>5.4</c:v>
                </c:pt>
                <c:pt idx="3">
                  <c:v>3.7</c:v>
                </c:pt>
                <c:pt idx="4">
                  <c:v>7.7</c:v>
                </c:pt>
                <c:pt idx="5">
                  <c:v>5.6</c:v>
                </c:pt>
                <c:pt idx="6">
                  <c:v>5.3</c:v>
                </c:pt>
                <c:pt idx="7">
                  <c:v>5.6</c:v>
                </c:pt>
                <c:pt idx="8">
                  <c:v>5.4</c:v>
                </c:pt>
                <c:pt idx="9">
                  <c:v>7.1</c:v>
                </c:pt>
                <c:pt idx="10">
                  <c:v>5.2</c:v>
                </c:pt>
                <c:pt idx="11">
                  <c:v>6.6</c:v>
                </c:pt>
                <c:pt idx="12">
                  <c:v>5.7</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7.1</c:v>
                </c:pt>
                <c:pt idx="1">
                  <c:v>6.8</c:v>
                </c:pt>
                <c:pt idx="2">
                  <c:v>5.7</c:v>
                </c:pt>
                <c:pt idx="3">
                  <c:v>6.8</c:v>
                </c:pt>
                <c:pt idx="4">
                  <c:v>6.8</c:v>
                </c:pt>
                <c:pt idx="5">
                  <c:v>6.7</c:v>
                </c:pt>
                <c:pt idx="6">
                  <c:v>5.5</c:v>
                </c:pt>
                <c:pt idx="7">
                  <c:v>6.3</c:v>
                </c:pt>
                <c:pt idx="8">
                  <c:v>6.9</c:v>
                </c:pt>
                <c:pt idx="9">
                  <c:v>7.1</c:v>
                </c:pt>
                <c:pt idx="10">
                  <c:v>6.9</c:v>
                </c:pt>
                <c:pt idx="11">
                  <c:v>6.2</c:v>
                </c:pt>
                <c:pt idx="12">
                  <c:v>6.6</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0.177</c:v>
                </c:pt>
                <c:pt idx="4">
                  <c:v>0.081</c:v>
                </c:pt>
                <c:pt idx="5">
                  <c:v>0.176</c:v>
                </c:pt>
                <c:pt idx="6">
                  <c:v>0.172</c:v>
                </c:pt>
                <c:pt idx="7">
                  <c:v>0.106</c:v>
                </c:pt>
                <c:pt idx="8">
                  <c:v>0.066</c:v>
                </c:pt>
                <c:pt idx="9">
                  <c:v>0.106</c:v>
                </c:pt>
                <c:pt idx="10">
                  <c:v>0.1</c:v>
                </c:pt>
                <c:pt idx="11">
                  <c:v>0.11</c:v>
                </c:pt>
                <c:pt idx="12">
                  <c:v>0.11</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0.17</c:v>
                </c:pt>
                <c:pt idx="1">
                  <c:v>0.31</c:v>
                </c:pt>
                <c:pt idx="2">
                  <c:v>0.19</c:v>
                </c:pt>
                <c:pt idx="3">
                  <c:v>0.25</c:v>
                </c:pt>
                <c:pt idx="4">
                  <c:v>0.18</c:v>
                </c:pt>
                <c:pt idx="5">
                  <c:v>0.13</c:v>
                </c:pt>
                <c:pt idx="6">
                  <c:v>0.13</c:v>
                </c:pt>
                <c:pt idx="7">
                  <c:v>0.03</c:v>
                </c:pt>
                <c:pt idx="8">
                  <c:v>0.07</c:v>
                </c:pt>
                <c:pt idx="9">
                  <c:v>0.2</c:v>
                </c:pt>
                <c:pt idx="10">
                  <c:v>0.17</c:v>
                </c:pt>
                <c:pt idx="11">
                  <c:v>0.13</c:v>
                </c:pt>
                <c:pt idx="12">
                  <c:v>0.16</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0.09</c:v>
                </c:pt>
                <c:pt idx="1">
                  <c:v>0.18</c:v>
                </c:pt>
                <c:pt idx="2">
                  <c:v>0.27</c:v>
                </c:pt>
                <c:pt idx="3">
                  <c:v>0.27</c:v>
                </c:pt>
                <c:pt idx="4">
                  <c:v>0.11</c:v>
                </c:pt>
                <c:pt idx="5">
                  <c:v>0.17</c:v>
                </c:pt>
                <c:pt idx="6">
                  <c:v>0.12</c:v>
                </c:pt>
                <c:pt idx="7">
                  <c:v>0.08</c:v>
                </c:pt>
                <c:pt idx="8">
                  <c:v>0.04</c:v>
                </c:pt>
                <c:pt idx="9">
                  <c:v>0.08</c:v>
                </c:pt>
                <c:pt idx="10">
                  <c:v>0.14</c:v>
                </c:pt>
                <c:pt idx="11">
                  <c:v>0.09</c:v>
                </c:pt>
                <c:pt idx="12">
                  <c:v>0.14</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1.208</c:v>
                </c:pt>
                <c:pt idx="4">
                  <c:v>0.719</c:v>
                </c:pt>
                <c:pt idx="5">
                  <c:v>0.246</c:v>
                </c:pt>
                <c:pt idx="6">
                  <c:v>0.251</c:v>
                </c:pt>
                <c:pt idx="7">
                  <c:v>0.397</c:v>
                </c:pt>
                <c:pt idx="8">
                  <c:v>0.335</c:v>
                </c:pt>
                <c:pt idx="9">
                  <c:v>0.314</c:v>
                </c:pt>
                <c:pt idx="10">
                  <c:v>0.085</c:v>
                </c:pt>
                <c:pt idx="11">
                  <c:v>0.433</c:v>
                </c:pt>
                <c:pt idx="12">
                  <c:v>0.443</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1.415</c:v>
                </c:pt>
                <c:pt idx="1">
                  <c:v>3.34</c:v>
                </c:pt>
                <c:pt idx="2">
                  <c:v>0.838</c:v>
                </c:pt>
                <c:pt idx="3">
                  <c:v>0.366</c:v>
                </c:pt>
                <c:pt idx="4">
                  <c:v>0.433</c:v>
                </c:pt>
                <c:pt idx="5">
                  <c:v>0.142</c:v>
                </c:pt>
                <c:pt idx="6">
                  <c:v>0.148</c:v>
                </c:pt>
                <c:pt idx="7">
                  <c:v>0.153</c:v>
                </c:pt>
                <c:pt idx="8">
                  <c:v>0.09</c:v>
                </c:pt>
                <c:pt idx="9">
                  <c:v>0.241</c:v>
                </c:pt>
                <c:pt idx="10">
                  <c:v>0.23</c:v>
                </c:pt>
                <c:pt idx="11">
                  <c:v>0.34</c:v>
                </c:pt>
                <c:pt idx="12">
                  <c:v>0.645</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0.73</c:v>
                </c:pt>
                <c:pt idx="1">
                  <c:v>0.99</c:v>
                </c:pt>
                <c:pt idx="2">
                  <c:v>0.78</c:v>
                </c:pt>
                <c:pt idx="3">
                  <c:v>0.82</c:v>
                </c:pt>
                <c:pt idx="4">
                  <c:v>0.18</c:v>
                </c:pt>
                <c:pt idx="5">
                  <c:v>0.18</c:v>
                </c:pt>
                <c:pt idx="6">
                  <c:v>0.1</c:v>
                </c:pt>
                <c:pt idx="7">
                  <c:v>0.1</c:v>
                </c:pt>
                <c:pt idx="8">
                  <c:v>0.11</c:v>
                </c:pt>
                <c:pt idx="9">
                  <c:v>0.26</c:v>
                </c:pt>
                <c:pt idx="10">
                  <c:v>0.28</c:v>
                </c:pt>
                <c:pt idx="11">
                  <c:v>0.49</c:v>
                </c:pt>
                <c:pt idx="12">
                  <c:v>0.42</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7.55</c:v>
                </c:pt>
                <c:pt idx="4">
                  <c:v>5.11</c:v>
                </c:pt>
                <c:pt idx="5">
                  <c:v>4.96</c:v>
                </c:pt>
                <c:pt idx="6">
                  <c:v>4.8</c:v>
                </c:pt>
                <c:pt idx="7">
                  <c:v>4.88</c:v>
                </c:pt>
                <c:pt idx="8">
                  <c:v>4.27</c:v>
                </c:pt>
                <c:pt idx="9">
                  <c:v>5.2</c:v>
                </c:pt>
                <c:pt idx="10">
                  <c:v>4.24</c:v>
                </c:pt>
                <c:pt idx="11">
                  <c:v>4.4</c:v>
                </c:pt>
                <c:pt idx="12">
                  <c:v>5.04</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4.4</c:v>
                </c:pt>
                <c:pt idx="1">
                  <c:v>4.4</c:v>
                </c:pt>
                <c:pt idx="2">
                  <c:v>4.4</c:v>
                </c:pt>
                <c:pt idx="3">
                  <c:v>4.3</c:v>
                </c:pt>
                <c:pt idx="4">
                  <c:v>4</c:v>
                </c:pt>
                <c:pt idx="5">
                  <c:v>4.4</c:v>
                </c:pt>
                <c:pt idx="6">
                  <c:v>4.1</c:v>
                </c:pt>
                <c:pt idx="7">
                  <c:v>4.4</c:v>
                </c:pt>
                <c:pt idx="8">
                  <c:v>4.2</c:v>
                </c:pt>
                <c:pt idx="9">
                  <c:v>5.2</c:v>
                </c:pt>
                <c:pt idx="10">
                  <c:v>4.6</c:v>
                </c:pt>
                <c:pt idx="11">
                  <c:v>4.7</c:v>
                </c:pt>
                <c:pt idx="12">
                  <c:v>4.4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5.2</c:v>
                </c:pt>
                <c:pt idx="1">
                  <c:v>4.8</c:v>
                </c:pt>
                <c:pt idx="2">
                  <c:v>4.6</c:v>
                </c:pt>
                <c:pt idx="3">
                  <c:v>4.8</c:v>
                </c:pt>
                <c:pt idx="4">
                  <c:v>4.5</c:v>
                </c:pt>
                <c:pt idx="5">
                  <c:v>4.5</c:v>
                </c:pt>
                <c:pt idx="6">
                  <c:v>4.4</c:v>
                </c:pt>
                <c:pt idx="7">
                  <c:v>4.4</c:v>
                </c:pt>
                <c:pt idx="8">
                  <c:v>4.1</c:v>
                </c:pt>
                <c:pt idx="9">
                  <c:v>4.3</c:v>
                </c:pt>
                <c:pt idx="10">
                  <c:v>4.2</c:v>
                </c:pt>
                <c:pt idx="11">
                  <c:v>4.4</c:v>
                </c:pt>
                <c:pt idx="12">
                  <c:v>4.5</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0.452</c:v>
                </c:pt>
                <c:pt idx="4">
                  <c:v>0.091</c:v>
                </c:pt>
                <c:pt idx="5">
                  <c:v>0.21</c:v>
                </c:pt>
                <c:pt idx="6">
                  <c:v>0.295</c:v>
                </c:pt>
                <c:pt idx="7">
                  <c:v>0.226</c:v>
                </c:pt>
                <c:pt idx="8">
                  <c:v>0.299</c:v>
                </c:pt>
                <c:pt idx="9">
                  <c:v>0.182</c:v>
                </c:pt>
                <c:pt idx="10">
                  <c:v>0.363</c:v>
                </c:pt>
                <c:pt idx="11">
                  <c:v>0.23</c:v>
                </c:pt>
                <c:pt idx="12">
                  <c:v>0.261</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0.2</c:v>
                </c:pt>
                <c:pt idx="1">
                  <c:v>0.6</c:v>
                </c:pt>
                <c:pt idx="2">
                  <c:v>0.59</c:v>
                </c:pt>
                <c:pt idx="3">
                  <c:v>0.48</c:v>
                </c:pt>
                <c:pt idx="4">
                  <c:v>0.18</c:v>
                </c:pt>
                <c:pt idx="5">
                  <c:v>0.37</c:v>
                </c:pt>
                <c:pt idx="6">
                  <c:v>0.13</c:v>
                </c:pt>
                <c:pt idx="7">
                  <c:v>0.08</c:v>
                </c:pt>
                <c:pt idx="8">
                  <c:v>0.16</c:v>
                </c:pt>
                <c:pt idx="9">
                  <c:v>0.26</c:v>
                </c:pt>
                <c:pt idx="10">
                  <c:v>0.13</c:v>
                </c:pt>
                <c:pt idx="11">
                  <c:v>0.21</c:v>
                </c:pt>
                <c:pt idx="12">
                  <c:v>0.28</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0.22</c:v>
                </c:pt>
                <c:pt idx="1">
                  <c:v>0.35</c:v>
                </c:pt>
                <c:pt idx="3">
                  <c:v>0.54</c:v>
                </c:pt>
                <c:pt idx="4">
                  <c:v>0.45</c:v>
                </c:pt>
                <c:pt idx="5">
                  <c:v>0.4</c:v>
                </c:pt>
                <c:pt idx="6">
                  <c:v>0.18</c:v>
                </c:pt>
                <c:pt idx="7">
                  <c:v>0.1</c:v>
                </c:pt>
                <c:pt idx="8">
                  <c:v>0.19</c:v>
                </c:pt>
                <c:pt idx="9">
                  <c:v>0.16</c:v>
                </c:pt>
                <c:pt idx="10">
                  <c:v>0.16</c:v>
                </c:pt>
                <c:pt idx="11">
                  <c:v>0.2</c:v>
                </c:pt>
                <c:pt idx="12">
                  <c:v>0.27</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0.722</c:v>
                </c:pt>
                <c:pt idx="4">
                  <c:v>0.677</c:v>
                </c:pt>
                <c:pt idx="5">
                  <c:v>0.142</c:v>
                </c:pt>
                <c:pt idx="6">
                  <c:v>0.283</c:v>
                </c:pt>
                <c:pt idx="7">
                  <c:v>0.376</c:v>
                </c:pt>
                <c:pt idx="8">
                  <c:v>0.366</c:v>
                </c:pt>
                <c:pt idx="9">
                  <c:v>0.438</c:v>
                </c:pt>
                <c:pt idx="10">
                  <c:v>2.189</c:v>
                </c:pt>
                <c:pt idx="11">
                  <c:v>0.584</c:v>
                </c:pt>
                <c:pt idx="12">
                  <c:v>0.642</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0.651</c:v>
                </c:pt>
                <c:pt idx="1">
                  <c:v>4.02</c:v>
                </c:pt>
                <c:pt idx="2">
                  <c:v>0.376</c:v>
                </c:pt>
                <c:pt idx="3">
                  <c:v>0.542</c:v>
                </c:pt>
                <c:pt idx="4">
                  <c:v>0.449</c:v>
                </c:pt>
                <c:pt idx="5">
                  <c:v>0.548</c:v>
                </c:pt>
                <c:pt idx="6">
                  <c:v>0.189</c:v>
                </c:pt>
                <c:pt idx="7">
                  <c:v>0.194</c:v>
                </c:pt>
                <c:pt idx="8">
                  <c:v>0.215</c:v>
                </c:pt>
                <c:pt idx="9">
                  <c:v>0.298</c:v>
                </c:pt>
                <c:pt idx="10">
                  <c:v>0.24</c:v>
                </c:pt>
                <c:pt idx="11">
                  <c:v>0.37</c:v>
                </c:pt>
                <c:pt idx="12">
                  <c:v>0.674</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0.78</c:v>
                </c:pt>
                <c:pt idx="1">
                  <c:v>0.97</c:v>
                </c:pt>
                <c:pt idx="3">
                  <c:v>0.78</c:v>
                </c:pt>
                <c:pt idx="4">
                  <c:v>0.21</c:v>
                </c:pt>
                <c:pt idx="5">
                  <c:v>0.26</c:v>
                </c:pt>
                <c:pt idx="6">
                  <c:v>0.09</c:v>
                </c:pt>
                <c:pt idx="7">
                  <c:v>0.06</c:v>
                </c:pt>
                <c:pt idx="8">
                  <c:v>0.08</c:v>
                </c:pt>
                <c:pt idx="9">
                  <c:v>0.25</c:v>
                </c:pt>
                <c:pt idx="10">
                  <c:v>0.28</c:v>
                </c:pt>
                <c:pt idx="11">
                  <c:v>1.08</c:v>
                </c:pt>
                <c:pt idx="12">
                  <c:v>0.44</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[计算.xlsx]Sheet1!$L$231</c:f>
              <c:strCache>
                <c:ptCount val="1"/>
                <c:pt idx="0">
                  <c:v>PM2.5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[计算.xlsx]Sheet1!$L$232:$L$236</c:f>
              <c:numCache>
                <c:formatCode>General</c:formatCode>
                <c:ptCount val="5"/>
                <c:pt idx="0">
                  <c:v>57</c:v>
                </c:pt>
                <c:pt idx="1">
                  <c:v>45</c:v>
                </c:pt>
                <c:pt idx="2">
                  <c:v>44.3</c:v>
                </c:pt>
                <c:pt idx="3">
                  <c:v>39.2</c:v>
                </c:pt>
                <c:pt idx="4">
                  <c:v>32.5</c:v>
                </c:pt>
              </c:numCache>
            </c:numRef>
          </c:val>
          <c:smooth val="0"/>
        </c:ser>
        <c:ser>
          <c:idx val="1"/>
          <c:order val="1"/>
          <c:tx>
            <c:strRef>
              <c:f>[计算.xlsx]Sheet1!$M$231</c:f>
              <c:strCache>
                <c:ptCount val="1"/>
                <c:pt idx="0">
                  <c:v>标准值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[计算.xlsx]Sheet1!$M$232:$M$236</c:f>
              <c:numCache>
                <c:formatCode>General</c:formatCode>
                <c:ptCount val="5"/>
                <c:pt idx="0">
                  <c:v>35</c:v>
                </c:pt>
                <c:pt idx="1">
                  <c:v>35</c:v>
                </c:pt>
                <c:pt idx="2">
                  <c:v>35</c:v>
                </c:pt>
                <c:pt idx="3">
                  <c:v>35</c:v>
                </c:pt>
                <c:pt idx="4">
                  <c:v>35</c:v>
                </c:pt>
              </c:numCache>
            </c:numRef>
          </c:val>
          <c:smooth val="0"/>
        </c:ser>
        <c:dLbls>
          <c:showLegendKey val="0"/>
          <c:showVal val="0"/>
          <c:showCatName val="0"/>
          <c:showSerName val="0"/>
          <c:showPercent val="0"/>
          <c:showBubbleSize val="0"/>
        </c:dLbls>
        <c:marker val="1"/>
        <c:smooth val="0"/>
        <c:axId val="233981796"/>
        <c:axId val="863174336"/>
      </c:lineChart>
      <c:catAx>
        <c:axId val="2339817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174336"/>
        <c:crosses val="autoZero"/>
        <c:auto val="1"/>
        <c:lblAlgn val="ctr"/>
        <c:lblOffset val="100"/>
        <c:noMultiLvlLbl val="0"/>
      </c:catAx>
      <c:valAx>
        <c:axId val="8631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年均浓度（</a:t>
                </a:r>
                <a:r>
                  <a:rPr lang="en-US" altLang="zh-CN"/>
                  <a:t>ug/m3</a:t>
                </a:r>
                <a:r>
                  <a:rPr altLang="en-US"/>
                  <a:t>）</a:t>
                </a:r>
                <a:endParaRPr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9817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CODMn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3">
                  <c:v>6.1</c:v>
                </c:pt>
                <c:pt idx="4">
                  <c:v>3.83</c:v>
                </c:pt>
                <c:pt idx="5">
                  <c:v>5.94</c:v>
                </c:pt>
                <c:pt idx="6">
                  <c:v>4.16</c:v>
                </c:pt>
                <c:pt idx="7">
                  <c:v>3.17</c:v>
                </c:pt>
                <c:pt idx="8">
                  <c:v>5.01</c:v>
                </c:pt>
                <c:pt idx="9">
                  <c:v>5.08</c:v>
                </c:pt>
                <c:pt idx="10">
                  <c:v>4.42</c:v>
                </c:pt>
                <c:pt idx="11">
                  <c:v>3.84</c:v>
                </c:pt>
                <c:pt idx="12">
                  <c:v>4.62</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4.3</c:v>
                </c:pt>
                <c:pt idx="1">
                  <c:v>4.9</c:v>
                </c:pt>
                <c:pt idx="2">
                  <c:v>5.7</c:v>
                </c:pt>
                <c:pt idx="3">
                  <c:v>5.2</c:v>
                </c:pt>
                <c:pt idx="4">
                  <c:v>6.6</c:v>
                </c:pt>
                <c:pt idx="5">
                  <c:v>4.8</c:v>
                </c:pt>
                <c:pt idx="6">
                  <c:v>3.5</c:v>
                </c:pt>
                <c:pt idx="7">
                  <c:v>4.7</c:v>
                </c:pt>
                <c:pt idx="8">
                  <c:v>4.6</c:v>
                </c:pt>
                <c:pt idx="9">
                  <c:v>5.4</c:v>
                </c:pt>
                <c:pt idx="10">
                  <c:v>5.5</c:v>
                </c:pt>
                <c:pt idx="11">
                  <c:v>5.3</c:v>
                </c:pt>
                <c:pt idx="12">
                  <c:v>5</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5.4</c:v>
                </c:pt>
                <c:pt idx="1">
                  <c:v>5.5</c:v>
                </c:pt>
                <c:pt idx="3">
                  <c:v>4.9</c:v>
                </c:pt>
                <c:pt idx="4">
                  <c:v>5.4</c:v>
                </c:pt>
                <c:pt idx="5">
                  <c:v>5.3</c:v>
                </c:pt>
                <c:pt idx="6">
                  <c:v>5.4</c:v>
                </c:pt>
                <c:pt idx="7">
                  <c:v>6.6</c:v>
                </c:pt>
                <c:pt idx="8">
                  <c:v>5.3</c:v>
                </c:pt>
                <c:pt idx="9">
                  <c:v>5.2</c:v>
                </c:pt>
                <c:pt idx="10">
                  <c:v>6.5</c:v>
                </c:pt>
                <c:pt idx="11">
                  <c:v>6.5</c:v>
                </c:pt>
                <c:pt idx="12">
                  <c:v>5.6</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[计算.xlsx]Sheet1!$L$231</c:f>
              <c:strCache>
                <c:ptCount val="1"/>
                <c:pt idx="0">
                  <c:v>CO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[计算.xlsx]Sheet1!$L$232:$L$236</c:f>
              <c:numCache>
                <c:formatCode>General</c:formatCode>
                <c:ptCount val="5"/>
                <c:pt idx="0">
                  <c:v>2.1</c:v>
                </c:pt>
                <c:pt idx="1">
                  <c:v>1.7</c:v>
                </c:pt>
                <c:pt idx="2">
                  <c:v>1.6</c:v>
                </c:pt>
                <c:pt idx="3">
                  <c:v>1.5</c:v>
                </c:pt>
                <c:pt idx="4">
                  <c:v>1.5</c:v>
                </c:pt>
              </c:numCache>
            </c:numRef>
          </c:val>
          <c:smooth val="0"/>
        </c:ser>
        <c:ser>
          <c:idx val="1"/>
          <c:order val="1"/>
          <c:tx>
            <c:strRef>
              <c:f>[计算.xlsx]Sheet1!$M$231</c:f>
              <c:strCache>
                <c:ptCount val="1"/>
                <c:pt idx="0">
                  <c:v>标准值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[计算.xlsx]Sheet1!$M$232:$M$236</c:f>
              <c:numCache>
                <c:formatCode>General</c:formatCode>
                <c:ptCount val="5"/>
                <c:pt idx="0">
                  <c:v>4</c:v>
                </c:pt>
                <c:pt idx="1">
                  <c:v>4</c:v>
                </c:pt>
                <c:pt idx="2">
                  <c:v>4</c:v>
                </c:pt>
                <c:pt idx="3">
                  <c:v>4</c:v>
                </c:pt>
                <c:pt idx="4">
                  <c:v>4</c:v>
                </c:pt>
              </c:numCache>
            </c:numRef>
          </c:val>
          <c:smooth val="0"/>
        </c:ser>
        <c:dLbls>
          <c:showLegendKey val="0"/>
          <c:showVal val="0"/>
          <c:showCatName val="0"/>
          <c:showSerName val="0"/>
          <c:showPercent val="0"/>
          <c:showBubbleSize val="0"/>
        </c:dLbls>
        <c:marker val="1"/>
        <c:smooth val="0"/>
        <c:axId val="233981796"/>
        <c:axId val="863174336"/>
      </c:lineChart>
      <c:catAx>
        <c:axId val="2339817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174336"/>
        <c:crosses val="autoZero"/>
        <c:auto val="1"/>
        <c:lblAlgn val="ctr"/>
        <c:lblOffset val="100"/>
        <c:noMultiLvlLbl val="0"/>
      </c:catAx>
      <c:valAx>
        <c:axId val="8631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日均值第95百分位数mg/m3</a:t>
                </a:r>
                <a:endParaRPr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9817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[计算.xlsx]Sheet1!$L$231</c:f>
              <c:strCache>
                <c:ptCount val="1"/>
                <c:pt idx="0">
                  <c:v>O3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[计算.xlsx]Sheet1!$L$232:$L$236</c:f>
              <c:numCache>
                <c:formatCode>General</c:formatCode>
                <c:ptCount val="5"/>
                <c:pt idx="0">
                  <c:v>98</c:v>
                </c:pt>
                <c:pt idx="1">
                  <c:v>108</c:v>
                </c:pt>
                <c:pt idx="2">
                  <c:v>135</c:v>
                </c:pt>
                <c:pt idx="3">
                  <c:v>121</c:v>
                </c:pt>
                <c:pt idx="4">
                  <c:v>123</c:v>
                </c:pt>
              </c:numCache>
            </c:numRef>
          </c:val>
          <c:smooth val="0"/>
        </c:ser>
        <c:ser>
          <c:idx val="1"/>
          <c:order val="1"/>
          <c:tx>
            <c:strRef>
              <c:f>[计算.xlsx]Sheet1!$M$231</c:f>
              <c:strCache>
                <c:ptCount val="1"/>
                <c:pt idx="0">
                  <c:v>标准值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[计算.xlsx]Sheet1!$K$232:$K$236</c:f>
              <c:strCache>
                <c:ptCount val="5"/>
                <c:pt idx="0">
                  <c:v>2016年</c:v>
                </c:pt>
                <c:pt idx="1">
                  <c:v>2017年</c:v>
                </c:pt>
                <c:pt idx="2">
                  <c:v>2018年</c:v>
                </c:pt>
                <c:pt idx="3">
                  <c:v>2019年</c:v>
                </c:pt>
                <c:pt idx="4">
                  <c:v>2020年</c:v>
                </c:pt>
              </c:strCache>
            </c:strRef>
          </c:cat>
          <c:val>
            <c:numRef>
              <c:f>[计算.xlsx]Sheet1!$M$232:$M$236</c:f>
              <c:numCache>
                <c:formatCode>General</c:formatCode>
                <c:ptCount val="5"/>
                <c:pt idx="0">
                  <c:v>160</c:v>
                </c:pt>
                <c:pt idx="1">
                  <c:v>160</c:v>
                </c:pt>
                <c:pt idx="2">
                  <c:v>160</c:v>
                </c:pt>
                <c:pt idx="3">
                  <c:v>160</c:v>
                </c:pt>
                <c:pt idx="4">
                  <c:v>160</c:v>
                </c:pt>
              </c:numCache>
            </c:numRef>
          </c:val>
          <c:smooth val="0"/>
        </c:ser>
        <c:dLbls>
          <c:showLegendKey val="0"/>
          <c:showVal val="0"/>
          <c:showCatName val="0"/>
          <c:showSerName val="0"/>
          <c:showPercent val="0"/>
          <c:showBubbleSize val="0"/>
        </c:dLbls>
        <c:marker val="1"/>
        <c:smooth val="0"/>
        <c:axId val="233981796"/>
        <c:axId val="863174336"/>
      </c:lineChart>
      <c:catAx>
        <c:axId val="2339817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174336"/>
        <c:crosses val="autoZero"/>
        <c:auto val="1"/>
        <c:lblAlgn val="ctr"/>
        <c:lblOffset val="100"/>
        <c:noMultiLvlLbl val="0"/>
      </c:catAx>
      <c:valAx>
        <c:axId val="8631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最大8h平均第90百分位数</a:t>
                </a:r>
                <a:endParaRPr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9817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CODcr</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1">
                  <c:v>17</c:v>
                </c:pt>
                <c:pt idx="2">
                  <c:v>19</c:v>
                </c:pt>
                <c:pt idx="3">
                  <c:v>15</c:v>
                </c:pt>
                <c:pt idx="4">
                  <c:v>19</c:v>
                </c:pt>
                <c:pt idx="5">
                  <c:v>23</c:v>
                </c:pt>
                <c:pt idx="6">
                  <c:v>18</c:v>
                </c:pt>
                <c:pt idx="7">
                  <c:v>17</c:v>
                </c:pt>
                <c:pt idx="8">
                  <c:v>17</c:v>
                </c:pt>
                <c:pt idx="9">
                  <c:v>17</c:v>
                </c:pt>
                <c:pt idx="10">
                  <c:v>14</c:v>
                </c:pt>
                <c:pt idx="11">
                  <c:v>19</c:v>
                </c:pt>
                <c:pt idx="12">
                  <c:v>18</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16</c:v>
                </c:pt>
                <c:pt idx="1">
                  <c:v>15</c:v>
                </c:pt>
                <c:pt idx="2">
                  <c:v>18</c:v>
                </c:pt>
                <c:pt idx="3">
                  <c:v>17</c:v>
                </c:pt>
                <c:pt idx="4">
                  <c:v>17</c:v>
                </c:pt>
                <c:pt idx="5">
                  <c:v>17</c:v>
                </c:pt>
                <c:pt idx="6">
                  <c:v>18</c:v>
                </c:pt>
                <c:pt idx="7">
                  <c:v>17</c:v>
                </c:pt>
                <c:pt idx="8">
                  <c:v>15</c:v>
                </c:pt>
                <c:pt idx="9">
                  <c:v>18</c:v>
                </c:pt>
                <c:pt idx="10">
                  <c:v>18</c:v>
                </c:pt>
                <c:pt idx="11">
                  <c:v>17</c:v>
                </c:pt>
                <c:pt idx="12">
                  <c:v>17</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16</c:v>
                </c:pt>
                <c:pt idx="1">
                  <c:v>16</c:v>
                </c:pt>
                <c:pt idx="2">
                  <c:v>15</c:v>
                </c:pt>
                <c:pt idx="3">
                  <c:v>16</c:v>
                </c:pt>
                <c:pt idx="4">
                  <c:v>15</c:v>
                </c:pt>
                <c:pt idx="5">
                  <c:v>17</c:v>
                </c:pt>
                <c:pt idx="6">
                  <c:v>13</c:v>
                </c:pt>
                <c:pt idx="7">
                  <c:v>8</c:v>
                </c:pt>
                <c:pt idx="8">
                  <c:v>15</c:v>
                </c:pt>
                <c:pt idx="9">
                  <c:v>11</c:v>
                </c:pt>
                <c:pt idx="10">
                  <c:v>10</c:v>
                </c:pt>
                <c:pt idx="11">
                  <c:v>11.5</c:v>
                </c:pt>
                <c:pt idx="12">
                  <c:v>14</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20</c:v>
                </c:pt>
                <c:pt idx="1">
                  <c:v>20</c:v>
                </c:pt>
                <c:pt idx="2">
                  <c:v>20</c:v>
                </c:pt>
                <c:pt idx="3">
                  <c:v>20</c:v>
                </c:pt>
                <c:pt idx="4">
                  <c:v>20</c:v>
                </c:pt>
                <c:pt idx="5">
                  <c:v>20</c:v>
                </c:pt>
                <c:pt idx="6">
                  <c:v>20</c:v>
                </c:pt>
                <c:pt idx="7">
                  <c:v>20</c:v>
                </c:pt>
                <c:pt idx="8">
                  <c:v>20</c:v>
                </c:pt>
                <c:pt idx="9">
                  <c:v>20</c:v>
                </c:pt>
                <c:pt idx="10">
                  <c:v>20</c:v>
                </c:pt>
                <c:pt idx="11">
                  <c:v>20</c:v>
                </c:pt>
                <c:pt idx="12">
                  <c:v>20</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0.154</c:v>
                </c:pt>
                <c:pt idx="1">
                  <c:v>0.206</c:v>
                </c:pt>
                <c:pt idx="2">
                  <c:v>0.27</c:v>
                </c:pt>
                <c:pt idx="3">
                  <c:v>0.406</c:v>
                </c:pt>
                <c:pt idx="4">
                  <c:v>0.114</c:v>
                </c:pt>
                <c:pt idx="5">
                  <c:v>0.123</c:v>
                </c:pt>
                <c:pt idx="6">
                  <c:v>0.209</c:v>
                </c:pt>
                <c:pt idx="7">
                  <c:v>0.136</c:v>
                </c:pt>
                <c:pt idx="8">
                  <c:v>0.099</c:v>
                </c:pt>
                <c:pt idx="9">
                  <c:v>0.138</c:v>
                </c:pt>
                <c:pt idx="10">
                  <c:v>0.117</c:v>
                </c:pt>
                <c:pt idx="11">
                  <c:v>0.14</c:v>
                </c:pt>
                <c:pt idx="12">
                  <c:v>0.176</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0.14</c:v>
                </c:pt>
                <c:pt idx="1">
                  <c:v>0.16</c:v>
                </c:pt>
                <c:pt idx="2">
                  <c:v>0.27</c:v>
                </c:pt>
                <c:pt idx="3">
                  <c:v>0.35</c:v>
                </c:pt>
                <c:pt idx="4">
                  <c:v>0.38</c:v>
                </c:pt>
                <c:pt idx="5">
                  <c:v>0.18</c:v>
                </c:pt>
                <c:pt idx="6">
                  <c:v>0.12</c:v>
                </c:pt>
                <c:pt idx="7">
                  <c:v>0.11</c:v>
                </c:pt>
                <c:pt idx="8">
                  <c:v>0.17</c:v>
                </c:pt>
                <c:pt idx="9">
                  <c:v>0.17</c:v>
                </c:pt>
                <c:pt idx="10">
                  <c:v>0.1</c:v>
                </c:pt>
                <c:pt idx="11">
                  <c:v>0.12</c:v>
                </c:pt>
                <c:pt idx="12">
                  <c:v>0.19</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0.2</c:v>
                </c:pt>
                <c:pt idx="1">
                  <c:v>0.22</c:v>
                </c:pt>
                <c:pt idx="2">
                  <c:v>0.28</c:v>
                </c:pt>
                <c:pt idx="3">
                  <c:v>0.32</c:v>
                </c:pt>
                <c:pt idx="4">
                  <c:v>0.17</c:v>
                </c:pt>
                <c:pt idx="5">
                  <c:v>0.2</c:v>
                </c:pt>
                <c:pt idx="6">
                  <c:v>0.11</c:v>
                </c:pt>
                <c:pt idx="7">
                  <c:v>0.07</c:v>
                </c:pt>
                <c:pt idx="8">
                  <c:v>0.06</c:v>
                </c:pt>
                <c:pt idx="9">
                  <c:v>0.11</c:v>
                </c:pt>
                <c:pt idx="10">
                  <c:v>0.12</c:v>
                </c:pt>
                <c:pt idx="11">
                  <c:v>0.13</c:v>
                </c:pt>
                <c:pt idx="12">
                  <c:v>0.17</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NH3-N</a:t>
            </a:r>
            <a:r>
              <a:rPr altLang="en-US"/>
              <a:t>变化趋势</a:t>
            </a:r>
            <a:endParaRPr altLang="en-US"/>
          </a:p>
        </c:rich>
      </c:tx>
      <c:layout/>
      <c:overlay val="0"/>
      <c:spPr>
        <a:noFill/>
        <a:ln>
          <a:noFill/>
        </a:ln>
        <a:effectLst/>
      </c:spPr>
    </c:title>
    <c:autoTitleDeleted val="0"/>
    <c:plotArea>
      <c:layout/>
      <c:lineChart>
        <c:grouping val="standard"/>
        <c:varyColors val="0"/>
        <c:ser>
          <c:idx val="0"/>
          <c:order val="0"/>
          <c:tx>
            <c:strRef>
              <c:f>[计算.xlsx]Sheet1!$I$265</c:f>
              <c:strCache>
                <c:ptCount val="1"/>
                <c:pt idx="0">
                  <c:v>2018年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[计算.xlsx]Sheet1!$J$265:$V$265</c:f>
              <c:numCache>
                <c:formatCode>General</c:formatCode>
                <c:ptCount val="13"/>
                <c:pt idx="0">
                  <c:v>0.805</c:v>
                </c:pt>
                <c:pt idx="1">
                  <c:v>0.61</c:v>
                </c:pt>
                <c:pt idx="2">
                  <c:v>0.74</c:v>
                </c:pt>
                <c:pt idx="3">
                  <c:v>1.091</c:v>
                </c:pt>
                <c:pt idx="4">
                  <c:v>0.818</c:v>
                </c:pt>
                <c:pt idx="5">
                  <c:v>0.267</c:v>
                </c:pt>
                <c:pt idx="6">
                  <c:v>0.21</c:v>
                </c:pt>
                <c:pt idx="7">
                  <c:v>0.329</c:v>
                </c:pt>
                <c:pt idx="8">
                  <c:v>0.293</c:v>
                </c:pt>
                <c:pt idx="9">
                  <c:v>0.153</c:v>
                </c:pt>
                <c:pt idx="10">
                  <c:v>0.106</c:v>
                </c:pt>
                <c:pt idx="11">
                  <c:v>0.392</c:v>
                </c:pt>
                <c:pt idx="12">
                  <c:v>0.484</c:v>
                </c:pt>
              </c:numCache>
            </c:numRef>
          </c:val>
          <c:smooth val="0"/>
        </c:ser>
        <c:ser>
          <c:idx val="1"/>
          <c:order val="1"/>
          <c:tx>
            <c:strRef>
              <c:f>[计算.xlsx]Sheet1!$I$266</c:f>
              <c:strCache>
                <c:ptCount val="1"/>
                <c:pt idx="0">
                  <c:v>2019年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[计算.xlsx]Sheet1!$J$266:$V$266</c:f>
              <c:numCache>
                <c:formatCode>General</c:formatCode>
                <c:ptCount val="13"/>
                <c:pt idx="0">
                  <c:v>0.335</c:v>
                </c:pt>
                <c:pt idx="1">
                  <c:v>0.496</c:v>
                </c:pt>
                <c:pt idx="2">
                  <c:v>0.433</c:v>
                </c:pt>
                <c:pt idx="3">
                  <c:v>1.16</c:v>
                </c:pt>
                <c:pt idx="4">
                  <c:v>0.88</c:v>
                </c:pt>
                <c:pt idx="5">
                  <c:v>0.199</c:v>
                </c:pt>
                <c:pt idx="6">
                  <c:v>0.194</c:v>
                </c:pt>
                <c:pt idx="7">
                  <c:v>0.199</c:v>
                </c:pt>
                <c:pt idx="8">
                  <c:v>0.168</c:v>
                </c:pt>
                <c:pt idx="9">
                  <c:v>0.257</c:v>
                </c:pt>
                <c:pt idx="10">
                  <c:v>0.16</c:v>
                </c:pt>
                <c:pt idx="11">
                  <c:v>0.29</c:v>
                </c:pt>
                <c:pt idx="12">
                  <c:v>0.398</c:v>
                </c:pt>
              </c:numCache>
            </c:numRef>
          </c:val>
          <c:smooth val="0"/>
        </c:ser>
        <c:ser>
          <c:idx val="2"/>
          <c:order val="2"/>
          <c:tx>
            <c:strRef>
              <c:f>[计算.xlsx]Sheet1!$I$267</c:f>
              <c:strCache>
                <c:ptCount val="1"/>
                <c:pt idx="0">
                  <c:v>2020年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[计算.xlsx]Sheet1!$J$267:$V$267</c:f>
              <c:numCache>
                <c:formatCode>General</c:formatCode>
                <c:ptCount val="13"/>
                <c:pt idx="0">
                  <c:v>0.68</c:v>
                </c:pt>
                <c:pt idx="1">
                  <c:v>1</c:v>
                </c:pt>
                <c:pt idx="2">
                  <c:v>0.81</c:v>
                </c:pt>
                <c:pt idx="3">
                  <c:v>1.12</c:v>
                </c:pt>
                <c:pt idx="4">
                  <c:v>0.18</c:v>
                </c:pt>
                <c:pt idx="5">
                  <c:v>0.25</c:v>
                </c:pt>
                <c:pt idx="6">
                  <c:v>0.13</c:v>
                </c:pt>
                <c:pt idx="7">
                  <c:v>0.06</c:v>
                </c:pt>
                <c:pt idx="8">
                  <c:v>0.05</c:v>
                </c:pt>
                <c:pt idx="9">
                  <c:v>0.16</c:v>
                </c:pt>
                <c:pt idx="10">
                  <c:v>0.22</c:v>
                </c:pt>
                <c:pt idx="11">
                  <c:v>0.64</c:v>
                </c:pt>
                <c:pt idx="12">
                  <c:v>0.44</c:v>
                </c:pt>
              </c:numCache>
            </c:numRef>
          </c:val>
          <c:smooth val="0"/>
        </c:ser>
        <c:ser>
          <c:idx val="3"/>
          <c:order val="3"/>
          <c:tx>
            <c:strRef>
              <c:f>[计算.xlsx]Sheet1!$I$268</c:f>
              <c:strCache>
                <c:ptCount val="1"/>
                <c:pt idx="0">
                  <c:v>标准限值</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[计算.xlsx]Sheet1!$J$264:$V$264</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平均</c:v>
                </c:pt>
              </c:strCache>
            </c:strRef>
          </c:cat>
          <c:val>
            <c:numRef>
              <c:f>[计算.xlsx]Sheet1!$J$268:$V$268</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960761333"/>
        <c:axId val="313665677"/>
      </c:lineChart>
      <c:catAx>
        <c:axId val="9607613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665677"/>
        <c:crosses val="autoZero"/>
        <c:auto val="1"/>
        <c:lblAlgn val="ctr"/>
        <c:lblOffset val="100"/>
        <c:noMultiLvlLbl val="0"/>
      </c:catAx>
      <c:valAx>
        <c:axId val="31366567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7613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372</Pages>
  <Words>226632</Words>
  <Characters>283374</Characters>
  <TotalTime>4</TotalTime>
  <ScaleCrop>false</ScaleCrop>
  <LinksUpToDate>false</LinksUpToDate>
  <CharactersWithSpaces>290078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2021-11-08T09:36:00Z</dcterms:created>
  <dc:creator>Administrator</dc:creator>
  <cp:lastModifiedBy>lenovo</cp:lastModifiedBy>
  <dcterms:modified xsi:type="dcterms:W3CDTF">2022-10-27T03:02:33Z</dcterms:modified>
  <dc:title>目录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WPS 文字</vt:lpwstr>
  </property>
  <property fmtid="{D5CDD505-2E9C-101B-9397-08002B2CF9AE}" pid="4" name="LastSaved">
    <vt:filetime>2021-11-08T00:00:00Z</vt:filetime>
  </property>
  <property fmtid="{D5CDD505-2E9C-101B-9397-08002B2CF9AE}" pid="5" name="KSOProductBuildVer">
    <vt:lpwstr>2052-11.1.0.12598</vt:lpwstr>
  </property>
  <property fmtid="{D5CDD505-2E9C-101B-9397-08002B2CF9AE}" pid="6" name="ICV">
    <vt:lpwstr>1609045274F7435DA76BAF0478D1318D</vt:lpwstr>
  </property>
</Properties>
</file>