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52"/>
          <w:szCs w:val="52"/>
        </w:rPr>
      </w:pPr>
      <w:bookmarkStart w:id="1" w:name="_Toc15377193"/>
      <w:bookmarkStart w:id="2" w:name="_Toc15396597"/>
      <w:bookmarkStart w:id="3" w:name="_Toc15396475"/>
      <w:bookmarkStart w:id="4" w:name="_Toc15377425"/>
      <w:bookmarkStart w:id="5" w:name="_Toc15378441"/>
      <w:r>
        <w:rPr>
          <w:rFonts w:ascii="黑体" w:hAnsi="黑体" w:eastAsia="黑体"/>
          <w:color w:val="000000"/>
          <w:sz w:val="52"/>
          <w:szCs w:val="52"/>
        </w:rPr>
        <w:t>20</w:t>
      </w:r>
      <w:r>
        <w:rPr>
          <w:rFonts w:hint="eastAsia" w:ascii="黑体" w:hAnsi="黑体" w:eastAsia="黑体"/>
          <w:color w:val="000000"/>
          <w:sz w:val="52"/>
          <w:szCs w:val="52"/>
          <w:lang w:val="en-US" w:eastAsia="zh-CN"/>
        </w:rPr>
        <w:t>20</w:t>
      </w:r>
      <w:r>
        <w:rPr>
          <w:rFonts w:hint="eastAsia" w:ascii="方正小标宋简体" w:hAnsi="宋体" w:eastAsia="方正小标宋简体"/>
          <w:color w:val="000000"/>
          <w:sz w:val="52"/>
          <w:szCs w:val="5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52"/>
          <w:szCs w:val="52"/>
        </w:rPr>
      </w:pPr>
      <w:bookmarkStart w:id="6" w:name="_Toc15377194"/>
      <w:bookmarkStart w:id="7" w:name="_Toc15396598"/>
      <w:bookmarkStart w:id="8" w:name="_Toc15378442"/>
      <w:bookmarkStart w:id="9" w:name="_Toc15396476"/>
      <w:bookmarkStart w:id="10" w:name="_Toc15377426"/>
      <w:r>
        <w:rPr>
          <w:rFonts w:hint="eastAsia" w:ascii="方正小标宋简体" w:hAnsi="宋体" w:eastAsia="方正小标宋简体"/>
          <w:color w:val="000000"/>
          <w:sz w:val="52"/>
          <w:szCs w:val="52"/>
          <w:lang w:eastAsia="zh-CN"/>
        </w:rPr>
        <w:t>大竹县</w:t>
      </w:r>
      <w:bookmarkEnd w:id="0"/>
      <w:bookmarkStart w:id="11" w:name="_Toc15306268"/>
      <w:r>
        <w:rPr>
          <w:rFonts w:hint="eastAsia" w:ascii="方正小标宋简体" w:hAnsi="宋体" w:eastAsia="方正小标宋简体"/>
          <w:color w:val="000000"/>
          <w:sz w:val="52"/>
          <w:szCs w:val="52"/>
          <w:lang w:eastAsia="zh-CN"/>
        </w:rPr>
        <w:t>电化教育馆</w:t>
      </w:r>
      <w:r>
        <w:rPr>
          <w:rFonts w:hint="eastAsia" w:ascii="方正小标宋简体" w:hAnsi="宋体" w:eastAsia="方正小标宋简体"/>
          <w:color w:val="000000"/>
          <w:sz w:val="52"/>
          <w:szCs w:val="5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rPr>
          <w:rFonts w:hint="eastAsia" w:asciiTheme="minorEastAsia" w:hAnsiTheme="minorEastAsia" w:eastAsiaTheme="minorEastAsia" w:cstheme="minorEastAsia"/>
          <w:shd w:val="clear" w:color="auto" w:fill="auto"/>
        </w:rPr>
      </w:pPr>
      <w:r>
        <w:rPr>
          <w:rFonts w:hint="eastAsia" w:asciiTheme="minorEastAsia" w:hAnsiTheme="minorEastAsia" w:eastAsiaTheme="minorEastAsia" w:cstheme="minorEastAsia"/>
        </w:rPr>
        <w:t>公开时间：</w:t>
      </w:r>
      <w:r>
        <w:rPr>
          <w:rFonts w:hint="eastAsia" w:asciiTheme="minorEastAsia" w:hAnsiTheme="minorEastAsia" w:eastAsiaTheme="minorEastAsia" w:cstheme="minorEastAsia"/>
          <w:color w:val="000000" w:themeColor="text1"/>
          <w:shd w:val="clear" w:color="auto" w:fill="auto"/>
          <w14:textFill>
            <w14:solidFill>
              <w14:schemeClr w14:val="tx1"/>
            </w14:solidFill>
          </w14:textFill>
        </w:rPr>
        <w:t>202</w:t>
      </w:r>
      <w:r>
        <w:rPr>
          <w:rFonts w:hint="eastAsia" w:asciiTheme="minorEastAsia" w:hAnsiTheme="minorEastAsia" w:eastAsiaTheme="minorEastAsia" w:cstheme="minorEastAsia"/>
          <w:color w:val="000000" w:themeColor="text1"/>
          <w:shd w:val="clear" w:color="auto" w:fill="auto"/>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hd w:val="clear" w:color="auto" w:fill="auto"/>
          <w14:textFill>
            <w14:solidFill>
              <w14:schemeClr w14:val="tx1"/>
            </w14:solidFill>
          </w14:textFill>
        </w:rPr>
        <w:t>年</w:t>
      </w:r>
      <w:r>
        <w:rPr>
          <w:rFonts w:hint="eastAsia" w:asciiTheme="minorEastAsia" w:hAnsiTheme="minorEastAsia" w:eastAsiaTheme="minorEastAsia" w:cstheme="minorEastAsia"/>
          <w:color w:val="000000" w:themeColor="text1"/>
          <w:shd w:val="clear" w:color="auto" w:fill="auto"/>
          <w:lang w:val="en-US" w:eastAsia="zh-CN"/>
          <w14:textFill>
            <w14:solidFill>
              <w14:schemeClr w14:val="tx1"/>
            </w14:solidFill>
          </w14:textFill>
        </w:rPr>
        <w:t>09</w:t>
      </w:r>
      <w:r>
        <w:rPr>
          <w:rFonts w:hint="eastAsia" w:asciiTheme="minorEastAsia" w:hAnsiTheme="minorEastAsia" w:eastAsiaTheme="minorEastAsia" w:cstheme="minorEastAsia"/>
          <w:color w:val="000000" w:themeColor="text1"/>
          <w:shd w:val="clear" w:color="auto" w:fill="auto"/>
          <w14:textFill>
            <w14:solidFill>
              <w14:schemeClr w14:val="tx1"/>
            </w14:solidFill>
          </w14:textFill>
        </w:rPr>
        <w:t>月</w:t>
      </w:r>
      <w:r>
        <w:rPr>
          <w:rFonts w:hint="eastAsia" w:asciiTheme="minorEastAsia" w:hAnsiTheme="minorEastAsia" w:eastAsiaTheme="minorEastAsia" w:cstheme="minorEastAsia"/>
          <w:color w:val="000000" w:themeColor="text1"/>
          <w:shd w:val="clear" w:color="auto" w:fill="auto"/>
          <w:lang w:val="en-US" w:eastAsia="zh-CN"/>
          <w14:textFill>
            <w14:solidFill>
              <w14:schemeClr w14:val="tx1"/>
            </w14:solidFill>
          </w14:textFill>
        </w:rPr>
        <w:t>27</w:t>
      </w:r>
      <w:r>
        <w:rPr>
          <w:rFonts w:hint="eastAsia" w:asciiTheme="minorEastAsia" w:hAnsiTheme="minorEastAsia" w:eastAsiaTheme="minorEastAsia" w:cstheme="minorEastAsia"/>
          <w:color w:val="000000" w:themeColor="text1"/>
          <w:shd w:val="clear" w:color="auto" w:fill="auto"/>
          <w14:textFill>
            <w14:solidFill>
              <w14:schemeClr w14:val="tx1"/>
            </w14:solidFill>
          </w14:textFill>
        </w:rPr>
        <w:t>日</w:t>
      </w:r>
    </w:p>
    <w:p>
      <w:pPr>
        <w:rPr>
          <w:rFonts w:hint="eastAsia" w:asciiTheme="minorEastAsia" w:hAnsiTheme="minorEastAsia" w:eastAsiaTheme="minorEastAsia" w:cstheme="minorEastAsia"/>
        </w:rPr>
      </w:pPr>
    </w:p>
    <w:p>
      <w:pPr>
        <w:pStyle w:val="10"/>
        <w:adjustRightInd w:val="0"/>
        <w:snapToGrid w:val="0"/>
        <w:spacing w:before="0"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第一部分 部门概况</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4</w:t>
      </w:r>
    </w:p>
    <w:p>
      <w:pPr>
        <w:pStyle w:val="11"/>
        <w:adjustRightInd w:val="0"/>
        <w:snapToGrid w:val="0"/>
        <w:spacing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一、基本职能及主要工作</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4</w:t>
      </w:r>
    </w:p>
    <w:p>
      <w:pPr>
        <w:pStyle w:val="11"/>
        <w:adjustRightInd w:val="0"/>
        <w:snapToGrid w:val="0"/>
        <w:spacing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二、机构设置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4</w:t>
      </w:r>
    </w:p>
    <w:p>
      <w:pPr>
        <w:pStyle w:val="10"/>
        <w:adjustRightInd w:val="0"/>
        <w:snapToGrid w:val="0"/>
        <w:spacing w:before="0"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第二部分</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部门决算情况说明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5</w:t>
      </w:r>
    </w:p>
    <w:p>
      <w:pPr>
        <w:pStyle w:val="11"/>
        <w:adjustRightInd w:val="0"/>
        <w:snapToGrid w:val="0"/>
        <w:spacing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一、收入支出决算总体情况说明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5</w:t>
      </w:r>
    </w:p>
    <w:p>
      <w:pPr>
        <w:pStyle w:val="11"/>
        <w:adjustRightInd w:val="0"/>
        <w:snapToGrid w:val="0"/>
        <w:spacing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二、收入决算情况说明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5</w:t>
      </w:r>
    </w:p>
    <w:p>
      <w:pPr>
        <w:pStyle w:val="11"/>
        <w:adjustRightInd w:val="0"/>
        <w:snapToGrid w:val="0"/>
        <w:spacing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三、支出决算情况说明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6</w:t>
      </w:r>
    </w:p>
    <w:p>
      <w:pPr>
        <w:pStyle w:val="11"/>
        <w:adjustRightInd w:val="0"/>
        <w:snapToGrid w:val="0"/>
        <w:spacing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四、财政拨款收入支出决算总体情况说明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7</w:t>
      </w:r>
    </w:p>
    <w:p>
      <w:pPr>
        <w:pStyle w:val="11"/>
        <w:adjustRightInd w:val="0"/>
        <w:snapToGrid w:val="0"/>
        <w:spacing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五、一般公共预算财政拨款支出决算情况说明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7</w:t>
      </w:r>
    </w:p>
    <w:p>
      <w:pPr>
        <w:pStyle w:val="11"/>
        <w:adjustRightInd w:val="0"/>
        <w:snapToGrid w:val="0"/>
        <w:spacing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六、一般公共预算财政拨款基本支出决算情况说明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10</w:t>
      </w:r>
    </w:p>
    <w:p>
      <w:pPr>
        <w:pStyle w:val="11"/>
        <w:adjustRightInd w:val="0"/>
        <w:snapToGrid w:val="0"/>
        <w:spacing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七、“三公”经费财政拨款支出决算情况说明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10</w:t>
      </w:r>
    </w:p>
    <w:p>
      <w:pPr>
        <w:pStyle w:val="11"/>
        <w:adjustRightInd w:val="0"/>
        <w:snapToGrid w:val="0"/>
        <w:spacing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八、政府性基金预算支出决算情况说明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12</w:t>
      </w:r>
    </w:p>
    <w:p>
      <w:pPr>
        <w:pStyle w:val="11"/>
        <w:adjustRightInd w:val="0"/>
        <w:snapToGrid w:val="0"/>
        <w:spacing w:line="440" w:lineRule="exact"/>
        <w:ind w:lef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九、国有资本经营预算支出决算情况说明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12</w:t>
      </w:r>
    </w:p>
    <w:p>
      <w:pPr>
        <w:pStyle w:val="11"/>
        <w:adjustRightInd w:val="0"/>
        <w:snapToGrid w:val="0"/>
        <w:spacing w:line="440" w:lineRule="exact"/>
        <w:ind w:leftChars="0"/>
        <w:jc w:val="left"/>
        <w:rPr>
          <w:rFonts w:hint="eastAsia" w:asciiTheme="minorEastAsia" w:hAnsiTheme="minorEastAsia" w:eastAsiaTheme="minorEastAsia" w:cstheme="minorEastAsia"/>
          <w:sz w:val="24"/>
          <w:szCs w:val="24"/>
        </w:rPr>
      </w:pPr>
      <w:r>
        <w:rPr>
          <w:rStyle w:val="16"/>
          <w:rFonts w:hint="eastAsia" w:asciiTheme="minorEastAsia" w:hAnsiTheme="minorEastAsia" w:eastAsiaTheme="minorEastAsia" w:cstheme="minorEastAsia"/>
          <w:color w:val="000000" w:themeColor="text1"/>
          <w:sz w:val="24"/>
          <w:szCs w:val="24"/>
          <w:u w:val="none"/>
          <w14:textFill>
            <w14:solidFill>
              <w14:schemeClr w14:val="tx1"/>
            </w14:solidFill>
          </w14:textFill>
        </w:rPr>
        <w:t>十、</w:t>
      </w:r>
      <w:r>
        <w:rPr>
          <w:rFonts w:hint="eastAsia" w:asciiTheme="minorEastAsia" w:hAnsiTheme="minorEastAsia" w:eastAsiaTheme="minorEastAsia" w:cstheme="minorEastAsia"/>
          <w:sz w:val="24"/>
          <w:szCs w:val="24"/>
        </w:rPr>
        <w:t>其他重要事项的情况说明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12</w:t>
      </w:r>
    </w:p>
    <w:p>
      <w:pPr>
        <w:pStyle w:val="10"/>
        <w:adjustRightInd w:val="0"/>
        <w:snapToGrid w:val="0"/>
        <w:spacing w:before="0"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第三部分 名词解释</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16</w:t>
      </w:r>
    </w:p>
    <w:p>
      <w:pPr>
        <w:pStyle w:val="10"/>
        <w:adjustRightInd w:val="0"/>
        <w:snapToGrid w:val="0"/>
        <w:spacing w:before="0"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第四部分 附件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18</w:t>
      </w:r>
    </w:p>
    <w:p>
      <w:pPr>
        <w:pStyle w:val="11"/>
        <w:adjustRightInd w:val="0"/>
        <w:snapToGrid w:val="0"/>
        <w:spacing w:line="44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附件1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18</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附件2……………………………………………………………………22</w:t>
      </w:r>
    </w:p>
    <w:p>
      <w:pPr>
        <w:pStyle w:val="11"/>
        <w:adjustRightInd w:val="0"/>
        <w:snapToGrid w:val="0"/>
        <w:spacing w:line="440" w:lineRule="exact"/>
        <w:ind w:left="0" w:leftChars="0" w:firstLine="0" w:firstLineChars="0"/>
        <w:jc w:val="left"/>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第五部分 附表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23</w:t>
      </w:r>
    </w:p>
    <w:p>
      <w:pPr>
        <w:pStyle w:val="11"/>
        <w:adjustRightInd w:val="0"/>
        <w:snapToGrid w:val="0"/>
        <w:spacing w:line="440" w:lineRule="exact"/>
        <w:jc w:val="left"/>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一、收入支出决算总表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23</w:t>
      </w:r>
    </w:p>
    <w:p>
      <w:pPr>
        <w:pStyle w:val="11"/>
        <w:adjustRightInd w:val="0"/>
        <w:snapToGrid w:val="0"/>
        <w:spacing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二、收入决算表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23</w:t>
      </w:r>
    </w:p>
    <w:p>
      <w:pPr>
        <w:pStyle w:val="11"/>
        <w:adjustRightInd w:val="0"/>
        <w:snapToGrid w:val="0"/>
        <w:spacing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三、支出决算表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23</w:t>
      </w:r>
    </w:p>
    <w:p>
      <w:pPr>
        <w:pStyle w:val="11"/>
        <w:adjustRightInd w:val="0"/>
        <w:snapToGrid w:val="0"/>
        <w:spacing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四、财政拨款收入支出决算总表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23</w:t>
      </w:r>
    </w:p>
    <w:p>
      <w:pPr>
        <w:pStyle w:val="11"/>
        <w:adjustRightInd w:val="0"/>
        <w:snapToGrid w:val="0"/>
        <w:spacing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五、财政拨款支出决算明细表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23</w:t>
      </w:r>
    </w:p>
    <w:p>
      <w:pPr>
        <w:pStyle w:val="11"/>
        <w:adjustRightInd w:val="0"/>
        <w:snapToGrid w:val="0"/>
        <w:spacing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六、一般公共预算财政拨款支出决算表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23</w:t>
      </w:r>
    </w:p>
    <w:p>
      <w:pPr>
        <w:pStyle w:val="11"/>
        <w:adjustRightInd w:val="0"/>
        <w:snapToGrid w:val="0"/>
        <w:spacing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七、一般公共预算财政拨款支出决算明细表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23</w:t>
      </w:r>
    </w:p>
    <w:p>
      <w:pPr>
        <w:pStyle w:val="11"/>
        <w:adjustRightInd w:val="0"/>
        <w:snapToGrid w:val="0"/>
        <w:spacing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八、一般公共预算财政拨款基本支出决算表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23</w:t>
      </w:r>
    </w:p>
    <w:p>
      <w:pPr>
        <w:pStyle w:val="11"/>
        <w:adjustRightInd w:val="0"/>
        <w:snapToGrid w:val="0"/>
        <w:spacing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九、一般公共预算财政拨款项目支出决算表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23</w:t>
      </w:r>
    </w:p>
    <w:p>
      <w:pPr>
        <w:pStyle w:val="11"/>
        <w:adjustRightInd w:val="0"/>
        <w:snapToGrid w:val="0"/>
        <w:spacing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十、一般公共预算财政拨款“三公”经费支出决算表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23</w:t>
      </w:r>
    </w:p>
    <w:p>
      <w:pPr>
        <w:pStyle w:val="11"/>
        <w:adjustRightInd w:val="0"/>
        <w:snapToGrid w:val="0"/>
        <w:spacing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十一、政府性基金预算财政拨款收入支出决算表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23</w:t>
      </w:r>
    </w:p>
    <w:p>
      <w:pPr>
        <w:pStyle w:val="11"/>
        <w:adjustRightInd w:val="0"/>
        <w:snapToGrid w:val="0"/>
        <w:spacing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十二、政府性基金预算财政拨款“三公”经费支出决算表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23</w:t>
      </w:r>
    </w:p>
    <w:p>
      <w:pPr>
        <w:pStyle w:val="11"/>
        <w:adjustRightInd w:val="0"/>
        <w:snapToGrid w:val="0"/>
        <w:spacing w:line="44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十三、国有资本经营预算财政拨款收入支出决算表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23</w:t>
      </w:r>
    </w:p>
    <w:p>
      <w:pPr>
        <w:pStyle w:val="11"/>
        <w:adjustRightInd w:val="0"/>
        <w:snapToGrid w:val="0"/>
        <w:spacing w:line="44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十四、国有资本经营预算财政拨款支出决算表………………………23</w:t>
      </w:r>
    </w:p>
    <w:p>
      <w:pPr>
        <w:pStyle w:val="11"/>
        <w:adjustRightInd w:val="0"/>
        <w:snapToGrid w:val="0"/>
        <w:spacing w:line="440" w:lineRule="exact"/>
        <w:jc w:val="left"/>
        <w:rPr>
          <w:rFonts w:hint="eastAsia" w:asciiTheme="minorEastAsia" w:hAnsiTheme="minorEastAsia" w:eastAsiaTheme="minorEastAsia" w:cstheme="minorEastAsia"/>
          <w:color w:val="FF0000"/>
          <w:sz w:val="24"/>
          <w:szCs w:val="24"/>
        </w:rPr>
      </w:pPr>
    </w:p>
    <w:p>
      <w:pPr>
        <w:widowControl/>
        <w:spacing w:line="440" w:lineRule="exact"/>
        <w:jc w:val="left"/>
        <w:rPr>
          <w:rFonts w:hint="eastAsia" w:asciiTheme="minorEastAsia" w:hAnsiTheme="minorEastAsia" w:eastAsiaTheme="minorEastAsia" w:cstheme="minorEastAsia"/>
          <w:bCs/>
          <w:kern w:val="44"/>
          <w:sz w:val="24"/>
          <w:szCs w:val="24"/>
        </w:rPr>
      </w:pPr>
      <w:bookmarkStart w:id="12" w:name="_Toc15396599"/>
      <w:bookmarkStart w:id="13" w:name="_Toc15377196"/>
      <w:r>
        <w:rPr>
          <w:rFonts w:hint="eastAsia" w:asciiTheme="minorEastAsia" w:hAnsiTheme="minorEastAsia" w:eastAsiaTheme="minorEastAsia" w:cstheme="minorEastAsia"/>
          <w:b/>
          <w:sz w:val="24"/>
          <w:szCs w:val="24"/>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_GB2312" w:hAnsi="仿宋_GB2312" w:eastAsia="仿宋_GB2312" w:cs="仿宋_GB2312"/>
          <w:bCs/>
          <w:color w:val="000000"/>
          <w:sz w:val="32"/>
          <w:szCs w:val="32"/>
        </w:rPr>
      </w:pPr>
      <w:bookmarkStart w:id="16" w:name="_Toc15377198"/>
      <w:bookmarkStart w:id="17" w:name="_Toc15378445"/>
      <w:r>
        <w:rPr>
          <w:rFonts w:hint="eastAsia" w:ascii="仿宋_GB2312" w:hAnsi="仿宋_GB2312" w:eastAsia="仿宋_GB2312" w:cs="仿宋_GB2312"/>
          <w:bCs/>
          <w:color w:val="000000"/>
          <w:sz w:val="32"/>
          <w:szCs w:val="32"/>
        </w:rPr>
        <w:t>（一）主要职能。</w:t>
      </w:r>
      <w:bookmarkEnd w:id="16"/>
      <w:bookmarkEnd w:id="17"/>
    </w:p>
    <w:p>
      <w:pPr>
        <w:pStyle w:val="5"/>
        <w:pageBreakBefore w:val="0"/>
        <w:kinsoku/>
        <w:wordWrap/>
        <w:overflowPunct/>
        <w:topLinePunct w:val="0"/>
        <w:bidi w:val="0"/>
        <w:adjustRightInd w:val="0"/>
        <w:snapToGrid w:val="0"/>
        <w:spacing w:beforeLines="0" w:line="240" w:lineRule="auto"/>
        <w:ind w:firstLine="672" w:firstLineChars="21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我馆全面负责教育系统信息化设备、设施、软件资源配备，现代教育技术工作管理，信息化教育教学应用推广，教育技术科研指导，远教项目的组织与实施，大竹教育网、中小学学生电子学籍系统、网络公文传输系统、视频会议系统、学校现代教育技术工作的开展应用的管理与指导和教师现代教育技术应用能力培训等职能职责。</w:t>
      </w:r>
    </w:p>
    <w:p>
      <w:pPr>
        <w:pStyle w:val="5"/>
        <w:adjustRightInd w:val="0"/>
        <w:snapToGrid w:val="0"/>
        <w:spacing w:before="93" w:line="600" w:lineRule="exact"/>
        <w:ind w:firstLine="672" w:firstLineChars="210"/>
        <w:outlineLvl w:val="2"/>
        <w:rPr>
          <w:rFonts w:hint="eastAsia" w:ascii="仿宋_GB2312" w:hAnsi="仿宋_GB2312" w:eastAsia="仿宋_GB2312" w:cs="仿宋_GB2312"/>
          <w:bCs/>
          <w:color w:val="000000"/>
          <w:sz w:val="32"/>
          <w:szCs w:val="32"/>
        </w:rPr>
      </w:pPr>
      <w:bookmarkStart w:id="18" w:name="_Toc15378446"/>
      <w:bookmarkStart w:id="19" w:name="_Toc15377199"/>
      <w:r>
        <w:rPr>
          <w:rFonts w:hint="eastAsia" w:ascii="仿宋_GB2312" w:hAnsi="仿宋_GB2312" w:eastAsia="仿宋_GB2312" w:cs="仿宋_GB2312"/>
          <w:bCs/>
          <w:color w:val="000000"/>
          <w:sz w:val="32"/>
          <w:szCs w:val="32"/>
        </w:rPr>
        <w:t>（二）20</w:t>
      </w:r>
      <w:r>
        <w:rPr>
          <w:rFonts w:hint="eastAsia" w:hAnsi="仿宋_GB2312" w:cs="仿宋_GB2312"/>
          <w:bCs/>
          <w:color w:val="000000"/>
          <w:sz w:val="32"/>
          <w:szCs w:val="32"/>
          <w:lang w:val="en-US" w:eastAsia="zh-CN"/>
        </w:rPr>
        <w:t>20</w:t>
      </w:r>
      <w:r>
        <w:rPr>
          <w:rFonts w:hint="eastAsia" w:ascii="仿宋_GB2312" w:hAnsi="仿宋_GB2312" w:eastAsia="仿宋_GB2312" w:cs="仿宋_GB2312"/>
          <w:bCs/>
          <w:color w:val="000000"/>
          <w:sz w:val="32"/>
          <w:szCs w:val="32"/>
        </w:rPr>
        <w:t>年重点工作完成情况。</w:t>
      </w:r>
      <w:bookmarkEnd w:id="18"/>
      <w:bookmarkEnd w:id="19"/>
    </w:p>
    <w:p>
      <w:pPr>
        <w:pStyle w:val="5"/>
        <w:pageBreakBefore w:val="0"/>
        <w:kinsoku/>
        <w:wordWrap/>
        <w:overflowPunct/>
        <w:topLinePunct w:val="0"/>
        <w:autoSpaceDE/>
        <w:autoSpaceDN/>
        <w:bidi w:val="0"/>
        <w:adjustRightInd w:val="0"/>
        <w:snapToGrid w:val="0"/>
        <w:spacing w:beforeLines="0" w:line="240" w:lineRule="auto"/>
        <w:ind w:right="0" w:rightChars="0" w:firstLine="672" w:firstLineChars="210"/>
        <w:textAlignment w:val="auto"/>
        <w:outlineLvl w:val="2"/>
        <w:rPr>
          <w:rFonts w:hint="eastAsia" w:ascii="仿宋_GB2312" w:hAnsi="仿宋_GB2312" w:eastAsia="仿宋_GB2312" w:cs="仿宋_GB2312"/>
          <w:bCs/>
          <w:color w:val="000000"/>
          <w:sz w:val="32"/>
          <w:szCs w:val="32"/>
        </w:rPr>
      </w:pPr>
      <w:r>
        <w:rPr>
          <w:rFonts w:hint="eastAsia" w:ascii="仿宋_GB2312" w:hAnsi="仿宋_GB2312" w:eastAsia="仿宋_GB2312" w:cs="仿宋_GB2312"/>
          <w:sz w:val="32"/>
          <w:szCs w:val="32"/>
        </w:rPr>
        <w:t>20</w:t>
      </w:r>
      <w:r>
        <w:rPr>
          <w:rFonts w:hint="eastAsia" w:hAnsi="仿宋_GB2312" w:cs="仿宋_GB2312"/>
          <w:sz w:val="32"/>
          <w:szCs w:val="32"/>
          <w:lang w:val="en-US" w:eastAsia="zh-CN"/>
        </w:rPr>
        <w:t>20</w:t>
      </w:r>
      <w:r>
        <w:rPr>
          <w:rFonts w:hint="eastAsia" w:ascii="仿宋_GB2312" w:hAnsi="仿宋_GB2312" w:eastAsia="仿宋_GB2312" w:cs="仿宋_GB2312"/>
          <w:sz w:val="32"/>
          <w:szCs w:val="32"/>
          <w:lang w:eastAsia="zh-CN"/>
        </w:rPr>
        <w:t>年本单位的主要工作是全县学校智慧校园的创建以及教师的信息化培训。完成质量好，获得主管部门教科局年度考核一等奖。</w:t>
      </w:r>
    </w:p>
    <w:p>
      <w:pPr>
        <w:pStyle w:val="5"/>
        <w:adjustRightInd w:val="0"/>
        <w:snapToGrid w:val="0"/>
        <w:spacing w:before="93" w:line="600" w:lineRule="exact"/>
        <w:ind w:firstLine="672" w:firstLineChars="210"/>
        <w:outlineLvl w:val="2"/>
        <w:rPr>
          <w:rFonts w:hint="eastAsia" w:ascii="仿宋_GB2312" w:hAnsi="仿宋_GB2312" w:eastAsia="仿宋_GB2312" w:cs="仿宋_GB2312"/>
          <w:bCs/>
          <w:color w:val="000000"/>
          <w:sz w:val="32"/>
          <w:szCs w:val="32"/>
        </w:rPr>
      </w:pPr>
    </w:p>
    <w:p>
      <w:pPr>
        <w:pStyle w:val="3"/>
        <w:rPr>
          <w:rStyle w:val="26"/>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pStyle w:val="5"/>
        <w:pageBreakBefore w:val="0"/>
        <w:kinsoku/>
        <w:wordWrap/>
        <w:overflowPunct/>
        <w:topLinePunct w:val="0"/>
        <w:bidi w:val="0"/>
        <w:adjustRightInd w:val="0"/>
        <w:snapToGrid w:val="0"/>
        <w:spacing w:beforeLines="0" w:line="240" w:lineRule="auto"/>
        <w:ind w:firstLine="672" w:firstLineChars="210"/>
        <w:textAlignment w:val="auto"/>
        <w:rPr>
          <w:rFonts w:hint="eastAsia"/>
          <w:sz w:val="32"/>
          <w:szCs w:val="32"/>
          <w:lang w:eastAsia="zh-CN"/>
        </w:rPr>
      </w:pPr>
      <w:r>
        <w:rPr>
          <w:rFonts w:hint="eastAsia"/>
          <w:sz w:val="32"/>
          <w:szCs w:val="32"/>
          <w:lang w:eastAsia="zh-CN"/>
        </w:rPr>
        <w:t>大竹县电化教育馆是财政全额拨款的一级预算事业单位</w:t>
      </w:r>
      <w:r>
        <w:rPr>
          <w:rFonts w:hint="eastAsia"/>
          <w:sz w:val="32"/>
          <w:szCs w:val="32"/>
        </w:rPr>
        <w:t>。</w:t>
      </w:r>
    </w:p>
    <w:p>
      <w:pPr>
        <w:pStyle w:val="5"/>
        <w:numPr>
          <w:ilvl w:val="0"/>
          <w:numId w:val="0"/>
        </w:numPr>
        <w:adjustRightInd w:val="0"/>
        <w:snapToGrid w:val="0"/>
        <w:spacing w:before="93" w:line="600" w:lineRule="exact"/>
        <w:outlineLvl w:val="2"/>
        <w:rPr>
          <w:rFonts w:ascii="仿宋" w:hAnsi="仿宋" w:eastAsia="仿宋"/>
          <w:color w:val="000000"/>
          <w:sz w:val="32"/>
          <w:szCs w:val="32"/>
        </w:rPr>
      </w:pP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5"/>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w:t>
      </w:r>
      <w:r>
        <w:rPr>
          <w:rStyle w:val="25"/>
          <w:rFonts w:hint="eastAsia" w:ascii="黑体" w:hAnsi="黑体" w:eastAsia="黑体"/>
          <w:b w:val="0"/>
          <w:bCs w:val="0"/>
          <w:lang w:val="en-US" w:eastAsia="zh-CN"/>
        </w:rPr>
        <w:t>20</w:t>
      </w:r>
      <w:r>
        <w:rPr>
          <w:rStyle w:val="25"/>
          <w:rFonts w:hint="eastAsia" w:ascii="黑体" w:hAnsi="黑体" w:eastAsia="黑体"/>
          <w:b w:val="0"/>
          <w:bCs w:val="0"/>
        </w:rPr>
        <w:t>年度部门决算情况说明</w:t>
      </w:r>
      <w:bookmarkEnd w:id="22"/>
      <w:bookmarkEnd w:id="23"/>
    </w:p>
    <w:p/>
    <w:p>
      <w:pPr>
        <w:pStyle w:val="24"/>
        <w:numPr>
          <w:ilvl w:val="0"/>
          <w:numId w:val="1"/>
        </w:numPr>
        <w:spacing w:line="600" w:lineRule="exact"/>
        <w:ind w:firstLineChars="0"/>
        <w:outlineLvl w:val="1"/>
        <w:rPr>
          <w:rStyle w:val="26"/>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年度收</w:t>
      </w:r>
      <w:r>
        <w:rPr>
          <w:rFonts w:hint="eastAsia" w:ascii="仿宋_GB2312" w:hAnsi="仿宋_GB2312" w:eastAsia="仿宋_GB2312" w:cs="仿宋_GB2312"/>
          <w:color w:val="000000"/>
          <w:sz w:val="32"/>
          <w:szCs w:val="32"/>
          <w:lang w:eastAsia="zh-CN"/>
        </w:rPr>
        <w:t>支</w:t>
      </w:r>
      <w:r>
        <w:rPr>
          <w:rFonts w:hint="eastAsia" w:ascii="仿宋_GB2312" w:hAnsi="仿宋_GB2312" w:eastAsia="仿宋_GB2312" w:cs="仿宋_GB2312"/>
          <w:color w:val="000000"/>
          <w:sz w:val="32"/>
          <w:szCs w:val="32"/>
        </w:rPr>
        <w:t>总计</w:t>
      </w:r>
      <w:r>
        <w:rPr>
          <w:rFonts w:hint="eastAsia" w:ascii="仿宋_GB2312" w:hAnsi="仿宋_GB2312" w:eastAsia="仿宋_GB2312" w:cs="仿宋_GB2312"/>
          <w:color w:val="000000"/>
          <w:sz w:val="32"/>
          <w:szCs w:val="32"/>
          <w:lang w:val="en-US" w:eastAsia="zh-CN"/>
        </w:rPr>
        <w:t>320.63</w:t>
      </w:r>
      <w:r>
        <w:rPr>
          <w:rFonts w:hint="eastAsia" w:ascii="仿宋_GB2312" w:hAnsi="仿宋_GB2312" w:eastAsia="仿宋_GB2312" w:cs="仿宋_GB2312"/>
          <w:color w:val="000000"/>
          <w:sz w:val="32"/>
          <w:szCs w:val="32"/>
        </w:rPr>
        <w:t>万元。与201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年相比，收</w:t>
      </w:r>
      <w:r>
        <w:rPr>
          <w:rFonts w:hint="eastAsia" w:ascii="仿宋_GB2312" w:hAnsi="仿宋_GB2312" w:eastAsia="仿宋_GB2312" w:cs="仿宋_GB2312"/>
          <w:color w:val="000000"/>
          <w:sz w:val="32"/>
          <w:szCs w:val="32"/>
          <w:lang w:eastAsia="zh-CN"/>
        </w:rPr>
        <w:t>入</w:t>
      </w:r>
      <w:r>
        <w:rPr>
          <w:rFonts w:hint="eastAsia" w:ascii="仿宋_GB2312" w:hAnsi="仿宋_GB2312" w:eastAsia="仿宋_GB2312" w:cs="仿宋_GB2312"/>
          <w:color w:val="000000"/>
          <w:sz w:val="32"/>
          <w:szCs w:val="32"/>
        </w:rPr>
        <w:t>总计</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6.54</w:t>
      </w:r>
      <w:r>
        <w:rPr>
          <w:rFonts w:hint="eastAsia" w:ascii="仿宋_GB2312" w:hAnsi="仿宋_GB2312" w:eastAsia="仿宋_GB2312" w:cs="仿宋_GB2312"/>
          <w:color w:val="000000"/>
          <w:sz w:val="32"/>
          <w:szCs w:val="32"/>
        </w:rPr>
        <w:t>万元、支</w:t>
      </w:r>
      <w:r>
        <w:rPr>
          <w:rFonts w:hint="eastAsia" w:ascii="仿宋_GB2312" w:hAnsi="仿宋_GB2312" w:eastAsia="仿宋_GB2312" w:cs="仿宋_GB2312"/>
          <w:color w:val="000000"/>
          <w:sz w:val="32"/>
          <w:szCs w:val="32"/>
          <w:lang w:eastAsia="zh-CN"/>
        </w:rPr>
        <w:t>出</w:t>
      </w:r>
      <w:r>
        <w:rPr>
          <w:rFonts w:hint="eastAsia" w:ascii="仿宋_GB2312" w:hAnsi="仿宋_GB2312" w:eastAsia="仿宋_GB2312" w:cs="仿宋_GB2312"/>
          <w:color w:val="000000"/>
          <w:sz w:val="32"/>
          <w:szCs w:val="32"/>
        </w:rPr>
        <w:t>总计</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63.21</w:t>
      </w:r>
      <w:r>
        <w:rPr>
          <w:rFonts w:hint="eastAsia" w:ascii="仿宋_GB2312" w:hAnsi="仿宋_GB2312" w:eastAsia="仿宋_GB2312" w:cs="仿宋_GB2312"/>
          <w:color w:val="000000"/>
          <w:sz w:val="32"/>
          <w:szCs w:val="32"/>
        </w:rPr>
        <w:t>万元，收</w:t>
      </w:r>
      <w:r>
        <w:rPr>
          <w:rFonts w:hint="eastAsia" w:ascii="仿宋_GB2312" w:hAnsi="仿宋_GB2312" w:eastAsia="仿宋_GB2312" w:cs="仿宋_GB2312"/>
          <w:color w:val="000000"/>
          <w:sz w:val="32"/>
          <w:szCs w:val="32"/>
          <w:lang w:eastAsia="zh-CN"/>
        </w:rPr>
        <w:t>入减少</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支</w:t>
      </w:r>
      <w:r>
        <w:rPr>
          <w:rFonts w:hint="eastAsia" w:ascii="仿宋_GB2312" w:hAnsi="仿宋_GB2312" w:eastAsia="仿宋_GB2312" w:cs="仿宋_GB2312"/>
          <w:color w:val="000000"/>
          <w:sz w:val="32"/>
          <w:szCs w:val="32"/>
          <w:lang w:eastAsia="zh-CN"/>
        </w:rPr>
        <w:t>出减少</w:t>
      </w:r>
      <w:r>
        <w:rPr>
          <w:rFonts w:hint="eastAsia" w:ascii="仿宋_GB2312" w:hAnsi="仿宋_GB2312" w:eastAsia="仿宋_GB2312" w:cs="仿宋_GB2312"/>
          <w:color w:val="000000"/>
          <w:sz w:val="32"/>
          <w:szCs w:val="32"/>
          <w:lang w:val="en-US" w:eastAsia="zh-CN"/>
        </w:rPr>
        <w:t>18.25</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人员减少，住房公积金未缴纳，绩效工资未发放等。</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textAlignment w:val="auto"/>
        <w:rPr>
          <w:rFonts w:hint="eastAsia" w:ascii="仿宋_GB2312" w:hAnsi="仿宋_GB2312" w:eastAsia="仿宋_GB2312" w:cs="仿宋_GB2312"/>
          <w:color w:val="000000"/>
          <w:sz w:val="32"/>
          <w:szCs w:val="32"/>
          <w:lang w:eastAsia="zh-CN"/>
        </w:rPr>
      </w:pPr>
      <w:r>
        <w:drawing>
          <wp:inline distT="0" distB="0" distL="114300" distR="114300">
            <wp:extent cx="5781675" cy="2743200"/>
            <wp:effectExtent l="4445" t="4445" r="5080"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1</w:t>
      </w:r>
      <w:r>
        <w:rPr>
          <w:rFonts w:hint="eastAsia" w:ascii="仿宋" w:hAnsi="仿宋" w:eastAsia="仿宋"/>
          <w:color w:val="auto"/>
          <w:sz w:val="32"/>
          <w:szCs w:val="32"/>
        </w:rPr>
        <w:t>：收、支决算总计变动情况图）</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left"/>
        <w:textAlignment w:val="auto"/>
        <w:rPr>
          <w:rFonts w:ascii="仿宋_GB2312" w:eastAsia="仿宋_GB2312"/>
          <w:color w:val="000000"/>
          <w:sz w:val="32"/>
          <w:szCs w:val="32"/>
        </w:rPr>
      </w:pPr>
    </w:p>
    <w:p>
      <w:pPr>
        <w:pStyle w:val="24"/>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firstLineChars="0"/>
        <w:textAlignment w:val="auto"/>
        <w:outlineLvl w:val="1"/>
        <w:rPr>
          <w:rStyle w:val="26"/>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1"/>
        <w:rPr>
          <w:rFonts w:hint="eastAsia" w:ascii="仿宋" w:hAnsi="仿宋" w:eastAsia="仿宋"/>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年本年收入合计</w:t>
      </w:r>
      <w:r>
        <w:rPr>
          <w:rFonts w:hint="eastAsia" w:ascii="仿宋_GB2312" w:hAnsi="仿宋_GB2312" w:eastAsia="仿宋_GB2312" w:cs="仿宋_GB2312"/>
          <w:color w:val="000000"/>
          <w:sz w:val="32"/>
          <w:szCs w:val="32"/>
          <w:lang w:val="en-US" w:eastAsia="zh-CN"/>
        </w:rPr>
        <w:t>320.63</w:t>
      </w:r>
      <w:r>
        <w:rPr>
          <w:rFonts w:hint="eastAsia" w:ascii="仿宋_GB2312" w:hAnsi="仿宋_GB2312" w:eastAsia="仿宋_GB2312" w:cs="仿宋_GB2312"/>
          <w:color w:val="000000"/>
          <w:sz w:val="32"/>
          <w:szCs w:val="32"/>
        </w:rPr>
        <w:t>万元，其中：一般公共预算财政拨款收入</w:t>
      </w:r>
      <w:r>
        <w:rPr>
          <w:rFonts w:hint="eastAsia" w:ascii="仿宋_GB2312" w:hAnsi="仿宋_GB2312" w:eastAsia="仿宋_GB2312" w:cs="仿宋_GB2312"/>
          <w:color w:val="000000"/>
          <w:sz w:val="32"/>
          <w:szCs w:val="32"/>
          <w:lang w:val="en-US" w:eastAsia="zh-CN"/>
        </w:rPr>
        <w:t>320.63</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%；政府性基金预算财政拨款收入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上级补助收入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%；事业收入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%；经营收入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%；附属单位上缴收入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%；其他收入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1"/>
        <w:rPr>
          <w:rFonts w:hint="eastAsia"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1"/>
        <w:rPr>
          <w:rFonts w:ascii="仿宋" w:hAnsi="仿宋" w:eastAsia="仿宋"/>
          <w:color w:val="000000"/>
          <w:sz w:val="32"/>
          <w:szCs w:val="32"/>
        </w:rPr>
      </w:pPr>
      <w:r>
        <w:drawing>
          <wp:inline distT="0" distB="0" distL="114300" distR="114300">
            <wp:extent cx="5191125" cy="2743200"/>
            <wp:effectExtent l="4445" t="4445" r="5080" b="14605"/>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（图2：收入决算结构图）</w:t>
      </w:r>
    </w:p>
    <w:p>
      <w:pPr>
        <w:spacing w:line="600" w:lineRule="exact"/>
        <w:ind w:firstLine="640" w:firstLineChars="200"/>
        <w:rPr>
          <w:rFonts w:ascii="仿宋_GB2312" w:eastAsia="仿宋_GB2312"/>
          <w:color w:val="FF0000"/>
          <w:sz w:val="32"/>
          <w:szCs w:val="32"/>
        </w:rPr>
      </w:pPr>
    </w:p>
    <w:p>
      <w:pPr>
        <w:pStyle w:val="24"/>
        <w:numPr>
          <w:ilvl w:val="0"/>
          <w:numId w:val="1"/>
        </w:numPr>
        <w:spacing w:line="600" w:lineRule="exact"/>
        <w:ind w:firstLineChars="0"/>
        <w:outlineLvl w:val="1"/>
        <w:rPr>
          <w:rStyle w:val="26"/>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年本年支出合计</w:t>
      </w:r>
      <w:r>
        <w:rPr>
          <w:rFonts w:hint="eastAsia" w:ascii="仿宋_GB2312" w:hAnsi="仿宋_GB2312" w:eastAsia="仿宋_GB2312" w:cs="仿宋_GB2312"/>
          <w:color w:val="000000"/>
          <w:sz w:val="32"/>
          <w:szCs w:val="32"/>
          <w:lang w:val="en-US" w:eastAsia="zh-CN"/>
        </w:rPr>
        <w:t>283.13</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259.28</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91.57</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23.85</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8.42</w:t>
      </w:r>
      <w:r>
        <w:rPr>
          <w:rFonts w:hint="eastAsia" w:ascii="仿宋_GB2312" w:hAnsi="仿宋_GB2312" w:eastAsia="仿宋_GB2312" w:cs="仿宋_GB2312"/>
          <w:color w:val="000000"/>
          <w:sz w:val="32"/>
          <w:szCs w:val="32"/>
        </w:rPr>
        <w:t>%；上缴上级支出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%；经营支出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%；对附属单位补助支出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1"/>
        <w:rPr>
          <w:rFonts w:hint="eastAsia" w:ascii="仿宋" w:hAnsi="仿宋" w:eastAsia="仿宋"/>
          <w:color w:val="000000"/>
          <w:sz w:val="32"/>
          <w:szCs w:val="32"/>
        </w:rPr>
      </w:pPr>
      <w:r>
        <w:drawing>
          <wp:inline distT="0" distB="0" distL="114300" distR="114300">
            <wp:extent cx="4572635" cy="2743200"/>
            <wp:effectExtent l="4445" t="4445" r="13970" b="14605"/>
            <wp:docPr id="102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1"/>
        <w:rPr>
          <w:rFonts w:hint="eastAsia"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ascii="仿宋" w:hAnsi="仿宋" w:eastAsia="仿宋"/>
          <w:color w:val="auto"/>
          <w:sz w:val="32"/>
          <w:szCs w:val="32"/>
        </w:rPr>
      </w:pPr>
      <w:r>
        <w:rPr>
          <w:rFonts w:hint="eastAsia" w:ascii="仿宋" w:hAnsi="仿宋" w:eastAsia="仿宋"/>
          <w:color w:val="auto"/>
          <w:sz w:val="32"/>
          <w:szCs w:val="32"/>
        </w:rPr>
        <w:t>（图3：支出决算结构图）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ascii="仿宋_GB2312" w:eastAsia="仿宋_GB2312"/>
          <w:color w:val="FF0000"/>
          <w:sz w:val="32"/>
          <w:szCs w:val="32"/>
        </w:rPr>
      </w:pPr>
    </w:p>
    <w:p>
      <w:pPr>
        <w:spacing w:line="600" w:lineRule="exact"/>
        <w:ind w:firstLine="640" w:firstLineChars="200"/>
        <w:outlineLvl w:val="1"/>
        <w:rPr>
          <w:rStyle w:val="26"/>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年财政拨款收</w:t>
      </w:r>
      <w:r>
        <w:rPr>
          <w:rFonts w:hint="eastAsia" w:ascii="仿宋_GB2312" w:hAnsi="仿宋_GB2312" w:eastAsia="仿宋_GB2312" w:cs="仿宋_GB2312"/>
          <w:color w:val="000000"/>
          <w:sz w:val="32"/>
          <w:szCs w:val="32"/>
          <w:lang w:eastAsia="zh-CN"/>
        </w:rPr>
        <w:t>入总计</w:t>
      </w:r>
      <w:r>
        <w:rPr>
          <w:rFonts w:hint="eastAsia" w:ascii="仿宋_GB2312" w:hAnsi="仿宋_GB2312" w:eastAsia="仿宋_GB2312" w:cs="仿宋_GB2312"/>
          <w:color w:val="000000"/>
          <w:sz w:val="32"/>
          <w:szCs w:val="32"/>
          <w:lang w:val="en-US" w:eastAsia="zh-CN"/>
        </w:rPr>
        <w:t>320.63万元，</w:t>
      </w:r>
      <w:r>
        <w:rPr>
          <w:rFonts w:hint="eastAsia" w:ascii="仿宋_GB2312" w:hAnsi="仿宋_GB2312" w:eastAsia="仿宋_GB2312" w:cs="仿宋_GB2312"/>
          <w:color w:val="000000"/>
          <w:sz w:val="32"/>
          <w:szCs w:val="32"/>
        </w:rPr>
        <w:t>支</w:t>
      </w:r>
      <w:r>
        <w:rPr>
          <w:rFonts w:hint="eastAsia" w:ascii="仿宋_GB2312" w:hAnsi="仿宋_GB2312" w:eastAsia="仿宋_GB2312" w:cs="仿宋_GB2312"/>
          <w:color w:val="000000"/>
          <w:sz w:val="32"/>
          <w:szCs w:val="32"/>
          <w:lang w:eastAsia="zh-CN"/>
        </w:rPr>
        <w:t>出</w:t>
      </w:r>
      <w:r>
        <w:rPr>
          <w:rFonts w:hint="eastAsia" w:ascii="仿宋_GB2312" w:hAnsi="仿宋_GB2312" w:eastAsia="仿宋_GB2312" w:cs="仿宋_GB2312"/>
          <w:color w:val="000000"/>
          <w:sz w:val="32"/>
          <w:szCs w:val="32"/>
        </w:rPr>
        <w:t>总计</w:t>
      </w:r>
      <w:r>
        <w:rPr>
          <w:rFonts w:hint="eastAsia" w:ascii="仿宋_GB2312" w:hAnsi="仿宋_GB2312" w:eastAsia="仿宋_GB2312" w:cs="仿宋_GB2312"/>
          <w:color w:val="000000"/>
          <w:sz w:val="32"/>
          <w:szCs w:val="32"/>
          <w:lang w:val="en-US" w:eastAsia="zh-CN"/>
        </w:rPr>
        <w:t>283.13</w:t>
      </w:r>
      <w:r>
        <w:rPr>
          <w:rFonts w:hint="eastAsia" w:ascii="仿宋_GB2312" w:hAnsi="仿宋_GB2312" w:eastAsia="仿宋_GB2312" w:cs="仿宋_GB2312"/>
          <w:color w:val="000000"/>
          <w:sz w:val="32"/>
          <w:szCs w:val="32"/>
        </w:rPr>
        <w:t>万元。与201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年相比，财政拨款收</w:t>
      </w:r>
      <w:r>
        <w:rPr>
          <w:rFonts w:hint="eastAsia" w:ascii="仿宋_GB2312" w:hAnsi="仿宋_GB2312" w:eastAsia="仿宋_GB2312" w:cs="仿宋_GB2312"/>
          <w:color w:val="000000"/>
          <w:sz w:val="32"/>
          <w:szCs w:val="32"/>
          <w:lang w:eastAsia="zh-CN"/>
        </w:rPr>
        <w:t>入减少</w:t>
      </w:r>
      <w:r>
        <w:rPr>
          <w:rFonts w:hint="eastAsia" w:ascii="仿宋_GB2312" w:hAnsi="仿宋_GB2312" w:eastAsia="仿宋_GB2312" w:cs="仿宋_GB2312"/>
          <w:color w:val="000000"/>
          <w:sz w:val="32"/>
          <w:szCs w:val="32"/>
          <w:lang w:val="en-US" w:eastAsia="zh-CN"/>
        </w:rPr>
        <w:t>6.54万元，减少2.0%，</w:t>
      </w:r>
      <w:r>
        <w:rPr>
          <w:rFonts w:hint="eastAsia" w:ascii="仿宋_GB2312" w:hAnsi="仿宋_GB2312" w:eastAsia="仿宋_GB2312" w:cs="仿宋_GB2312"/>
          <w:color w:val="000000"/>
          <w:sz w:val="32"/>
          <w:szCs w:val="32"/>
        </w:rPr>
        <w:t>支</w:t>
      </w:r>
      <w:r>
        <w:rPr>
          <w:rFonts w:hint="eastAsia" w:ascii="仿宋_GB2312" w:hAnsi="仿宋_GB2312" w:eastAsia="仿宋_GB2312" w:cs="仿宋_GB2312"/>
          <w:color w:val="000000"/>
          <w:sz w:val="32"/>
          <w:szCs w:val="32"/>
          <w:lang w:eastAsia="zh-CN"/>
        </w:rPr>
        <w:t>出</w:t>
      </w:r>
      <w:r>
        <w:rPr>
          <w:rFonts w:hint="eastAsia" w:ascii="仿宋_GB2312" w:hAnsi="仿宋_GB2312" w:eastAsia="仿宋_GB2312" w:cs="仿宋_GB2312"/>
          <w:color w:val="000000"/>
          <w:sz w:val="32"/>
          <w:szCs w:val="32"/>
        </w:rPr>
        <w:t>总计</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63.21</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18.25</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人员减少，住房公积金未缴纳，绩效工资未发放等。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 w:hAnsi="仿宋" w:eastAsia="仿宋"/>
          <w:color w:val="000000"/>
          <w:sz w:val="32"/>
          <w:szCs w:val="32"/>
          <w:lang w:eastAsia="zh-CN"/>
        </w:rPr>
      </w:pPr>
      <w:r>
        <w:drawing>
          <wp:inline distT="0" distB="0" distL="114300" distR="114300">
            <wp:extent cx="5781675" cy="2743200"/>
            <wp:effectExtent l="4445" t="4445" r="5080"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 w:hAnsi="仿宋" w:eastAsia="仿宋"/>
          <w:color w:val="FF0000"/>
          <w:sz w:val="32"/>
          <w:szCs w:val="32"/>
        </w:rPr>
      </w:pPr>
      <w:r>
        <w:rPr>
          <w:rFonts w:hint="eastAsia" w:ascii="仿宋" w:hAnsi="仿宋" w:eastAsia="仿宋"/>
          <w:color w:val="auto"/>
          <w:sz w:val="32"/>
          <w:szCs w:val="32"/>
        </w:rPr>
        <w:t>（图4：财政拨款收、支决算总计变动情况）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ascii="仿宋" w:hAnsi="仿宋" w:eastAsia="仿宋"/>
          <w:b/>
          <w:color w:val="00B050"/>
          <w:sz w:val="32"/>
          <w:szCs w:val="32"/>
        </w:rPr>
      </w:pPr>
    </w:p>
    <w:p>
      <w:pPr>
        <w:spacing w:line="600" w:lineRule="exact"/>
        <w:ind w:firstLine="640" w:firstLineChars="200"/>
        <w:outlineLvl w:val="1"/>
        <w:rPr>
          <w:rStyle w:val="26"/>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年一般公共预算财政拨款支出</w:t>
      </w:r>
      <w:r>
        <w:rPr>
          <w:rFonts w:hint="eastAsia" w:ascii="仿宋_GB2312" w:hAnsi="仿宋_GB2312" w:eastAsia="仿宋_GB2312" w:cs="仿宋_GB2312"/>
          <w:color w:val="000000"/>
          <w:sz w:val="32"/>
          <w:szCs w:val="32"/>
          <w:lang w:val="en-US" w:eastAsia="zh-CN"/>
        </w:rPr>
        <w:t>283.13</w:t>
      </w:r>
      <w:r>
        <w:rPr>
          <w:rFonts w:hint="eastAsia" w:ascii="仿宋_GB2312" w:hAnsi="仿宋_GB2312" w:eastAsia="仿宋_GB2312" w:cs="仿宋_GB2312"/>
          <w:color w:val="000000"/>
          <w:sz w:val="32"/>
          <w:szCs w:val="32"/>
        </w:rPr>
        <w:t>万元，占本年支出合计的</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%。与201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年相比，一般公共预算财政拨款</w:t>
      </w:r>
      <w:r>
        <w:rPr>
          <w:rFonts w:hint="eastAsia" w:ascii="仿宋_GB2312" w:hAnsi="仿宋_GB2312" w:eastAsia="仿宋_GB2312" w:cs="仿宋_GB2312"/>
          <w:color w:val="000000"/>
          <w:sz w:val="32"/>
          <w:szCs w:val="32"/>
          <w:lang w:eastAsia="zh-CN"/>
        </w:rPr>
        <w:t>支出减少</w:t>
      </w:r>
      <w:r>
        <w:rPr>
          <w:rFonts w:hint="eastAsia" w:ascii="仿宋_GB2312" w:hAnsi="仿宋_GB2312" w:eastAsia="仿宋_GB2312" w:cs="仿宋_GB2312"/>
          <w:color w:val="000000"/>
          <w:sz w:val="32"/>
          <w:szCs w:val="32"/>
          <w:lang w:val="en-US" w:eastAsia="zh-CN"/>
        </w:rPr>
        <w:t>44.03</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13.45</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人员减少，绩效工资未发放，住房公积金未缴纳等。</w:t>
      </w:r>
    </w:p>
    <w:p>
      <w:pPr>
        <w:spacing w:line="600" w:lineRule="exact"/>
        <w:ind w:firstLine="640" w:firstLineChars="200"/>
        <w:rPr>
          <w:rFonts w:hint="eastAsia" w:ascii="仿宋" w:hAnsi="仿宋" w:eastAsia="仿宋"/>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仿宋" w:hAnsi="仿宋" w:eastAsia="仿宋"/>
          <w:color w:val="000000"/>
          <w:sz w:val="32"/>
          <w:szCs w:val="32"/>
        </w:rPr>
      </w:pPr>
      <w:r>
        <w:drawing>
          <wp:inline distT="0" distB="0" distL="114300" distR="114300">
            <wp:extent cx="5191125" cy="2743200"/>
            <wp:effectExtent l="4445" t="4445" r="5080"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 w:hAnsi="仿宋" w:eastAsia="仿宋"/>
          <w:color w:val="auto"/>
          <w:sz w:val="32"/>
          <w:szCs w:val="32"/>
        </w:rPr>
      </w:pPr>
      <w:r>
        <w:rPr>
          <w:rFonts w:hint="eastAsia" w:ascii="仿宋" w:hAnsi="仿宋" w:eastAsia="仿宋"/>
          <w:color w:val="auto"/>
          <w:sz w:val="32"/>
          <w:szCs w:val="32"/>
        </w:rPr>
        <w:t>（图5：一般公共预算财政拨款支出决算变动情况）</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sz w:val="32"/>
          <w:szCs w:val="32"/>
        </w:rPr>
        <w:t>20</w:t>
      </w:r>
      <w:r>
        <w:rPr>
          <w:rFonts w:hint="eastAsia" w:ascii="仿宋_GB2312" w:hAnsi="仿宋_GB2312" w:eastAsia="仿宋_GB2312" w:cs="仿宋_GB2312"/>
          <w:b w:val="0"/>
          <w:bCs w:val="0"/>
          <w:color w:val="000000"/>
          <w:sz w:val="32"/>
          <w:szCs w:val="32"/>
          <w:lang w:val="en-US" w:eastAsia="zh-CN"/>
        </w:rPr>
        <w:t>20</w:t>
      </w:r>
      <w:r>
        <w:rPr>
          <w:rFonts w:hint="eastAsia" w:ascii="仿宋_GB2312" w:hAnsi="仿宋_GB2312" w:eastAsia="仿宋_GB2312" w:cs="仿宋_GB2312"/>
          <w:b w:val="0"/>
          <w:bCs w:val="0"/>
          <w:color w:val="000000"/>
          <w:sz w:val="32"/>
          <w:szCs w:val="32"/>
        </w:rPr>
        <w:t>年一般公共预算财</w:t>
      </w:r>
      <w:r>
        <w:rPr>
          <w:rFonts w:hint="eastAsia" w:ascii="仿宋_GB2312" w:hAnsi="仿宋_GB2312" w:eastAsia="仿宋_GB2312" w:cs="仿宋_GB2312"/>
          <w:b w:val="0"/>
          <w:bCs w:val="0"/>
          <w:color w:val="000000" w:themeColor="text1"/>
          <w:sz w:val="32"/>
          <w:szCs w:val="32"/>
          <w14:textFill>
            <w14:solidFill>
              <w14:schemeClr w14:val="tx1"/>
            </w14:solidFill>
          </w14:textFill>
        </w:rPr>
        <w:t>政拨款支出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283.13</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万元，主要用于以下方面:教育支出（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205</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220.89</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万元，占</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78</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社会保障和就业（</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208</w:t>
      </w:r>
      <w:r>
        <w:rPr>
          <w:rFonts w:hint="eastAsia" w:ascii="仿宋_GB2312" w:hAnsi="仿宋_GB2312" w:eastAsia="仿宋_GB2312" w:cs="仿宋_GB2312"/>
          <w:b w:val="0"/>
          <w:bCs w:val="0"/>
          <w:color w:val="000000" w:themeColor="text1"/>
          <w:sz w:val="32"/>
          <w:szCs w:val="32"/>
          <w14:textFill>
            <w14:solidFill>
              <w14:schemeClr w14:val="tx1"/>
            </w14:solidFill>
          </w14:textFill>
        </w:rPr>
        <w:t>）支出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37.61</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万元，占</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13.28</w:t>
      </w:r>
      <w:r>
        <w:rPr>
          <w:rFonts w:hint="eastAsia" w:ascii="仿宋_GB2312" w:hAnsi="仿宋_GB2312" w:eastAsia="仿宋_GB2312" w:cs="仿宋_GB2312"/>
          <w:b w:val="0"/>
          <w:bCs w:val="0"/>
          <w:color w:val="000000" w:themeColor="text1"/>
          <w:sz w:val="32"/>
          <w:szCs w:val="32"/>
          <w14:textFill>
            <w14:solidFill>
              <w14:schemeClr w14:val="tx1"/>
            </w14:solidFill>
          </w14:textFill>
        </w:rPr>
        <w:t>%；卫生健康支出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210</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11.89</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万元，占</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4.21</w:t>
      </w:r>
      <w:r>
        <w:rPr>
          <w:rFonts w:hint="eastAsia" w:ascii="仿宋_GB2312" w:hAnsi="仿宋_GB2312" w:eastAsia="仿宋_GB2312" w:cs="仿宋_GB2312"/>
          <w:b w:val="0"/>
          <w:bCs w:val="0"/>
          <w:color w:val="000000" w:themeColor="text1"/>
          <w:sz w:val="32"/>
          <w:szCs w:val="32"/>
          <w14:textFill>
            <w14:solidFill>
              <w14:schemeClr w14:val="tx1"/>
            </w14:solidFill>
          </w14:textFill>
        </w:rPr>
        <w:t>%；住房保障支出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221</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12.74</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万元，占</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4.51</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 w:hAnsi="仿宋" w:eastAsia="仿宋"/>
          <w:color w:val="000000" w:themeColor="text1"/>
          <w:sz w:val="32"/>
          <w:szCs w:val="32"/>
          <w14:textFill>
            <w14:solidFill>
              <w14:schemeClr w14:val="tx1"/>
            </w14:solidFill>
          </w14:textFill>
        </w:rPr>
      </w:pPr>
      <w:r>
        <w:drawing>
          <wp:inline distT="0" distB="0" distL="114300" distR="114300">
            <wp:extent cx="4572000" cy="2743200"/>
            <wp:effectExtent l="4445" t="4445" r="14605" b="14605"/>
            <wp:docPr id="15"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 w:hAnsi="仿宋" w:eastAsia="仿宋"/>
          <w:color w:val="auto"/>
          <w:sz w:val="32"/>
          <w:szCs w:val="32"/>
        </w:rPr>
      </w:pPr>
      <w:r>
        <w:rPr>
          <w:rFonts w:hint="eastAsia" w:ascii="仿宋" w:hAnsi="仿宋" w:eastAsia="仿宋"/>
          <w:color w:val="auto"/>
          <w:sz w:val="32"/>
          <w:szCs w:val="32"/>
        </w:rPr>
        <w:t>（图6：一般公共预算财政拨款支出决算结构）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bookmarkStart w:id="37" w:name="_Toc15378460"/>
      <w:bookmarkStart w:id="38" w:name="_Toc15377213"/>
      <w:bookmarkStart w:id="39" w:name="_Toc15377444"/>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2020年一般公共预算支出决算数为283.13万元，完成预算88.3%。其中：</w:t>
      </w:r>
      <w:bookmarkEnd w:id="37"/>
      <w:bookmarkEnd w:id="38"/>
      <w:bookmarkEnd w:id="39"/>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1.教育（205）其他教育支出（99）其他教育支出（99）: 支出决算为220.89万元，完成预算88.33%。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2.社会保障和就业支出（208）行政事业单位养老支出（05）机关事业单位基本养老保险缴费支出（05）机关视野单位职业年金缴费支出（06）其他行政事业单位养老支出（99）: 支出决算为37.61万元，完成预算97%。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3.卫生健康（210）行政事业单位医疗（11）事业单位医疗（02）其他行政事业单位医疗支出（99）:支出决算为11.89万元，完成预算99%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4.住房保障支出（221）住房改革支出（02）住房公积金（01）：支出决算为12.74万元，完成预算65%。</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6"/>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年一般公共预算财政拨款基本支出</w:t>
      </w:r>
      <w:r>
        <w:rPr>
          <w:rFonts w:hint="eastAsia" w:ascii="仿宋_GB2312" w:hAnsi="仿宋_GB2312" w:eastAsia="仿宋_GB2312" w:cs="仿宋_GB2312"/>
          <w:color w:val="000000"/>
          <w:sz w:val="32"/>
          <w:szCs w:val="32"/>
          <w:lang w:val="en-US" w:eastAsia="zh-CN"/>
        </w:rPr>
        <w:t>259.28</w:t>
      </w:r>
      <w:r>
        <w:rPr>
          <w:rFonts w:hint="eastAsia" w:ascii="仿宋_GB2312" w:hAnsi="仿宋_GB2312" w:eastAsia="仿宋_GB2312" w:cs="仿宋_GB2312"/>
          <w:color w:val="000000"/>
          <w:sz w:val="32"/>
          <w:szCs w:val="32"/>
        </w:rPr>
        <w:t>万元，其中：</w:t>
      </w:r>
    </w:p>
    <w:p>
      <w:pPr>
        <w:spacing w:line="60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人员经费</w:t>
      </w:r>
      <w:r>
        <w:rPr>
          <w:rFonts w:hint="eastAsia" w:ascii="仿宋_GB2312" w:hAnsi="仿宋_GB2312" w:eastAsia="仿宋_GB2312" w:cs="仿宋_GB2312"/>
          <w:color w:val="000000"/>
          <w:sz w:val="32"/>
          <w:szCs w:val="32"/>
          <w:lang w:val="en-US" w:eastAsia="zh-CN"/>
        </w:rPr>
        <w:t>237.81</w:t>
      </w:r>
      <w:r>
        <w:rPr>
          <w:rFonts w:hint="eastAsia" w:ascii="仿宋_GB2312" w:hAnsi="仿宋_GB2312" w:eastAsia="仿宋_GB2312" w:cs="仿宋_GB2312"/>
          <w:color w:val="000000"/>
          <w:sz w:val="32"/>
          <w:szCs w:val="32"/>
        </w:rPr>
        <w:t>万元，主要包括：基本工资</w:t>
      </w:r>
      <w:r>
        <w:rPr>
          <w:rFonts w:hint="eastAsia" w:ascii="仿宋_GB2312" w:hAnsi="仿宋_GB2312" w:eastAsia="仿宋_GB2312" w:cs="仿宋_GB2312"/>
          <w:color w:val="000000"/>
          <w:sz w:val="32"/>
          <w:szCs w:val="32"/>
          <w:lang w:val="en-US" w:eastAsia="zh-CN"/>
        </w:rPr>
        <w:t>95.97万元</w:t>
      </w:r>
      <w:r>
        <w:rPr>
          <w:rFonts w:hint="eastAsia" w:ascii="仿宋_GB2312" w:hAnsi="仿宋_GB2312" w:eastAsia="仿宋_GB2312" w:cs="仿宋_GB2312"/>
          <w:color w:val="000000"/>
          <w:sz w:val="32"/>
          <w:szCs w:val="32"/>
        </w:rPr>
        <w:t>、津贴补贴</w:t>
      </w:r>
      <w:r>
        <w:rPr>
          <w:rFonts w:hint="eastAsia" w:ascii="仿宋_GB2312" w:hAnsi="仿宋_GB2312" w:eastAsia="仿宋_GB2312" w:cs="仿宋_GB2312"/>
          <w:color w:val="000000"/>
          <w:sz w:val="32"/>
          <w:szCs w:val="32"/>
          <w:lang w:val="en-US" w:eastAsia="zh-CN"/>
        </w:rPr>
        <w:t>1.81万元</w:t>
      </w:r>
      <w:r>
        <w:rPr>
          <w:rFonts w:hint="eastAsia" w:ascii="仿宋_GB2312" w:hAnsi="仿宋_GB2312" w:eastAsia="仿宋_GB2312" w:cs="仿宋_GB2312"/>
          <w:color w:val="000000"/>
          <w:sz w:val="32"/>
          <w:szCs w:val="32"/>
        </w:rPr>
        <w:t>、伙食补助费</w:t>
      </w:r>
      <w:r>
        <w:rPr>
          <w:rFonts w:hint="eastAsia" w:ascii="仿宋_GB2312" w:hAnsi="仿宋_GB2312" w:eastAsia="仿宋_GB2312" w:cs="仿宋_GB2312"/>
          <w:color w:val="000000"/>
          <w:sz w:val="32"/>
          <w:szCs w:val="32"/>
          <w:lang w:val="en-US" w:eastAsia="zh-CN"/>
        </w:rPr>
        <w:t>3.86万元</w:t>
      </w:r>
      <w:r>
        <w:rPr>
          <w:rFonts w:hint="eastAsia" w:ascii="仿宋_GB2312" w:hAnsi="仿宋_GB2312" w:eastAsia="仿宋_GB2312" w:cs="仿宋_GB2312"/>
          <w:color w:val="000000"/>
          <w:sz w:val="32"/>
          <w:szCs w:val="32"/>
        </w:rPr>
        <w:t>、绩效工资</w:t>
      </w:r>
      <w:r>
        <w:rPr>
          <w:rFonts w:hint="eastAsia" w:ascii="仿宋_GB2312" w:hAnsi="仿宋_GB2312" w:eastAsia="仿宋_GB2312" w:cs="仿宋_GB2312"/>
          <w:color w:val="000000"/>
          <w:sz w:val="32"/>
          <w:szCs w:val="32"/>
          <w:lang w:val="en-US" w:eastAsia="zh-CN"/>
        </w:rPr>
        <w:t>38.21万元</w:t>
      </w:r>
      <w:r>
        <w:rPr>
          <w:rFonts w:hint="eastAsia" w:ascii="仿宋_GB2312" w:hAnsi="仿宋_GB2312" w:eastAsia="仿宋_GB2312" w:cs="仿宋_GB2312"/>
          <w:color w:val="000000"/>
          <w:sz w:val="32"/>
          <w:szCs w:val="32"/>
        </w:rPr>
        <w:t>、机关事业单位基本养老保险缴费</w:t>
      </w:r>
      <w:r>
        <w:rPr>
          <w:rFonts w:hint="eastAsia" w:ascii="仿宋_GB2312" w:hAnsi="仿宋_GB2312" w:eastAsia="仿宋_GB2312" w:cs="仿宋_GB2312"/>
          <w:color w:val="000000"/>
          <w:sz w:val="32"/>
          <w:szCs w:val="32"/>
          <w:lang w:val="en-US" w:eastAsia="zh-CN"/>
        </w:rPr>
        <w:t>24.96万元</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职业年金缴费</w:t>
      </w:r>
      <w:r>
        <w:rPr>
          <w:rFonts w:hint="eastAsia" w:ascii="仿宋_GB2312" w:hAnsi="仿宋_GB2312" w:eastAsia="仿宋_GB2312" w:cs="仿宋_GB2312"/>
          <w:color w:val="000000"/>
          <w:sz w:val="32"/>
          <w:szCs w:val="32"/>
          <w:lang w:val="en-US" w:eastAsia="zh-CN"/>
        </w:rPr>
        <w:t>3.61万元、</w:t>
      </w:r>
      <w:r>
        <w:rPr>
          <w:rFonts w:hint="eastAsia" w:ascii="仿宋_GB2312" w:hAnsi="仿宋_GB2312" w:eastAsia="仿宋_GB2312" w:cs="仿宋_GB2312"/>
          <w:color w:val="000000"/>
          <w:sz w:val="32"/>
          <w:szCs w:val="32"/>
          <w:lang w:eastAsia="zh-CN"/>
        </w:rPr>
        <w:t>基本医疗交费</w:t>
      </w:r>
      <w:r>
        <w:rPr>
          <w:rFonts w:hint="eastAsia" w:ascii="仿宋_GB2312" w:hAnsi="仿宋_GB2312" w:eastAsia="仿宋_GB2312" w:cs="仿宋_GB2312"/>
          <w:color w:val="000000"/>
          <w:sz w:val="32"/>
          <w:szCs w:val="32"/>
          <w:lang w:val="en-US" w:eastAsia="zh-CN"/>
        </w:rPr>
        <w:t>11.07万元、其他社会保障缴费0.82万元、</w:t>
      </w:r>
      <w:r>
        <w:rPr>
          <w:rFonts w:hint="eastAsia" w:ascii="仿宋_GB2312" w:hAnsi="仿宋_GB2312" w:eastAsia="仿宋_GB2312" w:cs="仿宋_GB2312"/>
          <w:color w:val="000000"/>
          <w:sz w:val="32"/>
          <w:szCs w:val="32"/>
        </w:rPr>
        <w:t>其他工资福利支出</w:t>
      </w:r>
      <w:r>
        <w:rPr>
          <w:rFonts w:hint="eastAsia" w:ascii="仿宋_GB2312" w:hAnsi="仿宋_GB2312" w:eastAsia="仿宋_GB2312" w:cs="仿宋_GB2312"/>
          <w:color w:val="000000"/>
          <w:sz w:val="32"/>
          <w:szCs w:val="32"/>
          <w:lang w:val="en-US" w:eastAsia="zh-CN"/>
        </w:rPr>
        <w:t>35.7万元</w:t>
      </w:r>
      <w:r>
        <w:rPr>
          <w:rFonts w:hint="eastAsia" w:ascii="仿宋_GB2312" w:hAnsi="仿宋_GB2312" w:eastAsia="仿宋_GB2312" w:cs="仿宋_GB2312"/>
          <w:color w:val="000000"/>
          <w:sz w:val="32"/>
          <w:szCs w:val="32"/>
        </w:rPr>
        <w:t>、住房公积金</w:t>
      </w:r>
      <w:r>
        <w:rPr>
          <w:rFonts w:hint="eastAsia" w:ascii="仿宋_GB2312" w:hAnsi="仿宋_GB2312" w:eastAsia="仿宋_GB2312" w:cs="仿宋_GB2312"/>
          <w:color w:val="000000"/>
          <w:sz w:val="32"/>
          <w:szCs w:val="32"/>
          <w:lang w:val="en-US" w:eastAsia="zh-CN"/>
        </w:rPr>
        <w:t>12.74万元</w:t>
      </w:r>
      <w:r>
        <w:rPr>
          <w:rFonts w:hint="eastAsia" w:ascii="仿宋_GB2312" w:hAnsi="仿宋_GB2312" w:eastAsia="仿宋_GB2312" w:cs="仿宋_GB2312"/>
          <w:color w:val="000000"/>
          <w:sz w:val="32"/>
          <w:szCs w:val="32"/>
        </w:rPr>
        <w:t>、对个人和家庭的补助支出</w:t>
      </w:r>
      <w:r>
        <w:rPr>
          <w:rFonts w:hint="eastAsia" w:ascii="仿宋_GB2312" w:hAnsi="仿宋_GB2312" w:eastAsia="仿宋_GB2312" w:cs="仿宋_GB2312"/>
          <w:color w:val="000000"/>
          <w:sz w:val="32"/>
          <w:szCs w:val="32"/>
          <w:lang w:val="en-US" w:eastAsia="zh-CN"/>
        </w:rPr>
        <w:t>9.06万元</w:t>
      </w:r>
      <w:r>
        <w:rPr>
          <w:rFonts w:hint="eastAsia" w:ascii="仿宋_GB2312" w:hAnsi="仿宋_GB2312" w:eastAsia="仿宋_GB2312" w:cs="仿宋_GB2312"/>
          <w:color w:val="000000"/>
          <w:sz w:val="32"/>
          <w:szCs w:val="32"/>
        </w:rPr>
        <w:t>等。</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日常公用经费</w:t>
      </w:r>
      <w:r>
        <w:rPr>
          <w:rFonts w:hint="eastAsia" w:ascii="仿宋_GB2312" w:hAnsi="仿宋_GB2312" w:eastAsia="仿宋_GB2312" w:cs="仿宋_GB2312"/>
          <w:color w:val="000000"/>
          <w:sz w:val="32"/>
          <w:szCs w:val="32"/>
          <w:lang w:val="en-US" w:eastAsia="zh-CN"/>
        </w:rPr>
        <w:t>21.47</w:t>
      </w:r>
      <w:r>
        <w:rPr>
          <w:rFonts w:hint="eastAsia" w:ascii="仿宋_GB2312" w:hAnsi="仿宋_GB2312" w:eastAsia="仿宋_GB2312" w:cs="仿宋_GB2312"/>
          <w:color w:val="000000"/>
          <w:sz w:val="32"/>
          <w:szCs w:val="32"/>
        </w:rPr>
        <w:t>万元，主要包括：办公费</w:t>
      </w:r>
      <w:r>
        <w:rPr>
          <w:rFonts w:hint="eastAsia" w:ascii="仿宋_GB2312" w:hAnsi="仿宋_GB2312" w:eastAsia="仿宋_GB2312" w:cs="仿宋_GB2312"/>
          <w:color w:val="000000"/>
          <w:sz w:val="32"/>
          <w:szCs w:val="32"/>
          <w:lang w:val="en-US" w:eastAsia="zh-CN"/>
        </w:rPr>
        <w:t>3.24万元</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电费</w:t>
      </w:r>
      <w:r>
        <w:rPr>
          <w:rFonts w:hint="eastAsia" w:ascii="仿宋_GB2312" w:hAnsi="仿宋_GB2312" w:eastAsia="仿宋_GB2312" w:cs="仿宋_GB2312"/>
          <w:color w:val="000000"/>
          <w:sz w:val="32"/>
          <w:szCs w:val="32"/>
          <w:lang w:val="en-US" w:eastAsia="zh-CN"/>
        </w:rPr>
        <w:t>0.79万元、</w:t>
      </w:r>
      <w:r>
        <w:rPr>
          <w:rFonts w:hint="eastAsia" w:ascii="仿宋_GB2312" w:hAnsi="仿宋_GB2312" w:eastAsia="仿宋_GB2312" w:cs="仿宋_GB2312"/>
          <w:color w:val="000000"/>
          <w:sz w:val="32"/>
          <w:szCs w:val="32"/>
        </w:rPr>
        <w:t>印刷费</w:t>
      </w:r>
      <w:r>
        <w:rPr>
          <w:rFonts w:hint="eastAsia" w:ascii="仿宋_GB2312" w:hAnsi="仿宋_GB2312" w:eastAsia="仿宋_GB2312" w:cs="仿宋_GB2312"/>
          <w:color w:val="000000"/>
          <w:sz w:val="32"/>
          <w:szCs w:val="32"/>
          <w:lang w:val="en-US" w:eastAsia="zh-CN"/>
        </w:rPr>
        <w:t>0万元</w:t>
      </w:r>
      <w:r>
        <w:rPr>
          <w:rFonts w:hint="eastAsia" w:ascii="仿宋_GB2312" w:hAnsi="仿宋_GB2312" w:eastAsia="仿宋_GB2312" w:cs="仿宋_GB2312"/>
          <w:color w:val="000000"/>
          <w:sz w:val="32"/>
          <w:szCs w:val="32"/>
        </w:rPr>
        <w:t>、差旅费</w:t>
      </w:r>
      <w:r>
        <w:rPr>
          <w:rFonts w:hint="eastAsia" w:ascii="仿宋_GB2312" w:hAnsi="仿宋_GB2312" w:eastAsia="仿宋_GB2312" w:cs="仿宋_GB2312"/>
          <w:color w:val="000000"/>
          <w:sz w:val="32"/>
          <w:szCs w:val="32"/>
          <w:lang w:val="en-US" w:eastAsia="zh-CN"/>
        </w:rPr>
        <w:t>0.08万元</w:t>
      </w:r>
      <w:r>
        <w:rPr>
          <w:rFonts w:hint="eastAsia" w:ascii="仿宋_GB2312" w:hAnsi="仿宋_GB2312" w:eastAsia="仿宋_GB2312" w:cs="仿宋_GB2312"/>
          <w:color w:val="000000"/>
          <w:sz w:val="32"/>
          <w:szCs w:val="32"/>
        </w:rPr>
        <w:t>、维修（护）费</w:t>
      </w:r>
      <w:r>
        <w:rPr>
          <w:rFonts w:hint="eastAsia" w:ascii="仿宋_GB2312" w:hAnsi="仿宋_GB2312" w:eastAsia="仿宋_GB2312" w:cs="仿宋_GB2312"/>
          <w:color w:val="000000"/>
          <w:sz w:val="32"/>
          <w:szCs w:val="32"/>
          <w:lang w:val="en-US" w:eastAsia="zh-CN"/>
        </w:rPr>
        <w:t>3.49万元</w:t>
      </w:r>
      <w:r>
        <w:rPr>
          <w:rFonts w:hint="eastAsia" w:ascii="仿宋_GB2312" w:hAnsi="仿宋_GB2312" w:eastAsia="仿宋_GB2312" w:cs="仿宋_GB2312"/>
          <w:color w:val="000000"/>
          <w:sz w:val="32"/>
          <w:szCs w:val="32"/>
        </w:rPr>
        <w:t>、公务接待费</w:t>
      </w:r>
      <w:r>
        <w:rPr>
          <w:rFonts w:hint="eastAsia" w:ascii="仿宋_GB2312" w:hAnsi="仿宋_GB2312" w:eastAsia="仿宋_GB2312" w:cs="仿宋_GB2312"/>
          <w:color w:val="000000"/>
          <w:sz w:val="32"/>
          <w:szCs w:val="32"/>
          <w:lang w:val="en-US" w:eastAsia="zh-CN"/>
        </w:rPr>
        <w:t>0.08万元</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邮电费</w:t>
      </w:r>
      <w:r>
        <w:rPr>
          <w:rFonts w:hint="eastAsia" w:ascii="仿宋_GB2312" w:hAnsi="仿宋_GB2312" w:eastAsia="仿宋_GB2312" w:cs="仿宋_GB2312"/>
          <w:color w:val="000000"/>
          <w:sz w:val="32"/>
          <w:szCs w:val="32"/>
          <w:lang w:val="en-US" w:eastAsia="zh-CN"/>
        </w:rPr>
        <w:t>1.28万元、</w:t>
      </w:r>
      <w:r>
        <w:rPr>
          <w:rFonts w:hint="eastAsia" w:ascii="仿宋_GB2312" w:hAnsi="仿宋_GB2312" w:eastAsia="仿宋_GB2312" w:cs="仿宋_GB2312"/>
          <w:color w:val="000000"/>
          <w:sz w:val="32"/>
          <w:szCs w:val="32"/>
        </w:rPr>
        <w:t>劳务费</w:t>
      </w:r>
      <w:r>
        <w:rPr>
          <w:rFonts w:hint="eastAsia" w:ascii="仿宋_GB2312" w:hAnsi="仿宋_GB2312" w:eastAsia="仿宋_GB2312" w:cs="仿宋_GB2312"/>
          <w:color w:val="000000"/>
          <w:sz w:val="32"/>
          <w:szCs w:val="32"/>
          <w:lang w:val="en-US" w:eastAsia="zh-CN"/>
        </w:rPr>
        <w:t>0万元</w:t>
      </w:r>
      <w:r>
        <w:rPr>
          <w:rFonts w:hint="eastAsia" w:ascii="仿宋_GB2312" w:hAnsi="仿宋_GB2312" w:eastAsia="仿宋_GB2312" w:cs="仿宋_GB2312"/>
          <w:color w:val="000000"/>
          <w:sz w:val="32"/>
          <w:szCs w:val="32"/>
        </w:rPr>
        <w:t>、委托业务费</w:t>
      </w:r>
      <w:r>
        <w:rPr>
          <w:rFonts w:hint="eastAsia" w:ascii="仿宋_GB2312" w:hAnsi="仿宋_GB2312" w:eastAsia="仿宋_GB2312" w:cs="仿宋_GB2312"/>
          <w:color w:val="000000"/>
          <w:sz w:val="32"/>
          <w:szCs w:val="32"/>
          <w:lang w:val="en-US" w:eastAsia="zh-CN"/>
        </w:rPr>
        <w:t>0.12万元</w:t>
      </w:r>
      <w:r>
        <w:rPr>
          <w:rFonts w:hint="eastAsia" w:ascii="仿宋_GB2312" w:hAnsi="仿宋_GB2312" w:eastAsia="仿宋_GB2312" w:cs="仿宋_GB2312"/>
          <w:color w:val="000000"/>
          <w:sz w:val="32"/>
          <w:szCs w:val="32"/>
        </w:rPr>
        <w:t>、工会经费</w:t>
      </w:r>
      <w:r>
        <w:rPr>
          <w:rFonts w:hint="eastAsia" w:ascii="仿宋_GB2312" w:hAnsi="仿宋_GB2312" w:eastAsia="仿宋_GB2312" w:cs="仿宋_GB2312"/>
          <w:color w:val="000000"/>
          <w:sz w:val="32"/>
          <w:szCs w:val="32"/>
          <w:lang w:val="en-US" w:eastAsia="zh-CN"/>
        </w:rPr>
        <w:t>4.01万元</w:t>
      </w:r>
      <w:r>
        <w:rPr>
          <w:rFonts w:hint="eastAsia" w:ascii="仿宋_GB2312" w:hAnsi="仿宋_GB2312" w:eastAsia="仿宋_GB2312" w:cs="仿宋_GB2312"/>
          <w:color w:val="000000"/>
          <w:sz w:val="32"/>
          <w:szCs w:val="32"/>
        </w:rPr>
        <w:t>、福利费</w:t>
      </w:r>
      <w:r>
        <w:rPr>
          <w:rFonts w:hint="eastAsia" w:ascii="仿宋_GB2312" w:hAnsi="仿宋_GB2312" w:eastAsia="仿宋_GB2312" w:cs="仿宋_GB2312"/>
          <w:color w:val="000000"/>
          <w:sz w:val="32"/>
          <w:szCs w:val="32"/>
          <w:lang w:val="en-US" w:eastAsia="zh-CN"/>
        </w:rPr>
        <w:t>4.11万元</w:t>
      </w:r>
      <w:r>
        <w:rPr>
          <w:rFonts w:hint="eastAsia" w:ascii="仿宋_GB2312" w:hAnsi="仿宋_GB2312" w:eastAsia="仿宋_GB2312" w:cs="仿宋_GB2312"/>
          <w:color w:val="000000"/>
          <w:sz w:val="32"/>
          <w:szCs w:val="32"/>
        </w:rPr>
        <w:t>、其他交通费</w:t>
      </w:r>
      <w:r>
        <w:rPr>
          <w:rFonts w:hint="eastAsia" w:ascii="仿宋_GB2312" w:hAnsi="仿宋_GB2312" w:eastAsia="仿宋_GB2312" w:cs="仿宋_GB2312"/>
          <w:color w:val="000000"/>
          <w:sz w:val="32"/>
          <w:szCs w:val="32"/>
          <w:lang w:val="en-US" w:eastAsia="zh-CN"/>
        </w:rPr>
        <w:t>0.77万元</w:t>
      </w:r>
      <w:r>
        <w:rPr>
          <w:rFonts w:hint="eastAsia" w:ascii="仿宋_GB2312" w:hAnsi="仿宋_GB2312" w:eastAsia="仿宋_GB2312" w:cs="仿宋_GB2312"/>
          <w:color w:val="000000"/>
          <w:sz w:val="32"/>
          <w:szCs w:val="32"/>
        </w:rPr>
        <w:t>、其他商品和服务支出</w:t>
      </w:r>
      <w:r>
        <w:rPr>
          <w:rFonts w:hint="eastAsia" w:ascii="仿宋_GB2312" w:hAnsi="仿宋_GB2312" w:eastAsia="仿宋_GB2312" w:cs="仿宋_GB2312"/>
          <w:color w:val="000000"/>
          <w:sz w:val="32"/>
          <w:szCs w:val="32"/>
          <w:lang w:val="en-US" w:eastAsia="zh-CN"/>
        </w:rPr>
        <w:t>3.31万元</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无形资产</w:t>
      </w:r>
      <w:r>
        <w:rPr>
          <w:rFonts w:hint="eastAsia" w:ascii="仿宋_GB2312" w:hAnsi="仿宋_GB2312" w:eastAsia="仿宋_GB2312" w:cs="仿宋_GB2312"/>
          <w:color w:val="000000"/>
          <w:sz w:val="32"/>
          <w:szCs w:val="32"/>
        </w:rPr>
        <w:t>购置</w:t>
      </w:r>
      <w:r>
        <w:rPr>
          <w:rFonts w:hint="eastAsia" w:ascii="仿宋_GB2312" w:hAnsi="仿宋_GB2312" w:eastAsia="仿宋_GB2312" w:cs="仿宋_GB2312"/>
          <w:color w:val="000000"/>
          <w:sz w:val="32"/>
          <w:szCs w:val="32"/>
          <w:lang w:val="en-US" w:eastAsia="zh-CN"/>
        </w:rPr>
        <w:t>0.19万元</w:t>
      </w:r>
      <w:r>
        <w:rPr>
          <w:rFonts w:hint="eastAsia" w:ascii="仿宋_GB2312" w:hAnsi="仿宋_GB2312" w:eastAsia="仿宋_GB2312" w:cs="仿宋_GB2312"/>
          <w:color w:val="000000"/>
          <w:sz w:val="32"/>
          <w:szCs w:val="32"/>
        </w:rPr>
        <w:t>等。</w:t>
      </w:r>
    </w:p>
    <w:p>
      <w:pPr>
        <w:spacing w:line="600" w:lineRule="exact"/>
        <w:ind w:firstLine="640"/>
        <w:outlineLvl w:val="1"/>
        <w:rPr>
          <w:rStyle w:val="26"/>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年“三公”经费财政拨款支出决算为</w:t>
      </w:r>
      <w:r>
        <w:rPr>
          <w:rFonts w:hint="eastAsia" w:ascii="仿宋_GB2312" w:hAnsi="仿宋_GB2312" w:eastAsia="仿宋_GB2312" w:cs="仿宋_GB2312"/>
          <w:color w:val="000000"/>
          <w:sz w:val="32"/>
          <w:szCs w:val="32"/>
          <w:lang w:val="en-US" w:eastAsia="zh-CN"/>
        </w:rPr>
        <w:t>0.08</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年“三公”经费财政拨款支出决算中，因公出国（境）费支出决算</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%；公务用车购置及运行维护费支出决算</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%；公务接待费支出决算</w:t>
      </w:r>
      <w:r>
        <w:rPr>
          <w:rFonts w:hint="eastAsia" w:ascii="仿宋_GB2312" w:hAnsi="仿宋_GB2312" w:eastAsia="仿宋_GB2312" w:cs="仿宋_GB2312"/>
          <w:color w:val="000000"/>
          <w:sz w:val="32"/>
          <w:szCs w:val="32"/>
          <w:lang w:val="en-US" w:eastAsia="zh-CN"/>
        </w:rPr>
        <w:t>0.08</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%。具体情况如下：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0"/>
        <w:jc w:val="both"/>
        <w:textAlignment w:val="auto"/>
        <w:outlineLvl w:val="9"/>
        <w:rPr>
          <w:rFonts w:hint="eastAsia" w:ascii="仿宋" w:hAnsi="仿宋" w:eastAsia="仿宋"/>
          <w:color w:val="000000"/>
          <w:sz w:val="32"/>
          <w:szCs w:val="32"/>
        </w:rPr>
      </w:pPr>
      <w:r>
        <w:drawing>
          <wp:inline distT="0" distB="0" distL="114300" distR="114300">
            <wp:extent cx="4572000" cy="2743200"/>
            <wp:effectExtent l="4445" t="4445" r="14605" b="14605"/>
            <wp:docPr id="16"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0"/>
        <w:jc w:val="both"/>
        <w:textAlignment w:val="auto"/>
        <w:outlineLvl w:val="9"/>
        <w:rPr>
          <w:rFonts w:ascii="仿宋" w:hAnsi="仿宋" w:eastAsia="仿宋"/>
          <w:color w:val="000000" w:themeColor="text1"/>
          <w:sz w:val="32"/>
          <w:szCs w:val="32"/>
          <w:shd w:val="clear" w:color="auto" w:fill="auto"/>
          <w14:textFill>
            <w14:solidFill>
              <w14:schemeClr w14:val="tx1"/>
            </w14:solidFill>
          </w14:textFill>
        </w:rPr>
      </w:pPr>
      <w:r>
        <w:rPr>
          <w:rFonts w:hint="eastAsia" w:ascii="仿宋" w:hAnsi="仿宋" w:eastAsia="仿宋"/>
          <w:color w:val="000000" w:themeColor="text1"/>
          <w:sz w:val="32"/>
          <w:szCs w:val="32"/>
          <w:shd w:val="clear" w:color="auto" w:fill="auto"/>
          <w14:textFill>
            <w14:solidFill>
              <w14:schemeClr w14:val="tx1"/>
            </w14:solidFill>
          </w14:textFill>
        </w:rPr>
        <w:t>（图7：“三公”经费财政拨款支出结构）</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1.因公出国（境）经费支出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Style w:val="15"/>
          <w:rFonts w:hint="eastAsia" w:ascii="仿宋_GB2312" w:hAnsi="仿宋_GB2312" w:eastAsia="仿宋_GB2312" w:cs="仿宋_GB2312"/>
          <w:b w:val="0"/>
          <w:bCs/>
          <w:color w:val="000000"/>
          <w:sz w:val="32"/>
          <w:szCs w:val="32"/>
        </w:rPr>
        <w:t>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color w:val="000000"/>
          <w:sz w:val="32"/>
          <w:szCs w:val="32"/>
          <w:lang w:val="en-US" w:eastAsia="zh-CN"/>
        </w:rPr>
        <w:t>2020年度我单位未安排因公出国经费。</w:t>
      </w:r>
    </w:p>
    <w:p>
      <w:pPr>
        <w:spacing w:line="600" w:lineRule="exact"/>
        <w:ind w:firstLine="640"/>
        <w:rPr>
          <w:rFonts w:hint="eastAsia" w:ascii="仿宋_GB2312" w:hAnsi="仿宋_GB2312" w:eastAsia="仿宋_GB2312" w:cs="仿宋_GB2312"/>
          <w:b/>
          <w:color w:val="000000"/>
          <w:sz w:val="32"/>
          <w:szCs w:val="32"/>
          <w:lang w:val="en-US"/>
        </w:rPr>
      </w:pPr>
      <w:r>
        <w:rPr>
          <w:rFonts w:hint="eastAsia" w:ascii="仿宋_GB2312" w:hAnsi="仿宋_GB2312" w:eastAsia="仿宋_GB2312" w:cs="仿宋_GB2312"/>
          <w:b/>
          <w:color w:val="000000"/>
          <w:sz w:val="32"/>
          <w:szCs w:val="32"/>
        </w:rPr>
        <w:t>2.公务用车购置及运行维护费支出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Style w:val="15"/>
          <w:rFonts w:hint="eastAsia" w:ascii="仿宋_GB2312" w:hAnsi="仿宋_GB2312" w:eastAsia="仿宋_GB2312" w:cs="仿宋_GB2312"/>
          <w:b w:val="0"/>
          <w:bCs/>
          <w:color w:val="000000"/>
          <w:sz w:val="32"/>
          <w:szCs w:val="32"/>
        </w:rPr>
        <w:t>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color w:val="000000"/>
          <w:sz w:val="32"/>
          <w:szCs w:val="32"/>
          <w:lang w:val="en-US" w:eastAsia="zh-CN"/>
        </w:rPr>
        <w:t>2020年度我单位未安排公务用车购置及维护费。</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w:t>
      </w:r>
      <w:r>
        <w:rPr>
          <w:rFonts w:hint="eastAsia" w:ascii="仿宋_GB2312" w:hAnsi="仿宋_GB2312" w:eastAsia="仿宋_GB2312" w:cs="仿宋_GB2312"/>
          <w:b/>
          <w:color w:val="000000"/>
          <w:sz w:val="32"/>
          <w:szCs w:val="32"/>
        </w:rPr>
        <w:t>公务用车购置支出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万元。全年按规定更新购置公务用车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辆，金额</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元。截至20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年12月底，单位共有公务用车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辆，其中：主要领导干部用车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辆、机要通信用车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辆、应急保障用车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 执法执勤用车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w:t>
      </w:r>
      <w:r>
        <w:rPr>
          <w:rFonts w:hint="eastAsia" w:ascii="仿宋_GB2312" w:hAnsi="仿宋_GB2312" w:eastAsia="仿宋_GB2312" w:cs="仿宋_GB2312"/>
          <w:color w:val="000000"/>
          <w:sz w:val="32"/>
          <w:szCs w:val="32"/>
          <w:lang w:val="en-US" w:eastAsia="zh-CN"/>
        </w:rPr>
        <w:t>.</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公务用车运行维护费支出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p>
    <w:p>
      <w:pPr>
        <w:keepNext w:val="0"/>
        <w:keepLines w:val="0"/>
        <w:pageBreakBefore w:val="0"/>
        <w:kinsoku/>
        <w:wordWrap/>
        <w:overflowPunct/>
        <w:topLinePunct w:val="0"/>
        <w:bidi w:val="0"/>
        <w:snapToGrid/>
        <w:spacing w:line="240" w:lineRule="auto"/>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3.公务接待费支出</w:t>
      </w:r>
      <w:r>
        <w:rPr>
          <w:rFonts w:hint="eastAsia" w:ascii="仿宋_GB2312" w:hAnsi="仿宋_GB2312" w:eastAsia="仿宋_GB2312" w:cs="仿宋_GB2312"/>
          <w:color w:val="000000"/>
          <w:sz w:val="32"/>
          <w:szCs w:val="32"/>
          <w:lang w:val="en-US" w:eastAsia="zh-CN"/>
        </w:rPr>
        <w:t>0.08</w:t>
      </w:r>
      <w:r>
        <w:rPr>
          <w:rFonts w:hint="eastAsia" w:ascii="仿宋_GB2312" w:hAnsi="仿宋_GB2312" w:eastAsia="仿宋_GB2312" w:cs="仿宋_GB2312"/>
          <w:color w:val="000000"/>
          <w:sz w:val="32"/>
          <w:szCs w:val="32"/>
        </w:rPr>
        <w:t>万元，</w:t>
      </w:r>
      <w:r>
        <w:rPr>
          <w:rStyle w:val="15"/>
          <w:rFonts w:hint="eastAsia" w:ascii="仿宋_GB2312" w:hAnsi="仿宋_GB2312" w:eastAsia="仿宋_GB2312" w:cs="仿宋_GB2312"/>
          <w:b w:val="0"/>
          <w:bCs/>
          <w:color w:val="000000"/>
          <w:sz w:val="32"/>
          <w:szCs w:val="32"/>
        </w:rPr>
        <w:t>完成预算</w:t>
      </w:r>
      <w:r>
        <w:rPr>
          <w:rStyle w:val="15"/>
          <w:rFonts w:hint="eastAsia" w:ascii="仿宋_GB2312" w:hAnsi="仿宋_GB2312" w:eastAsia="仿宋_GB2312" w:cs="仿宋_GB2312"/>
          <w:b w:val="0"/>
          <w:bCs/>
          <w:color w:val="000000"/>
          <w:sz w:val="32"/>
          <w:szCs w:val="32"/>
          <w:lang w:val="en-US" w:eastAsia="zh-CN"/>
        </w:rPr>
        <w:t>3</w:t>
      </w:r>
      <w:r>
        <w:rPr>
          <w:rStyle w:val="15"/>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color w:val="000000"/>
          <w:sz w:val="32"/>
          <w:szCs w:val="32"/>
        </w:rPr>
        <w:t>公务接待费支出决算比201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年减少</w:t>
      </w:r>
      <w:r>
        <w:rPr>
          <w:rFonts w:hint="eastAsia" w:ascii="仿宋_GB2312" w:hAnsi="仿宋_GB2312" w:eastAsia="仿宋_GB2312" w:cs="仿宋_GB2312"/>
          <w:color w:val="000000"/>
          <w:sz w:val="32"/>
          <w:szCs w:val="32"/>
          <w:lang w:val="en-US" w:eastAsia="zh-CN"/>
        </w:rPr>
        <w:t>2.87</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97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主要原因是认真贯彻落实中央八项规定，加强公务接待管理，压缩预算，厉行节约。</w:t>
      </w:r>
      <w:r>
        <w:rPr>
          <w:rFonts w:hint="eastAsia" w:ascii="仿宋_GB2312" w:hAnsi="仿宋_GB2312" w:eastAsia="仿宋_GB2312" w:cs="仿宋_GB2312"/>
          <w:sz w:val="32"/>
          <w:szCs w:val="32"/>
          <w:lang w:eastAsia="zh-CN"/>
        </w:rPr>
        <w:t>其中：</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国内公务接待支出</w:t>
      </w:r>
      <w:r>
        <w:rPr>
          <w:rFonts w:hint="eastAsia" w:ascii="仿宋_GB2312" w:hAnsi="仿宋_GB2312" w:eastAsia="仿宋_GB2312" w:cs="仿宋_GB2312"/>
          <w:color w:val="000000"/>
          <w:sz w:val="32"/>
          <w:szCs w:val="32"/>
          <w:lang w:val="en-US" w:eastAsia="zh-CN"/>
        </w:rPr>
        <w:t>0.08</w:t>
      </w:r>
      <w:r>
        <w:rPr>
          <w:rFonts w:hint="eastAsia" w:ascii="仿宋_GB2312" w:hAnsi="仿宋_GB2312" w:eastAsia="仿宋_GB2312" w:cs="仿宋_GB2312"/>
          <w:color w:val="000000"/>
          <w:sz w:val="32"/>
          <w:szCs w:val="32"/>
        </w:rPr>
        <w:t>万元，主要用于执行公务、开展业务活动开支的交通费、住宿费、用餐费等。国内公务接待</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批次，</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人次（不包括陪同人员），共计支出</w:t>
      </w:r>
      <w:r>
        <w:rPr>
          <w:rFonts w:hint="eastAsia" w:ascii="仿宋_GB2312" w:hAnsi="仿宋_GB2312" w:eastAsia="仿宋_GB2312" w:cs="仿宋_GB2312"/>
          <w:color w:val="000000"/>
          <w:sz w:val="32"/>
          <w:szCs w:val="32"/>
          <w:lang w:val="en-US" w:eastAsia="zh-CN"/>
        </w:rPr>
        <w:t>0.08</w:t>
      </w:r>
      <w:r>
        <w:rPr>
          <w:rFonts w:hint="eastAsia" w:ascii="仿宋_GB2312" w:hAnsi="仿宋_GB2312" w:eastAsia="仿宋_GB2312" w:cs="仿宋_GB2312"/>
          <w:color w:val="000000"/>
          <w:sz w:val="32"/>
          <w:szCs w:val="32"/>
        </w:rPr>
        <w:t>万元，具体内容包括：</w:t>
      </w:r>
      <w:r>
        <w:rPr>
          <w:rFonts w:hint="eastAsia" w:ascii="仿宋_GB2312" w:hAnsi="仿宋_GB2312" w:eastAsia="仿宋_GB2312" w:cs="仿宋_GB2312"/>
          <w:sz w:val="32"/>
          <w:szCs w:val="32"/>
        </w:rPr>
        <w:t>省、市、县领导到我单位检查工作</w:t>
      </w:r>
      <w:r>
        <w:rPr>
          <w:rFonts w:hint="eastAsia" w:ascii="仿宋_GB2312" w:hAnsi="仿宋_GB2312" w:eastAsia="仿宋_GB2312" w:cs="仿宋_GB2312"/>
          <w:color w:val="000000"/>
          <w:sz w:val="32"/>
          <w:szCs w:val="32"/>
        </w:rPr>
        <w:t>。</w:t>
      </w:r>
    </w:p>
    <w:p>
      <w:pPr>
        <w:spacing w:line="600"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sz w:val="32"/>
          <w:szCs w:val="32"/>
        </w:rPr>
        <w:t>外事接待支出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themeColor="text1"/>
          <w:sz w:val="32"/>
          <w:szCs w:val="32"/>
          <w14:textFill>
            <w14:solidFill>
              <w14:schemeClr w14:val="tx1"/>
            </w14:solidFill>
          </w14:textFill>
        </w:rPr>
        <w:t>，外事接待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批次，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人，共计支出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spacing w:line="600" w:lineRule="exact"/>
        <w:ind w:firstLine="640"/>
        <w:outlineLvl w:val="1"/>
        <w:rPr>
          <w:rFonts w:hint="eastAsia" w:ascii="仿宋_GB2312" w:hAnsi="仿宋_GB2312" w:eastAsia="仿宋_GB2312" w:cs="仿宋_GB2312"/>
          <w:color w:val="000000"/>
          <w:sz w:val="32"/>
          <w:szCs w:val="32"/>
        </w:rPr>
      </w:pPr>
      <w:bookmarkStart w:id="46" w:name="_Toc15377218"/>
      <w:bookmarkStart w:id="47" w:name="_Toc15396610"/>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6"/>
          <w:rFonts w:ascii="黑体" w:hAnsi="黑体" w:eastAsia="黑体"/>
          <w:b w:val="0"/>
        </w:rPr>
      </w:pPr>
      <w:bookmarkStart w:id="48" w:name="_Toc15377219"/>
      <w:bookmarkStart w:id="49" w:name="_Toc15396611"/>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6"/>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大竹县电化教育馆</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大竹县电化教育馆</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 xml:space="preserve"> 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hint="eastAsia" w:ascii="仿宋_GB2312" w:eastAsia="仿宋_GB2312"/>
          <w:color w:val="000000"/>
          <w:sz w:val="32"/>
          <w:szCs w:val="32"/>
          <w:lang w:eastAsia="zh-CN"/>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大竹县电化教育馆</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本部门按要求对20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年部门整体支出开展绩效自评，从评价情况来看成绩是主要的，我单位部门预算执行情况良好，无不良记录及违规违纪行为，预算支出和决算支出情况基本相符。</w:t>
      </w:r>
    </w:p>
    <w:p>
      <w:pPr>
        <w:autoSpaceDE w:val="0"/>
        <w:autoSpaceDN w:val="0"/>
        <w:adjustRightInd w:val="0"/>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本部门无专项预算项目，因此未组织开展项目支出绩效评价。</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1.项目绩效目标完成情况。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本部门在20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年度部门决算</w:t>
      </w:r>
      <w:r>
        <w:rPr>
          <w:rFonts w:hint="eastAsia" w:ascii="仿宋_GB2312" w:hAnsi="仿宋_GB2312" w:eastAsia="仿宋_GB2312" w:cs="仿宋_GB2312"/>
          <w:sz w:val="32"/>
          <w:szCs w:val="32"/>
          <w:lang w:eastAsia="zh-CN"/>
        </w:rPr>
        <w:t>中未安排项目资金</w:t>
      </w:r>
      <w:r>
        <w:rPr>
          <w:rFonts w:hint="eastAsia" w:ascii="仿宋_GB2312" w:hAnsi="仿宋_GB2312" w:eastAsia="仿宋_GB2312" w:cs="仿宋_GB2312"/>
          <w:sz w:val="32"/>
          <w:szCs w:val="32"/>
        </w:rPr>
        <w:t>。</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2.部门绩效评价结果。</w:t>
      </w:r>
    </w:p>
    <w:p>
      <w:pPr>
        <w:widowControl/>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本部门按要求对20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年部门整体支出绩效评价情况开展自评，《</w:t>
      </w:r>
      <w:r>
        <w:rPr>
          <w:rFonts w:hint="eastAsia" w:ascii="仿宋_GB2312" w:hAnsi="仿宋_GB2312" w:eastAsia="仿宋_GB2312" w:cs="仿宋_GB2312"/>
          <w:color w:val="000000"/>
          <w:sz w:val="32"/>
          <w:szCs w:val="32"/>
          <w:lang w:val="en-US" w:eastAsia="zh-CN"/>
        </w:rPr>
        <w:t>大竹县电化教育馆</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年部门整体支出绩效评价报告》见附件（附件1）。</w:t>
      </w:r>
    </w:p>
    <w:p>
      <w:pPr>
        <w:widowControl/>
        <w:ind w:firstLine="640"/>
        <w:jc w:val="left"/>
        <w:rPr>
          <w:rFonts w:hint="eastAsia" w:ascii="仿宋_GB2312" w:hAnsi="仿宋_GB2312" w:eastAsia="仿宋_GB2312" w:cs="仿宋_GB2312"/>
          <w:b/>
          <w:color w:val="000000"/>
          <w:sz w:val="32"/>
          <w:szCs w:val="32"/>
        </w:rPr>
      </w:pPr>
      <w:r>
        <w:rPr>
          <w:rFonts w:hint="eastAsia" w:ascii="仿宋_GB2312" w:hAnsi="仿宋_GB2312" w:eastAsia="仿宋_GB2312" w:cs="仿宋_GB2312"/>
          <w:b w:val="0"/>
          <w:bCs/>
          <w:color w:val="000000"/>
          <w:sz w:val="32"/>
          <w:szCs w:val="32"/>
          <w:lang w:val="en-US" w:eastAsia="zh-CN"/>
        </w:rPr>
        <w:t>本部门未组织项目绩效评价见附件（附件2）</w:t>
      </w:r>
      <w:r>
        <w:rPr>
          <w:rFonts w:hint="eastAsia" w:ascii="仿宋_GB2312" w:hAnsi="仿宋_GB2312" w:eastAsia="仿宋_GB2312" w:cs="仿宋_GB2312"/>
          <w:b/>
          <w:color w:val="000000"/>
          <w:sz w:val="32"/>
          <w:szCs w:val="32"/>
        </w:rPr>
        <w:br w:type="page"/>
      </w:r>
    </w:p>
    <w:p>
      <w:pPr>
        <w:numPr>
          <w:ilvl w:val="0"/>
          <w:numId w:val="3"/>
        </w:numPr>
        <w:spacing w:line="600" w:lineRule="exact"/>
        <w:ind w:firstLine="660" w:firstLineChars="150"/>
        <w:jc w:val="center"/>
        <w:outlineLvl w:val="0"/>
        <w:rPr>
          <w:rStyle w:val="25"/>
          <w:rFonts w:ascii="黑体" w:hAnsi="黑体" w:eastAsia="黑体"/>
          <w:b w:val="0"/>
        </w:rPr>
      </w:pPr>
      <w:bookmarkStart w:id="55" w:name="_Toc15377225"/>
      <w:bookmarkStart w:id="56" w:name="_Toc15396613"/>
      <w:r>
        <w:rPr>
          <w:rFonts w:hint="eastAsia" w:ascii="黑体" w:hAnsi="黑体" w:eastAsia="黑体"/>
          <w:color w:val="000000"/>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3"/>
        <w:pageBreakBefore w:val="0"/>
        <w:kinsoku/>
        <w:wordWrap/>
        <w:overflowPunct/>
        <w:topLinePunct w:val="0"/>
        <w:bidi w:val="0"/>
        <w:spacing w:line="240" w:lineRule="auto"/>
        <w:ind w:firstLine="640" w:firstLineChars="200"/>
        <w:textAlignment w:val="auto"/>
        <w:rPr>
          <w:rFonts w:hint="eastAsia" w:ascii="仿宋_GB2312" w:eastAsia="仿宋_GB2312"/>
          <w:sz w:val="32"/>
          <w:szCs w:val="32"/>
        </w:rPr>
      </w:pPr>
      <w:bookmarkStart w:id="57" w:name="_Toc15396614"/>
      <w:bookmarkStart w:id="58" w:name="_Toc15377226"/>
      <w:r>
        <w:rPr>
          <w:rFonts w:hint="eastAsia" w:ascii="仿宋_GB2312" w:eastAsia="仿宋_GB2312"/>
          <w:sz w:val="32"/>
          <w:szCs w:val="32"/>
        </w:rPr>
        <w:t>1.财政拨款收入：指单位从同级财政部门取得的财政预算资金。</w:t>
      </w:r>
    </w:p>
    <w:p>
      <w:pPr>
        <w:pStyle w:val="23"/>
        <w:pageBreakBefore w:val="0"/>
        <w:kinsoku/>
        <w:wordWrap/>
        <w:overflowPunct/>
        <w:topLinePunct w:val="0"/>
        <w:bidi w:val="0"/>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2.事业收入：指事业单位开展专业业务活动及辅助活动取得的收入。</w:t>
      </w:r>
    </w:p>
    <w:p>
      <w:pPr>
        <w:pStyle w:val="23"/>
        <w:pageBreakBefore w:val="0"/>
        <w:kinsoku/>
        <w:wordWrap/>
        <w:overflowPunct/>
        <w:topLinePunct w:val="0"/>
        <w:bidi w:val="0"/>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3.经营收入：指事业单位在专业业务活动及其辅助活动之外开展非独立核算经营活动取得的收入。</w:t>
      </w:r>
    </w:p>
    <w:p>
      <w:pPr>
        <w:pStyle w:val="23"/>
        <w:pageBreakBefore w:val="0"/>
        <w:kinsoku/>
        <w:wordWrap/>
        <w:overflowPunct/>
        <w:topLinePunct w:val="0"/>
        <w:bidi w:val="0"/>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4.其他收入：指单位取得的除上述收入以外的各项收入。 </w:t>
      </w:r>
    </w:p>
    <w:p>
      <w:pPr>
        <w:pStyle w:val="23"/>
        <w:pageBreakBefore w:val="0"/>
        <w:kinsoku/>
        <w:wordWrap/>
        <w:overflowPunct/>
        <w:topLinePunct w:val="0"/>
        <w:bidi w:val="0"/>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3"/>
        <w:pageBreakBefore w:val="0"/>
        <w:kinsoku/>
        <w:wordWrap/>
        <w:overflowPunct/>
        <w:topLinePunct w:val="0"/>
        <w:bidi w:val="0"/>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6.年初结转和结余：指以前年度尚未完成、结转到本年按有关规定继续使用的资金。 </w:t>
      </w:r>
    </w:p>
    <w:p>
      <w:pPr>
        <w:pStyle w:val="23"/>
        <w:pageBreakBefore w:val="0"/>
        <w:kinsoku/>
        <w:wordWrap/>
        <w:overflowPunct/>
        <w:topLinePunct w:val="0"/>
        <w:bidi w:val="0"/>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7.结余分配：指事业单位按照事业单位会计制度的规定从非财政补助结余中分配的事业基金和职工福利基金等。</w:t>
      </w:r>
    </w:p>
    <w:p>
      <w:pPr>
        <w:pStyle w:val="23"/>
        <w:pageBreakBefore w:val="0"/>
        <w:kinsoku/>
        <w:wordWrap/>
        <w:overflowPunct/>
        <w:topLinePunct w:val="0"/>
        <w:bidi w:val="0"/>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8、年末结转和结余：指单位按有关规定结转到下年或以后年度继续使用的资金。</w:t>
      </w:r>
    </w:p>
    <w:p>
      <w:pPr>
        <w:pStyle w:val="23"/>
        <w:pageBreakBefore w:val="0"/>
        <w:kinsoku/>
        <w:wordWrap/>
        <w:overflowPunct/>
        <w:topLinePunct w:val="0"/>
        <w:bidi w:val="0"/>
        <w:spacing w:line="240" w:lineRule="auto"/>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.教育（</w:t>
      </w:r>
      <w:r>
        <w:rPr>
          <w:rFonts w:hint="eastAsia" w:ascii="仿宋_GB2312" w:eastAsia="仿宋_GB2312"/>
          <w:color w:val="000000"/>
          <w:sz w:val="32"/>
          <w:szCs w:val="32"/>
          <w:lang w:val="en-US" w:eastAsia="zh-CN"/>
        </w:rPr>
        <w:t>205</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其他</w:t>
      </w:r>
      <w:r>
        <w:rPr>
          <w:rFonts w:hint="eastAsia" w:ascii="仿宋_GB2312" w:eastAsia="仿宋_GB2312"/>
          <w:color w:val="000000"/>
          <w:sz w:val="32"/>
          <w:szCs w:val="32"/>
          <w:lang w:eastAsia="zh-CN"/>
        </w:rPr>
        <w:t>教育</w:t>
      </w:r>
      <w:r>
        <w:rPr>
          <w:rFonts w:hint="eastAsia" w:ascii="仿宋_GB2312" w:eastAsia="仿宋_GB2312"/>
          <w:color w:val="000000"/>
          <w:sz w:val="32"/>
          <w:szCs w:val="32"/>
          <w:lang w:val="en-US" w:eastAsia="zh-CN"/>
        </w:rPr>
        <w:t>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99</w:t>
      </w:r>
      <w:r>
        <w:rPr>
          <w:rFonts w:hint="eastAsia" w:ascii="仿宋_GB2312" w:eastAsia="仿宋_GB2312"/>
          <w:color w:val="000000"/>
          <w:sz w:val="32"/>
          <w:szCs w:val="32"/>
        </w:rPr>
        <w:t>）</w:t>
      </w:r>
      <w:r>
        <w:rPr>
          <w:rFonts w:hint="eastAsia" w:ascii="仿宋_GB2312" w:eastAsia="仿宋_GB2312"/>
          <w:color w:val="000000"/>
          <w:sz w:val="32"/>
          <w:szCs w:val="32"/>
          <w:lang w:eastAsia="zh-CN"/>
        </w:rPr>
        <w:t>其他教育支出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99</w:t>
      </w:r>
      <w:r>
        <w:rPr>
          <w:rFonts w:hint="eastAsia" w:ascii="仿宋_GB2312" w:eastAsia="仿宋_GB2312"/>
          <w:color w:val="000000"/>
          <w:sz w:val="32"/>
          <w:szCs w:val="32"/>
        </w:rPr>
        <w:t>）：指人员经费（工资、津贴等）和日常公用支出。</w:t>
      </w:r>
    </w:p>
    <w:p>
      <w:pPr>
        <w:pageBreakBefore w:val="0"/>
        <w:kinsoku/>
        <w:wordWrap/>
        <w:overflowPunct/>
        <w:topLinePunct w:val="0"/>
        <w:bidi w:val="0"/>
        <w:spacing w:line="240" w:lineRule="auto"/>
        <w:ind w:firstLine="640" w:firstLineChars="200"/>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10 </w:t>
      </w:r>
      <w:r>
        <w:rPr>
          <w:rFonts w:hint="eastAsia" w:ascii="仿宋_GB2312" w:eastAsia="仿宋_GB2312"/>
          <w:color w:val="000000"/>
          <w:sz w:val="32"/>
          <w:szCs w:val="32"/>
        </w:rPr>
        <w:t>.社会保障和就业支出（208）行政事业单位</w:t>
      </w:r>
      <w:r>
        <w:rPr>
          <w:rFonts w:hint="eastAsia" w:ascii="仿宋_GB2312" w:eastAsia="仿宋_GB2312"/>
          <w:color w:val="000000"/>
          <w:sz w:val="32"/>
          <w:szCs w:val="32"/>
          <w:lang w:val="en-US" w:eastAsia="zh-CN"/>
        </w:rPr>
        <w:t>养老支出</w:t>
      </w:r>
      <w:r>
        <w:rPr>
          <w:rFonts w:hint="eastAsia" w:ascii="仿宋_GB2312" w:eastAsia="仿宋_GB2312"/>
          <w:color w:val="000000"/>
          <w:sz w:val="32"/>
          <w:szCs w:val="32"/>
        </w:rPr>
        <w:t>（05）机关事业单位基本养老保险缴费支出（05）：指单位缴纳职工养老保险费支出</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机关事业单位职业年金缴费支出（06）：指单位缴纳职工职业年金费用支出；其他行政事业单位养老支出（99）指退休职工目标考核奖支出。</w:t>
      </w:r>
    </w:p>
    <w:p>
      <w:pPr>
        <w:pageBreakBefore w:val="0"/>
        <w:kinsoku/>
        <w:wordWrap/>
        <w:overflowPunct/>
        <w:topLinePunct w:val="0"/>
        <w:bidi w:val="0"/>
        <w:spacing w:line="240" w:lineRule="auto"/>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 xml:space="preserve">    11</w:t>
      </w:r>
      <w:r>
        <w:rPr>
          <w:rFonts w:hint="eastAsia" w:ascii="仿宋_GB2312" w:eastAsia="仿宋_GB2312"/>
          <w:color w:val="000000"/>
          <w:sz w:val="32"/>
          <w:szCs w:val="32"/>
        </w:rPr>
        <w:t>.住房保障支出（221）住房改革支出（02）住房公积金（01）：指本单位在职职工的住房公积金缴费。</w:t>
      </w:r>
    </w:p>
    <w:p>
      <w:pPr>
        <w:pageBreakBefore w:val="0"/>
        <w:kinsoku/>
        <w:wordWrap/>
        <w:overflowPunct/>
        <w:topLinePunct w:val="0"/>
        <w:bidi w:val="0"/>
        <w:spacing w:line="240" w:lineRule="auto"/>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.基本支出：指为保障机构正常运转、完成日常工作任务而发生的人员支出和公用支出。</w:t>
      </w:r>
    </w:p>
    <w:p>
      <w:pPr>
        <w:spacing w:line="600" w:lineRule="exact"/>
        <w:ind w:firstLine="640"/>
        <w:jc w:val="center"/>
        <w:outlineLvl w:val="0"/>
        <w:rPr>
          <w:rFonts w:hint="eastAsia" w:ascii="仿宋_GB2312" w:eastAsia="仿宋_GB2312"/>
          <w:sz w:val="32"/>
          <w:szCs w:val="32"/>
          <w:lang w:eastAsia="zh-CN"/>
        </w:rPr>
      </w:pPr>
      <w:r>
        <w:rPr>
          <w:rFonts w:hint="eastAsia" w:ascii="仿宋_GB2312" w:eastAsia="仿宋_GB2312"/>
          <w:sz w:val="32"/>
          <w:szCs w:val="32"/>
          <w:lang w:val="en-US" w:eastAsia="zh-CN"/>
        </w:rPr>
        <w:t>13</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w:t>
      </w:r>
      <w:r>
        <w:rPr>
          <w:rFonts w:hint="eastAsia" w:ascii="仿宋_GB2312" w:eastAsia="仿宋_GB2312"/>
          <w:sz w:val="32"/>
          <w:szCs w:val="32"/>
          <w:lang w:eastAsia="zh-CN"/>
        </w:rPr>
        <w:t>务接</w:t>
      </w:r>
    </w:p>
    <w:p>
      <w:pPr>
        <w:spacing w:line="600" w:lineRule="exact"/>
        <w:jc w:val="both"/>
        <w:outlineLvl w:val="0"/>
        <w:rPr>
          <w:rStyle w:val="25"/>
          <w:rFonts w:ascii="黑体" w:hAnsi="黑体" w:eastAsia="黑体"/>
          <w:b w:val="0"/>
        </w:rPr>
      </w:pPr>
      <w:r>
        <w:rPr>
          <w:rFonts w:hint="eastAsia" w:ascii="仿宋_GB2312" w:eastAsia="仿宋_GB2312"/>
          <w:sz w:val="32"/>
          <w:szCs w:val="32"/>
        </w:rPr>
        <w:t>待（含外宾接待）支出。</w:t>
      </w:r>
      <w:r>
        <w:rPr>
          <w:rFonts w:ascii="宋体"/>
          <w:b/>
          <w:color w:val="000000"/>
          <w:sz w:val="44"/>
          <w:szCs w:val="44"/>
        </w:rPr>
        <w:br w:type="page"/>
      </w:r>
      <w:r>
        <w:rPr>
          <w:rFonts w:hint="eastAsia" w:ascii="黑体" w:hAnsi="黑体" w:eastAsia="黑体"/>
          <w:color w:val="000000"/>
          <w:sz w:val="44"/>
          <w:szCs w:val="44"/>
        </w:rPr>
        <w:t>第</w:t>
      </w:r>
      <w:r>
        <w:rPr>
          <w:rStyle w:val="25"/>
          <w:rFonts w:hint="eastAsia" w:ascii="黑体" w:hAnsi="黑体" w:eastAsia="黑体"/>
          <w:b w:val="0"/>
        </w:rPr>
        <w:t>四部分 附件</w:t>
      </w:r>
      <w:bookmarkEnd w:id="57"/>
    </w:p>
    <w:p>
      <w:pPr>
        <w:pStyle w:val="3"/>
        <w:pageBreakBefore w:val="0"/>
        <w:kinsoku/>
        <w:wordWrap/>
        <w:overflowPunct/>
        <w:topLinePunct w:val="0"/>
        <w:bidi w:val="0"/>
        <w:spacing w:before="0" w:after="0" w:line="240" w:lineRule="auto"/>
        <w:textAlignment w:val="auto"/>
        <w:rPr>
          <w:rStyle w:val="25"/>
          <w:rFonts w:ascii="仿宋" w:hAnsi="仿宋" w:eastAsia="仿宋"/>
          <w:b w:val="0"/>
          <w:bCs w:val="0"/>
          <w:sz w:val="32"/>
          <w:szCs w:val="32"/>
        </w:rPr>
      </w:pPr>
      <w:bookmarkStart w:id="59" w:name="_Toc15396615"/>
      <w:r>
        <w:rPr>
          <w:rStyle w:val="25"/>
          <w:rFonts w:hint="eastAsia" w:ascii="仿宋" w:hAnsi="仿宋" w:eastAsia="仿宋"/>
          <w:b w:val="0"/>
          <w:bCs w:val="0"/>
          <w:sz w:val="32"/>
          <w:szCs w:val="32"/>
        </w:rPr>
        <w:t>附件1</w:t>
      </w:r>
      <w:bookmarkEnd w:id="59"/>
    </w:p>
    <w:p>
      <w:pPr>
        <w:pageBreakBefore w:val="0"/>
        <w:kinsoku/>
        <w:wordWrap/>
        <w:overflowPunct/>
        <w:topLinePunct w:val="0"/>
        <w:bidi w:val="0"/>
        <w:spacing w:line="240" w:lineRule="auto"/>
        <w:jc w:val="center"/>
        <w:textAlignment w:val="auto"/>
        <w:outlineLvl w:val="0"/>
        <w:rPr>
          <w:rFonts w:hint="eastAsia" w:ascii="黑体" w:hAnsi="黑体" w:eastAsia="黑体" w:cs="方正小标宋简体"/>
          <w:sz w:val="36"/>
          <w:szCs w:val="36"/>
          <w:lang w:eastAsia="zh-CN"/>
        </w:rPr>
      </w:pPr>
      <w:bookmarkStart w:id="60" w:name="_Toc15396616"/>
      <w:r>
        <w:rPr>
          <w:rFonts w:hint="eastAsia" w:ascii="黑体" w:hAnsi="黑体" w:eastAsia="黑体" w:cs="方正小标宋简体"/>
          <w:sz w:val="36"/>
          <w:szCs w:val="36"/>
          <w:lang w:eastAsia="zh-CN"/>
        </w:rPr>
        <w:t>大竹县电化教育馆</w:t>
      </w:r>
    </w:p>
    <w:p>
      <w:pPr>
        <w:pageBreakBefore w:val="0"/>
        <w:kinsoku/>
        <w:wordWrap/>
        <w:overflowPunct/>
        <w:topLinePunct w:val="0"/>
        <w:bidi w:val="0"/>
        <w:spacing w:line="240" w:lineRule="auto"/>
        <w:jc w:val="center"/>
        <w:textAlignment w:val="auto"/>
        <w:outlineLvl w:val="0"/>
        <w:rPr>
          <w:rFonts w:ascii="黑体" w:hAnsi="黑体" w:eastAsia="黑体" w:cs="方正小标宋简体"/>
          <w:sz w:val="36"/>
          <w:szCs w:val="36"/>
        </w:rPr>
      </w:pPr>
      <w:r>
        <w:rPr>
          <w:rFonts w:hint="eastAsia" w:ascii="黑体" w:hAnsi="黑体" w:eastAsia="黑体" w:cs="方正小标宋简体"/>
          <w:sz w:val="36"/>
          <w:szCs w:val="36"/>
        </w:rPr>
        <w:t>20</w:t>
      </w:r>
      <w:r>
        <w:rPr>
          <w:rFonts w:hint="eastAsia" w:ascii="黑体" w:hAnsi="黑体" w:eastAsia="黑体" w:cs="方正小标宋简体"/>
          <w:sz w:val="36"/>
          <w:szCs w:val="36"/>
          <w:lang w:val="en-US" w:eastAsia="zh-CN"/>
        </w:rPr>
        <w:t>20</w:t>
      </w:r>
      <w:r>
        <w:rPr>
          <w:rFonts w:hint="eastAsia" w:ascii="黑体" w:hAnsi="黑体" w:eastAsia="黑体" w:cs="方正小标宋简体"/>
          <w:sz w:val="36"/>
          <w:szCs w:val="36"/>
        </w:rPr>
        <w:t>年部门整体支出绩效评价报告</w:t>
      </w:r>
      <w:bookmarkEnd w:id="60"/>
    </w:p>
    <w:p>
      <w:pPr>
        <w:pageBreakBefore w:val="0"/>
        <w:kinsoku/>
        <w:wordWrap/>
        <w:overflowPunct/>
        <w:topLinePunct w:val="0"/>
        <w:bidi w:val="0"/>
        <w:spacing w:line="240" w:lineRule="auto"/>
        <w:ind w:firstLine="640" w:firstLineChars="200"/>
        <w:jc w:val="center"/>
        <w:textAlignment w:val="auto"/>
        <w:rPr>
          <w:rFonts w:ascii="黑体" w:hAnsi="黑体" w:eastAsia="黑体" w:cs="黑体"/>
          <w:sz w:val="32"/>
          <w:szCs w:val="32"/>
        </w:rPr>
      </w:pPr>
    </w:p>
    <w:p>
      <w:pPr>
        <w:pageBreakBefore w:val="0"/>
        <w:kinsoku/>
        <w:wordWrap/>
        <w:overflowPunct/>
        <w:topLinePunct w:val="0"/>
        <w:bidi w:val="0"/>
        <w:spacing w:line="240" w:lineRule="auto"/>
        <w:ind w:firstLine="640" w:firstLineChars="200"/>
        <w:textAlignment w:val="auto"/>
        <w:rPr>
          <w:rFonts w:ascii="黑体" w:hAnsi="黑体" w:eastAsia="黑体" w:cs="黑体"/>
          <w:sz w:val="32"/>
          <w:szCs w:val="32"/>
        </w:rPr>
      </w:pPr>
      <w:r>
        <w:rPr>
          <w:rFonts w:hint="eastAsia" w:ascii="黑体" w:hAnsi="黑体" w:eastAsia="黑体" w:cs="黑体"/>
          <w:sz w:val="32"/>
          <w:szCs w:val="32"/>
        </w:rPr>
        <w:t>一、部门（单位）概况</w:t>
      </w:r>
    </w:p>
    <w:p>
      <w:pPr>
        <w:pStyle w:val="12"/>
        <w:pageBreakBefore w:val="0"/>
        <w:kinsoku/>
        <w:wordWrap/>
        <w:overflowPunct/>
        <w:topLinePunct w:val="0"/>
        <w:bidi w:val="0"/>
        <w:spacing w:before="0" w:beforeAutospacing="0" w:after="0" w:afterAutospacing="0" w:line="240" w:lineRule="auto"/>
        <w:ind w:firstLine="6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我单位是财政全额拨款的一级预算事业单位。</w:t>
      </w:r>
      <w:r>
        <w:rPr>
          <w:rFonts w:hint="eastAsia" w:ascii="仿宋_GB2312" w:hAnsi="仿宋_GB2312" w:eastAsia="仿宋_GB2312" w:cs="仿宋_GB2312"/>
          <w:sz w:val="32"/>
          <w:szCs w:val="32"/>
        </w:rPr>
        <w:t>全额拨款事业编制20名。年末实有职工27人，其中：在职人员</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名，退休人员</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名。</w:t>
      </w:r>
      <w:r>
        <w:rPr>
          <w:rFonts w:hint="eastAsia" w:ascii="仿宋_GB2312" w:hAnsi="仿宋_GB2312" w:eastAsia="仿宋_GB2312" w:cs="仿宋_GB2312"/>
          <w:color w:val="333333"/>
          <w:sz w:val="32"/>
          <w:szCs w:val="32"/>
        </w:rPr>
        <w:t>我单位全面负责教育系统信息化设备、设施、软件资源配备，现代教育技术工作管理，信息化教育教学应用推广，教育技术科研指导，远教项目的组织与实施，大竹教育网、中小学学生电子学籍系统、网络公文传输系统、视频会议系统、学校现代教育技术工作的开展应用的管理与指导和教师现代教育技术应用能力培训等职能职责。</w:t>
      </w:r>
    </w:p>
    <w:p>
      <w:pPr>
        <w:pageBreakBefore w:val="0"/>
        <w:kinsoku/>
        <w:wordWrap/>
        <w:overflowPunct/>
        <w:topLinePunct w:val="0"/>
        <w:bidi w:val="0"/>
        <w:spacing w:line="240" w:lineRule="auto"/>
        <w:ind w:firstLine="640" w:firstLineChars="200"/>
        <w:textAlignment w:val="auto"/>
        <w:rPr>
          <w:rFonts w:ascii="黑体" w:hAnsi="黑体" w:eastAsia="黑体" w:cs="黑体"/>
          <w:sz w:val="32"/>
          <w:szCs w:val="32"/>
        </w:rPr>
      </w:pPr>
      <w:r>
        <w:rPr>
          <w:rFonts w:ascii="黑体" w:hAnsi="黑体" w:eastAsia="黑体" w:cs="黑体"/>
          <w:sz w:val="32"/>
          <w:szCs w:val="32"/>
        </w:rPr>
        <w:t>二、部门财政资金收支情况</w:t>
      </w:r>
    </w:p>
    <w:p>
      <w:pPr>
        <w:pageBreakBefore w:val="0"/>
        <w:kinsoku/>
        <w:wordWrap/>
        <w:overflowPunct/>
        <w:topLinePunct w:val="0"/>
        <w:bidi w:val="0"/>
        <w:spacing w:line="240" w:lineRule="auto"/>
        <w:ind w:firstLine="640" w:firstLineChars="200"/>
        <w:textAlignment w:val="auto"/>
        <w:rPr>
          <w:rFonts w:ascii="仿宋" w:hAnsi="仿宋" w:eastAsia="仿宋" w:cs="仿宋_GB2312"/>
          <w:sz w:val="32"/>
          <w:szCs w:val="32"/>
        </w:rPr>
      </w:pPr>
      <w:r>
        <w:rPr>
          <w:rFonts w:ascii="仿宋" w:hAnsi="仿宋" w:eastAsia="仿宋" w:cs="仿宋_GB2312"/>
          <w:sz w:val="32"/>
          <w:szCs w:val="32"/>
        </w:rPr>
        <w:t>（一）部门财政资金收入情况。</w:t>
      </w:r>
    </w:p>
    <w:p>
      <w:pPr>
        <w:pageBreakBefore w:val="0"/>
        <w:kinsoku/>
        <w:wordWrap/>
        <w:overflowPunct/>
        <w:topLinePunct w:val="0"/>
        <w:bidi w:val="0"/>
        <w:spacing w:line="240" w:lineRule="auto"/>
        <w:ind w:firstLine="640" w:firstLineChars="200"/>
        <w:textAlignment w:val="auto"/>
        <w:rPr>
          <w:rFonts w:ascii="仿宋" w:hAnsi="仿宋" w:eastAsia="仿宋" w:cs="仿宋_GB2312"/>
          <w:sz w:val="32"/>
          <w:szCs w:val="32"/>
        </w:rPr>
      </w:pPr>
      <w:r>
        <w:rPr>
          <w:rFonts w:hint="eastAsia" w:ascii="仿宋_GB2312" w:hAnsi="仿宋_GB2312" w:eastAsia="仿宋_GB2312" w:cs="仿宋_GB2312"/>
          <w:color w:val="333333"/>
          <w:sz w:val="32"/>
          <w:szCs w:val="32"/>
        </w:rPr>
        <w:t>20</w:t>
      </w:r>
      <w:r>
        <w:rPr>
          <w:rFonts w:hint="eastAsia" w:ascii="仿宋_GB2312" w:hAnsi="仿宋_GB2312" w:eastAsia="仿宋_GB2312" w:cs="仿宋_GB2312"/>
          <w:color w:val="333333"/>
          <w:sz w:val="32"/>
          <w:szCs w:val="32"/>
          <w:lang w:val="en-US" w:eastAsia="zh-CN"/>
        </w:rPr>
        <w:t>20</w:t>
      </w:r>
      <w:r>
        <w:rPr>
          <w:rFonts w:hint="eastAsia" w:ascii="仿宋_GB2312" w:hAnsi="仿宋_GB2312" w:eastAsia="仿宋_GB2312" w:cs="仿宋_GB2312"/>
          <w:color w:val="333333"/>
          <w:sz w:val="32"/>
          <w:szCs w:val="32"/>
        </w:rPr>
        <w:t>年部门预算批复</w:t>
      </w:r>
      <w:r>
        <w:rPr>
          <w:rFonts w:hint="eastAsia" w:ascii="仿宋_GB2312" w:hAnsi="仿宋_GB2312" w:eastAsia="仿宋_GB2312" w:cs="仿宋_GB2312"/>
          <w:color w:val="333333"/>
          <w:sz w:val="32"/>
          <w:szCs w:val="32"/>
          <w:lang w:val="en-US" w:eastAsia="zh-CN"/>
        </w:rPr>
        <w:t>323.31</w:t>
      </w:r>
      <w:r>
        <w:rPr>
          <w:rFonts w:hint="eastAsia" w:ascii="仿宋_GB2312" w:hAnsi="仿宋_GB2312" w:eastAsia="仿宋_GB2312" w:cs="仿宋_GB2312"/>
          <w:color w:val="333333"/>
          <w:sz w:val="32"/>
          <w:szCs w:val="32"/>
        </w:rPr>
        <w:t>万元，</w:t>
      </w:r>
      <w:r>
        <w:rPr>
          <w:rFonts w:hint="eastAsia" w:ascii="仿宋_GB2312" w:hAnsi="仿宋_GB2312" w:eastAsia="仿宋_GB2312" w:cs="仿宋_GB2312"/>
          <w:color w:val="000000"/>
          <w:sz w:val="32"/>
          <w:szCs w:val="32"/>
        </w:rPr>
        <w:t>全年收入</w:t>
      </w:r>
      <w:r>
        <w:rPr>
          <w:rFonts w:hint="eastAsia" w:ascii="仿宋_GB2312" w:hAnsi="仿宋_GB2312" w:eastAsia="仿宋_GB2312" w:cs="仿宋_GB2312"/>
          <w:color w:val="000000"/>
          <w:sz w:val="32"/>
          <w:szCs w:val="32"/>
          <w:lang w:val="en-US" w:eastAsia="zh-CN"/>
        </w:rPr>
        <w:t>合计320.63</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333333"/>
          <w:sz w:val="32"/>
          <w:szCs w:val="32"/>
        </w:rPr>
        <w:t>其中：人员经费</w:t>
      </w:r>
      <w:r>
        <w:rPr>
          <w:rFonts w:hint="eastAsia" w:ascii="仿宋_GB2312" w:hAnsi="仿宋_GB2312" w:eastAsia="仿宋_GB2312" w:cs="仿宋_GB2312"/>
          <w:color w:val="333333"/>
          <w:sz w:val="32"/>
          <w:szCs w:val="32"/>
          <w:lang w:val="en-US" w:eastAsia="zh-CN"/>
        </w:rPr>
        <w:t>275.3</w:t>
      </w:r>
      <w:r>
        <w:rPr>
          <w:rFonts w:hint="eastAsia" w:ascii="仿宋_GB2312" w:hAnsi="仿宋_GB2312" w:eastAsia="仿宋_GB2312" w:cs="仿宋_GB2312"/>
          <w:color w:val="333333"/>
          <w:sz w:val="32"/>
          <w:szCs w:val="32"/>
        </w:rPr>
        <w:t>万元，公用经费</w:t>
      </w:r>
      <w:r>
        <w:rPr>
          <w:rFonts w:hint="eastAsia" w:ascii="仿宋_GB2312" w:hAnsi="仿宋_GB2312" w:eastAsia="仿宋_GB2312" w:cs="仿宋_GB2312"/>
          <w:color w:val="333333"/>
          <w:sz w:val="32"/>
          <w:szCs w:val="32"/>
          <w:lang w:val="en-US" w:eastAsia="zh-CN"/>
        </w:rPr>
        <w:t>45.33</w:t>
      </w:r>
      <w:r>
        <w:rPr>
          <w:rFonts w:hint="eastAsia" w:ascii="仿宋_GB2312" w:hAnsi="仿宋_GB2312" w:eastAsia="仿宋_GB2312" w:cs="仿宋_GB2312"/>
          <w:color w:val="333333"/>
          <w:sz w:val="32"/>
          <w:szCs w:val="32"/>
        </w:rPr>
        <w:t>万元</w:t>
      </w:r>
      <w:r>
        <w:rPr>
          <w:rFonts w:hint="eastAsia" w:ascii="仿宋_GB2312" w:hAnsi="仿宋_GB2312" w:eastAsia="仿宋_GB2312" w:cs="仿宋_GB2312"/>
          <w:color w:val="333333"/>
          <w:sz w:val="32"/>
          <w:szCs w:val="32"/>
          <w:lang w:val="en-US" w:eastAsia="zh-CN"/>
        </w:rPr>
        <w:t>.</w:t>
      </w:r>
    </w:p>
    <w:p>
      <w:pPr>
        <w:pageBreakBefore w:val="0"/>
        <w:numPr>
          <w:ilvl w:val="0"/>
          <w:numId w:val="4"/>
        </w:numPr>
        <w:kinsoku/>
        <w:wordWrap/>
        <w:overflowPunct/>
        <w:topLinePunct w:val="0"/>
        <w:bidi w:val="0"/>
        <w:spacing w:line="240" w:lineRule="auto"/>
        <w:ind w:firstLine="640" w:firstLineChars="200"/>
        <w:textAlignment w:val="auto"/>
        <w:rPr>
          <w:rFonts w:ascii="仿宋" w:hAnsi="仿宋" w:eastAsia="仿宋" w:cs="仿宋_GB2312"/>
          <w:sz w:val="32"/>
          <w:szCs w:val="32"/>
        </w:rPr>
      </w:pPr>
      <w:r>
        <w:rPr>
          <w:rFonts w:ascii="仿宋" w:hAnsi="仿宋" w:eastAsia="仿宋" w:cs="仿宋_GB2312"/>
          <w:sz w:val="32"/>
          <w:szCs w:val="32"/>
        </w:rPr>
        <w:t>部门财政资金支出情况。</w:t>
      </w:r>
    </w:p>
    <w:p>
      <w:pPr>
        <w:pageBreakBefore w:val="0"/>
        <w:kinsoku/>
        <w:wordWrap/>
        <w:overflowPunct/>
        <w:topLinePunct w:val="0"/>
        <w:bidi w:val="0"/>
        <w:spacing w:line="240" w:lineRule="auto"/>
        <w:ind w:firstLine="800" w:firstLineChars="25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本单位基本支出主要用于保障单位正常运转、完成日常工作任务以及承担全县事业发展相关工作。基本支出，是用于保障我单位正常运转的日常支出，包括基本工资、津贴补贴等人员经费以及办公费、印刷费、水电费等日常公用经费。</w:t>
      </w:r>
    </w:p>
    <w:p>
      <w:pPr>
        <w:pageBreakBefore w:val="0"/>
        <w:kinsoku/>
        <w:wordWrap/>
        <w:overflowPunct/>
        <w:topLinePunct w:val="0"/>
        <w:bidi w:val="0"/>
        <w:spacing w:line="240" w:lineRule="auto"/>
        <w:ind w:firstLine="57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xml:space="preserve">1  </w:t>
      </w:r>
      <w:r>
        <w:rPr>
          <w:rFonts w:hint="eastAsia" w:ascii="仿宋_GB2312" w:hAnsi="仿宋_GB2312" w:eastAsia="仿宋_GB2312" w:cs="仿宋_GB2312"/>
          <w:sz w:val="32"/>
          <w:szCs w:val="32"/>
        </w:rPr>
        <w:t>教育支出</w:t>
      </w:r>
      <w:r>
        <w:rPr>
          <w:rFonts w:hint="eastAsia" w:ascii="仿宋_GB2312" w:hAnsi="仿宋_GB2312" w:eastAsia="仿宋_GB2312" w:cs="仿宋_GB2312"/>
          <w:sz w:val="32"/>
          <w:szCs w:val="32"/>
          <w:lang w:val="en-US" w:eastAsia="zh-CN"/>
        </w:rPr>
        <w:t>220.89</w:t>
      </w:r>
      <w:r>
        <w:rPr>
          <w:rFonts w:hint="eastAsia" w:ascii="仿宋_GB2312" w:hAnsi="仿宋_GB2312" w:eastAsia="仿宋_GB2312" w:cs="仿宋_GB2312"/>
          <w:sz w:val="32"/>
          <w:szCs w:val="32"/>
        </w:rPr>
        <w:t>万元，主要用于：在职员工工资、办公和日常工作任务及相关支出。</w:t>
      </w:r>
      <w:r>
        <w:rPr>
          <w:rFonts w:hint="eastAsia" w:ascii="仿宋_GB2312" w:hAnsi="仿宋_GB2312" w:eastAsia="仿宋_GB2312" w:cs="仿宋_GB2312"/>
          <w:color w:val="333333"/>
          <w:sz w:val="32"/>
          <w:szCs w:val="32"/>
        </w:rPr>
        <w:t>。</w:t>
      </w:r>
    </w:p>
    <w:p>
      <w:pPr>
        <w:pageBreakBefore w:val="0"/>
        <w:kinsoku/>
        <w:wordWrap/>
        <w:overflowPunct/>
        <w:topLinePunct w:val="0"/>
        <w:bidi w:val="0"/>
        <w:spacing w:line="240" w:lineRule="auto"/>
        <w:ind w:firstLine="57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xml:space="preserve">2  </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37.61</w:t>
      </w:r>
      <w:r>
        <w:rPr>
          <w:rFonts w:hint="eastAsia" w:ascii="仿宋_GB2312" w:hAnsi="仿宋_GB2312" w:eastAsia="仿宋_GB2312" w:cs="仿宋_GB2312"/>
          <w:sz w:val="32"/>
          <w:szCs w:val="32"/>
        </w:rPr>
        <w:t>万元，主要用于退休职工</w:t>
      </w:r>
      <w:r>
        <w:rPr>
          <w:rFonts w:hint="eastAsia" w:ascii="仿宋_GB2312" w:hAnsi="仿宋_GB2312" w:eastAsia="仿宋_GB2312" w:cs="仿宋_GB2312"/>
          <w:sz w:val="32"/>
          <w:szCs w:val="32"/>
          <w:lang w:eastAsia="zh-CN"/>
        </w:rPr>
        <w:t>目标考核等支出</w:t>
      </w:r>
      <w:r>
        <w:rPr>
          <w:rFonts w:hint="eastAsia" w:ascii="仿宋_GB2312" w:hAnsi="仿宋_GB2312" w:eastAsia="仿宋_GB2312" w:cs="仿宋_GB2312"/>
          <w:sz w:val="32"/>
          <w:szCs w:val="32"/>
        </w:rPr>
        <w:t>。</w:t>
      </w:r>
    </w:p>
    <w:p>
      <w:pPr>
        <w:pageBreakBefore w:val="0"/>
        <w:numPr>
          <w:ilvl w:val="0"/>
          <w:numId w:val="0"/>
        </w:numPr>
        <w:kinsoku/>
        <w:wordWrap/>
        <w:overflowPunct/>
        <w:topLinePunct w:val="0"/>
        <w:bidi w:val="0"/>
        <w:spacing w:line="240" w:lineRule="auto"/>
        <w:ind w:firstLine="64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  住房保障支出</w:t>
      </w:r>
      <w:r>
        <w:rPr>
          <w:rFonts w:hint="eastAsia" w:ascii="仿宋_GB2312" w:hAnsi="仿宋_GB2312" w:eastAsia="仿宋_GB2312" w:cs="仿宋_GB2312"/>
          <w:color w:val="333333"/>
          <w:sz w:val="32"/>
          <w:szCs w:val="32"/>
          <w:lang w:val="en-US" w:eastAsia="zh-CN"/>
        </w:rPr>
        <w:t>12.74</w:t>
      </w:r>
      <w:r>
        <w:rPr>
          <w:rFonts w:hint="eastAsia" w:ascii="仿宋_GB2312" w:hAnsi="仿宋_GB2312" w:eastAsia="仿宋_GB2312" w:cs="仿宋_GB2312"/>
          <w:color w:val="333333"/>
          <w:sz w:val="32"/>
          <w:szCs w:val="32"/>
        </w:rPr>
        <w:t>万元，主要用于：事业单位按照规定标准为职工缴纳住房公积金等支出。</w:t>
      </w:r>
    </w:p>
    <w:p>
      <w:pPr>
        <w:pageBreakBefore w:val="0"/>
        <w:numPr>
          <w:ilvl w:val="0"/>
          <w:numId w:val="0"/>
        </w:numPr>
        <w:kinsoku/>
        <w:wordWrap/>
        <w:overflowPunct/>
        <w:topLinePunct w:val="0"/>
        <w:bidi w:val="0"/>
        <w:spacing w:line="240" w:lineRule="auto"/>
        <w:ind w:firstLine="640"/>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4   卫生和健康支出11.89万元，主要用于：事业单位按照标准为职工缴纳医疗保险等支出。</w:t>
      </w:r>
    </w:p>
    <w:p>
      <w:pPr>
        <w:pageBreakBefore w:val="0"/>
        <w:numPr>
          <w:ilvl w:val="0"/>
          <w:numId w:val="5"/>
        </w:numPr>
        <w:kinsoku/>
        <w:wordWrap/>
        <w:overflowPunct/>
        <w:topLinePunct w:val="0"/>
        <w:bidi w:val="0"/>
        <w:spacing w:line="240" w:lineRule="auto"/>
        <w:ind w:firstLine="640" w:firstLineChars="200"/>
        <w:textAlignment w:val="auto"/>
        <w:rPr>
          <w:rFonts w:ascii="黑体" w:hAnsi="黑体" w:eastAsia="黑体" w:cs="黑体"/>
          <w:sz w:val="32"/>
          <w:szCs w:val="32"/>
        </w:rPr>
      </w:pPr>
      <w:r>
        <w:rPr>
          <w:rFonts w:ascii="黑体" w:hAnsi="黑体" w:eastAsia="黑体" w:cs="黑体"/>
          <w:sz w:val="32"/>
          <w:szCs w:val="32"/>
        </w:rPr>
        <w:t>部门整体预算绩效管理情况</w:t>
      </w:r>
    </w:p>
    <w:p>
      <w:pPr>
        <w:pageBreakBefore w:val="0"/>
        <w:numPr>
          <w:ilvl w:val="0"/>
          <w:numId w:val="0"/>
        </w:numPr>
        <w:kinsoku/>
        <w:wordWrap/>
        <w:overflowPunct/>
        <w:topLinePunct w:val="0"/>
        <w:bidi w:val="0"/>
        <w:spacing w:line="240" w:lineRule="auto"/>
        <w:textAlignment w:val="auto"/>
        <w:rPr>
          <w:rFonts w:ascii="仿宋" w:hAnsi="仿宋" w:eastAsia="仿宋" w:cs="仿宋_GB2312"/>
          <w:sz w:val="32"/>
          <w:szCs w:val="32"/>
        </w:rPr>
      </w:pPr>
      <w:r>
        <w:rPr>
          <w:rFonts w:hint="eastAsia" w:ascii="仿宋" w:hAnsi="仿宋" w:eastAsia="仿宋" w:cs="仿宋_GB2312"/>
          <w:sz w:val="32"/>
          <w:szCs w:val="32"/>
          <w:lang w:val="en-US" w:eastAsia="zh-CN"/>
        </w:rPr>
        <w:t xml:space="preserve">    </w:t>
      </w:r>
      <w:r>
        <w:rPr>
          <w:rFonts w:ascii="仿宋" w:hAnsi="仿宋" w:eastAsia="仿宋" w:cs="仿宋_GB2312"/>
          <w:sz w:val="32"/>
          <w:szCs w:val="32"/>
        </w:rPr>
        <w:t>（一）</w:t>
      </w:r>
      <w:r>
        <w:rPr>
          <w:rFonts w:hint="eastAsia" w:ascii="仿宋" w:hAnsi="仿宋" w:eastAsia="仿宋" w:cs="仿宋_GB2312"/>
          <w:sz w:val="32"/>
          <w:szCs w:val="32"/>
          <w:lang w:eastAsia="zh-CN"/>
        </w:rPr>
        <w:t>单位</w:t>
      </w:r>
      <w:r>
        <w:rPr>
          <w:rFonts w:ascii="仿宋" w:hAnsi="仿宋" w:eastAsia="仿宋" w:cs="仿宋_GB2312"/>
          <w:sz w:val="32"/>
          <w:szCs w:val="32"/>
        </w:rPr>
        <w:t>预算管理。</w:t>
      </w:r>
    </w:p>
    <w:p>
      <w:pPr>
        <w:pageBreakBefore w:val="0"/>
        <w:kinsoku/>
        <w:wordWrap/>
        <w:overflowPunct/>
        <w:topLinePunct w:val="0"/>
        <w:bidi w:val="0"/>
        <w:spacing w:line="24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实际支出较年初预算</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rPr>
        <w:t>主要有以下因素：1.</w:t>
      </w:r>
      <w:r>
        <w:rPr>
          <w:rFonts w:hint="eastAsia" w:ascii="仿宋_GB2312" w:hAnsi="仿宋_GB2312" w:eastAsia="仿宋_GB2312" w:cs="仿宋_GB2312"/>
          <w:color w:val="000000"/>
          <w:sz w:val="32"/>
          <w:szCs w:val="32"/>
          <w:lang w:eastAsia="zh-CN"/>
        </w:rPr>
        <w:t>住房公积金未支付完</w:t>
      </w:r>
      <w:r>
        <w:rPr>
          <w:rFonts w:hint="eastAsia" w:ascii="仿宋_GB2312" w:hAnsi="仿宋_GB2312" w:eastAsia="仿宋_GB2312" w:cs="仿宋_GB2312"/>
          <w:color w:val="000000"/>
          <w:sz w:val="32"/>
          <w:szCs w:val="32"/>
        </w:rPr>
        <w:t>； 2.</w:t>
      </w:r>
      <w:r>
        <w:rPr>
          <w:rFonts w:hint="eastAsia" w:ascii="仿宋_GB2312" w:hAnsi="仿宋_GB2312" w:eastAsia="仿宋_GB2312" w:cs="仿宋_GB2312"/>
          <w:color w:val="000000"/>
          <w:sz w:val="32"/>
          <w:szCs w:val="32"/>
          <w:lang w:eastAsia="zh-CN"/>
        </w:rPr>
        <w:t>奖励性绩效未发放；</w:t>
      </w:r>
      <w:r>
        <w:rPr>
          <w:rFonts w:hint="eastAsia" w:ascii="仿宋_GB2312" w:hAnsi="仿宋_GB2312" w:eastAsia="仿宋_GB2312" w:cs="仿宋_GB2312"/>
          <w:color w:val="000000"/>
          <w:sz w:val="32"/>
          <w:szCs w:val="32"/>
          <w:lang w:val="en-US" w:eastAsia="zh-CN"/>
        </w:rPr>
        <w:t xml:space="preserve"> 3.人员减少</w:t>
      </w:r>
      <w:r>
        <w:rPr>
          <w:rFonts w:hint="eastAsia" w:ascii="仿宋_GB2312" w:hAnsi="仿宋_GB2312" w:eastAsia="仿宋_GB2312" w:cs="仿宋_GB2312"/>
          <w:color w:val="000000"/>
          <w:sz w:val="32"/>
          <w:szCs w:val="32"/>
          <w:lang w:eastAsia="zh-CN"/>
        </w:rPr>
        <w:t>。</w:t>
      </w:r>
    </w:p>
    <w:p>
      <w:pPr>
        <w:pageBreakBefore w:val="0"/>
        <w:kinsoku/>
        <w:wordWrap/>
        <w:overflowPunct/>
        <w:topLinePunct w:val="0"/>
        <w:bidi w:val="0"/>
        <w:spacing w:line="240" w:lineRule="auto"/>
        <w:ind w:firstLine="640" w:firstLineChars="200"/>
        <w:textAlignment w:val="auto"/>
        <w:rPr>
          <w:rFonts w:ascii="仿宋" w:hAnsi="仿宋" w:eastAsia="仿宋" w:cs="仿宋_GB2312"/>
          <w:sz w:val="32"/>
          <w:szCs w:val="32"/>
        </w:rPr>
      </w:pPr>
      <w:r>
        <w:rPr>
          <w:rFonts w:ascii="仿宋" w:hAnsi="仿宋" w:eastAsia="仿宋" w:cs="仿宋_GB2312"/>
          <w:sz w:val="32"/>
          <w:szCs w:val="32"/>
        </w:rPr>
        <w:t>（二）专项预算管理。</w:t>
      </w:r>
    </w:p>
    <w:p>
      <w:pPr>
        <w:pStyle w:val="12"/>
        <w:pageBreakBefore w:val="0"/>
        <w:kinsoku/>
        <w:wordWrap/>
        <w:overflowPunct/>
        <w:topLinePunct w:val="0"/>
        <w:bidi w:val="0"/>
        <w:spacing w:before="0" w:beforeAutospacing="0" w:after="0" w:afterAutospacing="0" w:line="240" w:lineRule="auto"/>
        <w:ind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资金管理，规范资金运作，提高资金使用效率，我馆能严格按照国家有关财经法规、《预算资金管理办法》等有关规定，把资金的使用、监督检查与绩效评价结合起来，并实行单独核算、专款专用，确保了财政资金分配和财政审批程序合法，保证资金的合理使用。</w:t>
      </w:r>
    </w:p>
    <w:p>
      <w:pPr>
        <w:pageBreakBefore w:val="0"/>
        <w:kinsoku/>
        <w:wordWrap/>
        <w:overflowPunct/>
        <w:topLinePunct w:val="0"/>
        <w:bidi w:val="0"/>
        <w:spacing w:line="240" w:lineRule="auto"/>
        <w:textAlignment w:val="auto"/>
        <w:rPr>
          <w:rFonts w:ascii="仿宋" w:hAnsi="仿宋" w:eastAsia="仿宋" w:cs="仿宋_GB2312"/>
          <w:sz w:val="32"/>
          <w:szCs w:val="32"/>
        </w:rPr>
      </w:pPr>
      <w:r>
        <w:rPr>
          <w:rFonts w:hint="eastAsia" w:ascii="仿宋" w:hAnsi="仿宋" w:eastAsia="仿宋" w:cs="仿宋_GB2312"/>
          <w:sz w:val="32"/>
          <w:szCs w:val="32"/>
          <w:lang w:val="en-US" w:eastAsia="zh-CN"/>
        </w:rPr>
        <w:t xml:space="preserve">    </w:t>
      </w:r>
      <w:r>
        <w:rPr>
          <w:rFonts w:ascii="仿宋" w:hAnsi="仿宋" w:eastAsia="仿宋" w:cs="仿宋_GB2312"/>
          <w:sz w:val="32"/>
          <w:szCs w:val="32"/>
        </w:rPr>
        <w:t>（三）结果应用情况。</w:t>
      </w:r>
    </w:p>
    <w:p>
      <w:pPr>
        <w:pStyle w:val="12"/>
        <w:pageBreakBefore w:val="0"/>
        <w:kinsoku/>
        <w:wordWrap/>
        <w:overflowPunct/>
        <w:topLinePunct w:val="0"/>
        <w:bidi w:val="0"/>
        <w:snapToGrid w:val="0"/>
        <w:spacing w:before="0" w:beforeAutospacing="0" w:after="0" w:afterAutospacing="0" w:line="240" w:lineRule="auto"/>
        <w:ind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年12月31日，我单位国有资产总额为</w:t>
      </w:r>
      <w:r>
        <w:rPr>
          <w:rFonts w:hint="eastAsia" w:ascii="仿宋_GB2312" w:hAnsi="仿宋_GB2312" w:eastAsia="仿宋_GB2312" w:cs="仿宋_GB2312"/>
          <w:sz w:val="32"/>
          <w:szCs w:val="32"/>
          <w:lang w:val="en-US" w:eastAsia="zh-CN"/>
        </w:rPr>
        <w:t>160.38</w:t>
      </w:r>
      <w:r>
        <w:rPr>
          <w:rFonts w:hint="eastAsia" w:ascii="仿宋_GB2312" w:hAnsi="仿宋_GB2312" w:eastAsia="仿宋_GB2312" w:cs="仿宋_GB2312"/>
          <w:sz w:val="32"/>
          <w:szCs w:val="32"/>
        </w:rPr>
        <w:t>万元，其中：流动资产</w:t>
      </w:r>
      <w:r>
        <w:rPr>
          <w:rFonts w:hint="eastAsia" w:ascii="仿宋_GB2312" w:hAnsi="仿宋_GB2312" w:eastAsia="仿宋_GB2312" w:cs="仿宋_GB2312"/>
          <w:sz w:val="32"/>
          <w:szCs w:val="32"/>
          <w:lang w:val="en-US" w:eastAsia="zh-CN"/>
        </w:rPr>
        <w:t>123.78</w:t>
      </w:r>
      <w:r>
        <w:rPr>
          <w:rFonts w:hint="eastAsia" w:ascii="仿宋_GB2312" w:hAnsi="仿宋_GB2312" w:eastAsia="仿宋_GB2312" w:cs="仿宋_GB2312"/>
          <w:sz w:val="32"/>
          <w:szCs w:val="32"/>
        </w:rPr>
        <w:t>万元，固定资产</w:t>
      </w:r>
      <w:r>
        <w:rPr>
          <w:rFonts w:hint="eastAsia" w:ascii="仿宋_GB2312" w:hAnsi="仿宋_GB2312" w:eastAsia="仿宋_GB2312" w:cs="仿宋_GB2312"/>
          <w:sz w:val="32"/>
          <w:szCs w:val="32"/>
          <w:lang w:val="en-US" w:eastAsia="zh-CN"/>
        </w:rPr>
        <w:t>27.67</w:t>
      </w:r>
      <w:r>
        <w:rPr>
          <w:rFonts w:hint="eastAsia" w:ascii="仿宋_GB2312" w:hAnsi="仿宋_GB2312" w:eastAsia="仿宋_GB2312" w:cs="仿宋_GB2312"/>
          <w:sz w:val="32"/>
          <w:szCs w:val="32"/>
        </w:rPr>
        <w:t>万元；负债总额</w:t>
      </w:r>
      <w:r>
        <w:rPr>
          <w:rFonts w:hint="eastAsia" w:ascii="仿宋_GB2312" w:hAnsi="仿宋_GB2312" w:eastAsia="仿宋_GB2312" w:cs="仿宋_GB2312"/>
          <w:sz w:val="32"/>
          <w:szCs w:val="32"/>
          <w:lang w:val="en-US" w:eastAsia="zh-CN"/>
        </w:rPr>
        <w:t>68.42</w:t>
      </w:r>
      <w:r>
        <w:rPr>
          <w:rFonts w:hint="eastAsia" w:ascii="仿宋_GB2312" w:hAnsi="仿宋_GB2312" w:eastAsia="仿宋_GB2312" w:cs="仿宋_GB2312"/>
          <w:sz w:val="32"/>
          <w:szCs w:val="32"/>
        </w:rPr>
        <w:t>万元；净资产</w:t>
      </w:r>
      <w:r>
        <w:rPr>
          <w:rFonts w:hint="eastAsia" w:ascii="仿宋_GB2312" w:hAnsi="仿宋_GB2312" w:eastAsia="仿宋_GB2312" w:cs="仿宋_GB2312"/>
          <w:sz w:val="32"/>
          <w:szCs w:val="32"/>
          <w:lang w:val="en-US" w:eastAsia="zh-CN"/>
        </w:rPr>
        <w:t>85.96</w:t>
      </w:r>
      <w:r>
        <w:rPr>
          <w:rFonts w:hint="eastAsia" w:ascii="仿宋_GB2312" w:hAnsi="仿宋_GB2312" w:eastAsia="仿宋_GB2312" w:cs="仿宋_GB2312"/>
          <w:sz w:val="32"/>
          <w:szCs w:val="32"/>
        </w:rPr>
        <w:t>万元。</w:t>
      </w:r>
    </w:p>
    <w:p>
      <w:pPr>
        <w:pStyle w:val="12"/>
        <w:pageBreakBefore w:val="0"/>
        <w:kinsoku/>
        <w:wordWrap/>
        <w:overflowPunct/>
        <w:topLinePunct w:val="0"/>
        <w:bidi w:val="0"/>
        <w:snapToGrid w:val="0"/>
        <w:spacing w:before="0" w:beforeAutospacing="0" w:after="0" w:afterAutospacing="0" w:line="240" w:lineRule="auto"/>
        <w:ind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固定资产中，通用设备净值</w:t>
      </w:r>
      <w:r>
        <w:rPr>
          <w:rFonts w:hint="eastAsia" w:ascii="仿宋_GB2312" w:hAnsi="仿宋_GB2312" w:eastAsia="仿宋_GB2312" w:cs="仿宋_GB2312"/>
          <w:sz w:val="32"/>
          <w:szCs w:val="32"/>
          <w:lang w:val="en-US" w:eastAsia="zh-CN"/>
        </w:rPr>
        <w:t>20.53</w:t>
      </w:r>
      <w:r>
        <w:rPr>
          <w:rFonts w:hint="eastAsia" w:ascii="仿宋_GB2312" w:hAnsi="仿宋_GB2312" w:eastAsia="仿宋_GB2312" w:cs="仿宋_GB2312"/>
          <w:sz w:val="32"/>
          <w:szCs w:val="32"/>
        </w:rPr>
        <w:t>万元，家具、用具、装具及动植物净值</w:t>
      </w:r>
      <w:r>
        <w:rPr>
          <w:rFonts w:hint="eastAsia" w:ascii="仿宋_GB2312" w:hAnsi="仿宋_GB2312" w:eastAsia="仿宋_GB2312" w:cs="仿宋_GB2312"/>
          <w:sz w:val="32"/>
          <w:szCs w:val="32"/>
          <w:lang w:val="en-US" w:eastAsia="zh-CN"/>
        </w:rPr>
        <w:t>7.14</w:t>
      </w:r>
      <w:r>
        <w:rPr>
          <w:rFonts w:hint="eastAsia" w:ascii="仿宋_GB2312" w:hAnsi="仿宋_GB2312" w:eastAsia="仿宋_GB2312" w:cs="仿宋_GB2312"/>
          <w:sz w:val="32"/>
          <w:szCs w:val="32"/>
        </w:rPr>
        <w:t>万元。</w:t>
      </w:r>
    </w:p>
    <w:p>
      <w:pPr>
        <w:pageBreakBefore w:val="0"/>
        <w:kinsoku/>
        <w:wordWrap/>
        <w:overflowPunct/>
        <w:topLinePunct w:val="0"/>
        <w:bidi w:val="0"/>
        <w:spacing w:line="240" w:lineRule="auto"/>
        <w:ind w:firstLine="640" w:firstLineChars="200"/>
        <w:textAlignment w:val="auto"/>
        <w:rPr>
          <w:rFonts w:ascii="仿宋" w:hAnsi="仿宋" w:eastAsia="仿宋" w:cs="仿宋_GB2312"/>
          <w:sz w:val="32"/>
          <w:szCs w:val="32"/>
        </w:rPr>
      </w:pPr>
      <w:r>
        <w:rPr>
          <w:rFonts w:hint="eastAsia" w:ascii="仿宋_GB2312" w:hAnsi="仿宋_GB2312" w:eastAsia="仿宋_GB2312" w:cs="仿宋_GB2312"/>
          <w:sz w:val="32"/>
          <w:szCs w:val="32"/>
        </w:rPr>
        <w:t>为规范管理单位资产，我单位制定了《大竹县电化教育馆资产业务管理制度》，明晰了资产配置采购、管理使用及报废处置等相关规定和具体操作程序，成立了资产管理工作领导小组，明确了资产账实专人分管，并指定专人管理本部门资产，确保了资产安全完整。</w:t>
      </w:r>
    </w:p>
    <w:p>
      <w:pPr>
        <w:pageBreakBefore w:val="0"/>
        <w:kinsoku/>
        <w:wordWrap/>
        <w:overflowPunct/>
        <w:topLinePunct w:val="0"/>
        <w:bidi w:val="0"/>
        <w:spacing w:line="240" w:lineRule="auto"/>
        <w:ind w:firstLine="640" w:firstLineChars="200"/>
        <w:textAlignment w:val="auto"/>
        <w:rPr>
          <w:rFonts w:ascii="黑体" w:hAnsi="黑体" w:eastAsia="黑体" w:cs="黑体"/>
          <w:sz w:val="32"/>
          <w:szCs w:val="32"/>
        </w:rPr>
      </w:pPr>
      <w:r>
        <w:rPr>
          <w:rFonts w:ascii="黑体" w:hAnsi="黑体" w:eastAsia="黑体" w:cs="黑体"/>
          <w:sz w:val="32"/>
          <w:szCs w:val="32"/>
        </w:rPr>
        <w:t>四、评价结论及建议</w:t>
      </w:r>
    </w:p>
    <w:p>
      <w:pPr>
        <w:pageBreakBefore w:val="0"/>
        <w:kinsoku/>
        <w:wordWrap/>
        <w:overflowPunct/>
        <w:topLinePunct w:val="0"/>
        <w:bidi w:val="0"/>
        <w:spacing w:line="240" w:lineRule="auto"/>
        <w:ind w:firstLine="640" w:firstLineChars="200"/>
        <w:textAlignment w:val="auto"/>
        <w:rPr>
          <w:rFonts w:ascii="仿宋" w:hAnsi="仿宋" w:eastAsia="仿宋" w:cs="仿宋_GB2312"/>
          <w:sz w:val="32"/>
          <w:szCs w:val="32"/>
        </w:rPr>
      </w:pPr>
      <w:r>
        <w:rPr>
          <w:rFonts w:ascii="仿宋" w:hAnsi="仿宋" w:eastAsia="仿宋" w:cs="仿宋_GB2312"/>
          <w:sz w:val="32"/>
          <w:szCs w:val="32"/>
        </w:rPr>
        <w:t>（一）评价结论。</w:t>
      </w:r>
    </w:p>
    <w:p>
      <w:pPr>
        <w:pageBreakBefore w:val="0"/>
        <w:widowControl/>
        <w:kinsoku/>
        <w:wordWrap/>
        <w:overflowPunct/>
        <w:topLinePunct w:val="0"/>
        <w:bidi w:val="0"/>
        <w:adjustRightInd w:val="0"/>
        <w:snapToGrid w:val="0"/>
        <w:spacing w:line="240" w:lineRule="auto"/>
        <w:ind w:firstLine="640" w:firstLineChars="200"/>
        <w:contextualSpacing/>
        <w:jc w:val="left"/>
        <w:textAlignment w:val="auto"/>
        <w:rPr>
          <w:rFonts w:ascii="仿宋" w:hAnsi="仿宋" w:eastAsia="仿宋" w:cs="仿宋_GB2312"/>
          <w:sz w:val="32"/>
          <w:szCs w:val="32"/>
        </w:rPr>
      </w:pPr>
      <w:r>
        <w:rPr>
          <w:rFonts w:hint="eastAsia" w:ascii="仿宋_GB2312" w:hAnsi="仿宋_GB2312" w:eastAsia="仿宋_GB2312" w:cs="仿宋_GB2312"/>
          <w:color w:val="333333"/>
          <w:sz w:val="32"/>
          <w:szCs w:val="32"/>
        </w:rPr>
        <w:t>20</w:t>
      </w:r>
      <w:r>
        <w:rPr>
          <w:rFonts w:hint="eastAsia" w:ascii="仿宋_GB2312" w:hAnsi="仿宋_GB2312" w:eastAsia="仿宋_GB2312" w:cs="仿宋_GB2312"/>
          <w:color w:val="333333"/>
          <w:sz w:val="32"/>
          <w:szCs w:val="32"/>
          <w:lang w:val="en-US" w:eastAsia="zh-CN"/>
        </w:rPr>
        <w:t>20</w:t>
      </w:r>
      <w:r>
        <w:rPr>
          <w:rFonts w:hint="eastAsia" w:ascii="仿宋_GB2312" w:hAnsi="仿宋_GB2312" w:eastAsia="仿宋_GB2312" w:cs="仿宋_GB2312"/>
          <w:color w:val="333333"/>
          <w:sz w:val="32"/>
          <w:szCs w:val="32"/>
        </w:rPr>
        <w:t>年，我们紧紧围绕建设教育强县的总体目标，以素质教育为主线，以提高质量为中心，以改革创新为动力，全面推进教育事业科学发展，努力办好人民满意教育。</w:t>
      </w:r>
    </w:p>
    <w:p>
      <w:pPr>
        <w:pageBreakBefore w:val="0"/>
        <w:numPr>
          <w:ilvl w:val="0"/>
          <w:numId w:val="6"/>
        </w:numPr>
        <w:kinsoku/>
        <w:wordWrap/>
        <w:overflowPunct/>
        <w:topLinePunct w:val="0"/>
        <w:bidi w:val="0"/>
        <w:spacing w:line="240" w:lineRule="auto"/>
        <w:ind w:firstLine="640" w:firstLineChars="200"/>
        <w:textAlignment w:val="auto"/>
        <w:rPr>
          <w:rFonts w:hint="eastAsia" w:ascii="仿宋_GB2312" w:hAnsi="仿宋_GB2312" w:eastAsia="仿宋_GB2312" w:cs="仿宋_GB2312"/>
          <w:color w:val="333333"/>
          <w:kern w:val="0"/>
          <w:sz w:val="32"/>
          <w:szCs w:val="32"/>
        </w:rPr>
      </w:pPr>
      <w:r>
        <w:rPr>
          <w:rFonts w:ascii="仿宋" w:hAnsi="仿宋" w:eastAsia="仿宋" w:cs="仿宋_GB2312"/>
          <w:sz w:val="32"/>
          <w:szCs w:val="32"/>
        </w:rPr>
        <w:t>存在问题。</w:t>
      </w:r>
    </w:p>
    <w:p>
      <w:pPr>
        <w:pageBreakBefore w:val="0"/>
        <w:numPr>
          <w:ilvl w:val="0"/>
          <w:numId w:val="0"/>
        </w:numPr>
        <w:kinsoku/>
        <w:wordWrap/>
        <w:overflowPunct/>
        <w:topLinePunct w:val="0"/>
        <w:bidi w:val="0"/>
        <w:spacing w:line="240" w:lineRule="auto"/>
        <w:textAlignment w:val="auto"/>
        <w:rPr>
          <w:rFonts w:hint="eastAsia" w:ascii="仿宋_GB2312" w:hAnsi="仿宋_GB2312" w:eastAsia="仿宋_GB2312" w:cs="仿宋_GB2312"/>
          <w:color w:val="333333"/>
          <w:kern w:val="0"/>
          <w:sz w:val="32"/>
          <w:szCs w:val="32"/>
        </w:rPr>
      </w:pPr>
      <w:r>
        <w:rPr>
          <w:rFonts w:hint="eastAsia" w:ascii="仿宋" w:hAnsi="仿宋" w:eastAsia="仿宋" w:cs="仿宋_GB2312"/>
          <w:sz w:val="32"/>
          <w:szCs w:val="32"/>
          <w:lang w:val="en-US" w:eastAsia="zh-CN"/>
        </w:rPr>
        <w:t xml:space="preserve">     </w:t>
      </w:r>
      <w:r>
        <w:rPr>
          <w:rFonts w:hint="eastAsia" w:ascii="仿宋_GB2312" w:hAnsi="仿宋_GB2312" w:eastAsia="仿宋_GB2312" w:cs="仿宋_GB2312"/>
          <w:color w:val="333333"/>
          <w:kern w:val="0"/>
          <w:sz w:val="32"/>
          <w:szCs w:val="32"/>
        </w:rPr>
        <w:t>一年来，我馆在教育事业发展上虽然取得了一定的成绩，但仍然存在不少问题和困难。具体表现在：城乡之间、校际之间差距尚未消除，特别是农村教学点和村级小学较为落后，各级各类学校标准化建设设施配备任务艰巨。我县正处在城镇化加速推进时期，农村人口大量涌入，这给城区学校规划、布局设点、资源整合、师资配置等各方面带来了难题，教师队伍也存在结构性矛盾，也给我们的教师培训工作带来了一定的难度。</w:t>
      </w:r>
    </w:p>
    <w:p>
      <w:pPr>
        <w:pStyle w:val="12"/>
        <w:pageBreakBefore w:val="0"/>
        <w:kinsoku/>
        <w:wordWrap/>
        <w:overflowPunct/>
        <w:topLinePunct w:val="0"/>
        <w:bidi w:val="0"/>
        <w:spacing w:before="0" w:beforeAutospacing="0" w:after="0" w:afterAutospacing="0" w:line="240" w:lineRule="auto"/>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资产管理工作存在不完善的地方。一是对有国资产的管理，一定程度上存在“重资金、车资产，重购置、累监管，重使用、轻绩效”问题</w:t>
      </w:r>
      <w:r>
        <w:rPr>
          <w:rFonts w:hint="eastAsia" w:ascii="仿宋_GB2312" w:hAnsi="仿宋_GB2312" w:eastAsia="仿宋_GB2312" w:cs="仿宋_GB2312"/>
          <w:sz w:val="32"/>
          <w:szCs w:val="32"/>
          <w:lang w:eastAsia="zh-CN"/>
        </w:rPr>
        <w:t>。</w:t>
      </w:r>
    </w:p>
    <w:p>
      <w:pPr>
        <w:pageBreakBefore w:val="0"/>
        <w:kinsoku/>
        <w:wordWrap/>
        <w:overflowPunct/>
        <w:topLinePunct w:val="0"/>
        <w:bidi w:val="0"/>
        <w:spacing w:line="240" w:lineRule="auto"/>
        <w:ind w:firstLine="640"/>
        <w:textAlignment w:val="auto"/>
        <w:rPr>
          <w:rFonts w:ascii="仿宋" w:hAnsi="仿宋" w:eastAsia="仿宋" w:cs="仿宋_GB2312"/>
          <w:sz w:val="32"/>
          <w:szCs w:val="32"/>
        </w:rPr>
      </w:pPr>
      <w:r>
        <w:rPr>
          <w:rFonts w:ascii="仿宋" w:hAnsi="仿宋" w:eastAsia="仿宋" w:cs="仿宋_GB2312"/>
          <w:sz w:val="32"/>
          <w:szCs w:val="32"/>
        </w:rPr>
        <w:t>（三）改进建议。</w:t>
      </w:r>
    </w:p>
    <w:p>
      <w:pPr>
        <w:pStyle w:val="12"/>
        <w:pageBreakBefore w:val="0"/>
        <w:kinsoku/>
        <w:wordWrap/>
        <w:overflowPunct/>
        <w:topLinePunct w:val="0"/>
        <w:bidi w:val="0"/>
        <w:spacing w:before="0" w:beforeAutospacing="0" w:after="0" w:afterAutospacing="0"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1、科学合理编制预算，并严格执行预算。</w:t>
      </w:r>
    </w:p>
    <w:p>
      <w:pPr>
        <w:pStyle w:val="12"/>
        <w:pageBreakBefore w:val="0"/>
        <w:kinsoku/>
        <w:wordWrap/>
        <w:overflowPunct/>
        <w:topLinePunct w:val="0"/>
        <w:bidi w:val="0"/>
        <w:spacing w:before="0" w:beforeAutospacing="0" w:after="0" w:afterAutospacing="0"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要加强预算编制的前瞻性，按照《预算法》及其实施条例的相关规定，综合上一年的预算执行情况和本年度收支预测科学、合理地编制本年度预算，以避免预算支出与实际执行出现较大偏差的情况。</w:t>
      </w:r>
    </w:p>
    <w:p>
      <w:pPr>
        <w:pStyle w:val="12"/>
        <w:pageBreakBefore w:val="0"/>
        <w:kinsoku/>
        <w:wordWrap/>
        <w:overflowPunct/>
        <w:topLinePunct w:val="0"/>
        <w:bidi w:val="0"/>
        <w:spacing w:before="0" w:beforeAutospacing="0" w:after="0" w:afterAutospacing="0"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2、完善制度，进一步加强资产管理。</w:t>
      </w:r>
    </w:p>
    <w:p>
      <w:pPr>
        <w:pStyle w:val="12"/>
        <w:pageBreakBefore w:val="0"/>
        <w:kinsoku/>
        <w:wordWrap/>
        <w:overflowPunct/>
        <w:topLinePunct w:val="0"/>
        <w:bidi w:val="0"/>
        <w:spacing w:before="0" w:beforeAutospacing="0" w:after="0" w:afterAutospacing="0"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进一步贯彻落实中央八项规定</w:t>
      </w:r>
      <w:bookmarkStart w:id="75" w:name="_GoBack"/>
      <w:bookmarkEnd w:id="75"/>
      <w:r>
        <w:rPr>
          <w:rFonts w:hint="eastAsia" w:ascii="仿宋_GB2312" w:hAnsi="仿宋_GB2312" w:eastAsia="仿宋_GB2312" w:cs="仿宋_GB2312"/>
          <w:sz w:val="32"/>
          <w:szCs w:val="32"/>
        </w:rPr>
        <w:t>，建立公务支出各项管理制度和厉行节约制度，加强经费审批和控制，规范支出标准与范围，并严格执行。严格按照《固定资产管理办法》相关规定加强固定资产管理，规范资产购置、保管、使用及处置等程序，定期进行盘点，确保账账相符、账实相符。</w:t>
      </w:r>
    </w:p>
    <w:p>
      <w:pPr>
        <w:pageBreakBefore w:val="0"/>
        <w:widowControl/>
        <w:numPr>
          <w:ilvl w:val="0"/>
          <w:numId w:val="0"/>
        </w:numPr>
        <w:kinsoku/>
        <w:wordWrap/>
        <w:overflowPunct/>
        <w:topLinePunct w:val="0"/>
        <w:bidi w:val="0"/>
        <w:adjustRightInd w:val="0"/>
        <w:snapToGrid w:val="0"/>
        <w:spacing w:line="240" w:lineRule="auto"/>
        <w:contextualSpacing/>
        <w:jc w:val="left"/>
        <w:textAlignment w:val="auto"/>
        <w:rPr>
          <w:rFonts w:hint="eastAsia" w:ascii="仿宋_GB2312" w:hAnsi="仿宋_GB2312" w:eastAsia="仿宋_GB2312" w:cs="仿宋_GB2312"/>
          <w:b/>
          <w:color w:val="000000"/>
          <w:kern w:val="0"/>
          <w:sz w:val="32"/>
          <w:szCs w:val="32"/>
          <w:shd w:val="clear" w:color="auto" w:fill="FFFFFF"/>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3、加强新事业单位会计制度、新预算法及内控制度的学习培训，切实提高部门预算收支管理水平和内控管理水平。</w:t>
      </w:r>
    </w:p>
    <w:p>
      <w:pPr>
        <w:pageBreakBefore w:val="0"/>
        <w:kinsoku/>
        <w:wordWrap/>
        <w:overflowPunct/>
        <w:topLinePunct w:val="0"/>
        <w:bidi w:val="0"/>
        <w:spacing w:line="240" w:lineRule="auto"/>
        <w:ind w:firstLine="640"/>
        <w:textAlignment w:val="auto"/>
        <w:rPr>
          <w:rFonts w:ascii="仿宋" w:hAnsi="仿宋" w:eastAsia="仿宋" w:cs="仿宋_GB2312"/>
          <w:sz w:val="32"/>
          <w:szCs w:val="32"/>
        </w:rPr>
      </w:pPr>
    </w:p>
    <w:p>
      <w:pPr>
        <w:pageBreakBefore w:val="0"/>
        <w:kinsoku/>
        <w:wordWrap/>
        <w:overflowPunct/>
        <w:topLinePunct w:val="0"/>
        <w:bidi w:val="0"/>
        <w:spacing w:line="240" w:lineRule="auto"/>
        <w:ind w:firstLine="640" w:firstLineChars="200"/>
        <w:textAlignment w:val="auto"/>
        <w:rPr>
          <w:rFonts w:ascii="仿宋_GB2312" w:hAnsi="仿宋_GB2312" w:eastAsia="仿宋_GB2312" w:cs="仿宋_GB2312"/>
          <w:sz w:val="32"/>
          <w:szCs w:val="32"/>
        </w:rPr>
      </w:pPr>
    </w:p>
    <w:p>
      <w:pPr>
        <w:pageBreakBefore w:val="0"/>
        <w:widowControl/>
        <w:kinsoku/>
        <w:wordWrap/>
        <w:overflowPunct/>
        <w:topLinePunct w:val="0"/>
        <w:bidi w:val="0"/>
        <w:spacing w:line="240" w:lineRule="auto"/>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600" w:lineRule="exact"/>
        <w:jc w:val="both"/>
        <w:rPr>
          <w:rStyle w:val="25"/>
          <w:rFonts w:hint="eastAsia" w:ascii="仿宋_GB2312" w:hAnsi="仿宋_GB2312" w:eastAsia="仿宋_GB2312" w:cs="仿宋_GB2312"/>
          <w:b w:val="0"/>
          <w:sz w:val="32"/>
          <w:szCs w:val="32"/>
          <w:lang w:val="en-US" w:eastAsia="zh-CN"/>
        </w:rPr>
      </w:pPr>
      <w:r>
        <w:rPr>
          <w:rStyle w:val="25"/>
          <w:rFonts w:hint="eastAsia" w:ascii="仿宋_GB2312" w:hAnsi="仿宋_GB2312" w:eastAsia="仿宋_GB2312" w:cs="仿宋_GB2312"/>
          <w:b w:val="0"/>
          <w:sz w:val="32"/>
          <w:szCs w:val="32"/>
          <w:lang w:eastAsia="zh-CN"/>
        </w:rPr>
        <w:t>附件</w:t>
      </w:r>
      <w:r>
        <w:rPr>
          <w:rStyle w:val="25"/>
          <w:rFonts w:hint="eastAsia" w:ascii="仿宋_GB2312" w:hAnsi="仿宋_GB2312" w:eastAsia="仿宋_GB2312" w:cs="仿宋_GB2312"/>
          <w:b w:val="0"/>
          <w:sz w:val="32"/>
          <w:szCs w:val="32"/>
          <w:lang w:val="en-US" w:eastAsia="zh-CN"/>
        </w:rPr>
        <w:t>2</w:t>
      </w:r>
    </w:p>
    <w:p>
      <w:pPr>
        <w:spacing w:line="600" w:lineRule="exact"/>
        <w:jc w:val="center"/>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rPr>
        <w:t>XXX</w:t>
      </w:r>
      <w:r>
        <w:rPr>
          <w:rFonts w:hint="eastAsia" w:ascii="仿宋_GB2312" w:hAnsi="仿宋_GB2312" w:eastAsia="仿宋_GB2312" w:cs="仿宋_GB2312"/>
          <w:color w:val="000000"/>
          <w:kern w:val="0"/>
          <w:sz w:val="32"/>
          <w:szCs w:val="32"/>
          <w:lang w:val="zh-CN"/>
        </w:rPr>
        <w:t>项目</w:t>
      </w:r>
      <w:r>
        <w:rPr>
          <w:rFonts w:hint="eastAsia" w:ascii="仿宋_GB2312" w:hAnsi="仿宋_GB2312" w:eastAsia="仿宋_GB2312" w:cs="仿宋_GB2312"/>
          <w:color w:val="000000"/>
          <w:kern w:val="0"/>
          <w:sz w:val="32"/>
          <w:szCs w:val="32"/>
        </w:rPr>
        <w:t>2020年</w:t>
      </w:r>
      <w:r>
        <w:rPr>
          <w:rFonts w:hint="eastAsia" w:ascii="仿宋_GB2312" w:hAnsi="仿宋_GB2312" w:eastAsia="仿宋_GB2312" w:cs="仿宋_GB2312"/>
          <w:color w:val="000000"/>
          <w:kern w:val="0"/>
          <w:sz w:val="32"/>
          <w:szCs w:val="32"/>
          <w:lang w:val="zh-CN"/>
        </w:rPr>
        <w:t>绩效评价报告</w:t>
      </w:r>
    </w:p>
    <w:p>
      <w:pPr>
        <w:spacing w:line="600" w:lineRule="exact"/>
        <w:rPr>
          <w:rFonts w:hint="eastAsia" w:ascii="仿宋_GB2312" w:hAnsi="仿宋_GB2312" w:eastAsia="仿宋_GB2312" w:cs="仿宋_GB2312"/>
          <w:sz w:val="32"/>
          <w:szCs w:val="32"/>
          <w:lang w:val="zh-CN"/>
        </w:rPr>
      </w:pPr>
    </w:p>
    <w:p>
      <w:pPr>
        <w:numPr>
          <w:ilvl w:val="0"/>
          <w:numId w:val="7"/>
        </w:num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项目概况</w:t>
      </w:r>
    </w:p>
    <w:p>
      <w:pPr>
        <w:adjustRightInd w:val="0"/>
        <w:snapToGrid w:val="0"/>
        <w:spacing w:line="600" w:lineRule="exact"/>
        <w:ind w:firstLine="720"/>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无</w:t>
      </w:r>
    </w:p>
    <w:p>
      <w:pPr>
        <w:adjustRightInd w:val="0"/>
        <w:snapToGrid w:val="0"/>
        <w:spacing w:line="600" w:lineRule="exact"/>
        <w:ind w:firstLine="7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二、项目资金申报及使用情况</w:t>
      </w:r>
    </w:p>
    <w:p>
      <w:pPr>
        <w:adjustRightInd w:val="0"/>
        <w:snapToGrid w:val="0"/>
        <w:spacing w:line="600" w:lineRule="exact"/>
        <w:ind w:firstLine="720"/>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无</w:t>
      </w:r>
    </w:p>
    <w:p>
      <w:pPr>
        <w:adjustRightInd w:val="0"/>
        <w:snapToGrid w:val="0"/>
        <w:spacing w:line="600" w:lineRule="exact"/>
        <w:ind w:firstLine="7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三、项目实施及管理情况</w:t>
      </w:r>
    </w:p>
    <w:p>
      <w:pPr>
        <w:adjustRightInd w:val="0"/>
        <w:snapToGrid w:val="0"/>
        <w:spacing w:line="600" w:lineRule="exact"/>
        <w:ind w:firstLine="7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四、项目绩效情况</w:t>
      </w:r>
      <w:r>
        <w:rPr>
          <w:rFonts w:hint="eastAsia" w:ascii="仿宋_GB2312" w:hAnsi="仿宋_GB2312" w:eastAsia="仿宋_GB2312" w:cs="仿宋_GB2312"/>
          <w:sz w:val="32"/>
          <w:szCs w:val="32"/>
          <w:lang w:val="zh-CN"/>
        </w:rPr>
        <w:tab/>
      </w:r>
    </w:p>
    <w:p>
      <w:pPr>
        <w:adjustRightInd w:val="0"/>
        <w:snapToGrid w:val="0"/>
        <w:spacing w:line="600" w:lineRule="exact"/>
        <w:ind w:firstLine="720"/>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无</w:t>
      </w:r>
    </w:p>
    <w:p>
      <w:pPr>
        <w:adjustRightInd w:val="0"/>
        <w:snapToGrid w:val="0"/>
        <w:spacing w:line="600" w:lineRule="exact"/>
        <w:ind w:firstLine="7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五、评价结论及建议</w:t>
      </w:r>
    </w:p>
    <w:p>
      <w:pPr>
        <w:adjustRightInd w:val="0"/>
        <w:snapToGrid w:val="0"/>
        <w:spacing w:line="600" w:lineRule="exact"/>
        <w:ind w:firstLine="643" w:firstLineChars="2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sz w:val="32"/>
          <w:szCs w:val="32"/>
          <w:lang w:val="en-US" w:eastAsia="zh-CN"/>
        </w:rPr>
        <w:t>无</w:t>
      </w:r>
    </w:p>
    <w:p>
      <w:pPr>
        <w:spacing w:line="580" w:lineRule="exact"/>
        <w:ind w:firstLine="640"/>
        <w:rPr>
          <w:rFonts w:hint="eastAsia" w:ascii="仿宋_GB2312" w:hAnsi="仿宋_GB2312" w:eastAsia="仿宋_GB2312" w:cs="仿宋_GB2312"/>
          <w:sz w:val="32"/>
          <w:szCs w:val="32"/>
        </w:rPr>
      </w:pPr>
    </w:p>
    <w:p>
      <w:pPr>
        <w:widowControl/>
        <w:jc w:val="left"/>
        <w:rPr>
          <w:rStyle w:val="25"/>
          <w:rFonts w:hint="eastAsia" w:ascii="仿宋_GB2312" w:hAnsi="仿宋_GB2312" w:eastAsia="仿宋_GB2312" w:cs="仿宋_GB2312"/>
          <w:b w:val="0"/>
          <w:sz w:val="32"/>
          <w:szCs w:val="32"/>
          <w:lang w:eastAsia="zh-CN"/>
        </w:rPr>
      </w:pPr>
    </w:p>
    <w:p>
      <w:pPr>
        <w:spacing w:line="600" w:lineRule="exact"/>
        <w:jc w:val="center"/>
        <w:outlineLvl w:val="0"/>
        <w:rPr>
          <w:rStyle w:val="25"/>
          <w:rFonts w:ascii="黑体" w:hAnsi="黑体" w:eastAsia="黑体"/>
          <w:b w:val="0"/>
        </w:rPr>
      </w:pPr>
    </w:p>
    <w:p>
      <w:pPr>
        <w:spacing w:line="600" w:lineRule="exact"/>
        <w:jc w:val="center"/>
        <w:outlineLvl w:val="0"/>
        <w:rPr>
          <w:rFonts w:hint="eastAsia" w:ascii="黑体" w:hAnsi="黑体" w:eastAsia="黑体"/>
          <w:color w:val="000000"/>
          <w:sz w:val="44"/>
          <w:szCs w:val="44"/>
        </w:rPr>
      </w:pPr>
      <w:bookmarkStart w:id="61" w:name="_Toc15396618"/>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五部分 附表</w:t>
      </w:r>
      <w:bookmarkEnd w:id="58"/>
      <w:bookmarkEnd w:id="61"/>
    </w:p>
    <w:p>
      <w:pPr>
        <w:spacing w:line="600" w:lineRule="exact"/>
        <w:jc w:val="center"/>
        <w:outlineLvl w:val="0"/>
        <w:rPr>
          <w:rFonts w:ascii="仿宋" w:hAnsi="仿宋" w:eastAsia="仿宋"/>
          <w:b/>
          <w:color w:val="000000"/>
          <w:sz w:val="44"/>
          <w:szCs w:val="44"/>
        </w:rPr>
      </w:pPr>
    </w:p>
    <w:p>
      <w:pPr>
        <w:pStyle w:val="3"/>
        <w:spacing w:line="300" w:lineRule="exact"/>
        <w:rPr>
          <w:rFonts w:hint="eastAsia" w:ascii="仿宋_GB2312" w:hAnsi="仿宋_GB2312" w:eastAsia="仿宋_GB2312" w:cs="仿宋_GB2312"/>
          <w:color w:val="000000"/>
        </w:rPr>
      </w:pPr>
      <w:bookmarkStart w:id="62" w:name="_Toc15396619"/>
      <w:r>
        <w:rPr>
          <w:rFonts w:hint="eastAsia" w:ascii="仿宋_GB2312" w:hAnsi="仿宋_GB2312" w:eastAsia="仿宋_GB2312" w:cs="仿宋_GB2312"/>
          <w:b w:val="0"/>
          <w:color w:val="000000"/>
        </w:rPr>
        <w:t>一、收</w:t>
      </w:r>
      <w:r>
        <w:rPr>
          <w:rStyle w:val="26"/>
          <w:rFonts w:hint="eastAsia" w:ascii="仿宋_GB2312" w:hAnsi="仿宋_GB2312" w:eastAsia="仿宋_GB2312" w:cs="仿宋_GB2312"/>
          <w:b w:val="0"/>
          <w:bCs w:val="0"/>
        </w:rPr>
        <w:t>入支出决算总表</w:t>
      </w:r>
      <w:bookmarkEnd w:id="62"/>
    </w:p>
    <w:p>
      <w:pPr>
        <w:pStyle w:val="3"/>
        <w:spacing w:line="300" w:lineRule="exact"/>
        <w:rPr>
          <w:rFonts w:hint="eastAsia" w:ascii="仿宋_GB2312" w:hAnsi="仿宋_GB2312" w:eastAsia="仿宋_GB2312" w:cs="仿宋_GB2312"/>
          <w:color w:val="000000"/>
        </w:rPr>
      </w:pPr>
      <w:bookmarkStart w:id="63" w:name="_Toc15396620"/>
      <w:r>
        <w:rPr>
          <w:rFonts w:hint="eastAsia" w:ascii="仿宋_GB2312" w:hAnsi="仿宋_GB2312" w:eastAsia="仿宋_GB2312" w:cs="仿宋_GB2312"/>
          <w:b w:val="0"/>
          <w:color w:val="000000"/>
        </w:rPr>
        <w:t>二、收</w:t>
      </w:r>
      <w:r>
        <w:rPr>
          <w:rStyle w:val="26"/>
          <w:rFonts w:hint="eastAsia" w:ascii="仿宋_GB2312" w:hAnsi="仿宋_GB2312" w:eastAsia="仿宋_GB2312" w:cs="仿宋_GB2312"/>
          <w:b w:val="0"/>
          <w:bCs w:val="0"/>
        </w:rPr>
        <w:t>入决算表</w:t>
      </w:r>
      <w:bookmarkEnd w:id="63"/>
    </w:p>
    <w:p>
      <w:pPr>
        <w:pStyle w:val="3"/>
        <w:spacing w:line="300" w:lineRule="exact"/>
        <w:rPr>
          <w:rFonts w:hint="eastAsia" w:ascii="仿宋_GB2312" w:hAnsi="仿宋_GB2312" w:eastAsia="仿宋_GB2312" w:cs="仿宋_GB2312"/>
          <w:color w:val="000000"/>
        </w:rPr>
      </w:pPr>
      <w:bookmarkStart w:id="64" w:name="_Toc15396621"/>
      <w:r>
        <w:rPr>
          <w:rStyle w:val="26"/>
          <w:rFonts w:hint="eastAsia" w:ascii="仿宋_GB2312" w:hAnsi="仿宋_GB2312" w:eastAsia="仿宋_GB2312" w:cs="仿宋_GB2312"/>
          <w:b w:val="0"/>
          <w:bCs w:val="0"/>
        </w:rPr>
        <w:t>三、</w:t>
      </w:r>
      <w:r>
        <w:rPr>
          <w:rFonts w:hint="eastAsia" w:ascii="仿宋_GB2312" w:hAnsi="仿宋_GB2312" w:eastAsia="仿宋_GB2312" w:cs="仿宋_GB2312"/>
          <w:b w:val="0"/>
          <w:color w:val="000000"/>
        </w:rPr>
        <w:t>支</w:t>
      </w:r>
      <w:r>
        <w:rPr>
          <w:rStyle w:val="26"/>
          <w:rFonts w:hint="eastAsia" w:ascii="仿宋_GB2312" w:hAnsi="仿宋_GB2312" w:eastAsia="仿宋_GB2312" w:cs="仿宋_GB2312"/>
          <w:b w:val="0"/>
          <w:bCs w:val="0"/>
        </w:rPr>
        <w:t>出决算表</w:t>
      </w:r>
      <w:bookmarkEnd w:id="64"/>
    </w:p>
    <w:p>
      <w:pPr>
        <w:pStyle w:val="3"/>
        <w:spacing w:line="300" w:lineRule="exact"/>
        <w:rPr>
          <w:rFonts w:hint="eastAsia" w:ascii="仿宋_GB2312" w:hAnsi="仿宋_GB2312" w:eastAsia="仿宋_GB2312" w:cs="仿宋_GB2312"/>
          <w:b w:val="0"/>
          <w:color w:val="000000"/>
        </w:rPr>
      </w:pPr>
      <w:bookmarkStart w:id="65" w:name="_Toc15396622"/>
      <w:r>
        <w:rPr>
          <w:rStyle w:val="26"/>
          <w:rFonts w:hint="eastAsia" w:ascii="仿宋_GB2312" w:hAnsi="仿宋_GB2312" w:eastAsia="仿宋_GB2312" w:cs="仿宋_GB2312"/>
          <w:b w:val="0"/>
          <w:bCs w:val="0"/>
        </w:rPr>
        <w:t>四、</w:t>
      </w:r>
      <w:r>
        <w:rPr>
          <w:rFonts w:hint="eastAsia" w:ascii="仿宋_GB2312" w:hAnsi="仿宋_GB2312" w:eastAsia="仿宋_GB2312" w:cs="仿宋_GB2312"/>
          <w:b w:val="0"/>
          <w:color w:val="000000"/>
        </w:rPr>
        <w:t>财</w:t>
      </w:r>
      <w:r>
        <w:rPr>
          <w:rStyle w:val="26"/>
          <w:rFonts w:hint="eastAsia" w:ascii="仿宋_GB2312" w:hAnsi="仿宋_GB2312" w:eastAsia="仿宋_GB2312" w:cs="仿宋_GB2312"/>
          <w:b w:val="0"/>
          <w:bCs w:val="0"/>
        </w:rPr>
        <w:t>政拨款收入支出决算总表</w:t>
      </w:r>
      <w:bookmarkEnd w:id="65"/>
    </w:p>
    <w:p>
      <w:pPr>
        <w:pStyle w:val="3"/>
        <w:spacing w:line="300" w:lineRule="exact"/>
        <w:rPr>
          <w:rStyle w:val="26"/>
          <w:rFonts w:hint="eastAsia" w:ascii="仿宋_GB2312" w:hAnsi="仿宋_GB2312" w:eastAsia="仿宋_GB2312" w:cs="仿宋_GB2312"/>
          <w:b w:val="0"/>
          <w:bCs w:val="0"/>
        </w:rPr>
      </w:pPr>
      <w:bookmarkStart w:id="66" w:name="_Toc15396623"/>
      <w:r>
        <w:rPr>
          <w:rStyle w:val="26"/>
          <w:rFonts w:hint="eastAsia" w:ascii="仿宋_GB2312" w:hAnsi="仿宋_GB2312" w:eastAsia="仿宋_GB2312" w:cs="仿宋_GB2312"/>
          <w:b w:val="0"/>
          <w:bCs w:val="0"/>
        </w:rPr>
        <w:t>五、</w:t>
      </w:r>
      <w:r>
        <w:rPr>
          <w:rFonts w:hint="eastAsia" w:ascii="仿宋_GB2312" w:hAnsi="仿宋_GB2312" w:eastAsia="仿宋_GB2312" w:cs="仿宋_GB2312"/>
          <w:b w:val="0"/>
          <w:color w:val="000000"/>
        </w:rPr>
        <w:t>财</w:t>
      </w:r>
      <w:r>
        <w:rPr>
          <w:rStyle w:val="26"/>
          <w:rFonts w:hint="eastAsia" w:ascii="仿宋_GB2312" w:hAnsi="仿宋_GB2312" w:eastAsia="仿宋_GB2312" w:cs="仿宋_GB2312"/>
          <w:b w:val="0"/>
          <w:bCs w:val="0"/>
        </w:rPr>
        <w:t>政拨款支出决算明细表</w:t>
      </w:r>
      <w:bookmarkEnd w:id="66"/>
      <w:bookmarkStart w:id="67" w:name="_Toc15396624"/>
    </w:p>
    <w:p>
      <w:pPr>
        <w:pStyle w:val="3"/>
        <w:spacing w:line="300" w:lineRule="exact"/>
        <w:rPr>
          <w:rFonts w:hint="eastAsia" w:ascii="仿宋_GB2312" w:hAnsi="仿宋_GB2312" w:eastAsia="仿宋_GB2312" w:cs="仿宋_GB2312"/>
          <w:color w:val="000000"/>
        </w:rPr>
      </w:pPr>
      <w:r>
        <w:rPr>
          <w:rStyle w:val="26"/>
          <w:rFonts w:hint="eastAsia" w:ascii="仿宋_GB2312" w:hAnsi="仿宋_GB2312" w:eastAsia="仿宋_GB2312" w:cs="仿宋_GB2312"/>
          <w:b w:val="0"/>
          <w:bCs w:val="0"/>
        </w:rPr>
        <w:t>六、</w:t>
      </w:r>
      <w:r>
        <w:rPr>
          <w:rFonts w:hint="eastAsia" w:ascii="仿宋_GB2312" w:hAnsi="仿宋_GB2312" w:eastAsia="仿宋_GB2312" w:cs="仿宋_GB2312"/>
          <w:b w:val="0"/>
          <w:color w:val="000000"/>
        </w:rPr>
        <w:t>一</w:t>
      </w:r>
      <w:r>
        <w:rPr>
          <w:rStyle w:val="26"/>
          <w:rFonts w:hint="eastAsia" w:ascii="仿宋_GB2312" w:hAnsi="仿宋_GB2312" w:eastAsia="仿宋_GB2312" w:cs="仿宋_GB2312"/>
          <w:b w:val="0"/>
          <w:bCs w:val="0"/>
        </w:rPr>
        <w:t>般公共预算财政拨款支出决算表</w:t>
      </w:r>
      <w:bookmarkEnd w:id="67"/>
    </w:p>
    <w:p>
      <w:pPr>
        <w:pStyle w:val="3"/>
        <w:spacing w:line="300" w:lineRule="exact"/>
        <w:rPr>
          <w:rFonts w:hint="eastAsia" w:ascii="仿宋_GB2312" w:hAnsi="仿宋_GB2312" w:eastAsia="仿宋_GB2312" w:cs="仿宋_GB2312"/>
          <w:color w:val="000000"/>
        </w:rPr>
      </w:pPr>
      <w:bookmarkStart w:id="68" w:name="_Toc15396625"/>
      <w:r>
        <w:rPr>
          <w:rStyle w:val="26"/>
          <w:rFonts w:hint="eastAsia" w:ascii="仿宋_GB2312" w:hAnsi="仿宋_GB2312" w:eastAsia="仿宋_GB2312" w:cs="仿宋_GB2312"/>
          <w:b w:val="0"/>
          <w:bCs w:val="0"/>
        </w:rPr>
        <w:t>七、</w:t>
      </w:r>
      <w:r>
        <w:rPr>
          <w:rFonts w:hint="eastAsia" w:ascii="仿宋_GB2312" w:hAnsi="仿宋_GB2312" w:eastAsia="仿宋_GB2312" w:cs="仿宋_GB2312"/>
          <w:b w:val="0"/>
          <w:color w:val="000000"/>
        </w:rPr>
        <w:t>一</w:t>
      </w:r>
      <w:r>
        <w:rPr>
          <w:rStyle w:val="26"/>
          <w:rFonts w:hint="eastAsia" w:ascii="仿宋_GB2312" w:hAnsi="仿宋_GB2312" w:eastAsia="仿宋_GB2312" w:cs="仿宋_GB2312"/>
          <w:b w:val="0"/>
          <w:bCs w:val="0"/>
        </w:rPr>
        <w:t>般公共预算财政拨款支出决算明细表</w:t>
      </w:r>
      <w:bookmarkEnd w:id="68"/>
    </w:p>
    <w:p>
      <w:pPr>
        <w:pStyle w:val="3"/>
        <w:spacing w:line="300" w:lineRule="exact"/>
        <w:rPr>
          <w:rFonts w:hint="eastAsia" w:ascii="仿宋_GB2312" w:hAnsi="仿宋_GB2312" w:eastAsia="仿宋_GB2312" w:cs="仿宋_GB2312"/>
          <w:color w:val="000000"/>
        </w:rPr>
      </w:pPr>
      <w:bookmarkStart w:id="69" w:name="_Toc15396626"/>
      <w:r>
        <w:rPr>
          <w:rStyle w:val="26"/>
          <w:rFonts w:hint="eastAsia" w:ascii="仿宋_GB2312" w:hAnsi="仿宋_GB2312" w:eastAsia="仿宋_GB2312" w:cs="仿宋_GB2312"/>
          <w:b w:val="0"/>
          <w:bCs w:val="0"/>
        </w:rPr>
        <w:t>八、</w:t>
      </w:r>
      <w:r>
        <w:rPr>
          <w:rFonts w:hint="eastAsia" w:ascii="仿宋_GB2312" w:hAnsi="仿宋_GB2312" w:eastAsia="仿宋_GB2312" w:cs="仿宋_GB2312"/>
          <w:b w:val="0"/>
          <w:color w:val="000000"/>
        </w:rPr>
        <w:t>一</w:t>
      </w:r>
      <w:r>
        <w:rPr>
          <w:rStyle w:val="26"/>
          <w:rFonts w:hint="eastAsia" w:ascii="仿宋_GB2312" w:hAnsi="仿宋_GB2312" w:eastAsia="仿宋_GB2312" w:cs="仿宋_GB2312"/>
          <w:b w:val="0"/>
          <w:bCs w:val="0"/>
        </w:rPr>
        <w:t>般公共预算财政拨款基本支出决算表</w:t>
      </w:r>
      <w:bookmarkEnd w:id="69"/>
    </w:p>
    <w:p>
      <w:pPr>
        <w:pStyle w:val="3"/>
        <w:spacing w:line="300" w:lineRule="exact"/>
        <w:rPr>
          <w:rFonts w:hint="eastAsia" w:ascii="仿宋_GB2312" w:hAnsi="仿宋_GB2312" w:eastAsia="仿宋_GB2312" w:cs="仿宋_GB2312"/>
          <w:color w:val="000000"/>
        </w:rPr>
      </w:pPr>
      <w:bookmarkStart w:id="70" w:name="_Toc15396627"/>
      <w:r>
        <w:rPr>
          <w:rStyle w:val="26"/>
          <w:rFonts w:hint="eastAsia" w:ascii="仿宋_GB2312" w:hAnsi="仿宋_GB2312" w:eastAsia="仿宋_GB2312" w:cs="仿宋_GB2312"/>
          <w:b w:val="0"/>
          <w:bCs w:val="0"/>
        </w:rPr>
        <w:t>九、</w:t>
      </w:r>
      <w:r>
        <w:rPr>
          <w:rFonts w:hint="eastAsia" w:ascii="仿宋_GB2312" w:hAnsi="仿宋_GB2312" w:eastAsia="仿宋_GB2312" w:cs="仿宋_GB2312"/>
          <w:b w:val="0"/>
          <w:color w:val="000000"/>
        </w:rPr>
        <w:t>一</w:t>
      </w:r>
      <w:r>
        <w:rPr>
          <w:rStyle w:val="26"/>
          <w:rFonts w:hint="eastAsia" w:ascii="仿宋_GB2312" w:hAnsi="仿宋_GB2312" w:eastAsia="仿宋_GB2312" w:cs="仿宋_GB2312"/>
          <w:b w:val="0"/>
          <w:bCs w:val="0"/>
        </w:rPr>
        <w:t>般公共预算财政拨款项目支出决算表</w:t>
      </w:r>
      <w:bookmarkEnd w:id="70"/>
    </w:p>
    <w:p>
      <w:pPr>
        <w:pStyle w:val="3"/>
        <w:spacing w:line="300" w:lineRule="exact"/>
        <w:rPr>
          <w:rFonts w:hint="eastAsia" w:ascii="仿宋_GB2312" w:hAnsi="仿宋_GB2312" w:eastAsia="仿宋_GB2312" w:cs="仿宋_GB2312"/>
          <w:color w:val="000000"/>
        </w:rPr>
      </w:pPr>
      <w:bookmarkStart w:id="71" w:name="_Toc15396628"/>
      <w:r>
        <w:rPr>
          <w:rStyle w:val="26"/>
          <w:rFonts w:hint="eastAsia" w:ascii="仿宋_GB2312" w:hAnsi="仿宋_GB2312" w:eastAsia="仿宋_GB2312" w:cs="仿宋_GB2312"/>
          <w:b w:val="0"/>
          <w:bCs w:val="0"/>
        </w:rPr>
        <w:t>十、</w:t>
      </w:r>
      <w:r>
        <w:rPr>
          <w:rFonts w:hint="eastAsia" w:ascii="仿宋_GB2312" w:hAnsi="仿宋_GB2312" w:eastAsia="仿宋_GB2312" w:cs="仿宋_GB2312"/>
          <w:b w:val="0"/>
          <w:color w:val="000000"/>
        </w:rPr>
        <w:t>一</w:t>
      </w:r>
      <w:r>
        <w:rPr>
          <w:rStyle w:val="26"/>
          <w:rFonts w:hint="eastAsia" w:ascii="仿宋_GB2312" w:hAnsi="仿宋_GB2312" w:eastAsia="仿宋_GB2312" w:cs="仿宋_GB2312"/>
          <w:b w:val="0"/>
          <w:bCs w:val="0"/>
        </w:rPr>
        <w:t>般公共预算财政拨款“三公”经费支出决算表</w:t>
      </w:r>
      <w:bookmarkEnd w:id="71"/>
    </w:p>
    <w:p>
      <w:pPr>
        <w:pStyle w:val="3"/>
        <w:spacing w:line="300" w:lineRule="exact"/>
        <w:rPr>
          <w:rFonts w:hint="eastAsia" w:ascii="仿宋_GB2312" w:hAnsi="仿宋_GB2312" w:eastAsia="仿宋_GB2312" w:cs="仿宋_GB2312"/>
          <w:color w:val="000000"/>
        </w:rPr>
      </w:pPr>
      <w:bookmarkStart w:id="72" w:name="_Toc15396629"/>
      <w:r>
        <w:rPr>
          <w:rStyle w:val="26"/>
          <w:rFonts w:hint="eastAsia" w:ascii="仿宋_GB2312" w:hAnsi="仿宋_GB2312" w:eastAsia="仿宋_GB2312" w:cs="仿宋_GB2312"/>
          <w:b w:val="0"/>
          <w:bCs w:val="0"/>
        </w:rPr>
        <w:t>十一、</w:t>
      </w:r>
      <w:r>
        <w:rPr>
          <w:rFonts w:hint="eastAsia" w:ascii="仿宋_GB2312" w:hAnsi="仿宋_GB2312" w:eastAsia="仿宋_GB2312" w:cs="仿宋_GB2312"/>
          <w:b w:val="0"/>
          <w:color w:val="000000"/>
        </w:rPr>
        <w:t>政</w:t>
      </w:r>
      <w:r>
        <w:rPr>
          <w:rStyle w:val="26"/>
          <w:rFonts w:hint="eastAsia" w:ascii="仿宋_GB2312" w:hAnsi="仿宋_GB2312" w:eastAsia="仿宋_GB2312" w:cs="仿宋_GB2312"/>
          <w:b w:val="0"/>
          <w:bCs w:val="0"/>
        </w:rPr>
        <w:t>府性基金预算财政拨款收入支出决算表</w:t>
      </w:r>
      <w:bookmarkEnd w:id="72"/>
    </w:p>
    <w:p>
      <w:pPr>
        <w:pStyle w:val="3"/>
        <w:spacing w:line="300" w:lineRule="exact"/>
        <w:rPr>
          <w:rFonts w:hint="eastAsia" w:ascii="仿宋_GB2312" w:hAnsi="仿宋_GB2312" w:eastAsia="仿宋_GB2312" w:cs="仿宋_GB2312"/>
          <w:color w:val="000000"/>
        </w:rPr>
      </w:pPr>
      <w:bookmarkStart w:id="73" w:name="_Toc15396630"/>
      <w:r>
        <w:rPr>
          <w:rStyle w:val="26"/>
          <w:rFonts w:hint="eastAsia" w:ascii="仿宋_GB2312" w:hAnsi="仿宋_GB2312" w:eastAsia="仿宋_GB2312" w:cs="仿宋_GB2312"/>
          <w:b w:val="0"/>
          <w:bCs w:val="0"/>
        </w:rPr>
        <w:t>十二、</w:t>
      </w:r>
      <w:r>
        <w:rPr>
          <w:rFonts w:hint="eastAsia" w:ascii="仿宋_GB2312" w:hAnsi="仿宋_GB2312" w:eastAsia="仿宋_GB2312" w:cs="仿宋_GB2312"/>
          <w:b w:val="0"/>
          <w:color w:val="000000"/>
        </w:rPr>
        <w:t>政</w:t>
      </w:r>
      <w:r>
        <w:rPr>
          <w:rStyle w:val="26"/>
          <w:rFonts w:hint="eastAsia" w:ascii="仿宋_GB2312" w:hAnsi="仿宋_GB2312" w:eastAsia="仿宋_GB2312" w:cs="仿宋_GB2312"/>
          <w:b w:val="0"/>
          <w:bCs w:val="0"/>
        </w:rPr>
        <w:t>府性基金预算财政拨款“三公”经费支出决算表</w:t>
      </w:r>
      <w:bookmarkEnd w:id="73"/>
    </w:p>
    <w:p>
      <w:pPr>
        <w:pStyle w:val="3"/>
        <w:spacing w:line="300" w:lineRule="exact"/>
        <w:rPr>
          <w:rStyle w:val="26"/>
          <w:rFonts w:hint="eastAsia" w:ascii="仿宋_GB2312" w:hAnsi="仿宋_GB2312" w:eastAsia="仿宋_GB2312" w:cs="仿宋_GB2312"/>
          <w:b w:val="0"/>
          <w:bCs w:val="0"/>
        </w:rPr>
      </w:pPr>
      <w:bookmarkStart w:id="74" w:name="_Toc15396631"/>
      <w:r>
        <w:rPr>
          <w:rStyle w:val="26"/>
          <w:rFonts w:hint="eastAsia" w:ascii="仿宋_GB2312" w:hAnsi="仿宋_GB2312" w:eastAsia="仿宋_GB2312" w:cs="仿宋_GB2312"/>
          <w:b w:val="0"/>
          <w:bCs w:val="0"/>
        </w:rPr>
        <w:t>十三、</w:t>
      </w:r>
      <w:r>
        <w:rPr>
          <w:rFonts w:hint="eastAsia" w:ascii="仿宋_GB2312" w:hAnsi="仿宋_GB2312" w:eastAsia="仿宋_GB2312" w:cs="仿宋_GB2312"/>
          <w:b w:val="0"/>
          <w:color w:val="000000"/>
        </w:rPr>
        <w:t>国</w:t>
      </w:r>
      <w:r>
        <w:rPr>
          <w:rStyle w:val="26"/>
          <w:rFonts w:hint="eastAsia" w:ascii="仿宋_GB2312" w:hAnsi="仿宋_GB2312" w:eastAsia="仿宋_GB2312" w:cs="仿宋_GB2312"/>
          <w:b w:val="0"/>
          <w:bCs w:val="0"/>
        </w:rPr>
        <w:t>有资本经营预算财政拨款收入支出决算表</w:t>
      </w:r>
      <w:bookmarkEnd w:id="74"/>
    </w:p>
    <w:p>
      <w:pPr>
        <w:pStyle w:val="3"/>
        <w:spacing w:line="300" w:lineRule="exact"/>
        <w:rPr>
          <w:rStyle w:val="26"/>
          <w:rFonts w:hint="eastAsia" w:ascii="仿宋_GB2312" w:hAnsi="仿宋_GB2312" w:eastAsia="仿宋_GB2312" w:cs="仿宋_GB2312"/>
          <w:b w:val="0"/>
          <w:bCs w:val="0"/>
        </w:rPr>
      </w:pPr>
      <w:r>
        <w:rPr>
          <w:rStyle w:val="26"/>
          <w:rFonts w:hint="eastAsia" w:ascii="仿宋_GB2312" w:hAnsi="仿宋_GB2312" w:eastAsia="仿宋_GB2312" w:cs="仿宋_GB2312"/>
          <w:b w:val="0"/>
          <w:bCs w:val="0"/>
        </w:rPr>
        <w:t>十四、</w:t>
      </w:r>
      <w:r>
        <w:rPr>
          <w:rFonts w:hint="eastAsia" w:ascii="仿宋_GB2312" w:hAnsi="仿宋_GB2312" w:eastAsia="仿宋_GB2312" w:cs="仿宋_GB2312"/>
          <w:b w:val="0"/>
          <w:color w:val="000000"/>
        </w:rPr>
        <w:t>国</w:t>
      </w:r>
      <w:r>
        <w:rPr>
          <w:rStyle w:val="26"/>
          <w:rFonts w:hint="eastAsia" w:ascii="仿宋_GB2312" w:hAnsi="仿宋_GB2312" w:eastAsia="仿宋_GB2312" w:cs="仿宋_GB2312"/>
          <w:b w:val="0"/>
          <w:bCs w:val="0"/>
        </w:rPr>
        <w:t>有资本经营预算财政拨款支出决算表</w:t>
      </w:r>
    </w:p>
    <w:p>
      <w:pPr>
        <w:pStyle w:val="3"/>
        <w:rPr>
          <w:rFonts w:hint="eastAsia" w:ascii="仿宋_GB2312" w:hAnsi="仿宋_GB2312" w:eastAsia="仿宋_GB2312" w:cs="仿宋_GB2312"/>
          <w:color w:val="000000" w:themeColor="text1"/>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modern"/>
    <w:pitch w:val="default"/>
    <w:sig w:usb0="E00006FF" w:usb1="420024FF" w:usb2="02000000" w:usb3="00000000" w:csb0="2000019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3387881"/>
    <w:multiLevelType w:val="singleLevel"/>
    <w:tmpl w:val="33387881"/>
    <w:lvl w:ilvl="0" w:tentative="0">
      <w:start w:val="1"/>
      <w:numFmt w:val="chineseCounting"/>
      <w:suff w:val="nothing"/>
      <w:lvlText w:val="%1、"/>
      <w:lvlJc w:val="left"/>
      <w:rPr>
        <w:rFonts w:hint="eastAsia"/>
      </w:rPr>
    </w:lvl>
  </w:abstractNum>
  <w:abstractNum w:abstractNumId="4">
    <w:nsid w:val="5DCCBEA5"/>
    <w:multiLevelType w:val="singleLevel"/>
    <w:tmpl w:val="5DCCBEA5"/>
    <w:lvl w:ilvl="0" w:tentative="0">
      <w:start w:val="2"/>
      <w:numFmt w:val="chineseCounting"/>
      <w:suff w:val="nothing"/>
      <w:lvlText w:val="（%1）"/>
      <w:lvlJc w:val="left"/>
    </w:lvl>
  </w:abstractNum>
  <w:abstractNum w:abstractNumId="5">
    <w:nsid w:val="5DCCBF69"/>
    <w:multiLevelType w:val="singleLevel"/>
    <w:tmpl w:val="5DCCBF69"/>
    <w:lvl w:ilvl="0" w:tentative="0">
      <w:start w:val="2"/>
      <w:numFmt w:val="chineseCounting"/>
      <w:suff w:val="nothing"/>
      <w:lvlText w:val="（%1）"/>
      <w:lvlJc w:val="left"/>
    </w:lvl>
  </w:abstractNum>
  <w:abstractNum w:abstractNumId="6">
    <w:nsid w:val="5DCCC04F"/>
    <w:multiLevelType w:val="singleLevel"/>
    <w:tmpl w:val="5DCCC04F"/>
    <w:lvl w:ilvl="0" w:tentative="0">
      <w:start w:val="3"/>
      <w:numFmt w:val="chineseCounting"/>
      <w:suff w:val="nothing"/>
      <w:lvlText w:val="%1、"/>
      <w:lvlJc w:val="left"/>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YjBiZjhhOTkwMGQwNWQ3ZDg2N2E0NTlhNDY4ZT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280453"/>
    <w:rsid w:val="01530495"/>
    <w:rsid w:val="0252665D"/>
    <w:rsid w:val="045A6A33"/>
    <w:rsid w:val="053E2528"/>
    <w:rsid w:val="05754C01"/>
    <w:rsid w:val="062318A1"/>
    <w:rsid w:val="06994D63"/>
    <w:rsid w:val="06A52D74"/>
    <w:rsid w:val="075F2CEB"/>
    <w:rsid w:val="07CE4F32"/>
    <w:rsid w:val="08FA104A"/>
    <w:rsid w:val="095161D6"/>
    <w:rsid w:val="0B0E7430"/>
    <w:rsid w:val="0B243B52"/>
    <w:rsid w:val="0C3849A6"/>
    <w:rsid w:val="0EB32AAA"/>
    <w:rsid w:val="10453240"/>
    <w:rsid w:val="10C055FF"/>
    <w:rsid w:val="11A021F8"/>
    <w:rsid w:val="14426F48"/>
    <w:rsid w:val="15663828"/>
    <w:rsid w:val="158717DE"/>
    <w:rsid w:val="169735BA"/>
    <w:rsid w:val="16BB723D"/>
    <w:rsid w:val="18590DAB"/>
    <w:rsid w:val="19C41B53"/>
    <w:rsid w:val="19D544FE"/>
    <w:rsid w:val="1AFE6EBE"/>
    <w:rsid w:val="1BB81089"/>
    <w:rsid w:val="1C3041CB"/>
    <w:rsid w:val="1FA86D80"/>
    <w:rsid w:val="206C4540"/>
    <w:rsid w:val="20CE32DF"/>
    <w:rsid w:val="20D94EF4"/>
    <w:rsid w:val="21862A8E"/>
    <w:rsid w:val="21BD5166"/>
    <w:rsid w:val="22BA62D8"/>
    <w:rsid w:val="240371BF"/>
    <w:rsid w:val="25B84A72"/>
    <w:rsid w:val="25DA2A28"/>
    <w:rsid w:val="28E848A9"/>
    <w:rsid w:val="29FD04D3"/>
    <w:rsid w:val="2BFF06BF"/>
    <w:rsid w:val="2CAE5ED9"/>
    <w:rsid w:val="2D0F4C79"/>
    <w:rsid w:val="2E523F5C"/>
    <w:rsid w:val="2F424F98"/>
    <w:rsid w:val="2FBA00DA"/>
    <w:rsid w:val="306814F8"/>
    <w:rsid w:val="307D149D"/>
    <w:rsid w:val="319F7F4E"/>
    <w:rsid w:val="31AD3D8D"/>
    <w:rsid w:val="31B859A2"/>
    <w:rsid w:val="32E93B15"/>
    <w:rsid w:val="33766BFC"/>
    <w:rsid w:val="33D7599C"/>
    <w:rsid w:val="340628DF"/>
    <w:rsid w:val="351D0231"/>
    <w:rsid w:val="35946F77"/>
    <w:rsid w:val="37920FDD"/>
    <w:rsid w:val="38B83DFC"/>
    <w:rsid w:val="38D834D0"/>
    <w:rsid w:val="39440601"/>
    <w:rsid w:val="39453E84"/>
    <w:rsid w:val="3A690764"/>
    <w:rsid w:val="3DCD2FF3"/>
    <w:rsid w:val="3E9C6B44"/>
    <w:rsid w:val="3ED34AA0"/>
    <w:rsid w:val="3EFE1167"/>
    <w:rsid w:val="3FAB2584"/>
    <w:rsid w:val="41E449EE"/>
    <w:rsid w:val="4351587E"/>
    <w:rsid w:val="446012BE"/>
    <w:rsid w:val="46EC63E9"/>
    <w:rsid w:val="49C35B92"/>
    <w:rsid w:val="4B3F2B00"/>
    <w:rsid w:val="4D3D4B44"/>
    <w:rsid w:val="4ECE2238"/>
    <w:rsid w:val="4F912E1A"/>
    <w:rsid w:val="5060696B"/>
    <w:rsid w:val="506B057F"/>
    <w:rsid w:val="508C2CB2"/>
    <w:rsid w:val="50CC731F"/>
    <w:rsid w:val="52121BB5"/>
    <w:rsid w:val="52D67374"/>
    <w:rsid w:val="545C6276"/>
    <w:rsid w:val="55F8151B"/>
    <w:rsid w:val="56B20949"/>
    <w:rsid w:val="56D133FC"/>
    <w:rsid w:val="57733733"/>
    <w:rsid w:val="5A2A6176"/>
    <w:rsid w:val="5A615BD7"/>
    <w:rsid w:val="5A6D3BE8"/>
    <w:rsid w:val="5A8D1F1E"/>
    <w:rsid w:val="5AC445F6"/>
    <w:rsid w:val="5B236661"/>
    <w:rsid w:val="5B507A5E"/>
    <w:rsid w:val="5C8B3F62"/>
    <w:rsid w:val="5CE24971"/>
    <w:rsid w:val="5E7E7C15"/>
    <w:rsid w:val="5FFA0406"/>
    <w:rsid w:val="62614ACE"/>
    <w:rsid w:val="65B31E66"/>
    <w:rsid w:val="672542C6"/>
    <w:rsid w:val="675A6D1E"/>
    <w:rsid w:val="67650933"/>
    <w:rsid w:val="67706CC4"/>
    <w:rsid w:val="6C053E44"/>
    <w:rsid w:val="6E8967D4"/>
    <w:rsid w:val="6ED2525C"/>
    <w:rsid w:val="703716AB"/>
    <w:rsid w:val="7099044B"/>
    <w:rsid w:val="72734D90"/>
    <w:rsid w:val="741E4AD5"/>
    <w:rsid w:val="74E267D1"/>
    <w:rsid w:val="75C42647"/>
    <w:rsid w:val="75E326DD"/>
    <w:rsid w:val="76931A1A"/>
    <w:rsid w:val="772B2E92"/>
    <w:rsid w:val="7A795AFD"/>
    <w:rsid w:val="7AFC2853"/>
    <w:rsid w:val="7B683207"/>
    <w:rsid w:val="7B9F58E0"/>
    <w:rsid w:val="7C4D6CFD"/>
    <w:rsid w:val="7D1B284D"/>
    <w:rsid w:val="7D3127F3"/>
    <w:rsid w:val="7D7D15ED"/>
    <w:rsid w:val="7DBD5C5A"/>
    <w:rsid w:val="7F242C23"/>
    <w:rsid w:val="7FDC5C54"/>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1333;&#20301;&#36164;&#26009;\&#36130;&#25919;&#20449;&#24687;&#20844;&#24320;&#36164;&#26009;&#65288;&#30005;&#25945;&#39302;&#65289;\2019&#20915;&#31639;&#20844;&#24320;\&#20915;&#31639;&#20844;&#24320;&#39292;&#29366;&#22270;\&#20915;&#31639;&#20844;&#24320;&#39292;&#29366;&#2227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1333;&#20301;&#36164;&#26009;\&#36130;&#25919;&#20449;&#24687;&#20844;&#24320;&#36164;&#26009;&#65288;&#30005;&#25945;&#39302;&#65289;\2019&#20915;&#31639;&#20844;&#24320;\&#20915;&#31639;&#20844;&#24320;&#39292;&#29366;&#22270;\1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1333;&#20301;&#36164;&#26009;\&#36130;&#25919;&#20449;&#24687;&#20844;&#24320;&#36164;&#26009;&#65288;&#30005;&#25945;&#39302;&#65289;\2019&#20915;&#31639;&#20844;&#24320;\&#20915;&#31639;&#20844;&#24320;&#39292;&#29366;&#22270;\&#22797;&#20214;%20&#24037;&#20316;&#31807;11.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21333;&#20301;&#36164;&#26009;\&#36130;&#25919;&#20449;&#24687;&#20844;&#24320;&#36164;&#26009;&#65288;&#30005;&#25945;&#39302;&#65289;\2019&#20915;&#31639;&#20844;&#24320;\&#20915;&#31639;&#20844;&#24320;&#39292;&#29366;&#22270;\&#20915;&#31639;&#20844;&#24320;&#39292;&#29366;&#2227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E:\&#21333;&#20301;&#36164;&#26009;\&#36130;&#25919;&#20449;&#24687;&#20844;&#24320;&#36164;&#26009;&#65288;&#30005;&#25945;&#39302;&#65289;\2019&#20915;&#31639;&#20844;&#24320;\&#20915;&#31639;&#20844;&#24320;&#39292;&#29366;&#22270;\&#20915;&#31639;&#20844;&#24320;&#39292;&#29366;&#2227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E:\&#21333;&#20301;&#36164;&#26009;\&#36130;&#25919;&#20449;&#24687;&#20844;&#24320;&#36164;&#26009;&#65288;&#30005;&#25945;&#39302;&#65289;\2019&#20915;&#31639;&#20844;&#24320;\&#20915;&#31639;&#20844;&#24320;&#39292;&#29366;&#22270;\&#20915;&#31639;&#20844;&#24320;&#39292;&#29366;&#2227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E:\&#21333;&#20301;&#36164;&#26009;\&#36130;&#25919;&#20449;&#24687;&#20844;&#24320;&#36164;&#26009;&#65288;&#30005;&#25945;&#39302;&#65289;\2019&#20915;&#31639;&#20844;&#24320;\&#20915;&#31639;&#20844;&#24320;&#39292;&#29366;&#22270;\&#20915;&#31639;&#20844;&#24320;&#39292;&#29366;&#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58594179022515"/>
          <c:y val="0.0509259259259259"/>
          <c:w val="0.916683141131246"/>
          <c:h val="0.732037037037037"/>
        </c:manualLayout>
      </c:layout>
      <c:barChart>
        <c:barDir val="col"/>
        <c:grouping val="clustered"/>
        <c:varyColors val="0"/>
        <c:ser>
          <c:idx val="0"/>
          <c:order val="0"/>
          <c:tx>
            <c:strRef>
              <c:f>[决算公开饼状图.xlsx]Sheet1!$A$46</c:f>
              <c:strCache>
                <c:ptCount val="1"/>
                <c:pt idx="0">
                  <c:v>2019年</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[决算公开饼状图.xlsx]Sheet1!$B$45:$C$45</c:f>
              <c:strCache>
                <c:ptCount val="2"/>
                <c:pt idx="0">
                  <c:v>财政拨款收入（万元）</c:v>
                </c:pt>
                <c:pt idx="1">
                  <c:v>财政拨款支出（万元）</c:v>
                </c:pt>
              </c:strCache>
            </c:strRef>
          </c:cat>
          <c:val>
            <c:numRef>
              <c:f>[决算公开饼状图.xlsx]Sheet1!$B$46:$C$46</c:f>
              <c:numCache>
                <c:formatCode>General</c:formatCode>
                <c:ptCount val="2"/>
                <c:pt idx="0">
                  <c:v>327.17</c:v>
                </c:pt>
                <c:pt idx="1">
                  <c:v>346.35</c:v>
                </c:pt>
              </c:numCache>
            </c:numRef>
          </c:val>
        </c:ser>
        <c:ser>
          <c:idx val="1"/>
          <c:order val="1"/>
          <c:tx>
            <c:strRef>
              <c:f>[决算公开饼状图.xlsx]Sheet1!$A$47</c:f>
              <c:strCache>
                <c:ptCount val="1"/>
                <c:pt idx="0">
                  <c:v>2020年</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[决算公开饼状图.xlsx]Sheet1!$B$45:$C$45</c:f>
              <c:strCache>
                <c:ptCount val="2"/>
                <c:pt idx="0">
                  <c:v>财政拨款收入（万元）</c:v>
                </c:pt>
                <c:pt idx="1">
                  <c:v>财政拨款支出（万元）</c:v>
                </c:pt>
              </c:strCache>
            </c:strRef>
          </c:cat>
          <c:val>
            <c:numRef>
              <c:f>[决算公开饼状图.xlsx]Sheet1!$B$47:$C$47</c:f>
              <c:numCache>
                <c:formatCode>General</c:formatCode>
                <c:ptCount val="2"/>
                <c:pt idx="0">
                  <c:v>320.63</c:v>
                </c:pt>
                <c:pt idx="1">
                  <c:v>283.13</c:v>
                </c:pt>
              </c:numCache>
            </c:numRef>
          </c:val>
        </c:ser>
        <c:dLbls>
          <c:showLegendKey val="0"/>
          <c:showVal val="1"/>
          <c:showCatName val="0"/>
          <c:showSerName val="0"/>
          <c:showPercent val="0"/>
          <c:showBubbleSize val="0"/>
        </c:dLbls>
        <c:gapWidth val="75"/>
        <c:axId val="83791872"/>
        <c:axId val="83793408"/>
      </c:barChart>
      <c:catAx>
        <c:axId val="8379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793408"/>
        <c:crosses val="autoZero"/>
        <c:auto val="1"/>
        <c:lblAlgn val="ctr"/>
        <c:lblOffset val="100"/>
        <c:noMultiLvlLbl val="0"/>
      </c:catAx>
      <c:valAx>
        <c:axId val="83793408"/>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791872"/>
        <c:crosses val="autoZero"/>
        <c:crossBetween val="between"/>
      </c:valAx>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[123.xlsx]Sheet1!$A$3</c:f>
              <c:strCache>
                <c:ptCount val="1"/>
                <c:pt idx="0">
                  <c:v>本年收入（万元）</c:v>
                </c:pt>
              </c:strCache>
            </c:strRef>
          </c:tx>
          <c:spPr>
            <a:effectLst/>
          </c:spPr>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Lbls>
            <c:dLbl>
              <c:idx val="0"/>
              <c:layout/>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0"/>
              <c:showCatName val="0"/>
              <c:showSerName val="0"/>
              <c:showPercent val="1"/>
              <c:showBubbleSize val="0"/>
              <c:extLst>
                <c:ext xmlns:c15="http://schemas.microsoft.com/office/drawing/2012/chart" uri="{CE6537A1-D6FC-4f65-9D91-7224C49458BB}">
                  <c15:layout>
                    <c:manualLayout>
                      <c:w val="0.186805555555556"/>
                      <c:h val="0.0643518518518519"/>
                    </c:manualLayout>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[123.xlsx]Sheet1!$B$2:$C$2</c:f>
              <c:strCache>
                <c:ptCount val="2"/>
                <c:pt idx="0">
                  <c:v>财政拨款收入320.63万元</c:v>
                </c:pt>
                <c:pt idx="1">
                  <c:v>其他收入0万元</c:v>
                </c:pt>
              </c:strCache>
            </c:strRef>
          </c:cat>
          <c:val>
            <c:numRef>
              <c:f>[123.xlsx]Sheet1!$B$3:$C$3</c:f>
              <c:numCache>
                <c:formatCode>General</c:formatCode>
                <c:ptCount val="2"/>
                <c:pt idx="0">
                  <c:v>320.63</c:v>
                </c:pt>
                <c:pt idx="1">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altLang="en-US" sz="1400" b="0" i="0" u="none" strike="noStrike">
                <a:solidFill>
                  <a:srgbClr val="333333"/>
                </a:solidFill>
                <a:latin typeface="宋体" panose="02010600030101010101" charset="-122"/>
                <a:ea typeface="宋体" panose="02010600030101010101" charset="-122"/>
                <a:cs typeface="宋体" panose="02010600030101010101" charset="-122"/>
              </a:rPr>
              <a:t>支出决算</a:t>
            </a:r>
            <a:r>
              <a:rPr lang="en-US" altLang="zh-CN" sz="1400" b="0" i="0" u="none" strike="noStrike">
                <a:solidFill>
                  <a:srgbClr val="333333"/>
                </a:solidFill>
                <a:latin typeface="宋体" panose="02010600030101010101" charset="-122"/>
                <a:ea typeface="宋体" panose="02010600030101010101" charset="-122"/>
                <a:cs typeface="宋体" panose="02010600030101010101" charset="-122"/>
              </a:rPr>
              <a:t>283.13</a:t>
            </a:r>
            <a:r>
              <a:rPr altLang="en-US" sz="1400" b="0" i="0" u="none" strike="noStrike">
                <a:solidFill>
                  <a:srgbClr val="333333"/>
                </a:solidFill>
                <a:latin typeface="宋体" panose="02010600030101010101" charset="-122"/>
                <a:ea typeface="宋体" panose="02010600030101010101" charset="-122"/>
                <a:cs typeface="宋体" panose="02010600030101010101" charset="-122"/>
              </a:rPr>
              <a:t>万元</a:t>
            </a:r>
            <a:endParaRPr lang="en-US" altLang="zh-CN" sz="1100" b="0" i="0" u="none" strike="noStrike">
              <a:solidFill>
                <a:srgbClr val="000000"/>
              </a:solidFill>
              <a:effectLst/>
              <a:latin typeface="宋体" panose="02010600030101010101" charset="-122"/>
              <a:ea typeface="宋体" panose="02010600030101010101" charset="-122"/>
              <a:cs typeface="宋体" panose="02010600030101010101" charset="-122"/>
            </a:endParaRPr>
          </a:p>
        </c:rich>
      </c:tx>
      <c:layout>
        <c:manualLayout>
          <c:xMode val="edge"/>
          <c:yMode val="edge"/>
          <c:x val="0.280347222222222"/>
          <c:y val="0.0694444444444444"/>
        </c:manualLayout>
      </c:layout>
      <c:overlay val="0"/>
      <c:spPr>
        <a:noFill/>
        <a:ln>
          <a:noFill/>
        </a:ln>
        <a:effectLst/>
      </c:spPr>
    </c:title>
    <c:autoTitleDeleted val="0"/>
    <c:plotArea>
      <c:layout/>
      <c:pieChart>
        <c:varyColors val="1"/>
        <c:ser>
          <c:idx val="0"/>
          <c:order val="0"/>
          <c:spPr>
            <a:solidFill>
              <a:srgbClr val="5B9BD5">
                <a:alpha val="100000"/>
                <a:alpha val="100000"/>
              </a:srgbClr>
            </a:solidFill>
            <a:effectLst/>
          </c:spPr>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a:effectLst/>
                  </c:spPr>
                </c15:leaderLines>
              </c:ext>
            </c:extLst>
          </c:dLbls>
          <c:cat>
            <c:strRef>
              <c:f>'[复件 工作簿11.xls]Sheet1'!$A$3:$A$5</c:f>
              <c:strCache>
                <c:ptCount val="3"/>
                <c:pt idx="0">
                  <c:v>基本支出</c:v>
                </c:pt>
                <c:pt idx="1">
                  <c:v>项目支出</c:v>
                </c:pt>
              </c:strCache>
            </c:strRef>
          </c:cat>
          <c:val>
            <c:numRef>
              <c:f>'[复件 工作簿11.xls]Sheet1'!$B$3:$B$5</c:f>
              <c:numCache>
                <c:formatCode>General</c:formatCode>
                <c:ptCount val="3"/>
                <c:pt idx="0">
                  <c:v>259.28</c:v>
                </c:pt>
                <c:pt idx="1">
                  <c:v>23.85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58594179022515"/>
          <c:y val="0.0509259259259259"/>
          <c:w val="0.916683141131246"/>
          <c:h val="0.732037037037037"/>
        </c:manualLayout>
      </c:layout>
      <c:barChart>
        <c:barDir val="col"/>
        <c:grouping val="clustered"/>
        <c:varyColors val="0"/>
        <c:ser>
          <c:idx val="0"/>
          <c:order val="0"/>
          <c:tx>
            <c:strRef>
              <c:f>[决算公开饼状图.xlsx]Sheet1!$A$46</c:f>
              <c:strCache>
                <c:ptCount val="1"/>
                <c:pt idx="0">
                  <c:v>2019年</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[决算公开饼状图.xlsx]Sheet1!$B$45:$C$45</c:f>
              <c:strCache>
                <c:ptCount val="2"/>
                <c:pt idx="0">
                  <c:v>财政拨款收入（万元）</c:v>
                </c:pt>
                <c:pt idx="1">
                  <c:v>财政拨款支出（万元）</c:v>
                </c:pt>
              </c:strCache>
            </c:strRef>
          </c:cat>
          <c:val>
            <c:numRef>
              <c:f>[决算公开饼状图.xlsx]Sheet1!$B$46:$C$46</c:f>
              <c:numCache>
                <c:formatCode>General</c:formatCode>
                <c:ptCount val="2"/>
                <c:pt idx="0">
                  <c:v>327.17</c:v>
                </c:pt>
                <c:pt idx="1">
                  <c:v>346.35</c:v>
                </c:pt>
              </c:numCache>
            </c:numRef>
          </c:val>
        </c:ser>
        <c:ser>
          <c:idx val="1"/>
          <c:order val="1"/>
          <c:tx>
            <c:strRef>
              <c:f>[决算公开饼状图.xlsx]Sheet1!$A$47</c:f>
              <c:strCache>
                <c:ptCount val="1"/>
                <c:pt idx="0">
                  <c:v>2020年</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[决算公开饼状图.xlsx]Sheet1!$B$45:$C$45</c:f>
              <c:strCache>
                <c:ptCount val="2"/>
                <c:pt idx="0">
                  <c:v>财政拨款收入（万元）</c:v>
                </c:pt>
                <c:pt idx="1">
                  <c:v>财政拨款支出（万元）</c:v>
                </c:pt>
              </c:strCache>
            </c:strRef>
          </c:cat>
          <c:val>
            <c:numRef>
              <c:f>[决算公开饼状图.xlsx]Sheet1!$B$47:$C$47</c:f>
              <c:numCache>
                <c:formatCode>General</c:formatCode>
                <c:ptCount val="2"/>
                <c:pt idx="0">
                  <c:v>320.63</c:v>
                </c:pt>
                <c:pt idx="1">
                  <c:v>283.13</c:v>
                </c:pt>
              </c:numCache>
            </c:numRef>
          </c:val>
        </c:ser>
        <c:dLbls>
          <c:showLegendKey val="0"/>
          <c:showVal val="1"/>
          <c:showCatName val="0"/>
          <c:showSerName val="0"/>
          <c:showPercent val="0"/>
          <c:showBubbleSize val="0"/>
        </c:dLbls>
        <c:gapWidth val="75"/>
        <c:axId val="83791872"/>
        <c:axId val="83793408"/>
      </c:barChart>
      <c:catAx>
        <c:axId val="8379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793408"/>
        <c:crosses val="autoZero"/>
        <c:auto val="1"/>
        <c:lblAlgn val="ctr"/>
        <c:lblOffset val="100"/>
        <c:noMultiLvlLbl val="0"/>
      </c:catAx>
      <c:valAx>
        <c:axId val="83793408"/>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791872"/>
        <c:crosses val="autoZero"/>
        <c:crossBetween val="between"/>
      </c:valAx>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1814394760288"/>
          <c:y val="0.0474537037037037"/>
          <c:w val="0.903292638878856"/>
          <c:h val="0.732461358996792"/>
        </c:manualLayout>
      </c:layout>
      <c:barChart>
        <c:barDir val="col"/>
        <c:grouping val="clustered"/>
        <c:varyColors val="0"/>
        <c:ser>
          <c:idx val="0"/>
          <c:order val="0"/>
          <c:tx>
            <c:strRef>
              <c:f>[决算公开饼状图.xlsx]Sheet1!$A$68</c:f>
              <c:strCache>
                <c:ptCount val="1"/>
                <c:pt idx="0">
                  <c:v>一般公共预算财政拨款支出（万元）</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[决算公开饼状图.xlsx]Sheet1!$B$67:$C$67</c:f>
              <c:strCache>
                <c:ptCount val="2"/>
                <c:pt idx="0">
                  <c:v>2019年</c:v>
                </c:pt>
                <c:pt idx="1">
                  <c:v>2020年</c:v>
                </c:pt>
              </c:strCache>
            </c:strRef>
          </c:cat>
          <c:val>
            <c:numRef>
              <c:f>[决算公开饼状图.xlsx]Sheet1!$B$68:$C$68</c:f>
              <c:numCache>
                <c:formatCode>General</c:formatCode>
                <c:ptCount val="2"/>
                <c:pt idx="0">
                  <c:v>327.17</c:v>
                </c:pt>
                <c:pt idx="1">
                  <c:v>283.13</c:v>
                </c:pt>
              </c:numCache>
            </c:numRef>
          </c:val>
        </c:ser>
        <c:dLbls>
          <c:showLegendKey val="0"/>
          <c:showVal val="1"/>
          <c:showCatName val="0"/>
          <c:showSerName val="0"/>
          <c:showPercent val="0"/>
          <c:showBubbleSize val="0"/>
        </c:dLbls>
        <c:gapWidth val="75"/>
        <c:axId val="84155776"/>
        <c:axId val="84169856"/>
      </c:barChart>
      <c:catAx>
        <c:axId val="8415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169856"/>
        <c:crosses val="autoZero"/>
        <c:auto val="1"/>
        <c:lblAlgn val="ctr"/>
        <c:lblOffset val="100"/>
        <c:noMultiLvlLbl val="0"/>
      </c:catAx>
      <c:valAx>
        <c:axId val="84169856"/>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155776"/>
        <c:crosses val="autoZero"/>
        <c:crossBetween val="between"/>
      </c:valAx>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[决算公开饼状图.xlsx]Sheet1!$A$88</c:f>
              <c:strCache>
                <c:ptCount val="1"/>
                <c:pt idx="0">
                  <c:v>一般公共预算财政拨款支出（万元）</c:v>
                </c:pt>
              </c:strCache>
            </c:strRef>
          </c:tx>
          <c:spPr>
            <a:effectLst/>
          </c:spPr>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Pt>
            <c:idx val="3"/>
            <c:bubble3D val="0"/>
            <c:explosion val="0"/>
            <c:spPr>
              <a:solidFill>
                <a:schemeClr val="accent4"/>
              </a:solidFill>
              <a:ln w="19050">
                <a:solidFill>
                  <a:schemeClr val="lt1"/>
                </a:solidFill>
              </a:ln>
              <a:effectLst/>
            </c:spPr>
          </c:dPt>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[决算公开饼状图.xlsx]Sheet1!$B$87:$E$87</c:f>
              <c:strCache>
                <c:ptCount val="4"/>
                <c:pt idx="0">
                  <c:v>教育支出</c:v>
                </c:pt>
                <c:pt idx="1">
                  <c:v>社会保障和就业支出</c:v>
                </c:pt>
                <c:pt idx="2">
                  <c:v>住房保障支出</c:v>
                </c:pt>
                <c:pt idx="3">
                  <c:v>卫生健康</c:v>
                </c:pt>
              </c:strCache>
            </c:strRef>
          </c:cat>
          <c:val>
            <c:numRef>
              <c:f>[决算公开饼状图.xlsx]Sheet1!$B$88:$E$88</c:f>
              <c:numCache>
                <c:formatCode>General</c:formatCode>
                <c:ptCount val="4"/>
                <c:pt idx="0">
                  <c:v>220.9</c:v>
                </c:pt>
                <c:pt idx="1">
                  <c:v>37.61</c:v>
                </c:pt>
                <c:pt idx="2">
                  <c:v>12.74</c:v>
                </c:pt>
                <c:pt idx="3">
                  <c:v>11.89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sz="900" kern="1200">
          <a:solidFill>
            <a:schemeClr val="tx1"/>
          </a:solidFill>
          <a:latin typeface="+mn-lt"/>
          <a:ea typeface="+mn-ea"/>
          <a:cs typeface="+mn-cs"/>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[决算公开饼状图.xlsx]Sheet1!$A$109</c:f>
              <c:strCache>
                <c:ptCount val="1"/>
                <c:pt idx="0">
                  <c:v>三公经费支出（万元）</c:v>
                </c:pt>
              </c:strCache>
            </c:strRef>
          </c:tx>
          <c:spPr>
            <a:effectLst/>
          </c:spPr>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[决算公开饼状图.xlsx]Sheet1!$B$108:$D$108</c:f>
              <c:strCache>
                <c:ptCount val="3"/>
                <c:pt idx="0">
                  <c:v>公务接待费0.08万元</c:v>
                </c:pt>
                <c:pt idx="1">
                  <c:v>公务用车购置及运行维护费0万元</c:v>
                </c:pt>
                <c:pt idx="2">
                  <c:v>因公出国（境）费0万元</c:v>
                </c:pt>
              </c:strCache>
            </c:strRef>
          </c:cat>
          <c:val>
            <c:numRef>
              <c:f>[决算公开饼状图.xlsx]Sheet1!$B$109:$D$109</c:f>
              <c:numCache>
                <c:formatCode>General</c:formatCode>
                <c:ptCount val="3"/>
                <c:pt idx="0">
                  <c:v>2.95</c:v>
                </c:pt>
                <c:pt idx="1">
                  <c:v>0</c:v>
                </c:pt>
                <c:pt idx="2">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23</Pages>
  <Words>6784</Words>
  <Characters>7370</Characters>
  <Lines>7</Lines>
  <Paragraphs>17</Paragraphs>
  <TotalTime>0</TotalTime>
  <ScaleCrop>false</ScaleCrop>
  <LinksUpToDate>false</LinksUpToDate>
  <CharactersWithSpaces>7453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lenovo</cp:lastModifiedBy>
  <cp:lastPrinted>2021-10-12T02:24:00Z</cp:lastPrinted>
  <dcterms:modified xsi:type="dcterms:W3CDTF">2022-10-24T06:32:53Z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E056836D3F0D474695FC4CF33A038AF9</vt:lpwstr>
  </property>
</Properties>
</file>