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48"/>
          <w:szCs w:val="48"/>
        </w:rPr>
      </w:pPr>
      <w:bookmarkStart w:id="1" w:name="_Toc15396475"/>
      <w:bookmarkStart w:id="2" w:name="_Toc15377193"/>
      <w:bookmarkStart w:id="3" w:name="_Toc15377425"/>
      <w:bookmarkStart w:id="4" w:name="_Toc15378441"/>
      <w:bookmarkStart w:id="5" w:name="_Toc15396597"/>
      <w:r>
        <w:rPr>
          <w:rFonts w:ascii="黑体" w:hAnsi="黑体" w:eastAsia="黑体"/>
          <w:color w:val="000000"/>
          <w:sz w:val="48"/>
          <w:szCs w:val="48"/>
        </w:rPr>
        <w:t>201</w:t>
      </w:r>
      <w:r>
        <w:rPr>
          <w:rFonts w:hint="eastAsia" w:ascii="黑体" w:hAnsi="黑体" w:eastAsia="黑体"/>
          <w:color w:val="000000"/>
          <w:sz w:val="48"/>
          <w:szCs w:val="48"/>
        </w:rPr>
        <w:t>8</w:t>
      </w:r>
      <w:r>
        <w:rPr>
          <w:rFonts w:hint="eastAsia" w:ascii="方正小标宋简体" w:hAnsi="宋体" w:eastAsia="方正小标宋简体"/>
          <w:color w:val="000000"/>
          <w:sz w:val="48"/>
          <w:szCs w:val="48"/>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48"/>
          <w:szCs w:val="48"/>
        </w:rPr>
      </w:pPr>
      <w:bookmarkStart w:id="6" w:name="_Toc15377426"/>
      <w:bookmarkStart w:id="7" w:name="_Toc15377194"/>
      <w:bookmarkStart w:id="8" w:name="_Toc15396476"/>
      <w:bookmarkStart w:id="9" w:name="_Toc15396598"/>
      <w:bookmarkStart w:id="10" w:name="_Toc15378442"/>
      <w:r>
        <w:rPr>
          <w:rFonts w:hint="eastAsia" w:ascii="方正小标宋简体" w:hAnsi="宋体" w:eastAsia="方正小标宋简体"/>
          <w:color w:val="000000"/>
          <w:sz w:val="48"/>
          <w:szCs w:val="48"/>
        </w:rPr>
        <w:t>大竹县</w:t>
      </w:r>
      <w:bookmarkEnd w:id="0"/>
      <w:bookmarkStart w:id="11" w:name="_Toc15306268"/>
      <w:r>
        <w:rPr>
          <w:rFonts w:hint="eastAsia" w:ascii="方正小标宋简体" w:hAnsi="宋体" w:eastAsia="方正小标宋简体"/>
          <w:color w:val="000000"/>
          <w:sz w:val="48"/>
          <w:szCs w:val="48"/>
          <w:lang w:eastAsia="zh-CN"/>
        </w:rPr>
        <w:t>司法局</w:t>
      </w:r>
      <w:r>
        <w:rPr>
          <w:rFonts w:hint="eastAsia" w:ascii="方正小标宋简体" w:hAnsi="宋体" w:eastAsia="方正小标宋简体"/>
          <w:color w:val="000000"/>
          <w:sz w:val="48"/>
          <w:szCs w:val="48"/>
        </w:rPr>
        <w:t>决算</w:t>
      </w:r>
      <w:bookmarkEnd w:id="6"/>
      <w:bookmarkEnd w:id="7"/>
      <w:bookmarkEnd w:id="8"/>
      <w:bookmarkEnd w:id="9"/>
      <w:bookmarkEnd w:id="10"/>
      <w:bookmarkEnd w:id="11"/>
      <w:r>
        <w:rPr>
          <w:rFonts w:hint="eastAsia" w:ascii="方正小标宋简体" w:hAnsi="宋体" w:eastAsia="方正小标宋简体"/>
          <w:color w:val="000000"/>
          <w:sz w:val="48"/>
          <w:szCs w:val="48"/>
        </w:rPr>
        <w:t>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公开时间：2019年11月</w:t>
      </w:r>
      <w:r>
        <w:rPr>
          <w:rFonts w:hint="eastAsia"/>
          <w:lang w:val="en-US" w:eastAsia="zh-CN"/>
        </w:rPr>
        <w:t>11</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default" w:ascii="仿宋" w:hAnsi="仿宋" w:eastAsia="仿宋" w:cstheme="minorBidi"/>
          <w:sz w:val="28"/>
          <w:szCs w:val="28"/>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fldChar w:fldCharType="end"/>
      </w:r>
      <w:r>
        <w:rPr>
          <w:rFonts w:hint="eastAsia" w:ascii="仿宋" w:hAnsi="仿宋" w:eastAsia="仿宋"/>
          <w:sz w:val="28"/>
          <w:szCs w:val="28"/>
          <w:lang w:val="en-US" w:eastAsia="zh-CN"/>
        </w:rPr>
        <w:t>...............................17</w:t>
      </w:r>
    </w:p>
    <w:p>
      <w:pPr>
        <w:pStyle w:val="11"/>
        <w:rPr>
          <w:rFonts w:hint="eastAsia" w:ascii="仿宋" w:hAnsi="仿宋" w:eastAsia="仿宋" w:cstheme="minorBidi"/>
          <w:sz w:val="28"/>
          <w:szCs w:val="28"/>
          <w:lang w:val="en-US" w:eastAsia="zh-CN"/>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2</w:t>
      </w:r>
      <w:r>
        <w:rPr>
          <w:rFonts w:hint="eastAsia"/>
          <w:lang w:val="en-US" w:eastAsia="zh-CN"/>
        </w:rPr>
        <w:t>2</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fldChar w:fldCharType="begin"/>
      </w:r>
      <w:r>
        <w:instrText xml:space="preserve"> PAGEREF _Toc15396614 \h </w:instrText>
      </w:r>
      <w:r>
        <w:fldChar w:fldCharType="separate"/>
      </w:r>
      <w:r>
        <w:t>2</w:t>
      </w:r>
      <w:r>
        <w:rPr>
          <w:rFonts w:hint="eastAsia"/>
          <w:lang w:val="en-US" w:eastAsia="zh-CN"/>
        </w:rP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fldChar w:fldCharType="begin"/>
      </w:r>
      <w:r>
        <w:instrText xml:space="preserve"> PAGEREF _Toc15396618 \h </w:instrText>
      </w:r>
      <w:r>
        <w:fldChar w:fldCharType="separate"/>
      </w:r>
      <w:r>
        <w:t>3</w:t>
      </w:r>
      <w:r>
        <w:rPr>
          <w:rFonts w:hint="eastAsia"/>
          <w:lang w:val="en-US" w:eastAsia="zh-CN"/>
        </w:rPr>
        <w:t>4</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default"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fldChar w:fldCharType="end"/>
      </w:r>
      <w:r>
        <w:rPr>
          <w:rFonts w:hint="eastAsia" w:ascii="仿宋" w:hAnsi="仿宋" w:eastAsia="仿宋"/>
          <w:sz w:val="28"/>
          <w:szCs w:val="28"/>
          <w:lang w:val="en-US" w:eastAsia="zh-CN"/>
        </w:rPr>
        <w:t>...............34</w:t>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spacing w:before="0" w:after="0" w:line="578" w:lineRule="exact"/>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line="600" w:lineRule="exact"/>
        <w:ind w:firstLine="672" w:firstLineChars="210"/>
        <w:rPr>
          <w:rFonts w:cs="仿宋_GB2312"/>
          <w:color w:val="333333"/>
          <w:kern w:val="1"/>
          <w:sz w:val="32"/>
          <w:szCs w:val="32"/>
          <w:lang w:val="en-US" w:eastAsia="zh-CN"/>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7199"/>
      <w:bookmarkStart w:id="19" w:name="_Toc15378446"/>
      <w:r>
        <w:rPr>
          <w:rFonts w:cs="仿宋_GB2312"/>
          <w:color w:val="333333"/>
          <w:kern w:val="1"/>
          <w:sz w:val="32"/>
          <w:szCs w:val="32"/>
          <w:lang w:val="en-US" w:eastAsia="zh-CN"/>
        </w:rPr>
        <w:t>大竹县司法局是</w:t>
      </w:r>
      <w:r>
        <w:rPr>
          <w:rFonts w:cs="仿宋_GB2312"/>
          <w:kern w:val="1"/>
          <w:sz w:val="32"/>
          <w:szCs w:val="32"/>
          <w:lang w:val="en-US" w:eastAsia="zh-CN"/>
        </w:rPr>
        <w:t>贯彻执行国家、省、市关于司法行政工作的方针、政策和法律法规及规章；制定司法行政规范性文件，编制全县司法行政工作中长期发展规划和年度工作计划，并负责组织实施的县政府组成部门，负责指导人民调解、</w:t>
      </w:r>
      <w:r>
        <w:rPr>
          <w:rFonts w:hint="eastAsia" w:cs="仿宋_GB2312"/>
          <w:kern w:val="1"/>
          <w:sz w:val="32"/>
          <w:szCs w:val="32"/>
          <w:lang w:val="en-US" w:eastAsia="zh-CN"/>
        </w:rPr>
        <w:t>法治宣传、</w:t>
      </w:r>
      <w:r>
        <w:rPr>
          <w:rFonts w:cs="仿宋_GB2312"/>
          <w:kern w:val="1"/>
          <w:sz w:val="32"/>
          <w:szCs w:val="32"/>
          <w:lang w:val="en-US" w:eastAsia="zh-CN"/>
        </w:rPr>
        <w:t>安置帮教、社区矫正、法律援助、法律服务、司法鉴定等工作</w:t>
      </w:r>
      <w:r>
        <w:rPr>
          <w:rFonts w:cs="仿宋_GB2312"/>
          <w:color w:val="333333"/>
          <w:kern w:val="1"/>
          <w:sz w:val="32"/>
          <w:szCs w:val="32"/>
          <w:lang w:val="en-US" w:eastAsia="zh-CN"/>
        </w:rPr>
        <w:t>。</w:t>
      </w:r>
    </w:p>
    <w:p>
      <w:pPr>
        <w:pStyle w:val="5"/>
        <w:adjustRightInd w:val="0"/>
        <w:snapToGrid w:val="0"/>
        <w:spacing w:beforeLines="0" w:line="578"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keepNext w:val="0"/>
        <w:keepLines w:val="0"/>
        <w:pageBreakBefore w:val="0"/>
        <w:widowControl w:val="0"/>
        <w:kinsoku/>
        <w:wordWrap/>
        <w:overflowPunct/>
        <w:topLinePunct w:val="0"/>
        <w:autoSpaceDE/>
        <w:autoSpaceDN/>
        <w:bidi w:val="0"/>
        <w:adjustRightInd/>
        <w:ind w:firstLine="640" w:firstLineChars="200"/>
        <w:textAlignment w:val="auto"/>
        <w:rPr>
          <w:rFonts w:eastAsia="仿宋_GB2312"/>
          <w:color w:val="000000"/>
          <w:sz w:val="32"/>
          <w:szCs w:val="32"/>
        </w:rPr>
      </w:pPr>
      <w:r>
        <w:rPr>
          <w:rFonts w:hint="eastAsia" w:eastAsia="仿宋_GB2312"/>
          <w:color w:val="000000"/>
          <w:sz w:val="32"/>
          <w:szCs w:val="32"/>
          <w:lang w:val="en-US" w:eastAsia="zh-CN"/>
        </w:rPr>
        <w:t>2018年度，</w:t>
      </w:r>
      <w:r>
        <w:rPr>
          <w:rFonts w:eastAsia="仿宋_GB2312"/>
          <w:color w:val="000000"/>
          <w:sz w:val="32"/>
          <w:szCs w:val="32"/>
        </w:rPr>
        <w:t>在县委、县政府的领导下，在县人大、县政协的监督下，在省司法厅、市司法局的指导下，我局围绕县委、县政府中心工作，以推进公共法律服务体系建设为抓手，以全面深化司法行政改革为动力，以建设过硬司法行政班子队伍为根本，</w:t>
      </w:r>
      <w:r>
        <w:rPr>
          <w:rFonts w:hint="eastAsia" w:ascii="仿宋_GB2312" w:hAnsi="仿宋_GB2312" w:eastAsia="仿宋_GB2312" w:cs="仿宋_GB2312"/>
          <w:color w:val="000000"/>
          <w:sz w:val="32"/>
          <w:szCs w:val="32"/>
        </w:rPr>
        <w:t>认真履行法治宣传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人民调解</w:t>
      </w:r>
      <w:r>
        <w:rPr>
          <w:rFonts w:hint="eastAsia" w:ascii="仿宋_GB2312" w:hAnsi="仿宋_GB2312" w:eastAsia="仿宋_GB2312" w:cs="仿宋_GB2312"/>
          <w:color w:val="000000"/>
          <w:sz w:val="32"/>
          <w:szCs w:val="32"/>
          <w:lang w:eastAsia="zh-CN"/>
        </w:rPr>
        <w:t>、法律援助、社区矫正等职能</w:t>
      </w:r>
      <w:r>
        <w:rPr>
          <w:rFonts w:hint="eastAsia" w:ascii="仿宋_GB2312" w:hAnsi="仿宋_GB2312" w:eastAsia="仿宋_GB2312" w:cs="仿宋_GB2312"/>
          <w:color w:val="000000"/>
          <w:sz w:val="32"/>
          <w:szCs w:val="32"/>
          <w:lang w:val="en-US" w:eastAsia="zh-CN"/>
        </w:rPr>
        <w:t>,扎实</w:t>
      </w:r>
      <w:r>
        <w:rPr>
          <w:rFonts w:hint="eastAsia" w:ascii="仿宋_GB2312" w:hAnsi="仿宋_GB2312" w:eastAsia="仿宋_GB2312" w:cs="仿宋_GB2312"/>
          <w:b w:val="0"/>
          <w:bCs w:val="0"/>
          <w:sz w:val="32"/>
          <w:szCs w:val="32"/>
          <w:lang w:val="en-US" w:eastAsia="zh-CN"/>
        </w:rPr>
        <w:t>推进基层基础工作，</w:t>
      </w:r>
      <w:r>
        <w:rPr>
          <w:rFonts w:hint="eastAsia" w:ascii="仿宋_GB2312" w:hAnsi="仿宋_GB2312" w:eastAsia="仿宋_GB2312" w:cs="仿宋_GB2312"/>
          <w:b w:val="0"/>
          <w:bCs w:val="0"/>
          <w:kern w:val="1"/>
          <w:sz w:val="32"/>
          <w:szCs w:val="32"/>
          <w:lang w:val="en-US" w:eastAsia="zh-CN"/>
        </w:rPr>
        <w:t>创新开展脱贫攻坚工作，</w:t>
      </w:r>
      <w:r>
        <w:rPr>
          <w:rFonts w:hint="eastAsia" w:ascii="仿宋_GB2312" w:hAnsi="仿宋_GB2312" w:eastAsia="仿宋_GB2312" w:cs="仿宋_GB2312"/>
          <w:color w:val="000000"/>
          <w:sz w:val="32"/>
          <w:szCs w:val="32"/>
        </w:rPr>
        <w:t>不断加强重点人群管理，</w:t>
      </w:r>
      <w:r>
        <w:rPr>
          <w:rFonts w:eastAsia="仿宋_GB2312"/>
          <w:color w:val="000000"/>
          <w:sz w:val="32"/>
          <w:szCs w:val="32"/>
        </w:rPr>
        <w:t>固强补弱、创新争先，做优、做强、做实司法行政各项工作</w:t>
      </w:r>
      <w:r>
        <w:rPr>
          <w:rFonts w:hint="eastAsia" w:eastAsia="仿宋_GB2312"/>
          <w:color w:val="000000"/>
          <w:sz w:val="32"/>
          <w:szCs w:val="32"/>
          <w:lang w:eastAsia="zh-CN"/>
        </w:rPr>
        <w:t>和</w:t>
      </w:r>
      <w:r>
        <w:rPr>
          <w:rFonts w:hint="eastAsia" w:ascii="仿宋_GB2312" w:hAnsi="仿宋_GB2312" w:eastAsia="仿宋_GB2312" w:cs="仿宋_GB2312"/>
          <w:b w:val="0"/>
          <w:bCs w:val="0"/>
          <w:kern w:val="1"/>
          <w:sz w:val="32"/>
          <w:szCs w:val="32"/>
          <w:lang w:val="en-US" w:eastAsia="zh-CN"/>
        </w:rPr>
        <w:t>年度目标任务,</w:t>
      </w:r>
      <w:r>
        <w:rPr>
          <w:rFonts w:eastAsia="仿宋_GB2312"/>
          <w:color w:val="000000"/>
          <w:sz w:val="32"/>
          <w:szCs w:val="32"/>
        </w:rPr>
        <w:t>为建设繁荣时尚美丽和谐大竹提供优质高效的法律服务，切实提升了人民群众的获得感、幸福感、安全感。</w:t>
      </w:r>
    </w:p>
    <w:p>
      <w:pPr>
        <w:pStyle w:val="5"/>
        <w:adjustRightInd w:val="0"/>
        <w:snapToGrid w:val="0"/>
        <w:spacing w:beforeLines="0" w:line="578" w:lineRule="exact"/>
        <w:ind w:firstLine="672" w:firstLineChars="210"/>
        <w:outlineLvl w:val="2"/>
        <w:rPr>
          <w:rFonts w:hint="eastAsia" w:cs="仿宋_GB2312"/>
          <w:b w:val="0"/>
          <w:bCs w:val="0"/>
          <w:kern w:val="1"/>
          <w:sz w:val="32"/>
          <w:szCs w:val="32"/>
          <w:lang w:val="en-US" w:eastAsia="zh-CN"/>
        </w:rPr>
      </w:pPr>
    </w:p>
    <w:p>
      <w:pPr>
        <w:pStyle w:val="5"/>
        <w:adjustRightInd w:val="0"/>
        <w:snapToGrid w:val="0"/>
        <w:spacing w:beforeLines="0" w:line="578" w:lineRule="exact"/>
        <w:ind w:firstLine="672" w:firstLineChars="210"/>
        <w:outlineLvl w:val="2"/>
        <w:rPr>
          <w:rFonts w:hint="eastAsia" w:cs="仿宋_GB2312"/>
          <w:b w:val="0"/>
          <w:bCs w:val="0"/>
          <w:kern w:val="1"/>
          <w:sz w:val="32"/>
          <w:szCs w:val="32"/>
          <w:lang w:val="en-US" w:eastAsia="zh-CN"/>
        </w:rPr>
      </w:pPr>
    </w:p>
    <w:p>
      <w:pPr>
        <w:pStyle w:val="3"/>
        <w:spacing w:before="0" w:after="0" w:line="578" w:lineRule="exact"/>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spacing w:line="578" w:lineRule="exact"/>
        <w:ind w:firstLine="800" w:firstLineChars="250"/>
        <w:rPr>
          <w:rFonts w:ascii="仿宋" w:hAnsi="仿宋" w:eastAsia="仿宋"/>
          <w:sz w:val="32"/>
          <w:szCs w:val="32"/>
        </w:rPr>
      </w:pPr>
      <w:bookmarkStart w:id="22" w:name="_Toc15396602"/>
      <w:bookmarkStart w:id="23" w:name="_Toc15377204"/>
      <w:r>
        <w:rPr>
          <w:rFonts w:hint="eastAsia" w:ascii="仿宋" w:hAnsi="仿宋" w:eastAsia="仿宋"/>
          <w:sz w:val="32"/>
          <w:szCs w:val="32"/>
          <w:lang w:eastAsia="zh-CN"/>
        </w:rPr>
        <w:t>大竹县司法局</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2</w:t>
      </w:r>
      <w:r>
        <w:rPr>
          <w:rFonts w:hint="eastAsia" w:ascii="仿宋" w:hAnsi="仿宋" w:eastAsia="仿宋"/>
          <w:sz w:val="32"/>
          <w:szCs w:val="32"/>
        </w:rPr>
        <w:t>个。</w:t>
      </w:r>
    </w:p>
    <w:p>
      <w:pPr>
        <w:pStyle w:val="5"/>
        <w:adjustRightInd w:val="0"/>
        <w:snapToGrid w:val="0"/>
        <w:spacing w:beforeLines="0" w:line="578"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大竹县司法局</w:t>
      </w:r>
      <w:r>
        <w:rPr>
          <w:rFonts w:hint="eastAsia" w:ascii="仿宋" w:hAnsi="仿宋" w:eastAsia="仿宋"/>
          <w:color w:val="000000"/>
          <w:sz w:val="32"/>
          <w:szCs w:val="32"/>
        </w:rPr>
        <w:t>2018年度部门决算编制范围的二级预算单位包括：</w:t>
      </w:r>
    </w:p>
    <w:p>
      <w:pPr>
        <w:pStyle w:val="5"/>
        <w:numPr>
          <w:ilvl w:val="0"/>
          <w:numId w:val="1"/>
        </w:numPr>
        <w:adjustRightInd w:val="0"/>
        <w:snapToGrid w:val="0"/>
        <w:spacing w:beforeLines="0" w:line="578" w:lineRule="exact"/>
        <w:outlineLvl w:val="2"/>
        <w:rPr>
          <w:rFonts w:ascii="仿宋" w:hAnsi="仿宋" w:eastAsia="仿宋"/>
          <w:color w:val="000000"/>
          <w:sz w:val="32"/>
          <w:szCs w:val="32"/>
        </w:rPr>
      </w:pPr>
      <w:bookmarkStart w:id="24" w:name="_Toc15377433"/>
      <w:bookmarkStart w:id="25" w:name="_Toc15306276"/>
      <w:bookmarkStart w:id="26" w:name="_Toc15378449"/>
      <w:bookmarkStart w:id="27" w:name="_Toc15377202"/>
      <w:r>
        <w:rPr>
          <w:rFonts w:hint="eastAsia" w:ascii="仿宋" w:hAnsi="仿宋" w:eastAsia="仿宋"/>
          <w:color w:val="000000"/>
          <w:sz w:val="32"/>
          <w:szCs w:val="32"/>
          <w:lang w:val="en-US" w:eastAsia="zh-CN"/>
        </w:rPr>
        <w:t>0个</w:t>
      </w:r>
      <w:r>
        <w:rPr>
          <w:rFonts w:ascii="仿宋" w:hAnsi="仿宋" w:eastAsia="仿宋"/>
          <w:color w:val="000000"/>
          <w:sz w:val="32"/>
          <w:szCs w:val="32"/>
        </w:rPr>
        <w:t>***</w:t>
      </w:r>
      <w:bookmarkEnd w:id="24"/>
      <w:bookmarkEnd w:id="25"/>
      <w:bookmarkEnd w:id="26"/>
      <w:bookmarkEnd w:id="27"/>
    </w:p>
    <w:p>
      <w:pPr>
        <w:pStyle w:val="5"/>
        <w:numPr>
          <w:ilvl w:val="0"/>
          <w:numId w:val="1"/>
        </w:numPr>
        <w:adjustRightInd w:val="0"/>
        <w:snapToGrid w:val="0"/>
        <w:spacing w:beforeLines="0" w:line="578" w:lineRule="exact"/>
        <w:outlineLvl w:val="2"/>
        <w:rPr>
          <w:rFonts w:ascii="仿宋" w:hAnsi="仿宋" w:eastAsia="仿宋"/>
          <w:color w:val="000000"/>
          <w:sz w:val="32"/>
          <w:szCs w:val="32"/>
        </w:rPr>
      </w:pPr>
      <w:bookmarkStart w:id="28" w:name="_Toc15377434"/>
      <w:bookmarkStart w:id="29" w:name="_Toc15306277"/>
      <w:bookmarkStart w:id="30" w:name="_Toc15377203"/>
      <w:bookmarkStart w:id="31" w:name="_Toc15378450"/>
      <w:r>
        <w:rPr>
          <w:rFonts w:ascii="仿宋" w:hAnsi="仿宋" w:eastAsia="仿宋"/>
          <w:color w:val="000000"/>
          <w:sz w:val="32"/>
          <w:szCs w:val="32"/>
        </w:rPr>
        <w:t>***</w:t>
      </w:r>
      <w:bookmarkEnd w:id="28"/>
      <w:bookmarkEnd w:id="29"/>
      <w:bookmarkEnd w:id="30"/>
      <w:bookmarkEnd w:id="31"/>
    </w:p>
    <w:p>
      <w:pPr>
        <w:pStyle w:val="5"/>
        <w:adjustRightInd w:val="0"/>
        <w:snapToGrid w:val="0"/>
        <w:spacing w:beforeLines="0" w:line="578" w:lineRule="exact"/>
        <w:ind w:firstLine="1120" w:firstLineChars="350"/>
        <w:rPr>
          <w:rFonts w:ascii="仿宋" w:hAnsi="仿宋" w:eastAsia="仿宋"/>
          <w:color w:val="000000"/>
          <w:sz w:val="32"/>
          <w:szCs w:val="32"/>
        </w:rPr>
      </w:pPr>
      <w:r>
        <w:rPr>
          <w:rFonts w:hint="eastAsia" w:ascii="仿宋" w:hAnsi="仿宋" w:eastAsia="仿宋"/>
          <w:color w:val="000000"/>
          <w:sz w:val="32"/>
          <w:szCs w:val="32"/>
        </w:rPr>
        <w:t>……</w:t>
      </w:r>
    </w:p>
    <w:p>
      <w:pPr>
        <w:pStyle w:val="2"/>
        <w:ind w:right="440"/>
        <w:jc w:val="right"/>
        <w:rPr>
          <w:rStyle w:val="24"/>
          <w:rFonts w:ascii="黑体" w:hAnsi="黑体" w:eastAsia="黑体"/>
          <w:b w:val="0"/>
          <w:bCs w:val="0"/>
        </w:rPr>
      </w:pPr>
      <w:r>
        <w:rPr>
          <w:rFonts w:hint="eastAsia" w:ascii="黑体" w:hAnsi="黑体" w:eastAsia="黑体"/>
          <w:b w:val="0"/>
          <w:color w:val="000000"/>
        </w:rPr>
        <w:t>第二部分</w:t>
      </w:r>
      <w:r>
        <w:rPr>
          <w:rStyle w:val="24"/>
          <w:rFonts w:hint="eastAsia" w:ascii="黑体" w:hAnsi="黑体" w:eastAsia="黑体"/>
          <w:b w:val="0"/>
          <w:bCs w:val="0"/>
        </w:rPr>
        <w:t>2018年度部门决算情况说明</w:t>
      </w:r>
      <w:bookmarkEnd w:id="22"/>
      <w:bookmarkEnd w:id="23"/>
    </w:p>
    <w:p/>
    <w:p>
      <w:pPr>
        <w:pStyle w:val="23"/>
        <w:numPr>
          <w:ilvl w:val="0"/>
          <w:numId w:val="2"/>
        </w:numPr>
        <w:spacing w:line="578" w:lineRule="exact"/>
        <w:ind w:firstLineChars="0"/>
        <w:outlineLvl w:val="1"/>
        <w:rPr>
          <w:rStyle w:val="25"/>
          <w:rFonts w:ascii="黑体" w:hAnsi="黑体" w:eastAsia="黑体"/>
          <w:b w:val="0"/>
        </w:rPr>
      </w:pPr>
      <w:bookmarkStart w:id="32" w:name="_Toc15396603"/>
      <w:bookmarkStart w:id="33"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2"/>
      <w:bookmarkEnd w:id="33"/>
    </w:p>
    <w:p>
      <w:pPr>
        <w:spacing w:line="578"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2018年度收、支总计</w:t>
      </w:r>
      <w:r>
        <w:rPr>
          <w:rFonts w:hint="eastAsia" w:ascii="仿宋_GB2312" w:hAnsi="仿宋_GB2312" w:eastAsia="仿宋_GB2312" w:cs="仿宋_GB2312"/>
          <w:sz w:val="32"/>
          <w:szCs w:val="32"/>
          <w:lang w:val="en-US" w:eastAsia="zh-CN"/>
        </w:rPr>
        <w:t>1761.19</w:t>
      </w:r>
      <w:r>
        <w:rPr>
          <w:rFonts w:hint="eastAsia" w:ascii="仿宋_GB2312" w:hAnsi="仿宋_GB2312" w:eastAsia="仿宋_GB2312" w:cs="仿宋_GB2312"/>
          <w:sz w:val="32"/>
          <w:szCs w:val="32"/>
        </w:rPr>
        <w:t>万元。与2017年相比，收、支总计各增加</w:t>
      </w:r>
      <w:r>
        <w:rPr>
          <w:rFonts w:hint="eastAsia" w:ascii="仿宋_GB2312" w:hAnsi="仿宋_GB2312" w:eastAsia="仿宋_GB2312" w:cs="仿宋_GB2312"/>
          <w:sz w:val="32"/>
          <w:szCs w:val="32"/>
          <w:lang w:val="en-US" w:eastAsia="zh-CN"/>
        </w:rPr>
        <w:t>477.89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479.33万元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37.23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37.39</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eastAsia="zh-CN"/>
        </w:rPr>
        <w:t>人员工资增加和专项业务费增加。</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（图1：收、支决算总计变动情况图）</w:t>
      </w:r>
    </w:p>
    <w:p>
      <w:pPr>
        <w:rPr>
          <w:rFonts w:hint="eastAsia"/>
        </w:rPr>
      </w:pPr>
    </w:p>
    <w:p>
      <w:pPr>
        <w:rPr>
          <w:rFonts w:hint="eastAsia"/>
        </w:rPr>
      </w:pPr>
      <w:r>
        <w:rPr>
          <w:rFonts w:hint="eastAsia" w:eastAsiaTheme="minorEastAsia"/>
          <w:lang w:eastAsia="zh-CN"/>
        </w:rPr>
        <w:drawing>
          <wp:inline distT="0" distB="0" distL="114300" distR="114300">
            <wp:extent cx="4688840" cy="3192145"/>
            <wp:effectExtent l="4445" t="4445" r="12065"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578" w:lineRule="exact"/>
        <w:ind w:firstLine="640" w:firstLineChars="200"/>
        <w:rPr>
          <w:rFonts w:hint="eastAsia" w:ascii="仿宋_GB2312" w:hAnsi="仿宋_GB2312" w:eastAsia="仿宋_GB2312" w:cs="仿宋_GB2312"/>
          <w:sz w:val="32"/>
          <w:szCs w:val="32"/>
        </w:rPr>
      </w:pPr>
    </w:p>
    <w:p>
      <w:pPr>
        <w:pStyle w:val="23"/>
        <w:numPr>
          <w:ilvl w:val="0"/>
          <w:numId w:val="2"/>
        </w:numPr>
        <w:spacing w:line="578" w:lineRule="exact"/>
        <w:ind w:firstLineChars="0"/>
        <w:outlineLvl w:val="1"/>
        <w:rPr>
          <w:rStyle w:val="25"/>
          <w:rFonts w:ascii="黑体" w:hAnsi="黑体" w:eastAsia="黑体"/>
          <w:b w:val="0"/>
        </w:rPr>
      </w:pPr>
      <w:bookmarkStart w:id="34" w:name="_Toc15396604"/>
      <w:bookmarkStart w:id="35"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34"/>
      <w:bookmarkEnd w:id="35"/>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2018年本年收入合计</w:t>
      </w:r>
      <w:r>
        <w:rPr>
          <w:rFonts w:hint="eastAsia" w:ascii="仿宋_GB2312" w:hAnsi="仿宋_GB2312" w:eastAsia="仿宋_GB2312" w:cs="仿宋_GB2312"/>
          <w:sz w:val="32"/>
          <w:szCs w:val="32"/>
          <w:lang w:val="en-US" w:eastAsia="zh-CN"/>
        </w:rPr>
        <w:t>1761.19</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1761.19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%；政府性基金预算财政拨款收入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%；国有资本经营预算财政拨款收入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（图2：收入决算结构图）</w:t>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rPr>
          <w:rFonts w:hint="eastAsia"/>
        </w:rPr>
      </w:pPr>
    </w:p>
    <w:p>
      <w:pPr>
        <w:rPr>
          <w:rFonts w:hint="eastAsia"/>
        </w:rPr>
      </w:pPr>
      <w:r>
        <w:drawing>
          <wp:inline distT="0" distB="0" distL="114300" distR="114300">
            <wp:extent cx="4572000" cy="2458085"/>
            <wp:effectExtent l="4445" t="4445" r="14605" b="1397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rFonts w:hint="eastAsia"/>
        </w:rPr>
      </w:pPr>
    </w:p>
    <w:p/>
    <w:p/>
    <w:p/>
    <w:p>
      <w:pPr>
        <w:spacing w:line="578" w:lineRule="exact"/>
        <w:ind w:firstLine="640" w:firstLineChars="200"/>
        <w:rPr>
          <w:rFonts w:ascii="仿宋_GB2312" w:eastAsia="仿宋_GB2312"/>
          <w:color w:val="FF0000"/>
          <w:sz w:val="32"/>
          <w:szCs w:val="32"/>
        </w:rPr>
      </w:pPr>
    </w:p>
    <w:p>
      <w:pPr>
        <w:pStyle w:val="23"/>
        <w:numPr>
          <w:ilvl w:val="0"/>
          <w:numId w:val="2"/>
        </w:numPr>
        <w:spacing w:line="578" w:lineRule="exact"/>
        <w:ind w:firstLineChars="0"/>
        <w:outlineLvl w:val="1"/>
        <w:rPr>
          <w:rStyle w:val="25"/>
          <w:rFonts w:ascii="黑体" w:hAnsi="黑体" w:eastAsia="黑体"/>
          <w:b w:val="0"/>
        </w:rPr>
      </w:pPr>
      <w:bookmarkStart w:id="36" w:name="_Toc15396605"/>
      <w:bookmarkStart w:id="37"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36"/>
      <w:bookmarkEnd w:id="37"/>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2018年本年支出合计</w:t>
      </w:r>
      <w:r>
        <w:rPr>
          <w:rFonts w:hint="eastAsia" w:ascii="仿宋_GB2312" w:hAnsi="仿宋_GB2312" w:eastAsia="仿宋_GB2312" w:cs="仿宋_GB2312"/>
          <w:sz w:val="32"/>
          <w:szCs w:val="32"/>
          <w:lang w:val="en-US" w:eastAsia="zh-CN"/>
        </w:rPr>
        <w:t>1761.19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1239.07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70.35</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522.12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29.65</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（图3：支出决算结构图）</w:t>
      </w:r>
    </w:p>
    <w:p>
      <w:pPr>
        <w:rPr>
          <w:rFonts w:hint="eastAsia"/>
        </w:rPr>
      </w:pPr>
    </w:p>
    <w:p>
      <w:pPr>
        <w:rPr>
          <w:rFonts w:hint="eastAsia"/>
        </w:rPr>
      </w:pPr>
    </w:p>
    <w:p>
      <w:pPr>
        <w:rPr>
          <w:rFonts w:hint="eastAsia"/>
        </w:rPr>
      </w:pPr>
    </w:p>
    <w:p>
      <w:pPr>
        <w:rPr>
          <w:rFonts w:hint="eastAsia"/>
        </w:rPr>
      </w:pPr>
    </w:p>
    <w:p>
      <w:pPr>
        <w:rPr>
          <w:rFonts w:hint="eastAsia"/>
        </w:rPr>
      </w:pPr>
      <w:r>
        <w:rPr>
          <w:rFonts w:hint="eastAsia" w:eastAsiaTheme="minorEastAsia"/>
          <w:lang w:eastAsia="zh-CN"/>
        </w:rPr>
        <w:drawing>
          <wp:inline distT="0" distB="0" distL="114300" distR="114300">
            <wp:extent cx="4556760" cy="3124200"/>
            <wp:effectExtent l="4445" t="4445" r="1079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
      <w:pPr>
        <w:spacing w:line="578" w:lineRule="exact"/>
        <w:rPr>
          <w:rFonts w:ascii="仿宋_GB2312" w:eastAsia="仿宋_GB2312"/>
          <w:color w:val="FF0000"/>
          <w:sz w:val="32"/>
          <w:szCs w:val="32"/>
        </w:rPr>
      </w:pPr>
    </w:p>
    <w:p>
      <w:pPr>
        <w:spacing w:line="578" w:lineRule="exact"/>
        <w:ind w:firstLine="640" w:firstLineChars="200"/>
        <w:outlineLvl w:val="1"/>
        <w:rPr>
          <w:rStyle w:val="25"/>
          <w:rFonts w:ascii="黑体" w:hAnsi="黑体" w:eastAsia="黑体"/>
          <w:b w:val="0"/>
        </w:rPr>
      </w:pPr>
      <w:bookmarkStart w:id="38" w:name="_Toc15377208"/>
      <w:bookmarkStart w:id="39"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8"/>
      <w:bookmarkEnd w:id="39"/>
    </w:p>
    <w:p>
      <w:pPr>
        <w:spacing w:line="578"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2018年财政拨款收、支总计</w:t>
      </w:r>
      <w:r>
        <w:rPr>
          <w:rFonts w:hint="eastAsia" w:ascii="仿宋_GB2312" w:hAnsi="仿宋_GB2312" w:eastAsia="仿宋_GB2312" w:cs="仿宋_GB2312"/>
          <w:sz w:val="32"/>
          <w:szCs w:val="32"/>
          <w:lang w:val="en-US" w:eastAsia="zh-CN"/>
        </w:rPr>
        <w:t>1761.19</w:t>
      </w:r>
      <w:r>
        <w:rPr>
          <w:rFonts w:hint="eastAsia" w:ascii="仿宋_GB2312" w:hAnsi="仿宋_GB2312" w:eastAsia="仿宋_GB2312" w:cs="仿宋_GB2312"/>
          <w:sz w:val="32"/>
          <w:szCs w:val="32"/>
        </w:rPr>
        <w:t>万元。与2017年相比，财政拨款收、支总计各增加</w:t>
      </w:r>
      <w:r>
        <w:rPr>
          <w:rFonts w:hint="eastAsia" w:ascii="仿宋_GB2312" w:hAnsi="仿宋_GB2312" w:eastAsia="仿宋_GB2312" w:cs="仿宋_GB2312"/>
          <w:sz w:val="32"/>
          <w:szCs w:val="32"/>
          <w:lang w:val="en-US" w:eastAsia="zh-CN"/>
        </w:rPr>
        <w:t>477.89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479.33万元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37.23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37.39</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eastAsia="zh-CN"/>
        </w:rPr>
        <w:t>人员工资增加和专项业务费增加。</w:t>
      </w:r>
    </w:p>
    <w:p>
      <w:pPr>
        <w:spacing w:line="578" w:lineRule="exact"/>
        <w:ind w:firstLine="640" w:firstLineChars="200"/>
        <w:rPr>
          <w:rFonts w:hint="eastAsia" w:ascii="仿宋_GB2312" w:hAnsi="仿宋_GB2312" w:eastAsia="仿宋_GB2312" w:cs="仿宋_GB2312"/>
          <w:color w:val="auto"/>
          <w:sz w:val="32"/>
          <w:szCs w:val="32"/>
        </w:rPr>
      </w:pPr>
    </w:p>
    <w:p>
      <w:pPr>
        <w:rPr>
          <w:rFonts w:hint="eastAsia"/>
          <w:color w:val="auto"/>
        </w:rPr>
      </w:pPr>
    </w:p>
    <w:p>
      <w:pPr>
        <w:rPr>
          <w:rFonts w:hint="eastAsia"/>
          <w:color w:val="auto"/>
        </w:rPr>
      </w:pPr>
    </w:p>
    <w:p>
      <w:pPr>
        <w:rPr>
          <w:rFonts w:hint="eastAsia"/>
          <w:color w:val="auto"/>
        </w:rPr>
      </w:pPr>
    </w:p>
    <w:p>
      <w:pPr>
        <w:rPr>
          <w:rFonts w:hint="eastAsia"/>
        </w:rPr>
      </w:pPr>
    </w:p>
    <w:p>
      <w:pPr>
        <w:rPr>
          <w:rFonts w:hint="eastAsia"/>
        </w:rPr>
      </w:pPr>
      <w:r>
        <w:rPr>
          <w:rFonts w:hint="eastAsia" w:eastAsiaTheme="minorEastAsia"/>
          <w:lang w:eastAsia="zh-CN"/>
        </w:rPr>
        <w:drawing>
          <wp:inline distT="0" distB="0" distL="114300" distR="114300">
            <wp:extent cx="4688840" cy="3192145"/>
            <wp:effectExtent l="4445" t="4445" r="12065" b="2286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rPr>
          <w:rFonts w:hint="eastAsia"/>
        </w:rPr>
      </w:pPr>
    </w:p>
    <w:p>
      <w:pPr>
        <w:rPr>
          <w:rFonts w:hint="eastAsia"/>
        </w:rPr>
      </w:pPr>
    </w:p>
    <w:p>
      <w:pPr>
        <w:rPr>
          <w:rFonts w:hint="eastAsia"/>
        </w:rPr>
      </w:pPr>
    </w:p>
    <w:p>
      <w:pPr>
        <w:rPr>
          <w:rFonts w:hint="eastAsia"/>
        </w:rPr>
      </w:pPr>
    </w:p>
    <w:p>
      <w:pPr>
        <w:rPr>
          <w:rFonts w:hint="eastAsia"/>
        </w:rPr>
      </w:pP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（图4：财政拨款收、支决算总计变动情况）</w:t>
      </w: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outlineLvl w:val="1"/>
        <w:rPr>
          <w:rStyle w:val="25"/>
          <w:rFonts w:ascii="黑体" w:hAnsi="黑体" w:eastAsia="黑体"/>
          <w:b w:val="0"/>
        </w:rPr>
      </w:pPr>
      <w:bookmarkStart w:id="40" w:name="_Toc15396607"/>
      <w:bookmarkStart w:id="4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40"/>
      <w:bookmarkEnd w:id="41"/>
    </w:p>
    <w:p>
      <w:pPr>
        <w:spacing w:line="578" w:lineRule="exact"/>
        <w:ind w:firstLine="643" w:firstLineChars="200"/>
        <w:outlineLvl w:val="2"/>
        <w:rPr>
          <w:rFonts w:ascii="仿宋" w:hAnsi="仿宋" w:eastAsia="仿宋"/>
          <w:b/>
          <w:color w:val="000000"/>
          <w:sz w:val="32"/>
          <w:szCs w:val="32"/>
        </w:rPr>
      </w:pPr>
      <w:bookmarkStart w:id="42" w:name="_Toc15377210"/>
      <w:r>
        <w:rPr>
          <w:rFonts w:hint="eastAsia" w:ascii="仿宋" w:hAnsi="仿宋" w:eastAsia="仿宋"/>
          <w:b/>
          <w:color w:val="000000"/>
          <w:sz w:val="32"/>
          <w:szCs w:val="32"/>
        </w:rPr>
        <w:t>（一）一般公共预算财政拨款支出决算总体情况</w:t>
      </w:r>
      <w:bookmarkEnd w:id="42"/>
    </w:p>
    <w:p>
      <w:pPr>
        <w:spacing w:line="57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2018年一般公共预算财政拨款支出</w:t>
      </w:r>
      <w:r>
        <w:rPr>
          <w:rFonts w:hint="eastAsia" w:ascii="仿宋_GB2312" w:hAnsi="仿宋_GB2312" w:eastAsia="仿宋_GB2312" w:cs="仿宋_GB2312"/>
          <w:sz w:val="32"/>
          <w:szCs w:val="32"/>
          <w:lang w:val="en-US" w:eastAsia="zh-CN"/>
        </w:rPr>
        <w:t>1761.19</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%。与2017年相比，一般公共预算财政拨款增加</w:t>
      </w:r>
      <w:r>
        <w:rPr>
          <w:rFonts w:hint="eastAsia" w:ascii="仿宋_GB2312" w:hAnsi="仿宋_GB2312" w:eastAsia="仿宋_GB2312" w:cs="仿宋_GB2312"/>
          <w:sz w:val="32"/>
          <w:szCs w:val="32"/>
          <w:lang w:val="en-US" w:eastAsia="zh-CN"/>
        </w:rPr>
        <w:t>479.33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37.39</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主要变动原因是</w:t>
      </w:r>
      <w:r>
        <w:rPr>
          <w:rFonts w:hint="eastAsia" w:ascii="仿宋_GB2312" w:hAnsi="仿宋_GB2312" w:eastAsia="仿宋_GB2312" w:cs="仿宋_GB2312"/>
          <w:color w:val="auto"/>
          <w:sz w:val="32"/>
          <w:szCs w:val="32"/>
          <w:lang w:eastAsia="zh-CN"/>
        </w:rPr>
        <w:t>人员工资增加和专项业务费增加。</w:t>
      </w:r>
      <w:r>
        <w:rPr>
          <w:rFonts w:hint="eastAsia" w:ascii="仿宋_GB2312" w:hAnsi="仿宋_GB2312" w:eastAsia="仿宋_GB2312" w:cs="仿宋_GB2312"/>
          <w:color w:val="auto"/>
          <w:sz w:val="32"/>
          <w:szCs w:val="32"/>
        </w:rPr>
        <w:t>（图5：一般公共预算财政拨款支出决算变动情况）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eastAsiaTheme="minorEastAsia"/>
          <w:lang w:eastAsia="zh-CN"/>
        </w:rPr>
        <w:drawing>
          <wp:inline distT="0" distB="0" distL="114300" distR="114300">
            <wp:extent cx="4569460" cy="2519680"/>
            <wp:effectExtent l="4445" t="4445" r="17145"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rPr>
          <w:rFonts w:hint="eastAsia"/>
        </w:rPr>
      </w:pPr>
    </w:p>
    <w:p>
      <w:pPr>
        <w:rPr>
          <w:rFonts w:hint="eastAsia"/>
        </w:rPr>
      </w:pPr>
    </w:p>
    <w:p/>
    <w:p/>
    <w:p/>
    <w:p>
      <w:pPr>
        <w:spacing w:line="578" w:lineRule="exact"/>
        <w:ind w:firstLine="643" w:firstLineChars="200"/>
        <w:outlineLvl w:val="2"/>
        <w:rPr>
          <w:rFonts w:ascii="仿宋" w:hAnsi="仿宋" w:eastAsia="仿宋"/>
          <w:b/>
          <w:color w:val="000000"/>
          <w:sz w:val="32"/>
          <w:szCs w:val="32"/>
        </w:rPr>
      </w:pPr>
      <w:bookmarkStart w:id="43" w:name="_Toc15377211"/>
      <w:r>
        <w:rPr>
          <w:rFonts w:hint="eastAsia" w:ascii="仿宋" w:hAnsi="仿宋" w:eastAsia="仿宋"/>
          <w:b/>
          <w:color w:val="000000"/>
          <w:sz w:val="32"/>
          <w:szCs w:val="32"/>
        </w:rPr>
        <w:t>（二）一般公共预算财政拨款支出决算结构情况</w:t>
      </w:r>
      <w:bookmarkEnd w:id="43"/>
    </w:p>
    <w:p>
      <w:pPr>
        <w:spacing w:line="578" w:lineRule="exact"/>
        <w:ind w:firstLine="640" w:firstLineChars="20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2018年一般公共预算财政拨款支出</w:t>
      </w:r>
      <w:r>
        <w:rPr>
          <w:rFonts w:hint="eastAsia" w:ascii="仿宋_GB2312" w:hAnsi="仿宋_GB2312" w:eastAsia="仿宋_GB2312" w:cs="仿宋_GB2312"/>
          <w:sz w:val="32"/>
          <w:szCs w:val="32"/>
          <w:lang w:val="en-US" w:eastAsia="zh-CN"/>
        </w:rPr>
        <w:t>1761.19</w:t>
      </w:r>
      <w:r>
        <w:rPr>
          <w:rFonts w:hint="eastAsia" w:ascii="仿宋_GB2312" w:hAnsi="仿宋_GB2312" w:eastAsia="仿宋_GB2312" w:cs="仿宋_GB2312"/>
          <w:sz w:val="32"/>
          <w:szCs w:val="32"/>
        </w:rPr>
        <w:t>万元，主要用于以下方面:一般公共服务（</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214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12.15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公共安全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1370.55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77.82</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110.41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6.27</w:t>
      </w:r>
      <w:r>
        <w:rPr>
          <w:rFonts w:hint="eastAsia" w:ascii="仿宋_GB2312" w:hAnsi="仿宋_GB2312" w:eastAsia="仿宋_GB2312" w:cs="仿宋_GB2312"/>
          <w:sz w:val="32"/>
          <w:szCs w:val="32"/>
        </w:rPr>
        <w:t>%；住房保障</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66.23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3.76</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（图6：一般公共预算财政拨款支出决算结构）</w:t>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eastAsiaTheme="minorEastAsia"/>
          <w:lang w:eastAsia="zh-CN"/>
        </w:rPr>
        <w:drawing>
          <wp:inline distT="0" distB="0" distL="114300" distR="114300">
            <wp:extent cx="4652645" cy="3142615"/>
            <wp:effectExtent l="5080" t="4445" r="9525" b="1524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rPr>
          <w:rFonts w:hint="eastAsia"/>
        </w:rPr>
      </w:pPr>
    </w:p>
    <w:p/>
    <w:p>
      <w:pPr>
        <w:spacing w:line="578" w:lineRule="exact"/>
        <w:ind w:firstLine="643" w:firstLineChars="200"/>
        <w:outlineLvl w:val="2"/>
        <w:rPr>
          <w:rFonts w:ascii="仿宋" w:hAnsi="仿宋" w:eastAsia="仿宋"/>
          <w:b/>
          <w:color w:val="000000"/>
          <w:sz w:val="32"/>
          <w:szCs w:val="32"/>
        </w:rPr>
      </w:pPr>
      <w:bookmarkStart w:id="44" w:name="_Toc15377212"/>
      <w:r>
        <w:rPr>
          <w:rFonts w:hint="eastAsia" w:ascii="仿宋" w:hAnsi="仿宋" w:eastAsia="仿宋"/>
          <w:b/>
          <w:color w:val="000000"/>
          <w:sz w:val="32"/>
          <w:szCs w:val="32"/>
        </w:rPr>
        <w:t>（三）一般公共预算财政拨款支出决算具体情况</w:t>
      </w:r>
      <w:bookmarkEnd w:id="44"/>
    </w:p>
    <w:p>
      <w:pPr>
        <w:spacing w:line="578" w:lineRule="exact"/>
        <w:ind w:firstLine="640" w:firstLineChars="200"/>
        <w:rPr>
          <w:rFonts w:ascii="仿宋_GB2312" w:hAnsi="仿宋_GB2312" w:eastAsia="仿宋_GB2312" w:cs="仿宋_GB2312"/>
          <w:sz w:val="32"/>
          <w:szCs w:val="32"/>
        </w:rPr>
      </w:pPr>
      <w:bookmarkStart w:id="45" w:name="_Toc15377444"/>
      <w:bookmarkStart w:id="46" w:name="_Toc15377213"/>
      <w:bookmarkStart w:id="47" w:name="_Toc15378460"/>
      <w:r>
        <w:rPr>
          <w:rFonts w:hint="eastAsia" w:ascii="仿宋_GB2312" w:hAnsi="仿宋_GB2312" w:eastAsia="仿宋_GB2312" w:cs="仿宋_GB2312"/>
          <w:sz w:val="32"/>
          <w:szCs w:val="32"/>
        </w:rPr>
        <w:t>2018年一般公共预算支出决算数为</w:t>
      </w:r>
      <w:r>
        <w:rPr>
          <w:rFonts w:hint="eastAsia" w:ascii="仿宋_GB2312" w:hAnsi="仿宋_GB2312" w:eastAsia="仿宋_GB2312" w:cs="仿宋_GB2312"/>
          <w:sz w:val="32"/>
          <w:szCs w:val="32"/>
          <w:lang w:val="en-US" w:eastAsia="zh-CN"/>
        </w:rPr>
        <w:t>1761.19</w:t>
      </w:r>
      <w:r>
        <w:rPr>
          <w:rFonts w:hint="eastAsia" w:ascii="仿宋_GB2312" w:hAnsi="仿宋_GB2312" w:eastAsia="仿宋_GB2312" w:cs="仿宋_GB2312"/>
          <w:sz w:val="32"/>
          <w:szCs w:val="32"/>
        </w:rPr>
        <w:t>，完成预算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w:t>
      </w:r>
      <w:bookmarkEnd w:id="45"/>
      <w:bookmarkEnd w:id="46"/>
      <w:bookmarkEnd w:id="47"/>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1.一般公共服务</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(201)其他一般公共服务支出(99)其他一般公共服务支出(99)</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214</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公共安全支出</w:t>
      </w:r>
      <w:r>
        <w:rPr>
          <w:rFonts w:hint="eastAsia" w:ascii="仿宋_GB2312" w:hAnsi="仿宋_GB2312" w:eastAsia="仿宋_GB2312" w:cs="仿宋_GB2312"/>
          <w:color w:val="auto"/>
          <w:sz w:val="32"/>
          <w:szCs w:val="32"/>
          <w:lang w:val="en-US" w:eastAsia="zh-CN"/>
        </w:rPr>
        <w:t>(204)司法(06)行政运行(01)</w:t>
      </w:r>
      <w:r>
        <w:rPr>
          <w:rFonts w:hint="eastAsia" w:ascii="仿宋_GB2312" w:hAnsi="仿宋_GB2312" w:eastAsia="仿宋_GB2312" w:cs="仿宋_GB2312"/>
          <w:color w:val="auto"/>
          <w:sz w:val="32"/>
          <w:szCs w:val="32"/>
        </w:rPr>
        <w:t>: 支出决算为</w:t>
      </w:r>
      <w:r>
        <w:rPr>
          <w:rFonts w:hint="eastAsia" w:ascii="仿宋_GB2312" w:hAnsi="仿宋_GB2312" w:eastAsia="仿宋_GB2312" w:cs="仿宋_GB2312"/>
          <w:color w:val="auto"/>
          <w:sz w:val="32"/>
          <w:szCs w:val="32"/>
          <w:lang w:val="en-US" w:eastAsia="zh-CN"/>
        </w:rPr>
        <w:t>848.43</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spacing w:line="578"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公共安全支出</w:t>
      </w:r>
      <w:r>
        <w:rPr>
          <w:rFonts w:hint="eastAsia" w:ascii="仿宋_GB2312" w:hAnsi="仿宋_GB2312" w:eastAsia="仿宋_GB2312" w:cs="仿宋_GB2312"/>
          <w:color w:val="auto"/>
          <w:sz w:val="32"/>
          <w:szCs w:val="32"/>
          <w:lang w:val="en-US" w:eastAsia="zh-CN"/>
        </w:rPr>
        <w:t>(204)司法(06)一般行政管理事务(02)</w:t>
      </w:r>
      <w:r>
        <w:rPr>
          <w:rFonts w:hint="eastAsia" w:ascii="仿宋_GB2312" w:hAnsi="仿宋_GB2312" w:eastAsia="仿宋_GB2312" w:cs="仿宋_GB2312"/>
          <w:color w:val="auto"/>
          <w:sz w:val="32"/>
          <w:szCs w:val="32"/>
        </w:rPr>
        <w:t>: 支出决算为</w:t>
      </w:r>
      <w:r>
        <w:rPr>
          <w:rFonts w:hint="eastAsia" w:ascii="仿宋_GB2312" w:hAnsi="仿宋_GB2312" w:eastAsia="仿宋_GB2312" w:cs="仿宋_GB2312"/>
          <w:color w:val="auto"/>
          <w:sz w:val="32"/>
          <w:szCs w:val="32"/>
          <w:lang w:val="en-US" w:eastAsia="zh-CN"/>
        </w:rPr>
        <w:t>316.14</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spacing w:line="57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公共安全支出</w:t>
      </w:r>
      <w:r>
        <w:rPr>
          <w:rFonts w:hint="eastAsia" w:ascii="仿宋_GB2312" w:hAnsi="仿宋_GB2312" w:eastAsia="仿宋_GB2312" w:cs="仿宋_GB2312"/>
          <w:color w:val="auto"/>
          <w:sz w:val="32"/>
          <w:szCs w:val="32"/>
          <w:lang w:val="en-US" w:eastAsia="zh-CN"/>
        </w:rPr>
        <w:t>(204)司法(06)普法宣传(05)</w:t>
      </w:r>
      <w:r>
        <w:rPr>
          <w:rFonts w:hint="eastAsia" w:ascii="仿宋_GB2312" w:hAnsi="仿宋_GB2312" w:eastAsia="仿宋_GB2312" w:cs="仿宋_GB2312"/>
          <w:color w:val="auto"/>
          <w:sz w:val="32"/>
          <w:szCs w:val="32"/>
        </w:rPr>
        <w:t>: 支出决算为</w:t>
      </w:r>
      <w:r>
        <w:rPr>
          <w:rFonts w:hint="eastAsia" w:ascii="仿宋_GB2312" w:hAnsi="仿宋_GB2312" w:eastAsia="仿宋_GB2312" w:cs="仿宋_GB2312"/>
          <w:color w:val="auto"/>
          <w:sz w:val="32"/>
          <w:szCs w:val="32"/>
          <w:lang w:val="en-US" w:eastAsia="zh-CN"/>
        </w:rPr>
        <w:t>44.91</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spacing w:line="57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公共安全支出</w:t>
      </w:r>
      <w:r>
        <w:rPr>
          <w:rFonts w:hint="eastAsia" w:ascii="仿宋_GB2312" w:hAnsi="仿宋_GB2312" w:eastAsia="仿宋_GB2312" w:cs="仿宋_GB2312"/>
          <w:color w:val="auto"/>
          <w:sz w:val="32"/>
          <w:szCs w:val="32"/>
          <w:lang w:val="en-US" w:eastAsia="zh-CN"/>
        </w:rPr>
        <w:t>(204)司法(06)法律援助(07)</w:t>
      </w:r>
      <w:r>
        <w:rPr>
          <w:rFonts w:hint="eastAsia" w:ascii="仿宋_GB2312" w:hAnsi="仿宋_GB2312" w:eastAsia="仿宋_GB2312" w:cs="仿宋_GB2312"/>
          <w:color w:val="auto"/>
          <w:sz w:val="32"/>
          <w:szCs w:val="32"/>
        </w:rPr>
        <w:t>: 支出决算为</w:t>
      </w:r>
      <w:r>
        <w:rPr>
          <w:rFonts w:hint="eastAsia" w:ascii="仿宋_GB2312" w:hAnsi="仿宋_GB2312" w:eastAsia="仿宋_GB2312" w:cs="仿宋_GB2312"/>
          <w:color w:val="auto"/>
          <w:sz w:val="32"/>
          <w:szCs w:val="32"/>
          <w:lang w:val="en-US" w:eastAsia="zh-CN"/>
        </w:rPr>
        <w:t>64.22</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spacing w:line="57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公共安全支出</w:t>
      </w:r>
      <w:r>
        <w:rPr>
          <w:rFonts w:hint="eastAsia" w:ascii="仿宋_GB2312" w:hAnsi="仿宋_GB2312" w:eastAsia="仿宋_GB2312" w:cs="仿宋_GB2312"/>
          <w:color w:val="auto"/>
          <w:sz w:val="32"/>
          <w:szCs w:val="32"/>
          <w:lang w:val="en-US" w:eastAsia="zh-CN"/>
        </w:rPr>
        <w:t>(204)司法(06)社区矫正(10)</w:t>
      </w:r>
      <w:r>
        <w:rPr>
          <w:rFonts w:hint="eastAsia" w:ascii="仿宋_GB2312" w:hAnsi="仿宋_GB2312" w:eastAsia="仿宋_GB2312" w:cs="仿宋_GB2312"/>
          <w:color w:val="auto"/>
          <w:sz w:val="32"/>
          <w:szCs w:val="32"/>
        </w:rPr>
        <w:t>: 支出决算为</w:t>
      </w:r>
      <w:r>
        <w:rPr>
          <w:rFonts w:hint="eastAsia" w:ascii="仿宋_GB2312" w:hAnsi="仿宋_GB2312" w:eastAsia="仿宋_GB2312" w:cs="仿宋_GB2312"/>
          <w:color w:val="auto"/>
          <w:sz w:val="32"/>
          <w:szCs w:val="32"/>
          <w:lang w:val="en-US" w:eastAsia="zh-CN"/>
        </w:rPr>
        <w:t>96.85</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spacing w:line="57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.社会保障和就业</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lang w:val="en-US" w:eastAsia="zh-CN"/>
        </w:rPr>
        <w:t>(208)行政事业单位离退休(05)未归口管理的行政单位离退休(04)</w:t>
      </w:r>
      <w:r>
        <w:rPr>
          <w:rFonts w:hint="eastAsia" w:ascii="仿宋_GB2312" w:hAnsi="仿宋_GB2312" w:eastAsia="仿宋_GB2312" w:cs="仿宋_GB2312"/>
          <w:color w:val="auto"/>
          <w:sz w:val="32"/>
          <w:szCs w:val="32"/>
        </w:rPr>
        <w:t>: 支出决算为</w:t>
      </w:r>
      <w:r>
        <w:rPr>
          <w:rFonts w:hint="eastAsia" w:ascii="仿宋_GB2312" w:hAnsi="仿宋_GB2312" w:eastAsia="仿宋_GB2312" w:cs="仿宋_GB2312"/>
          <w:color w:val="auto"/>
          <w:sz w:val="32"/>
          <w:szCs w:val="32"/>
          <w:lang w:val="en-US" w:eastAsia="zh-CN"/>
        </w:rPr>
        <w:t>0.03</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spacing w:line="578"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.社会保障和就业</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lang w:val="en-US" w:eastAsia="zh-CN"/>
        </w:rPr>
        <w:t>(208)行政事业单位离退休(05)机关事业单位基本养老保险缴费支出(05)</w:t>
      </w:r>
      <w:r>
        <w:rPr>
          <w:rFonts w:hint="eastAsia" w:ascii="仿宋_GB2312" w:hAnsi="仿宋_GB2312" w:eastAsia="仿宋_GB2312" w:cs="仿宋_GB2312"/>
          <w:color w:val="auto"/>
          <w:sz w:val="32"/>
          <w:szCs w:val="32"/>
        </w:rPr>
        <w:t>: 支出决算为</w:t>
      </w:r>
      <w:r>
        <w:rPr>
          <w:rFonts w:hint="eastAsia" w:ascii="仿宋_GB2312" w:hAnsi="仿宋_GB2312" w:eastAsia="仿宋_GB2312" w:cs="仿宋_GB2312"/>
          <w:color w:val="auto"/>
          <w:sz w:val="32"/>
          <w:szCs w:val="32"/>
          <w:lang w:val="en-US" w:eastAsia="zh-CN"/>
        </w:rPr>
        <w:t>110.38</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spacing w:line="578" w:lineRule="exact"/>
        <w:ind w:firstLine="640" w:firstLineChars="200"/>
        <w:rPr>
          <w:rFonts w:ascii="仿宋" w:hAnsi="仿宋" w:eastAsia="仿宋"/>
          <w:b/>
          <w:color w:val="000000"/>
          <w:sz w:val="32"/>
          <w:szCs w:val="32"/>
        </w:rPr>
      </w:pPr>
      <w:r>
        <w:rPr>
          <w:rFonts w:hint="eastAsia" w:ascii="仿宋_GB2312" w:hAnsi="仿宋_GB2312" w:eastAsia="仿宋_GB2312" w:cs="仿宋_GB2312"/>
          <w:color w:val="auto"/>
          <w:sz w:val="32"/>
          <w:szCs w:val="32"/>
          <w:lang w:val="en-US" w:eastAsia="zh-CN"/>
        </w:rPr>
        <w:t>9.住房保障支出(221)住房改革支出(02)住房公积金(01):</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lang w:val="en-US" w:eastAsia="zh-CN"/>
        </w:rPr>
        <w:t>66.23</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tabs>
          <w:tab w:val="right" w:pos="8306"/>
        </w:tabs>
        <w:spacing w:line="578" w:lineRule="exact"/>
        <w:ind w:firstLine="640"/>
        <w:outlineLvl w:val="1"/>
        <w:rPr>
          <w:rStyle w:val="25"/>
        </w:rPr>
      </w:pPr>
      <w:bookmarkStart w:id="48" w:name="_Toc15377214"/>
      <w:bookmarkStart w:id="4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8"/>
      <w:bookmarkEnd w:id="49"/>
      <w:r>
        <w:rPr>
          <w:rStyle w:val="25"/>
          <w:rFonts w:ascii="黑体" w:hAnsi="黑体" w:eastAsia="黑体"/>
          <w:b w:val="0"/>
        </w:rPr>
        <w:tab/>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2018年一般公共预算财政拨款基本支出</w:t>
      </w:r>
      <w:r>
        <w:rPr>
          <w:rFonts w:hint="eastAsia" w:ascii="仿宋_GB2312" w:hAnsi="仿宋_GB2312" w:eastAsia="仿宋_GB2312" w:cs="仿宋_GB2312"/>
          <w:sz w:val="32"/>
          <w:szCs w:val="32"/>
          <w:lang w:val="en-US" w:eastAsia="zh-CN"/>
        </w:rPr>
        <w:t>1761.19</w:t>
      </w:r>
      <w:r>
        <w:rPr>
          <w:rFonts w:hint="eastAsia" w:ascii="仿宋_GB2312" w:hAnsi="仿宋_GB2312" w:eastAsia="仿宋_GB2312" w:cs="仿宋_GB2312"/>
          <w:sz w:val="32"/>
          <w:szCs w:val="32"/>
        </w:rPr>
        <w:t>万元，其中：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b w:val="0"/>
          <w:bCs w:val="0"/>
          <w:color w:val="auto"/>
          <w:sz w:val="32"/>
          <w:szCs w:val="32"/>
          <w:lang w:val="en-US" w:eastAsia="zh-CN"/>
        </w:rPr>
        <w:t>1015.36</w:t>
      </w:r>
      <w:r>
        <w:rPr>
          <w:rFonts w:hint="eastAsia" w:ascii="仿宋_GB2312" w:hAnsi="仿宋_GB2312" w:eastAsia="仿宋_GB2312" w:cs="仿宋_GB2312"/>
          <w:sz w:val="32"/>
          <w:szCs w:val="32"/>
        </w:rPr>
        <w:t>万元，主要包括：基本工资</w:t>
      </w:r>
      <w:r>
        <w:rPr>
          <w:rFonts w:hint="eastAsia" w:ascii="仿宋_GB2312" w:hAnsi="仿宋_GB2312" w:eastAsia="仿宋_GB2312" w:cs="仿宋_GB2312"/>
          <w:sz w:val="32"/>
          <w:szCs w:val="32"/>
          <w:lang w:val="en-US" w:eastAsia="zh-CN"/>
        </w:rPr>
        <w:t>258.71万元</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val="en-US" w:eastAsia="zh-CN"/>
        </w:rPr>
        <w:t>433.31万元</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val="en-US" w:eastAsia="zh-CN"/>
        </w:rPr>
        <w:t>21.02万元</w:t>
      </w:r>
      <w:r>
        <w:rPr>
          <w:rFonts w:hint="eastAsia" w:ascii="仿宋_GB2312" w:hAnsi="仿宋_GB2312" w:eastAsia="仿宋_GB2312" w:cs="仿宋_GB2312"/>
          <w:sz w:val="32"/>
          <w:szCs w:val="32"/>
        </w:rPr>
        <w:t>、伙食补助费</w:t>
      </w:r>
      <w:r>
        <w:rPr>
          <w:rFonts w:hint="eastAsia" w:ascii="仿宋_GB2312" w:hAnsi="仿宋_GB2312" w:eastAsia="仿宋_GB2312" w:cs="仿宋_GB2312"/>
          <w:sz w:val="32"/>
          <w:szCs w:val="32"/>
          <w:lang w:val="en-US" w:eastAsia="zh-CN"/>
        </w:rPr>
        <w:t>15.41万元</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val="en-US" w:eastAsia="zh-CN"/>
        </w:rPr>
        <w:t>110.38万元</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val="en-US" w:eastAsia="zh-CN"/>
        </w:rPr>
        <w:t>2.95万元</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val="en-US" w:eastAsia="zh-CN"/>
        </w:rPr>
        <w:t>90.42万元</w:t>
      </w:r>
      <w:r>
        <w:rPr>
          <w:rFonts w:hint="eastAsia" w:ascii="仿宋_GB2312" w:hAnsi="仿宋_GB2312" w:eastAsia="仿宋_GB2312" w:cs="仿宋_GB2312"/>
          <w:sz w:val="32"/>
          <w:szCs w:val="32"/>
        </w:rPr>
        <w:t>、生活补助</w:t>
      </w:r>
      <w:r>
        <w:rPr>
          <w:rFonts w:hint="eastAsia" w:ascii="仿宋_GB2312" w:hAnsi="仿宋_GB2312" w:eastAsia="仿宋_GB2312" w:cs="仿宋_GB2312"/>
          <w:sz w:val="32"/>
          <w:szCs w:val="32"/>
          <w:lang w:val="en-US" w:eastAsia="zh-CN"/>
        </w:rPr>
        <w:t>0.43万元</w:t>
      </w:r>
      <w:r>
        <w:rPr>
          <w:rFonts w:hint="eastAsia" w:ascii="仿宋_GB2312" w:hAnsi="仿宋_GB2312" w:eastAsia="仿宋_GB2312" w:cs="仿宋_GB2312"/>
          <w:sz w:val="32"/>
          <w:szCs w:val="32"/>
        </w:rPr>
        <w:t>、医疗费</w:t>
      </w:r>
      <w:r>
        <w:rPr>
          <w:rFonts w:hint="eastAsia" w:ascii="仿宋_GB2312" w:hAnsi="仿宋_GB2312" w:eastAsia="仿宋_GB2312" w:cs="仿宋_GB2312"/>
          <w:sz w:val="32"/>
          <w:szCs w:val="32"/>
          <w:lang w:val="en-US" w:eastAsia="zh-CN"/>
        </w:rPr>
        <w:t>0.08万元</w:t>
      </w:r>
      <w:r>
        <w:rPr>
          <w:rFonts w:hint="eastAsia" w:ascii="仿宋_GB2312" w:hAnsi="仿宋_GB2312" w:eastAsia="仿宋_GB2312" w:cs="仿宋_GB2312"/>
          <w:sz w:val="32"/>
          <w:szCs w:val="32"/>
        </w:rPr>
        <w:t>、奖励金</w:t>
      </w:r>
      <w:r>
        <w:rPr>
          <w:rFonts w:hint="eastAsia" w:ascii="仿宋_GB2312" w:hAnsi="仿宋_GB2312" w:eastAsia="仿宋_GB2312" w:cs="仿宋_GB2312"/>
          <w:sz w:val="32"/>
          <w:szCs w:val="32"/>
          <w:lang w:val="en-US" w:eastAsia="zh-CN"/>
        </w:rPr>
        <w:t>15.55万元</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66.23万元、其他对个人和家庭的补助支出0.87万元</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公用经费</w:t>
      </w:r>
      <w:r>
        <w:rPr>
          <w:rFonts w:hint="eastAsia" w:ascii="仿宋_GB2312" w:hAnsi="仿宋_GB2312" w:eastAsia="仿宋_GB2312" w:cs="仿宋_GB2312"/>
          <w:color w:val="auto"/>
          <w:sz w:val="32"/>
          <w:szCs w:val="32"/>
          <w:lang w:val="en-US" w:eastAsia="zh-CN"/>
        </w:rPr>
        <w:t>745.83</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val="en-US" w:eastAsia="zh-CN"/>
        </w:rPr>
        <w:t>35.70万元</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val="en-US" w:eastAsia="zh-CN"/>
        </w:rPr>
        <w:t>38.32万元</w:t>
      </w:r>
      <w:r>
        <w:rPr>
          <w:rFonts w:hint="eastAsia" w:ascii="仿宋_GB2312" w:hAnsi="仿宋_GB2312" w:eastAsia="仿宋_GB2312" w:cs="仿宋_GB2312"/>
          <w:sz w:val="32"/>
          <w:szCs w:val="32"/>
        </w:rPr>
        <w:t>、咨询费</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sz w:val="32"/>
          <w:szCs w:val="32"/>
        </w:rPr>
        <w:t>、手续费</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sz w:val="32"/>
          <w:szCs w:val="32"/>
        </w:rPr>
        <w:t>、水费</w:t>
      </w:r>
      <w:r>
        <w:rPr>
          <w:rFonts w:hint="eastAsia" w:ascii="仿宋_GB2312" w:hAnsi="仿宋_GB2312" w:eastAsia="仿宋_GB2312" w:cs="仿宋_GB2312"/>
          <w:sz w:val="32"/>
          <w:szCs w:val="32"/>
          <w:lang w:val="en-US" w:eastAsia="zh-CN"/>
        </w:rPr>
        <w:t>2.68万元</w:t>
      </w:r>
      <w:r>
        <w:rPr>
          <w:rFonts w:hint="eastAsia" w:ascii="仿宋_GB2312" w:hAnsi="仿宋_GB2312" w:eastAsia="仿宋_GB2312" w:cs="仿宋_GB2312"/>
          <w:sz w:val="32"/>
          <w:szCs w:val="32"/>
        </w:rPr>
        <w:t>、电费</w:t>
      </w:r>
      <w:r>
        <w:rPr>
          <w:rFonts w:hint="eastAsia" w:ascii="仿宋_GB2312" w:hAnsi="仿宋_GB2312" w:eastAsia="仿宋_GB2312" w:cs="仿宋_GB2312"/>
          <w:sz w:val="32"/>
          <w:szCs w:val="32"/>
          <w:lang w:val="en-US" w:eastAsia="zh-CN"/>
        </w:rPr>
        <w:t>8.23万元</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val="en-US" w:eastAsia="zh-CN"/>
        </w:rPr>
        <w:t>20.98万元</w:t>
      </w:r>
      <w:r>
        <w:rPr>
          <w:rFonts w:hint="eastAsia" w:ascii="仿宋_GB2312" w:hAnsi="仿宋_GB2312" w:eastAsia="仿宋_GB2312" w:cs="仿宋_GB2312"/>
          <w:sz w:val="32"/>
          <w:szCs w:val="32"/>
        </w:rPr>
        <w:t>、取暖费</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sz w:val="32"/>
          <w:szCs w:val="32"/>
        </w:rPr>
        <w:t>、物业管理费</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val="en-US" w:eastAsia="zh-CN"/>
        </w:rPr>
        <w:t>118.91万元</w:t>
      </w:r>
      <w:r>
        <w:rPr>
          <w:rFonts w:hint="eastAsia" w:ascii="仿宋_GB2312" w:hAnsi="仿宋_GB2312" w:eastAsia="仿宋_GB2312" w:cs="仿宋_GB2312"/>
          <w:sz w:val="32"/>
          <w:szCs w:val="32"/>
        </w:rPr>
        <w:t>、因公出国（境）费用</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sz w:val="32"/>
          <w:szCs w:val="32"/>
        </w:rPr>
        <w:t>、维修（护）费</w:t>
      </w:r>
      <w:r>
        <w:rPr>
          <w:rFonts w:hint="eastAsia" w:ascii="仿宋_GB2312" w:hAnsi="仿宋_GB2312" w:eastAsia="仿宋_GB2312" w:cs="仿宋_GB2312"/>
          <w:sz w:val="32"/>
          <w:szCs w:val="32"/>
          <w:lang w:val="en-US" w:eastAsia="zh-CN"/>
        </w:rPr>
        <w:t>2.77万元</w:t>
      </w:r>
      <w:r>
        <w:rPr>
          <w:rFonts w:hint="eastAsia" w:ascii="仿宋_GB2312" w:hAnsi="仿宋_GB2312" w:eastAsia="仿宋_GB2312" w:cs="仿宋_GB2312"/>
          <w:sz w:val="32"/>
          <w:szCs w:val="32"/>
        </w:rPr>
        <w:t>、租赁费</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val="en-US" w:eastAsia="zh-CN"/>
        </w:rPr>
        <w:t>1.94万元</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val="en-US" w:eastAsia="zh-CN"/>
        </w:rPr>
        <w:t>2.10万元</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2.97万元</w:t>
      </w:r>
      <w:r>
        <w:rPr>
          <w:rFonts w:hint="eastAsia" w:ascii="仿宋_GB2312" w:hAnsi="仿宋_GB2312" w:eastAsia="仿宋_GB2312" w:cs="仿宋_GB2312"/>
          <w:sz w:val="32"/>
          <w:szCs w:val="32"/>
        </w:rPr>
        <w:t>、劳务费</w:t>
      </w:r>
      <w:r>
        <w:rPr>
          <w:rFonts w:hint="eastAsia" w:ascii="仿宋_GB2312" w:hAnsi="仿宋_GB2312" w:eastAsia="仿宋_GB2312" w:cs="仿宋_GB2312"/>
          <w:sz w:val="32"/>
          <w:szCs w:val="32"/>
          <w:lang w:val="en-US" w:eastAsia="zh-CN"/>
        </w:rPr>
        <w:t>71.99万元</w:t>
      </w:r>
      <w:r>
        <w:rPr>
          <w:rFonts w:hint="eastAsia" w:ascii="仿宋_GB2312" w:hAnsi="仿宋_GB2312" w:eastAsia="仿宋_GB2312" w:cs="仿宋_GB2312"/>
          <w:sz w:val="32"/>
          <w:szCs w:val="32"/>
        </w:rPr>
        <w:t>、委托业务费</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11.93万元</w:t>
      </w:r>
      <w:r>
        <w:rPr>
          <w:rFonts w:hint="eastAsia" w:ascii="仿宋_GB2312" w:hAnsi="仿宋_GB2312" w:eastAsia="仿宋_GB2312" w:cs="仿宋_GB2312"/>
          <w:sz w:val="32"/>
          <w:szCs w:val="32"/>
        </w:rPr>
        <w:t>、福利费</w:t>
      </w:r>
      <w:r>
        <w:rPr>
          <w:rFonts w:hint="eastAsia" w:ascii="仿宋_GB2312" w:hAnsi="仿宋_GB2312" w:eastAsia="仿宋_GB2312" w:cs="仿宋_GB2312"/>
          <w:sz w:val="32"/>
          <w:szCs w:val="32"/>
          <w:lang w:val="en-US" w:eastAsia="zh-CN"/>
        </w:rPr>
        <w:t>13.34万元</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20.11万元</w:t>
      </w:r>
      <w:r>
        <w:rPr>
          <w:rFonts w:hint="eastAsia" w:ascii="仿宋_GB2312" w:hAnsi="仿宋_GB2312" w:eastAsia="仿宋_GB2312" w:cs="仿宋_GB2312"/>
          <w:sz w:val="32"/>
          <w:szCs w:val="32"/>
        </w:rPr>
        <w:t>、其他交通费</w:t>
      </w:r>
      <w:r>
        <w:rPr>
          <w:rFonts w:hint="eastAsia" w:ascii="仿宋_GB2312" w:hAnsi="仿宋_GB2312" w:eastAsia="仿宋_GB2312" w:cs="仿宋_GB2312"/>
          <w:sz w:val="32"/>
          <w:szCs w:val="32"/>
          <w:lang w:val="en-US" w:eastAsia="zh-CN"/>
        </w:rPr>
        <w:t>49.23万元</w:t>
      </w:r>
      <w:r>
        <w:rPr>
          <w:rFonts w:hint="eastAsia" w:ascii="仿宋_GB2312" w:hAnsi="仿宋_GB2312" w:eastAsia="仿宋_GB2312" w:cs="仿宋_GB2312"/>
          <w:sz w:val="32"/>
          <w:szCs w:val="32"/>
        </w:rPr>
        <w:t>、税金及附加费用</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val="en-US" w:eastAsia="zh-CN"/>
        </w:rPr>
        <w:t>47.10万元</w:t>
      </w:r>
      <w:r>
        <w:rPr>
          <w:rFonts w:hint="eastAsia" w:ascii="仿宋_GB2312" w:hAnsi="仿宋_GB2312" w:eastAsia="仿宋_GB2312" w:cs="仿宋_GB2312"/>
          <w:sz w:val="32"/>
          <w:szCs w:val="32"/>
        </w:rPr>
        <w:t>、办公设备购置</w:t>
      </w:r>
      <w:r>
        <w:rPr>
          <w:rFonts w:hint="eastAsia" w:ascii="仿宋_GB2312" w:hAnsi="仿宋_GB2312" w:eastAsia="仿宋_GB2312" w:cs="仿宋_GB2312"/>
          <w:sz w:val="32"/>
          <w:szCs w:val="32"/>
          <w:lang w:val="en-US" w:eastAsia="zh-CN"/>
        </w:rPr>
        <w:t>83.98万元</w:t>
      </w:r>
      <w:r>
        <w:rPr>
          <w:rFonts w:hint="eastAsia" w:ascii="仿宋_GB2312" w:hAnsi="仿宋_GB2312" w:eastAsia="仿宋_GB2312" w:cs="仿宋_GB2312"/>
          <w:sz w:val="32"/>
          <w:szCs w:val="32"/>
        </w:rPr>
        <w:t>、专用设备购置</w:t>
      </w:r>
      <w:r>
        <w:rPr>
          <w:rFonts w:hint="eastAsia" w:ascii="仿宋_GB2312" w:hAnsi="仿宋_GB2312" w:eastAsia="仿宋_GB2312" w:cs="仿宋_GB2312"/>
          <w:sz w:val="32"/>
          <w:szCs w:val="32"/>
          <w:lang w:val="en-US" w:eastAsia="zh-CN"/>
        </w:rPr>
        <w:t>88.08万元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大型修缮</w:t>
      </w:r>
      <w:r>
        <w:rPr>
          <w:rFonts w:hint="eastAsia" w:ascii="仿宋_GB2312" w:hAnsi="仿宋_GB2312" w:eastAsia="仿宋_GB2312" w:cs="仿宋_GB2312"/>
          <w:sz w:val="32"/>
          <w:szCs w:val="32"/>
          <w:lang w:val="en-US" w:eastAsia="zh-CN"/>
        </w:rPr>
        <w:t>28.65万元、</w:t>
      </w:r>
      <w:r>
        <w:rPr>
          <w:rFonts w:hint="eastAsia" w:ascii="仿宋_GB2312" w:hAnsi="仿宋_GB2312" w:eastAsia="仿宋_GB2312" w:cs="仿宋_GB2312"/>
          <w:sz w:val="32"/>
          <w:szCs w:val="32"/>
        </w:rPr>
        <w:t>信息网络及软件购置更新</w:t>
      </w:r>
      <w:r>
        <w:rPr>
          <w:rFonts w:hint="eastAsia" w:ascii="仿宋_GB2312" w:hAnsi="仿宋_GB2312" w:eastAsia="仿宋_GB2312" w:cs="仿宋_GB2312"/>
          <w:sz w:val="32"/>
          <w:szCs w:val="32"/>
          <w:lang w:val="en-US" w:eastAsia="zh-CN"/>
        </w:rPr>
        <w:t>59.78万元</w:t>
      </w:r>
      <w:r>
        <w:rPr>
          <w:rFonts w:hint="eastAsia" w:ascii="仿宋_GB2312" w:hAnsi="仿宋_GB2312" w:eastAsia="仿宋_GB2312" w:cs="仿宋_GB2312"/>
          <w:sz w:val="32"/>
          <w:szCs w:val="32"/>
        </w:rPr>
        <w:t>、其他资本性支出</w:t>
      </w:r>
      <w:r>
        <w:rPr>
          <w:rFonts w:hint="eastAsia" w:ascii="仿宋_GB2312" w:hAnsi="仿宋_GB2312" w:eastAsia="仿宋_GB2312" w:cs="仿宋_GB2312"/>
          <w:sz w:val="32"/>
          <w:szCs w:val="32"/>
          <w:lang w:val="en-US" w:eastAsia="zh-CN"/>
        </w:rPr>
        <w:t>37.04万元</w:t>
      </w:r>
      <w:r>
        <w:rPr>
          <w:rFonts w:hint="eastAsia" w:ascii="仿宋_GB2312" w:hAnsi="仿宋_GB2312" w:eastAsia="仿宋_GB2312" w:cs="仿宋_GB2312"/>
          <w:sz w:val="32"/>
          <w:szCs w:val="32"/>
        </w:rPr>
        <w:t>等。</w:t>
      </w:r>
    </w:p>
    <w:p>
      <w:pPr>
        <w:spacing w:line="578" w:lineRule="exact"/>
        <w:ind w:firstLine="640"/>
        <w:outlineLvl w:val="1"/>
        <w:rPr>
          <w:rStyle w:val="25"/>
          <w:rFonts w:ascii="黑体" w:hAnsi="黑体" w:eastAsia="黑体"/>
          <w:b w:val="0"/>
        </w:rPr>
      </w:pPr>
      <w:bookmarkStart w:id="50" w:name="_Toc15396609"/>
      <w:bookmarkStart w:id="51"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0"/>
      <w:bookmarkEnd w:id="51"/>
    </w:p>
    <w:p>
      <w:pPr>
        <w:spacing w:line="578" w:lineRule="exact"/>
        <w:ind w:firstLine="640"/>
        <w:outlineLvl w:val="2"/>
        <w:rPr>
          <w:rFonts w:ascii="仿宋" w:hAnsi="仿宋" w:eastAsia="仿宋"/>
          <w:b/>
          <w:color w:val="000000"/>
          <w:sz w:val="32"/>
          <w:szCs w:val="32"/>
        </w:rPr>
      </w:pPr>
      <w:bookmarkStart w:id="52" w:name="_Toc15377216"/>
      <w:r>
        <w:rPr>
          <w:rFonts w:hint="eastAsia" w:ascii="仿宋" w:hAnsi="仿宋" w:eastAsia="仿宋"/>
          <w:b/>
          <w:color w:val="000000"/>
          <w:sz w:val="32"/>
          <w:szCs w:val="32"/>
        </w:rPr>
        <w:t>（一）“三公”经费财政拨款支出决算总体情况说明</w:t>
      </w:r>
      <w:bookmarkEnd w:id="52"/>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2018年“三公”经费财政拨款支出决算为</w:t>
      </w:r>
      <w:r>
        <w:rPr>
          <w:rFonts w:hint="eastAsia" w:ascii="仿宋_GB2312" w:hAnsi="仿宋_GB2312" w:eastAsia="仿宋_GB2312" w:cs="仿宋_GB2312"/>
          <w:sz w:val="32"/>
          <w:szCs w:val="32"/>
          <w:lang w:val="en-US" w:eastAsia="zh-CN"/>
        </w:rPr>
        <w:t>23.07</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80.10</w:t>
      </w:r>
      <w:r>
        <w:rPr>
          <w:rFonts w:hint="eastAsia" w:ascii="仿宋_GB2312" w:hAnsi="仿宋_GB2312" w:eastAsia="仿宋_GB2312" w:cs="仿宋_GB2312"/>
          <w:sz w:val="32"/>
          <w:szCs w:val="32"/>
        </w:rPr>
        <w:t>%，决算数小于预算数的主要原因是</w:t>
      </w:r>
      <w:r>
        <w:rPr>
          <w:rFonts w:hint="eastAsia" w:ascii="仿宋_GB2312" w:hAnsi="仿宋_GB2312" w:eastAsia="仿宋_GB2312" w:cs="仿宋_GB2312"/>
          <w:sz w:val="32"/>
          <w:szCs w:val="32"/>
          <w:lang w:eastAsia="zh-CN"/>
        </w:rPr>
        <w:t>本局将接待条件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范围、标准及车辆维修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使用方面控制得更加严格</w:t>
      </w:r>
      <w:r>
        <w:rPr>
          <w:rFonts w:hint="eastAsia" w:ascii="仿宋_GB2312" w:hAnsi="仿宋_GB2312" w:eastAsia="仿宋_GB2312" w:cs="仿宋_GB2312"/>
          <w:sz w:val="32"/>
          <w:szCs w:val="32"/>
        </w:rPr>
        <w:t>。</w:t>
      </w:r>
    </w:p>
    <w:p>
      <w:pPr>
        <w:spacing w:line="578" w:lineRule="exact"/>
        <w:ind w:firstLine="640"/>
        <w:outlineLvl w:val="2"/>
        <w:rPr>
          <w:rFonts w:ascii="仿宋" w:hAnsi="仿宋" w:eastAsia="仿宋"/>
          <w:b/>
          <w:color w:val="000000"/>
          <w:sz w:val="32"/>
          <w:szCs w:val="32"/>
        </w:rPr>
      </w:pPr>
      <w:bookmarkStart w:id="53" w:name="_Toc15377217"/>
      <w:r>
        <w:rPr>
          <w:rFonts w:hint="eastAsia" w:ascii="仿宋" w:hAnsi="仿宋" w:eastAsia="仿宋"/>
          <w:b/>
          <w:color w:val="000000"/>
          <w:sz w:val="32"/>
          <w:szCs w:val="32"/>
        </w:rPr>
        <w:t>（二）“三公”经费财政拨款支出决算具体情况说明</w:t>
      </w:r>
      <w:bookmarkEnd w:id="53"/>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%；公务用车购置及运行维护费支出决算</w:t>
      </w:r>
      <w:r>
        <w:rPr>
          <w:rFonts w:hint="eastAsia" w:ascii="仿宋_GB2312" w:hAnsi="仿宋_GB2312" w:eastAsia="仿宋_GB2312" w:cs="仿宋_GB2312"/>
          <w:sz w:val="32"/>
          <w:szCs w:val="32"/>
          <w:lang w:val="en-US" w:eastAsia="zh-CN"/>
        </w:rPr>
        <w:t>20.11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87.14</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2.97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12.86</w:t>
      </w:r>
      <w:r>
        <w:rPr>
          <w:rFonts w:hint="eastAsia" w:ascii="仿宋_GB2312" w:hAnsi="仿宋_GB2312" w:eastAsia="仿宋_GB2312" w:cs="仿宋_GB2312"/>
          <w:sz w:val="32"/>
          <w:szCs w:val="32"/>
        </w:rPr>
        <w:t>%。具体情况如下：</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（图8：“三公”经费财政拨款支出结构）</w:t>
      </w:r>
    </w:p>
    <w:p>
      <w:pPr>
        <w:spacing w:line="578" w:lineRule="exact"/>
        <w:ind w:firstLine="640" w:firstLineChars="200"/>
        <w:rPr>
          <w:rFonts w:hint="eastAsia" w:ascii="仿宋_GB2312" w:hAnsi="仿宋_GB2312" w:eastAsia="仿宋_GB2312" w:cs="仿宋_GB2312"/>
          <w:sz w:val="32"/>
          <w:szCs w:val="32"/>
        </w:rPr>
      </w:pPr>
    </w:p>
    <w:p>
      <w:pPr>
        <w:rPr>
          <w:rFonts w:hint="eastAsia"/>
        </w:rPr>
      </w:pPr>
    </w:p>
    <w:p>
      <w:pPr>
        <w:rPr>
          <w:rFonts w:hint="eastAsia"/>
        </w:rPr>
      </w:pPr>
      <w:r>
        <w:rPr>
          <w:rFonts w:hint="eastAsia" w:eastAsiaTheme="minorEastAsia"/>
          <w:lang w:eastAsia="zh-CN"/>
        </w:rPr>
        <w:drawing>
          <wp:inline distT="0" distB="0" distL="114300" distR="114300">
            <wp:extent cx="4964430" cy="3713480"/>
            <wp:effectExtent l="4445" t="4445" r="14605" b="158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次，出国（境）</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人。因公出国（境）支出决算比2017年增加/减少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万元，增长/下降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没有因公出国（境）工作安排</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开支内容包括：</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auto"/>
          <w:sz w:val="32"/>
          <w:szCs w:val="32"/>
        </w:rPr>
        <w:t>公务用车购置及运行维护费支出</w:t>
      </w:r>
      <w:r>
        <w:rPr>
          <w:rFonts w:hint="eastAsia" w:ascii="仿宋_GB2312" w:hAnsi="仿宋_GB2312" w:eastAsia="仿宋_GB2312" w:cs="仿宋_GB2312"/>
          <w:color w:val="auto"/>
          <w:sz w:val="32"/>
          <w:szCs w:val="32"/>
          <w:lang w:val="en-US" w:eastAsia="zh-CN"/>
        </w:rPr>
        <w:t>20.11</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91.41</w:t>
      </w:r>
      <w:r>
        <w:rPr>
          <w:rFonts w:hint="eastAsia" w:ascii="仿宋_GB2312" w:hAnsi="仿宋_GB2312" w:eastAsia="仿宋_GB2312" w:cs="仿宋_GB2312"/>
          <w:color w:val="auto"/>
          <w:sz w:val="32"/>
          <w:szCs w:val="32"/>
        </w:rPr>
        <w:t>%。公务用车购置及运行维护费支出决算比2017年增加</w:t>
      </w:r>
      <w:r>
        <w:rPr>
          <w:rFonts w:hint="eastAsia" w:ascii="仿宋_GB2312" w:hAnsi="仿宋_GB2312" w:eastAsia="仿宋_GB2312" w:cs="仿宋_GB2312"/>
          <w:color w:val="auto"/>
          <w:sz w:val="32"/>
          <w:szCs w:val="32"/>
          <w:lang w:val="en-US" w:eastAsia="zh-CN"/>
        </w:rPr>
        <w:t>3.17</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18.71</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辆车车龄长、里程数多，车况差导致维修费用有所增加</w:t>
      </w:r>
      <w:r>
        <w:rPr>
          <w:rFonts w:hint="eastAsia" w:ascii="仿宋_GB2312" w:hAnsi="仿宋_GB2312" w:eastAsia="仿宋_GB2312" w:cs="仿宋_GB2312"/>
          <w:color w:val="auto"/>
          <w:sz w:val="32"/>
          <w:szCs w:val="32"/>
        </w:rPr>
        <w:t>。</w:t>
      </w:r>
    </w:p>
    <w:p>
      <w:pPr>
        <w:spacing w:line="578"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其中：公务用车购置支出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万元。全年按规定更新购置公务用车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辆，其中：轿车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万元，越野车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万元，载客汽车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万元。截至2018年12月底，单位共有公务用车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辆，其中：轿车</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辆、越野车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辆、载客汽车</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辆。</w:t>
      </w:r>
    </w:p>
    <w:p>
      <w:pPr>
        <w:spacing w:line="600" w:lineRule="exact"/>
        <w:ind w:firstLine="640"/>
        <w:rPr>
          <w:rFonts w:ascii="仿宋_GB2312" w:hAnsi="仿宋_GB2312" w:eastAsia="仿宋_GB2312" w:cs="仿宋_GB2312"/>
          <w:color w:val="auto"/>
          <w:kern w:val="1"/>
          <w:sz w:val="32"/>
          <w:szCs w:val="32"/>
        </w:rPr>
      </w:pPr>
      <w:r>
        <w:rPr>
          <w:rFonts w:hint="eastAsia" w:ascii="仿宋_GB2312" w:hAnsi="仿宋_GB2312" w:eastAsia="仿宋_GB2312" w:cs="仿宋_GB2312"/>
          <w:color w:val="auto"/>
          <w:sz w:val="32"/>
          <w:szCs w:val="32"/>
        </w:rPr>
        <w:t>公务用车运行维护费支出</w:t>
      </w:r>
      <w:r>
        <w:rPr>
          <w:rFonts w:hint="eastAsia" w:ascii="仿宋_GB2312" w:hAnsi="仿宋_GB2312" w:eastAsia="仿宋_GB2312" w:cs="仿宋_GB2312"/>
          <w:color w:val="auto"/>
          <w:sz w:val="32"/>
          <w:szCs w:val="32"/>
          <w:lang w:val="en-US" w:eastAsia="zh-CN"/>
        </w:rPr>
        <w:t>20.11</w:t>
      </w:r>
      <w:r>
        <w:rPr>
          <w:rFonts w:hint="eastAsia" w:ascii="仿宋_GB2312" w:hAnsi="仿宋_GB2312" w:eastAsia="仿宋_GB2312" w:cs="仿宋_GB2312"/>
          <w:color w:val="auto"/>
          <w:sz w:val="32"/>
          <w:szCs w:val="32"/>
        </w:rPr>
        <w:t>万元。主要用于</w:t>
      </w:r>
      <w:r>
        <w:rPr>
          <w:rFonts w:ascii="仿宋_GB2312" w:hAnsi="仿宋_GB2312" w:eastAsia="仿宋_GB2312" w:cs="仿宋_GB2312"/>
          <w:color w:val="auto"/>
          <w:kern w:val="1"/>
          <w:sz w:val="32"/>
          <w:szCs w:val="32"/>
        </w:rPr>
        <w:t>开展法制宣传、安置帮教、社区矫正、人民调解、司法鉴定、法律援助、法律服务</w:t>
      </w:r>
      <w:r>
        <w:rPr>
          <w:rFonts w:hint="eastAsia" w:ascii="仿宋_GB2312" w:hAnsi="仿宋_GB2312" w:eastAsia="仿宋_GB2312" w:cs="仿宋_GB2312"/>
          <w:color w:val="auto"/>
          <w:kern w:val="1"/>
          <w:sz w:val="32"/>
          <w:szCs w:val="32"/>
          <w:lang w:eastAsia="zh-CN"/>
        </w:rPr>
        <w:t>、脱贫攻坚</w:t>
      </w:r>
      <w:r>
        <w:rPr>
          <w:rFonts w:ascii="仿宋_GB2312" w:hAnsi="仿宋_GB2312" w:eastAsia="仿宋_GB2312" w:cs="仿宋_GB2312"/>
          <w:color w:val="auto"/>
          <w:kern w:val="1"/>
          <w:sz w:val="32"/>
          <w:szCs w:val="32"/>
        </w:rPr>
        <w:t>等所需的公务用车燃料费、维修费、过路过桥费、保险费等支出。</w:t>
      </w:r>
    </w:p>
    <w:p>
      <w:pPr>
        <w:spacing w:line="578"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3.公务接待费支出</w:t>
      </w:r>
      <w:r>
        <w:rPr>
          <w:rFonts w:hint="eastAsia" w:ascii="仿宋_GB2312" w:hAnsi="仿宋_GB2312" w:eastAsia="仿宋_GB2312" w:cs="仿宋_GB2312"/>
          <w:color w:val="auto"/>
          <w:sz w:val="32"/>
          <w:szCs w:val="32"/>
          <w:lang w:val="en-US" w:eastAsia="zh-CN"/>
        </w:rPr>
        <w:t>2.97</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43.68</w:t>
      </w:r>
      <w:r>
        <w:rPr>
          <w:rFonts w:hint="eastAsia" w:ascii="仿宋_GB2312" w:hAnsi="仿宋_GB2312" w:eastAsia="仿宋_GB2312" w:cs="仿宋_GB2312"/>
          <w:color w:val="auto"/>
          <w:sz w:val="32"/>
          <w:szCs w:val="32"/>
        </w:rPr>
        <w:t>%。公务接待费支出决算比2017年减少</w:t>
      </w:r>
      <w:r>
        <w:rPr>
          <w:rFonts w:hint="eastAsia" w:ascii="仿宋_GB2312" w:hAnsi="仿宋_GB2312" w:eastAsia="仿宋_GB2312" w:cs="仿宋_GB2312"/>
          <w:color w:val="auto"/>
          <w:sz w:val="32"/>
          <w:szCs w:val="32"/>
          <w:lang w:val="en-US" w:eastAsia="zh-CN"/>
        </w:rPr>
        <w:t>0.02</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0.67</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将接待标准和范围控制得更好</w:t>
      </w:r>
      <w:r>
        <w:rPr>
          <w:rFonts w:hint="eastAsia" w:ascii="仿宋_GB2312" w:hAnsi="仿宋_GB2312" w:eastAsia="仿宋_GB2312" w:cs="仿宋_GB2312"/>
          <w:color w:val="auto"/>
          <w:sz w:val="32"/>
          <w:szCs w:val="32"/>
        </w:rPr>
        <w:t>。</w:t>
      </w:r>
    </w:p>
    <w:p>
      <w:pPr>
        <w:spacing w:line="578"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主要用于执行公务、开展业务活动开支的交通费、住宿费、用餐费等。国内公务接待</w:t>
      </w:r>
      <w:r>
        <w:rPr>
          <w:rFonts w:hint="eastAsia" w:ascii="仿宋_GB2312" w:hAnsi="仿宋_GB2312" w:eastAsia="仿宋_GB2312" w:cs="仿宋_GB2312"/>
          <w:color w:val="auto"/>
          <w:sz w:val="32"/>
          <w:szCs w:val="32"/>
          <w:lang w:val="en-US" w:eastAsia="zh-CN"/>
        </w:rPr>
        <w:t>41</w:t>
      </w:r>
      <w:r>
        <w:rPr>
          <w:rFonts w:hint="eastAsia" w:ascii="仿宋_GB2312" w:hAnsi="仿宋_GB2312" w:eastAsia="仿宋_GB2312" w:cs="仿宋_GB2312"/>
          <w:color w:val="auto"/>
          <w:sz w:val="32"/>
          <w:szCs w:val="32"/>
        </w:rPr>
        <w:t>批次，</w:t>
      </w:r>
      <w:r>
        <w:rPr>
          <w:rFonts w:hint="eastAsia" w:ascii="仿宋_GB2312" w:hAnsi="仿宋_GB2312" w:eastAsia="仿宋_GB2312" w:cs="仿宋_GB2312"/>
          <w:color w:val="auto"/>
          <w:sz w:val="32"/>
          <w:szCs w:val="32"/>
          <w:lang w:val="en-US" w:eastAsia="zh-CN"/>
        </w:rPr>
        <w:t>385</w:t>
      </w:r>
      <w:r>
        <w:rPr>
          <w:rFonts w:hint="eastAsia" w:ascii="仿宋_GB2312" w:hAnsi="仿宋_GB2312" w:eastAsia="仿宋_GB2312" w:cs="仿宋_GB2312"/>
          <w:color w:val="auto"/>
          <w:sz w:val="32"/>
          <w:szCs w:val="32"/>
        </w:rPr>
        <w:t>人次（不包括陪同人员），共计支出</w:t>
      </w:r>
      <w:r>
        <w:rPr>
          <w:rFonts w:hint="eastAsia" w:ascii="仿宋_GB2312" w:hAnsi="仿宋_GB2312" w:eastAsia="仿宋_GB2312" w:cs="仿宋_GB2312"/>
          <w:color w:val="auto"/>
          <w:sz w:val="32"/>
          <w:szCs w:val="32"/>
          <w:lang w:val="en-US" w:eastAsia="zh-CN"/>
        </w:rPr>
        <w:t>2.97</w:t>
      </w:r>
      <w:r>
        <w:rPr>
          <w:rFonts w:hint="eastAsia" w:ascii="仿宋_GB2312" w:hAnsi="仿宋_GB2312" w:eastAsia="仿宋_GB2312" w:cs="仿宋_GB2312"/>
          <w:color w:val="auto"/>
          <w:sz w:val="32"/>
          <w:szCs w:val="32"/>
        </w:rPr>
        <w:t>万元，具体内容包括：</w:t>
      </w:r>
      <w:r>
        <w:rPr>
          <w:rFonts w:hint="eastAsia" w:ascii="仿宋_GB2312" w:hAnsi="仿宋_GB2312" w:eastAsia="仿宋_GB2312" w:cs="仿宋_GB2312"/>
          <w:color w:val="auto"/>
          <w:sz w:val="32"/>
          <w:szCs w:val="32"/>
          <w:lang w:eastAsia="zh-CN"/>
        </w:rPr>
        <w:t>市司法局与市政协关于加强社区法治建议提案办理工作</w:t>
      </w:r>
      <w:r>
        <w:rPr>
          <w:rFonts w:hint="eastAsia" w:ascii="仿宋_GB2312" w:hAnsi="仿宋_GB2312" w:eastAsia="仿宋_GB2312" w:cs="仿宋_GB2312"/>
          <w:color w:val="auto"/>
          <w:sz w:val="32"/>
          <w:szCs w:val="32"/>
          <w:lang w:val="en-US" w:eastAsia="zh-CN"/>
        </w:rPr>
        <w:t>,接待</w:t>
      </w:r>
      <w:r>
        <w:rPr>
          <w:rFonts w:hint="eastAsia" w:ascii="仿宋_GB2312" w:hAnsi="仿宋_GB2312" w:eastAsia="仿宋_GB2312" w:cs="仿宋_GB2312"/>
          <w:color w:val="auto"/>
          <w:sz w:val="32"/>
          <w:szCs w:val="32"/>
        </w:rPr>
        <w:t>金额</w:t>
      </w:r>
      <w:r>
        <w:rPr>
          <w:rFonts w:hint="eastAsia" w:ascii="仿宋_GB2312" w:hAnsi="仿宋_GB2312" w:eastAsia="仿宋_GB2312" w:cs="仿宋_GB2312"/>
          <w:color w:val="auto"/>
          <w:sz w:val="32"/>
          <w:szCs w:val="32"/>
          <w:lang w:val="en-US" w:eastAsia="zh-CN"/>
        </w:rPr>
        <w:t>400元;市司法局关于开展司法所各项工作督查,接待金额350元;渠县司法所到我局进行学习交流,接待金额435元等</w:t>
      </w:r>
      <w:r>
        <w:rPr>
          <w:rFonts w:hint="eastAsia" w:ascii="仿宋_GB2312" w:hAnsi="仿宋_GB2312" w:eastAsia="仿宋_GB2312" w:cs="仿宋_GB2312"/>
          <w:color w:val="auto"/>
          <w:sz w:val="32"/>
          <w:szCs w:val="32"/>
        </w:rPr>
        <w:t>。其中：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外事接待支出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万元，外事接待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人，共计支出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78"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其他国内公务接待支出</w:t>
      </w:r>
      <w:r>
        <w:rPr>
          <w:rFonts w:hint="eastAsia" w:ascii="仿宋_GB2312" w:hAnsi="仿宋_GB2312" w:eastAsia="仿宋_GB2312" w:cs="仿宋_GB2312"/>
          <w:sz w:val="32"/>
          <w:szCs w:val="32"/>
          <w:lang w:val="en-US" w:eastAsia="zh-CN"/>
        </w:rPr>
        <w:t>2.97</w:t>
      </w:r>
      <w:r>
        <w:rPr>
          <w:rFonts w:hint="eastAsia" w:ascii="仿宋_GB2312" w:hAnsi="仿宋_GB2312" w:eastAsia="仿宋_GB2312" w:cs="仿宋_GB2312"/>
          <w:sz w:val="32"/>
          <w:szCs w:val="32"/>
        </w:rPr>
        <w:t>万元，主要用于</w:t>
      </w:r>
      <w:bookmarkStart w:id="54" w:name="_Toc15396610"/>
      <w:bookmarkStart w:id="55" w:name="_Toc15377218"/>
      <w:r>
        <w:rPr>
          <w:rFonts w:hint="eastAsia" w:ascii="仿宋_GB2312" w:hAnsi="仿宋_GB2312" w:eastAsia="仿宋_GB2312" w:cs="仿宋_GB2312"/>
          <w:sz w:val="32"/>
          <w:szCs w:val="32"/>
        </w:rPr>
        <w:t>执行公务、开展业务活动开支</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住宿费、用餐费等</w:t>
      </w:r>
      <w:r>
        <w:rPr>
          <w:rFonts w:hint="eastAsia" w:ascii="仿宋_GB2312" w:hAnsi="仿宋_GB2312" w:eastAsia="仿宋_GB2312" w:cs="仿宋_GB2312"/>
          <w:sz w:val="32"/>
          <w:szCs w:val="32"/>
          <w:lang w:eastAsia="zh-CN"/>
        </w:rPr>
        <w:t>。</w:t>
      </w:r>
    </w:p>
    <w:p>
      <w:pPr>
        <w:spacing w:line="578"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4"/>
      <w:bookmarkEnd w:id="55"/>
    </w:p>
    <w:p>
      <w:pPr>
        <w:spacing w:line="578" w:lineRule="exact"/>
        <w:ind w:firstLine="643" w:firstLineChars="200"/>
        <w:outlineLvl w:val="2"/>
        <w:rPr>
          <w:rFonts w:ascii="仿宋" w:hAnsi="仿宋" w:eastAsia="仿宋"/>
          <w:b/>
          <w:color w:val="000000"/>
          <w:sz w:val="32"/>
          <w:szCs w:val="32"/>
        </w:rPr>
      </w:pPr>
      <w:bookmarkStart w:id="56" w:name="_Toc15396611"/>
      <w:bookmarkStart w:id="57" w:name="_Toc15377219"/>
      <w:r>
        <w:rPr>
          <w:rFonts w:hint="eastAsia" w:ascii="仿宋" w:hAnsi="仿宋" w:eastAsia="仿宋"/>
          <w:b/>
          <w:color w:val="000000"/>
          <w:sz w:val="32"/>
          <w:szCs w:val="32"/>
        </w:rPr>
        <w:t>（一）政府性基金预算财政拨款支出决算总体情况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2018年政府性基金预算财政拨款支出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%。与2017年相比，政府性基金预算财政拨款增加/减少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万元，增长/下降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spacing w:line="578"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（二）政府性基金预算财政拨款支出决算结构情况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2018年政府性基金预算财政拨款支出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万元，主要用于以下方面:文化体育与传媒支出（类）支出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%；社会保障和就业支出（类）</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%；城乡社区支出（类）支出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%；农林水支出（类）支出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%；商业服务业等（类）支出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spacing w:line="578"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（三）政府性基金预算财政拨款支出决算具体情况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2018年政府性基金预算支出决算数为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1.文化体育与传媒支出（类）***（款）***（项）: 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%，决算数小于/等于预算数的主要原因是…。</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2.社会保障和就业支出（类）***（款）***（项）: 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%，决算数小于/等于预算数的主要原因是…。</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3.城乡社区支出（类）***（款）***（项）: 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%，决算数小于/等于预算数的主要原因是…。</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4.农林水支出（类）***（款）***（项）: 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%，决算数小于/等于预算数的主要原因是…。</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5.商业服务业等（类）***（款）***（项）: 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%，决算数小于/等于预算数的主要原因是…。</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7.其他支出（类）***（款）***（项）:支出决算为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%，决算数小于/等于预算数的主要原因是…。</w:t>
      </w:r>
    </w:p>
    <w:p>
      <w:pPr>
        <w:numPr>
          <w:ilvl w:val="0"/>
          <w:numId w:val="3"/>
        </w:numPr>
        <w:spacing w:line="578" w:lineRule="exact"/>
        <w:ind w:firstLine="640"/>
        <w:outlineLvl w:val="1"/>
        <w:rPr>
          <w:rStyle w:val="25"/>
          <w:rFonts w:ascii="黑体" w:hAnsi="黑体" w:eastAsia="黑体"/>
          <w:b w:val="0"/>
        </w:rPr>
      </w:pPr>
      <w:r>
        <w:rPr>
          <w:rStyle w:val="25"/>
          <w:rFonts w:hint="eastAsia" w:ascii="黑体" w:hAnsi="黑体" w:eastAsia="黑体"/>
          <w:b w:val="0"/>
        </w:rPr>
        <w:t>国有资本经营预算支出决算情况说明</w:t>
      </w:r>
      <w:bookmarkEnd w:id="56"/>
      <w:bookmarkEnd w:id="57"/>
    </w:p>
    <w:p>
      <w:pPr>
        <w:spacing w:line="578" w:lineRule="exact"/>
        <w:ind w:firstLine="640"/>
        <w:rPr>
          <w:rFonts w:ascii="仿宋_GB2312" w:eastAsia="仿宋_GB2312"/>
          <w:color w:val="000000"/>
          <w:sz w:val="32"/>
          <w:szCs w:val="32"/>
        </w:rPr>
      </w:pPr>
      <w:r>
        <w:rPr>
          <w:rFonts w:hint="eastAsia" w:ascii="仿宋_GB2312" w:hAnsi="仿宋_GB2312" w:eastAsia="仿宋_GB2312" w:cs="仿宋_GB2312"/>
          <w:sz w:val="32"/>
          <w:szCs w:val="32"/>
        </w:rPr>
        <w:t>2018年国有资本经营预算拨款支出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pStyle w:val="23"/>
        <w:numPr>
          <w:ilvl w:val="0"/>
          <w:numId w:val="4"/>
        </w:numPr>
        <w:spacing w:line="578"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5"/>
        </w:numPr>
        <w:spacing w:line="578"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个项目开展了绩效目标完成情况梳理填报。</w:t>
      </w:r>
    </w:p>
    <w:p>
      <w:pPr>
        <w:spacing w:line="578"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本部门按要求对2018年部门整体支出开展绩效自评，从评价情况来看</w:t>
      </w:r>
      <w:r>
        <w:rPr>
          <w:rFonts w:hint="eastAsia" w:ascii="仿宋_GB2312" w:hAnsi="仿宋_GB2312" w:eastAsia="仿宋_GB2312" w:cs="仿宋_GB2312"/>
          <w:color w:val="auto"/>
          <w:sz w:val="32"/>
          <w:szCs w:val="32"/>
          <w:lang w:val="en-US" w:eastAsia="zh-CN"/>
        </w:rPr>
        <w:t>,自评得分为87分</w:t>
      </w:r>
      <w:r>
        <w:rPr>
          <w:rFonts w:hint="eastAsia" w:ascii="仿宋_GB2312" w:hAnsi="仿宋_GB2312" w:eastAsia="仿宋_GB2312" w:cs="仿宋_GB2312"/>
          <w:color w:val="auto"/>
          <w:sz w:val="32"/>
          <w:szCs w:val="32"/>
        </w:rPr>
        <w:t>。评价部门绩效目标实际实现程度与预期目标</w:t>
      </w:r>
      <w:r>
        <w:rPr>
          <w:rFonts w:hint="eastAsia" w:ascii="仿宋_GB2312" w:hAnsi="仿宋_GB2312" w:eastAsia="仿宋_GB2312" w:cs="仿宋_GB2312"/>
          <w:color w:val="auto"/>
          <w:sz w:val="32"/>
          <w:szCs w:val="32"/>
          <w:lang w:eastAsia="zh-CN"/>
        </w:rPr>
        <w:t>存在轻微的偏离</w:t>
      </w:r>
      <w:r>
        <w:rPr>
          <w:rFonts w:hint="eastAsia" w:ascii="仿宋_GB2312" w:hAnsi="仿宋_GB2312" w:eastAsia="仿宋_GB2312" w:cs="仿宋_GB2312"/>
          <w:color w:val="auto"/>
          <w:sz w:val="32"/>
          <w:szCs w:val="32"/>
          <w:lang w:val="en-US" w:eastAsia="zh-CN"/>
        </w:rPr>
        <w:t>,开展绩效运行监控后，将绩效监控结果还未能百分之百的应用到预算调整。根据绩效管理结果整改问题、完善政策、改进管理等还有待提高</w:t>
      </w:r>
      <w:r>
        <w:rPr>
          <w:rFonts w:hint="eastAsia" w:ascii="仿宋_GB2312" w:hAnsi="仿宋_GB2312" w:eastAsia="仿宋_GB2312" w:cs="仿宋_GB2312"/>
          <w:color w:val="auto"/>
          <w:sz w:val="32"/>
          <w:szCs w:val="32"/>
        </w:rPr>
        <w:t>。</w:t>
      </w:r>
    </w:p>
    <w:p>
      <w:pPr>
        <w:numPr>
          <w:ilvl w:val="0"/>
          <w:numId w:val="5"/>
        </w:numPr>
        <w:spacing w:line="578"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“XXXXX”等X个项目绩效目标实际完成情况。（本单位部门项目绩效目标个数在5个以上的，选取5个项目进行公开，目标个数在5个以下的，全部进行公开，公开内容包括完成情况综述和完成情况表）。</w:t>
      </w:r>
    </w:p>
    <w:p>
      <w:pPr>
        <w:numPr>
          <w:ilvl w:val="0"/>
          <w:numId w:val="6"/>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6"/>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6"/>
        </w:num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tabs>
          <w:tab w:val="left" w:pos="312"/>
        </w:tabs>
        <w:spacing w:line="578"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spacing w:line="578" w:lineRule="exact"/>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8" w:lineRule="exact"/>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hAnsi="宋体" w:cs="宋体"/>
                <w:color w:val="000000"/>
                <w:sz w:val="24"/>
              </w:rPr>
            </w:pPr>
          </w:p>
        </w:tc>
      </w:tr>
    </w:tbl>
    <w:p>
      <w:pPr>
        <w:spacing w:line="578" w:lineRule="exact"/>
        <w:rPr>
          <w:rFonts w:ascii="Calibri" w:hAnsi="Calibri"/>
        </w:rPr>
      </w:pPr>
    </w:p>
    <w:p>
      <w:pPr>
        <w:spacing w:line="578" w:lineRule="exact"/>
        <w:rPr>
          <w:rFonts w:ascii="仿宋_GB2312" w:hAnsi="仿宋_GB2312" w:eastAsia="仿宋_GB2312" w:cs="仿宋_GB2312"/>
          <w:sz w:val="32"/>
          <w:szCs w:val="32"/>
        </w:rPr>
      </w:pPr>
    </w:p>
    <w:p>
      <w:pPr>
        <w:numPr>
          <w:ilvl w:val="0"/>
          <w:numId w:val="5"/>
        </w:numPr>
        <w:spacing w:line="578"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大竹县司法局</w:t>
      </w:r>
      <w:r>
        <w:rPr>
          <w:rFonts w:hint="eastAsia" w:ascii="仿宋_GB2312" w:hAnsi="仿宋_GB2312" w:eastAsia="仿宋_GB2312" w:cs="仿宋_GB2312"/>
          <w:sz w:val="32"/>
          <w:szCs w:val="32"/>
        </w:rPr>
        <w:t>2018年部门整体支出绩效评价报告》见附件。</w:t>
      </w:r>
    </w:p>
    <w:p>
      <w:pPr>
        <w:spacing w:line="578" w:lineRule="exact"/>
        <w:ind w:firstLine="640"/>
        <w:rPr>
          <w:rFonts w:hint="eastAsia" w:ascii="方正小标宋简体" w:hAnsi="方正小标宋简体" w:eastAsia="仿宋_GB2312" w:cs="方正小标宋简体"/>
          <w:color w:val="auto"/>
          <w:sz w:val="44"/>
          <w:szCs w:val="44"/>
          <w:lang w:eastAsia="zh-CN"/>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en-US" w:eastAsia="zh-CN"/>
        </w:rPr>
        <w:t>0个</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0个</w:t>
      </w:r>
      <w:r>
        <w:rPr>
          <w:rFonts w:hint="eastAsia" w:ascii="仿宋_GB2312" w:hAnsi="仿宋_GB2312" w:eastAsia="仿宋_GB2312" w:cs="仿宋_GB2312"/>
          <w:sz w:val="32"/>
          <w:szCs w:val="32"/>
        </w:rPr>
        <w:t>项目开展了绩效评价，《XXX项目2018年绩效评价报告》见附件。（非涉密部门均需公开部门整体支出评价报告，部门自行组织的绩效评价情况根据部门实际公开）</w:t>
      </w:r>
    </w:p>
    <w:p>
      <w:pPr>
        <w:spacing w:line="578" w:lineRule="exact"/>
        <w:ind w:firstLine="800" w:firstLineChars="250"/>
        <w:outlineLvl w:val="1"/>
        <w:rPr>
          <w:rStyle w:val="25"/>
          <w:rFonts w:ascii="黑体" w:hAnsi="黑体" w:eastAsia="黑体"/>
        </w:rPr>
      </w:pPr>
      <w:bookmarkStart w:id="58" w:name="_Toc15396612"/>
      <w:bookmarkStart w:id="59"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8"/>
      <w:bookmarkEnd w:id="59"/>
    </w:p>
    <w:p>
      <w:pPr>
        <w:spacing w:line="578" w:lineRule="exact"/>
        <w:ind w:firstLine="643" w:firstLineChars="200"/>
        <w:outlineLvl w:val="2"/>
        <w:rPr>
          <w:rFonts w:ascii="仿宋" w:hAnsi="仿宋" w:eastAsia="仿宋"/>
          <w:color w:val="000000"/>
          <w:sz w:val="32"/>
          <w:szCs w:val="32"/>
        </w:rPr>
      </w:pPr>
      <w:bookmarkStart w:id="60" w:name="_Toc15377222"/>
      <w:r>
        <w:rPr>
          <w:rFonts w:hint="eastAsia" w:ascii="仿宋" w:hAnsi="仿宋" w:eastAsia="仿宋"/>
          <w:b/>
          <w:color w:val="000000"/>
          <w:sz w:val="32"/>
          <w:szCs w:val="32"/>
        </w:rPr>
        <w:t>（一）机关运行经费支出情况</w:t>
      </w:r>
      <w:bookmarkEnd w:id="60"/>
    </w:p>
    <w:p>
      <w:pPr>
        <w:spacing w:line="578" w:lineRule="exact"/>
        <w:ind w:firstLine="640"/>
        <w:rPr>
          <w:rFonts w:ascii="仿宋" w:hAnsi="仿宋" w:eastAsia="仿宋"/>
          <w:b/>
          <w:color w:val="000000"/>
          <w:sz w:val="32"/>
          <w:szCs w:val="32"/>
        </w:rPr>
      </w:pPr>
      <w:r>
        <w:rPr>
          <w:rFonts w:hint="eastAsia" w:ascii="仿宋_GB2312" w:hAnsi="仿宋_GB2312" w:eastAsia="仿宋_GB2312" w:cs="仿宋_GB2312"/>
          <w:color w:val="auto"/>
          <w:sz w:val="32"/>
          <w:szCs w:val="32"/>
        </w:rPr>
        <w:t>2018年，</w:t>
      </w:r>
      <w:r>
        <w:rPr>
          <w:rFonts w:hint="eastAsia" w:ascii="仿宋_GB2312" w:hAnsi="仿宋_GB2312" w:eastAsia="仿宋_GB2312" w:cs="仿宋_GB2312"/>
          <w:color w:val="auto"/>
          <w:sz w:val="32"/>
          <w:szCs w:val="32"/>
          <w:lang w:eastAsia="zh-CN"/>
        </w:rPr>
        <w:t>大竹县司法局</w:t>
      </w:r>
      <w:r>
        <w:rPr>
          <w:rFonts w:hint="eastAsia" w:ascii="仿宋_GB2312" w:hAnsi="仿宋_GB2312" w:eastAsia="仿宋_GB2312" w:cs="仿宋_GB2312"/>
          <w:color w:val="auto"/>
          <w:sz w:val="32"/>
          <w:szCs w:val="32"/>
        </w:rPr>
        <w:t>机关运行经费支出</w:t>
      </w:r>
      <w:r>
        <w:rPr>
          <w:rFonts w:hint="eastAsia" w:ascii="仿宋_GB2312" w:hAnsi="仿宋_GB2312" w:eastAsia="仿宋_GB2312" w:cs="仿宋_GB2312"/>
          <w:color w:val="auto"/>
          <w:sz w:val="32"/>
          <w:szCs w:val="32"/>
          <w:lang w:val="en-US" w:eastAsia="zh-CN"/>
        </w:rPr>
        <w:t>223.71</w:t>
      </w:r>
      <w:r>
        <w:rPr>
          <w:rFonts w:hint="eastAsia" w:ascii="仿宋_GB2312" w:hAnsi="仿宋_GB2312" w:eastAsia="仿宋_GB2312" w:cs="仿宋_GB2312"/>
          <w:color w:val="auto"/>
          <w:sz w:val="32"/>
          <w:szCs w:val="32"/>
        </w:rPr>
        <w:t>万元，比2017年减少</w:t>
      </w:r>
      <w:r>
        <w:rPr>
          <w:rFonts w:hint="eastAsia" w:ascii="仿宋_GB2312" w:hAnsi="仿宋_GB2312" w:eastAsia="仿宋_GB2312" w:cs="仿宋_GB2312"/>
          <w:color w:val="auto"/>
          <w:sz w:val="32"/>
          <w:szCs w:val="32"/>
          <w:lang w:val="en-US" w:eastAsia="zh-CN"/>
        </w:rPr>
        <w:t>191.85</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46.17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决算口径的变化</w:t>
      </w:r>
      <w:r>
        <w:rPr>
          <w:rFonts w:hint="eastAsia" w:ascii="仿宋_GB2312" w:hAnsi="仿宋_GB2312" w:eastAsia="仿宋_GB2312" w:cs="仿宋_GB2312"/>
          <w:color w:val="auto"/>
          <w:sz w:val="32"/>
          <w:szCs w:val="32"/>
        </w:rPr>
        <w:t>。</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bookmarkStart w:id="61" w:name="_Toc15377223"/>
      <w:r>
        <w:rPr>
          <w:rFonts w:hint="eastAsia" w:ascii="仿宋" w:hAnsi="仿宋" w:eastAsia="仿宋"/>
          <w:b/>
          <w:color w:val="000000"/>
          <w:sz w:val="32"/>
          <w:szCs w:val="32"/>
        </w:rPr>
        <w:t>（二）政府采购支出情况</w:t>
      </w:r>
      <w:bookmarkEnd w:id="61"/>
    </w:p>
    <w:p>
      <w:pPr>
        <w:spacing w:line="578"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eastAsia="zh-CN"/>
        </w:rPr>
        <w:t>大竹县司法局</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223.72</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195.07</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28.65</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主要用于</w:t>
      </w:r>
      <w:r>
        <w:rPr>
          <w:rFonts w:hint="eastAsia" w:ascii="仿宋_GB2312" w:hAnsi="仿宋_GB2312" w:eastAsia="仿宋_GB2312" w:cs="仿宋_GB2312"/>
          <w:color w:val="auto"/>
          <w:sz w:val="32"/>
          <w:szCs w:val="32"/>
          <w:lang w:eastAsia="zh-CN"/>
        </w:rPr>
        <w:t>司法所规范化建设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数据司法智慧司法指挥平台建设</w:t>
      </w:r>
      <w:r>
        <w:rPr>
          <w:rFonts w:hint="eastAsia" w:ascii="仿宋_GB2312" w:hAnsi="仿宋_GB2312" w:eastAsia="仿宋_GB2312" w:cs="仿宋_GB2312"/>
          <w:color w:val="auto"/>
          <w:sz w:val="32"/>
          <w:szCs w:val="32"/>
        </w:rPr>
        <w:t>。授予中小企业合同金额</w:t>
      </w:r>
      <w:r>
        <w:rPr>
          <w:rFonts w:hint="eastAsia" w:ascii="仿宋_GB2312" w:hAnsi="仿宋_GB2312" w:eastAsia="仿宋_GB2312" w:cs="仿宋_GB2312"/>
          <w:color w:val="auto"/>
          <w:sz w:val="32"/>
          <w:szCs w:val="32"/>
          <w:lang w:val="en-US" w:eastAsia="zh-CN"/>
        </w:rPr>
        <w:t>223.72</w:t>
      </w:r>
      <w:r>
        <w:rPr>
          <w:rFonts w:hint="eastAsia" w:ascii="仿宋_GB2312" w:hAnsi="仿宋_GB2312" w:eastAsia="仿宋_GB2312" w:cs="仿宋_GB2312"/>
          <w:color w:val="auto"/>
          <w:sz w:val="32"/>
          <w:szCs w:val="32"/>
        </w:rPr>
        <w:t>万元，占政府采购支出总额的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%，其中：授予小微企业合同金额</w:t>
      </w:r>
      <w:r>
        <w:rPr>
          <w:rFonts w:hint="eastAsia" w:ascii="仿宋_GB2312" w:hAnsi="仿宋_GB2312" w:eastAsia="仿宋_GB2312" w:cs="仿宋_GB2312"/>
          <w:color w:val="auto"/>
          <w:sz w:val="32"/>
          <w:szCs w:val="32"/>
          <w:lang w:val="en-US" w:eastAsia="zh-CN"/>
        </w:rPr>
        <w:t>223.72</w:t>
      </w:r>
      <w:r>
        <w:rPr>
          <w:rFonts w:hint="eastAsia" w:ascii="仿宋_GB2312" w:hAnsi="仿宋_GB2312" w:eastAsia="仿宋_GB2312" w:cs="仿宋_GB2312"/>
          <w:color w:val="auto"/>
          <w:sz w:val="32"/>
          <w:szCs w:val="32"/>
        </w:rPr>
        <w:t>万元，占政府采购支出总额的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bookmarkStart w:id="62" w:name="_Toc15377224"/>
      <w:r>
        <w:rPr>
          <w:rFonts w:hint="eastAsia" w:ascii="仿宋" w:hAnsi="仿宋" w:eastAsia="仿宋"/>
          <w:b/>
          <w:color w:val="000000"/>
          <w:sz w:val="32"/>
          <w:szCs w:val="32"/>
        </w:rPr>
        <w:t>（三）国有资产占有使用情况</w:t>
      </w:r>
      <w:bookmarkEnd w:id="62"/>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截至2018年12月31日，</w:t>
      </w:r>
      <w:r>
        <w:rPr>
          <w:rFonts w:hint="eastAsia" w:ascii="仿宋_GB2312" w:hAnsi="仿宋_GB2312" w:eastAsia="仿宋_GB2312" w:cs="仿宋_GB2312"/>
          <w:sz w:val="32"/>
          <w:szCs w:val="32"/>
          <w:lang w:eastAsia="zh-CN"/>
        </w:rPr>
        <w:t>大竹县司法局</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辆，其中：部级领导干部用车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辆，单价50万元以上通用设备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7"/>
        </w:numPr>
        <w:spacing w:line="600" w:lineRule="exact"/>
        <w:ind w:firstLine="663" w:firstLineChars="150"/>
        <w:jc w:val="center"/>
        <w:outlineLvl w:val="0"/>
        <w:rPr>
          <w:rStyle w:val="24"/>
          <w:rFonts w:ascii="黑体" w:hAnsi="黑体" w:eastAsia="黑体"/>
          <w:b w:val="0"/>
        </w:rPr>
      </w:pPr>
      <w:bookmarkStart w:id="63" w:name="_Toc15396613"/>
      <w:bookmarkStart w:id="64"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63"/>
      <w:bookmarkEnd w:id="64"/>
    </w:p>
    <w:p>
      <w:pPr>
        <w:spacing w:line="600" w:lineRule="exact"/>
        <w:jc w:val="left"/>
        <w:rPr>
          <w:rFonts w:ascii="宋体"/>
          <w:b/>
          <w:color w:val="000000"/>
          <w:sz w:val="44"/>
          <w:szCs w:val="44"/>
        </w:rPr>
      </w:pP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.年初结转和结余：指以前年度尚未完成、结转到本年按有关规定继续使用的资金。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.结余分配：指事业单位按照事业单位会计制度的规定从非财政补助结余中分配的事业基金和职工福利基金等。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、年末结转和结余：指单位按有关规定结转到下年或以后年度继续使用的资金。</w:t>
      </w:r>
    </w:p>
    <w:p>
      <w:pPr>
        <w:spacing w:line="600" w:lineRule="exact"/>
        <w:ind w:firstLine="640"/>
        <w:rPr>
          <w:rFonts w:ascii="仿宋_GB2312" w:hAnsi="仿宋_GB2312" w:eastAsia="仿宋_GB2312" w:cs="仿宋_GB2312"/>
          <w:color w:val="18AAE6"/>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一般公共服务</w:t>
      </w:r>
      <w:r>
        <w:rPr>
          <w:rFonts w:hint="eastAsia" w:ascii="仿宋_GB2312" w:hAnsi="仿宋_GB2312" w:eastAsia="仿宋_GB2312" w:cs="仿宋_GB2312"/>
          <w:sz w:val="32"/>
          <w:szCs w:val="32"/>
          <w:lang w:eastAsia="zh-CN"/>
        </w:rPr>
        <w:t>支出</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201</w:t>
      </w:r>
      <w:r>
        <w:rPr>
          <w:rFonts w:hint="eastAsia" w:ascii="仿宋_GB2312" w:hAnsi="仿宋_GB2312" w:eastAsia="仿宋_GB2312" w:cs="Times New Roman"/>
          <w:kern w:val="1"/>
          <w:sz w:val="32"/>
          <w:szCs w:val="32"/>
        </w:rPr>
        <w:t>）</w:t>
      </w:r>
      <w:r>
        <w:rPr>
          <w:rFonts w:hint="eastAsia" w:ascii="仿宋_GB2312" w:hAnsi="仿宋_GB2312" w:eastAsia="仿宋_GB2312" w:cs="仿宋_GB2312"/>
          <w:sz w:val="32"/>
          <w:szCs w:val="32"/>
          <w:lang w:val="en-US" w:eastAsia="zh-CN"/>
        </w:rPr>
        <w:t>其他一般公共服务支出</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99</w:t>
      </w:r>
      <w:r>
        <w:rPr>
          <w:rFonts w:hint="eastAsia" w:ascii="仿宋_GB2312" w:hAnsi="仿宋_GB2312" w:eastAsia="仿宋_GB2312" w:cs="Times New Roman"/>
          <w:kern w:val="1"/>
          <w:sz w:val="32"/>
          <w:szCs w:val="32"/>
        </w:rPr>
        <w:t>）</w:t>
      </w:r>
      <w:r>
        <w:rPr>
          <w:rFonts w:hint="eastAsia" w:ascii="仿宋_GB2312" w:hAnsi="仿宋_GB2312" w:eastAsia="仿宋_GB2312" w:cs="仿宋_GB2312"/>
          <w:sz w:val="32"/>
          <w:szCs w:val="32"/>
          <w:lang w:val="en-US" w:eastAsia="zh-CN"/>
        </w:rPr>
        <w:t>其他一般公共服务支出</w:t>
      </w:r>
      <w:r>
        <w:rPr>
          <w:rFonts w:hint="eastAsia" w:ascii="仿宋_GB2312" w:hAnsi="仿宋_GB2312" w:eastAsia="仿宋_GB2312" w:cs="Times New Roman"/>
          <w:kern w:val="1"/>
          <w:sz w:val="32"/>
          <w:szCs w:val="32"/>
        </w:rPr>
        <w:t>（</w:t>
      </w:r>
      <w:r>
        <w:rPr>
          <w:rFonts w:hint="eastAsia" w:ascii="仿宋_GB2312" w:hAnsi="仿宋_GB2312" w:eastAsia="仿宋_GB2312" w:cs="仿宋_GB2312"/>
          <w:sz w:val="32"/>
          <w:szCs w:val="32"/>
          <w:lang w:val="en-US" w:eastAsia="zh-CN"/>
        </w:rPr>
        <w:t>99）：指</w:t>
      </w:r>
      <w:r>
        <w:rPr>
          <w:rFonts w:hint="eastAsia" w:ascii="仿宋_GB2312" w:hAnsi="仿宋_GB2312" w:eastAsia="仿宋_GB2312" w:cs="Times New Roman"/>
          <w:kern w:val="1"/>
          <w:sz w:val="32"/>
          <w:szCs w:val="32"/>
          <w:lang w:eastAsia="zh-CN"/>
        </w:rPr>
        <w:t>未单独设置项级科目的其他一般公共服务</w:t>
      </w:r>
      <w:r>
        <w:rPr>
          <w:rFonts w:ascii="仿宋_GB2312" w:hAnsi="仿宋_GB2312" w:eastAsia="仿宋_GB2312" w:cs="Times New Roman"/>
          <w:kern w:val="1"/>
          <w:sz w:val="32"/>
          <w:szCs w:val="32"/>
        </w:rPr>
        <w:t>支出</w:t>
      </w:r>
      <w:r>
        <w:rPr>
          <w:rFonts w:hint="eastAsia" w:ascii="仿宋_GB2312" w:hAnsi="仿宋_GB2312" w:eastAsia="仿宋_GB2312" w:cs="仿宋_GB2312"/>
          <w:sz w:val="32"/>
          <w:szCs w:val="32"/>
          <w:lang w:val="en-US" w:eastAsia="zh-CN"/>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ascii="仿宋_GB2312" w:hAnsi="仿宋_GB2312" w:eastAsia="仿宋_GB2312" w:cs="Times New Roman"/>
          <w:kern w:val="1"/>
          <w:sz w:val="32"/>
          <w:szCs w:val="32"/>
        </w:rPr>
        <w:t>公共安全</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204</w:t>
      </w:r>
      <w:r>
        <w:rPr>
          <w:rFonts w:hint="eastAsia" w:ascii="仿宋_GB2312" w:hAnsi="仿宋_GB2312" w:eastAsia="仿宋_GB2312" w:cs="Times New Roman"/>
          <w:kern w:val="1"/>
          <w:sz w:val="32"/>
          <w:szCs w:val="32"/>
        </w:rPr>
        <w:t>）</w:t>
      </w:r>
      <w:r>
        <w:rPr>
          <w:rFonts w:ascii="仿宋_GB2312" w:hAnsi="仿宋_GB2312" w:eastAsia="仿宋_GB2312" w:cs="Times New Roman"/>
          <w:kern w:val="1"/>
          <w:sz w:val="32"/>
          <w:szCs w:val="32"/>
        </w:rPr>
        <w:t>司法</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06</w:t>
      </w:r>
      <w:r>
        <w:rPr>
          <w:rFonts w:hint="eastAsia" w:ascii="仿宋_GB2312" w:hAnsi="仿宋_GB2312" w:eastAsia="仿宋_GB2312" w:cs="Times New Roman"/>
          <w:kern w:val="1"/>
          <w:sz w:val="32"/>
          <w:szCs w:val="32"/>
        </w:rPr>
        <w:t>）</w:t>
      </w:r>
      <w:r>
        <w:rPr>
          <w:rFonts w:ascii="仿宋_GB2312" w:hAnsi="仿宋_GB2312" w:eastAsia="仿宋_GB2312" w:cs="Times New Roman"/>
          <w:kern w:val="1"/>
          <w:sz w:val="32"/>
          <w:szCs w:val="32"/>
        </w:rPr>
        <w:t>行政运行</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01</w:t>
      </w:r>
      <w:r>
        <w:rPr>
          <w:rFonts w:hint="eastAsia" w:ascii="仿宋_GB2312" w:hAnsi="仿宋_GB2312" w:eastAsia="仿宋_GB2312" w:cs="Times New Roman"/>
          <w:kern w:val="1"/>
          <w:sz w:val="32"/>
          <w:szCs w:val="32"/>
        </w:rPr>
        <w:t>）</w:t>
      </w:r>
      <w:r>
        <w:rPr>
          <w:rFonts w:ascii="仿宋_GB2312" w:hAnsi="仿宋_GB2312" w:eastAsia="仿宋_GB2312" w:cs="Times New Roman"/>
          <w:kern w:val="1"/>
          <w:sz w:val="32"/>
          <w:szCs w:val="32"/>
        </w:rPr>
        <w:t>：指反映行政单位(包括实行公务员管理的事业单位)的基本支出。</w:t>
      </w:r>
    </w:p>
    <w:p>
      <w:pPr>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ascii="仿宋_GB2312" w:hAnsi="仿宋_GB2312" w:eastAsia="仿宋_GB2312" w:cs="Times New Roman"/>
          <w:kern w:val="1"/>
          <w:sz w:val="32"/>
          <w:szCs w:val="32"/>
        </w:rPr>
        <w:t>公共安全</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204</w:t>
      </w:r>
      <w:r>
        <w:rPr>
          <w:rFonts w:hint="eastAsia" w:ascii="仿宋_GB2312" w:hAnsi="仿宋_GB2312" w:eastAsia="仿宋_GB2312" w:cs="Times New Roman"/>
          <w:kern w:val="1"/>
          <w:sz w:val="32"/>
          <w:szCs w:val="32"/>
        </w:rPr>
        <w:t>）</w:t>
      </w:r>
      <w:r>
        <w:rPr>
          <w:rFonts w:ascii="仿宋_GB2312" w:hAnsi="仿宋_GB2312" w:eastAsia="仿宋_GB2312" w:cs="Times New Roman"/>
          <w:kern w:val="1"/>
          <w:sz w:val="32"/>
          <w:szCs w:val="32"/>
        </w:rPr>
        <w:t>司法</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06</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eastAsia="zh-CN"/>
        </w:rPr>
        <w:t>一般行政管理事务</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02</w:t>
      </w:r>
      <w:r>
        <w:rPr>
          <w:rFonts w:hint="eastAsia" w:ascii="仿宋_GB2312" w:hAnsi="仿宋_GB2312" w:eastAsia="仿宋_GB2312" w:cs="Times New Roman"/>
          <w:kern w:val="1"/>
          <w:sz w:val="32"/>
          <w:szCs w:val="32"/>
        </w:rPr>
        <w:t>）</w:t>
      </w:r>
      <w:r>
        <w:rPr>
          <w:rFonts w:ascii="仿宋_GB2312" w:hAnsi="仿宋_GB2312" w:eastAsia="仿宋_GB2312" w:cs="Times New Roman"/>
          <w:kern w:val="1"/>
          <w:sz w:val="32"/>
          <w:szCs w:val="32"/>
        </w:rPr>
        <w:t>：指司法行政</w:t>
      </w:r>
      <w:r>
        <w:rPr>
          <w:rFonts w:hint="eastAsia" w:ascii="仿宋_GB2312" w:hAnsi="仿宋_GB2312" w:eastAsia="仿宋_GB2312" w:cs="Times New Roman"/>
          <w:kern w:val="1"/>
          <w:sz w:val="32"/>
          <w:szCs w:val="32"/>
          <w:lang w:eastAsia="zh-CN"/>
        </w:rPr>
        <w:t>单位未单独设置项级科目的其他项目</w:t>
      </w:r>
      <w:r>
        <w:rPr>
          <w:rFonts w:ascii="仿宋_GB2312" w:hAnsi="仿宋_GB2312" w:eastAsia="仿宋_GB2312" w:cs="Times New Roman"/>
          <w:kern w:val="1"/>
          <w:sz w:val="32"/>
          <w:szCs w:val="32"/>
        </w:rPr>
        <w:t>支出。</w:t>
      </w:r>
    </w:p>
    <w:p>
      <w:pPr>
        <w:spacing w:line="600" w:lineRule="exact"/>
        <w:ind w:firstLine="641"/>
        <w:rPr>
          <w:rFonts w:ascii="仿宋_GB2312" w:hAnsi="仿宋_GB2312" w:eastAsia="仿宋_GB2312" w:cs="Times New Roman"/>
          <w:kern w:val="1"/>
          <w:sz w:val="32"/>
          <w:szCs w:val="32"/>
        </w:rPr>
      </w:pPr>
      <w:r>
        <w:rPr>
          <w:rFonts w:hint="eastAsia" w:ascii="仿宋_GB2312" w:hAnsi="仿宋_GB2312" w:eastAsia="仿宋_GB2312" w:cs="Times New Roman"/>
          <w:kern w:val="1"/>
          <w:sz w:val="32"/>
          <w:szCs w:val="32"/>
          <w:lang w:val="en-US" w:eastAsia="zh-CN"/>
        </w:rPr>
        <w:t>8.</w:t>
      </w:r>
      <w:r>
        <w:rPr>
          <w:rFonts w:ascii="仿宋_GB2312" w:hAnsi="仿宋_GB2312" w:eastAsia="仿宋_GB2312" w:cs="Times New Roman"/>
          <w:kern w:val="1"/>
          <w:sz w:val="32"/>
          <w:szCs w:val="32"/>
        </w:rPr>
        <w:t>公共安全</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204</w:t>
      </w:r>
      <w:r>
        <w:rPr>
          <w:rFonts w:hint="eastAsia" w:ascii="仿宋_GB2312" w:hAnsi="仿宋_GB2312" w:eastAsia="仿宋_GB2312" w:cs="Times New Roman"/>
          <w:kern w:val="1"/>
          <w:sz w:val="32"/>
          <w:szCs w:val="32"/>
        </w:rPr>
        <w:t>）</w:t>
      </w:r>
      <w:r>
        <w:rPr>
          <w:rFonts w:ascii="仿宋_GB2312" w:hAnsi="仿宋_GB2312" w:eastAsia="仿宋_GB2312" w:cs="Times New Roman"/>
          <w:kern w:val="1"/>
          <w:sz w:val="32"/>
          <w:szCs w:val="32"/>
        </w:rPr>
        <w:t>司法</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06</w:t>
      </w:r>
      <w:r>
        <w:rPr>
          <w:rFonts w:hint="eastAsia" w:ascii="仿宋_GB2312" w:hAnsi="仿宋_GB2312" w:eastAsia="仿宋_GB2312" w:cs="Times New Roman"/>
          <w:kern w:val="1"/>
          <w:sz w:val="32"/>
          <w:szCs w:val="32"/>
        </w:rPr>
        <w:t>）</w:t>
      </w:r>
      <w:r>
        <w:rPr>
          <w:rFonts w:ascii="仿宋_GB2312" w:hAnsi="仿宋_GB2312" w:eastAsia="仿宋_GB2312" w:cs="Times New Roman"/>
          <w:kern w:val="1"/>
          <w:sz w:val="32"/>
          <w:szCs w:val="32"/>
        </w:rPr>
        <w:t>法律援助</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07</w:t>
      </w:r>
      <w:r>
        <w:rPr>
          <w:rFonts w:hint="eastAsia" w:ascii="仿宋_GB2312" w:hAnsi="仿宋_GB2312" w:eastAsia="仿宋_GB2312" w:cs="Times New Roman"/>
          <w:kern w:val="1"/>
          <w:sz w:val="32"/>
          <w:szCs w:val="32"/>
        </w:rPr>
        <w:t>）</w:t>
      </w:r>
      <w:r>
        <w:rPr>
          <w:rFonts w:ascii="仿宋_GB2312" w:hAnsi="仿宋_GB2312" w:eastAsia="仿宋_GB2312" w:cs="Times New Roman"/>
          <w:kern w:val="1"/>
          <w:sz w:val="32"/>
          <w:szCs w:val="32"/>
        </w:rPr>
        <w:t>：指法律援助机构用于开展法律援助工作的支出。</w:t>
      </w:r>
    </w:p>
    <w:p>
      <w:pPr>
        <w:spacing w:line="600" w:lineRule="exact"/>
        <w:ind w:firstLine="641"/>
        <w:rPr>
          <w:rFonts w:hint="eastAsia" w:ascii="仿宋_GB2312" w:hAnsi="仿宋_GB2312" w:eastAsia="仿宋_GB2312" w:cs="Times New Roman"/>
          <w:kern w:val="1"/>
          <w:sz w:val="32"/>
          <w:szCs w:val="32"/>
          <w:lang w:val="en-US"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公共安全</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204</w:t>
      </w:r>
      <w:r>
        <w:rPr>
          <w:rFonts w:hint="eastAsia" w:ascii="仿宋_GB2312" w:hAnsi="仿宋_GB2312" w:eastAsia="仿宋_GB2312" w:cs="Times New Roman"/>
          <w:kern w:val="1"/>
          <w:sz w:val="32"/>
          <w:szCs w:val="32"/>
        </w:rPr>
        <w:t>）</w:t>
      </w:r>
      <w:r>
        <w:rPr>
          <w:rFonts w:hint="eastAsia" w:ascii="仿宋_GB2312" w:hAnsi="仿宋_GB2312" w:eastAsia="仿宋_GB2312" w:cs="仿宋_GB2312"/>
          <w:color w:val="auto"/>
          <w:sz w:val="32"/>
          <w:szCs w:val="32"/>
          <w:lang w:val="en-US" w:eastAsia="zh-CN"/>
        </w:rPr>
        <w:t>司法</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06</w:t>
      </w:r>
      <w:r>
        <w:rPr>
          <w:rFonts w:hint="eastAsia" w:ascii="仿宋_GB2312" w:hAnsi="仿宋_GB2312" w:eastAsia="仿宋_GB2312" w:cs="Times New Roman"/>
          <w:kern w:val="1"/>
          <w:sz w:val="32"/>
          <w:szCs w:val="32"/>
        </w:rPr>
        <w:t>）</w:t>
      </w:r>
      <w:r>
        <w:rPr>
          <w:rFonts w:hint="eastAsia" w:ascii="仿宋_GB2312" w:hAnsi="仿宋_GB2312" w:eastAsia="仿宋_GB2312" w:cs="仿宋_GB2312"/>
          <w:color w:val="auto"/>
          <w:sz w:val="32"/>
          <w:szCs w:val="32"/>
          <w:lang w:val="en-US" w:eastAsia="zh-CN"/>
        </w:rPr>
        <w:t>普法宣传</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05</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:指各级司法行政部门用于组织各种媒体的宣传、普法装备与设施、宣传资料、对外宣传、法制作品的审读评审等方面的支出。</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公共安全</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204</w:t>
      </w:r>
      <w:r>
        <w:rPr>
          <w:rFonts w:hint="eastAsia" w:ascii="仿宋_GB2312" w:hAnsi="仿宋_GB2312" w:eastAsia="仿宋_GB2312" w:cs="Times New Roman"/>
          <w:kern w:val="1"/>
          <w:sz w:val="32"/>
          <w:szCs w:val="32"/>
        </w:rPr>
        <w:t>）</w:t>
      </w:r>
      <w:r>
        <w:rPr>
          <w:rFonts w:hint="eastAsia" w:ascii="仿宋_GB2312" w:hAnsi="仿宋_GB2312" w:eastAsia="仿宋_GB2312" w:cs="仿宋_GB2312"/>
          <w:color w:val="auto"/>
          <w:sz w:val="32"/>
          <w:szCs w:val="32"/>
          <w:lang w:val="en-US" w:eastAsia="zh-CN"/>
        </w:rPr>
        <w:t>司法</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06</w:t>
      </w:r>
      <w:r>
        <w:rPr>
          <w:rFonts w:hint="eastAsia" w:ascii="仿宋_GB2312" w:hAnsi="仿宋_GB2312" w:eastAsia="仿宋_GB2312" w:cs="Times New Roman"/>
          <w:kern w:val="1"/>
          <w:sz w:val="32"/>
          <w:szCs w:val="32"/>
        </w:rPr>
        <w:t>）</w:t>
      </w:r>
      <w:r>
        <w:rPr>
          <w:rFonts w:hint="eastAsia" w:ascii="仿宋_GB2312" w:hAnsi="仿宋_GB2312" w:eastAsia="仿宋_GB2312" w:cs="仿宋_GB2312"/>
          <w:color w:val="auto"/>
          <w:sz w:val="32"/>
          <w:szCs w:val="32"/>
          <w:lang w:val="en-US" w:eastAsia="zh-CN"/>
        </w:rPr>
        <w:t>社区矫正</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10</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:指司法行政部门用于社区矫正的支出.</w:t>
      </w:r>
    </w:p>
    <w:p>
      <w:pPr>
        <w:spacing w:line="600" w:lineRule="exact"/>
        <w:ind w:firstLine="641"/>
        <w:rPr>
          <w:rFonts w:hint="default" w:ascii="仿宋_GB2312" w:hAnsi="仿宋_GB2312" w:eastAsia="仿宋_GB2312" w:cs="Times New Roman"/>
          <w:kern w:val="1"/>
          <w:sz w:val="32"/>
          <w:szCs w:val="32"/>
          <w:lang w:val="en-US" w:eastAsia="zh-CN"/>
        </w:rPr>
      </w:pPr>
    </w:p>
    <w:p>
      <w:pPr>
        <w:spacing w:line="600" w:lineRule="exact"/>
        <w:ind w:firstLine="641"/>
        <w:rPr>
          <w:rFonts w:hint="eastAsia" w:ascii="仿宋_GB2312" w:hAnsi="仿宋_GB2312" w:eastAsia="仿宋_GB2312" w:cs="Times New Roman"/>
          <w:kern w:val="1"/>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ascii="仿宋_GB2312" w:hAnsi="仿宋_GB2312" w:eastAsia="仿宋_GB2312" w:cs="Times New Roman"/>
          <w:kern w:val="1"/>
          <w:sz w:val="32"/>
          <w:szCs w:val="32"/>
        </w:rPr>
        <w:t>社会保障和就业</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208</w:t>
      </w:r>
      <w:r>
        <w:rPr>
          <w:rFonts w:hint="eastAsia" w:ascii="仿宋_GB2312" w:hAnsi="仿宋_GB2312" w:eastAsia="仿宋_GB2312" w:cs="Times New Roman"/>
          <w:kern w:val="1"/>
          <w:sz w:val="32"/>
          <w:szCs w:val="32"/>
        </w:rPr>
        <w:t>）行政事业单位离退休（</w:t>
      </w:r>
      <w:r>
        <w:rPr>
          <w:rFonts w:hint="eastAsia" w:ascii="仿宋_GB2312" w:hAnsi="仿宋_GB2312" w:eastAsia="仿宋_GB2312" w:cs="Times New Roman"/>
          <w:kern w:val="1"/>
          <w:sz w:val="32"/>
          <w:szCs w:val="32"/>
          <w:lang w:val="en-US" w:eastAsia="zh-CN"/>
        </w:rPr>
        <w:t>05</w:t>
      </w:r>
      <w:r>
        <w:rPr>
          <w:rFonts w:hint="eastAsia" w:ascii="仿宋_GB2312" w:hAnsi="仿宋_GB2312" w:eastAsia="仿宋_GB2312" w:cs="Times New Roman"/>
          <w:kern w:val="1"/>
          <w:sz w:val="32"/>
          <w:szCs w:val="32"/>
        </w:rPr>
        <w:t>）未归口管理的行政单位离退休（</w:t>
      </w:r>
      <w:r>
        <w:rPr>
          <w:rFonts w:hint="eastAsia" w:ascii="仿宋_GB2312" w:hAnsi="仿宋_GB2312" w:eastAsia="仿宋_GB2312" w:cs="Times New Roman"/>
          <w:kern w:val="1"/>
          <w:sz w:val="32"/>
          <w:szCs w:val="32"/>
          <w:lang w:val="en-US" w:eastAsia="zh-CN"/>
        </w:rPr>
        <w:t>04</w:t>
      </w:r>
      <w:r>
        <w:rPr>
          <w:rFonts w:hint="eastAsia" w:ascii="仿宋_GB2312" w:hAnsi="仿宋_GB2312" w:eastAsia="仿宋_GB2312" w:cs="Times New Roman"/>
          <w:kern w:val="1"/>
          <w:sz w:val="32"/>
          <w:szCs w:val="32"/>
        </w:rPr>
        <w:t>）：</w:t>
      </w:r>
      <w:r>
        <w:rPr>
          <w:rFonts w:ascii="仿宋_GB2312" w:hAnsi="仿宋_GB2312" w:eastAsia="仿宋_GB2312" w:cs="Times New Roman"/>
          <w:kern w:val="1"/>
          <w:sz w:val="32"/>
          <w:szCs w:val="32"/>
        </w:rPr>
        <w:t>指</w:t>
      </w:r>
      <w:r>
        <w:rPr>
          <w:rFonts w:hint="eastAsia" w:ascii="仿宋_GB2312" w:hAnsi="仿宋_GB2312" w:eastAsia="仿宋_GB2312" w:cs="Times New Roman"/>
          <w:kern w:val="1"/>
          <w:sz w:val="32"/>
          <w:szCs w:val="32"/>
        </w:rPr>
        <w:t>未实行归口管理的行政单位(包括实行公务员管理的事业单位)开支的离退休经费。</w:t>
      </w:r>
    </w:p>
    <w:p>
      <w:pPr>
        <w:spacing w:line="600" w:lineRule="exact"/>
        <w:ind w:firstLine="640"/>
        <w:rPr>
          <w:rFonts w:hint="eastAsia" w:ascii="仿宋_GB2312" w:hAnsi="仿宋_GB2312" w:eastAsia="仿宋_GB2312" w:cs="Times New Roman"/>
          <w:kern w:val="1"/>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Times New Roman"/>
          <w:kern w:val="1"/>
          <w:sz w:val="32"/>
          <w:szCs w:val="32"/>
        </w:rPr>
        <w:t>社会保障和就业</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208</w:t>
      </w:r>
      <w:r>
        <w:rPr>
          <w:rFonts w:hint="eastAsia" w:ascii="仿宋_GB2312" w:hAnsi="仿宋_GB2312" w:eastAsia="仿宋_GB2312" w:cs="Times New Roman"/>
          <w:kern w:val="1"/>
          <w:sz w:val="32"/>
          <w:szCs w:val="32"/>
        </w:rPr>
        <w:t>）行政事业单位离退休（</w:t>
      </w:r>
      <w:r>
        <w:rPr>
          <w:rFonts w:hint="eastAsia" w:ascii="仿宋_GB2312" w:hAnsi="仿宋_GB2312" w:eastAsia="仿宋_GB2312" w:cs="Times New Roman"/>
          <w:kern w:val="1"/>
          <w:sz w:val="32"/>
          <w:szCs w:val="32"/>
          <w:lang w:val="en-US" w:eastAsia="zh-CN"/>
        </w:rPr>
        <w:t>05</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eastAsia="zh-CN"/>
        </w:rPr>
        <w:t>机关事业单位基本养老保险缴费支出</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05</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eastAsia="zh-CN"/>
        </w:rPr>
        <w:t>指司法行政机关事业单位缴纳的基本养老保险费。</w:t>
      </w:r>
    </w:p>
    <w:p>
      <w:pPr>
        <w:spacing w:line="600" w:lineRule="exact"/>
        <w:ind w:firstLine="640"/>
        <w:rPr>
          <w:rFonts w:hint="default" w:ascii="仿宋_GB2312" w:hAnsi="仿宋_GB2312" w:eastAsia="仿宋_GB2312" w:cs="Times New Roman"/>
          <w:kern w:val="1"/>
          <w:sz w:val="32"/>
          <w:szCs w:val="32"/>
          <w:lang w:val="en-US" w:eastAsia="zh-CN"/>
        </w:rPr>
      </w:pPr>
      <w:r>
        <w:rPr>
          <w:rFonts w:hint="eastAsia" w:ascii="仿宋_GB2312" w:hAnsi="仿宋_GB2312" w:eastAsia="仿宋_GB2312" w:cs="仿宋_GB2312"/>
          <w:color w:val="auto"/>
          <w:sz w:val="32"/>
          <w:szCs w:val="32"/>
          <w:lang w:val="en-US" w:eastAsia="zh-CN"/>
        </w:rPr>
        <w:t>13.住房保障支出</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221</w:t>
      </w:r>
      <w:r>
        <w:rPr>
          <w:rFonts w:hint="eastAsia" w:ascii="仿宋_GB2312" w:hAnsi="仿宋_GB2312" w:eastAsia="仿宋_GB2312" w:cs="Times New Roman"/>
          <w:kern w:val="1"/>
          <w:sz w:val="32"/>
          <w:szCs w:val="32"/>
        </w:rPr>
        <w:t>）</w:t>
      </w:r>
      <w:r>
        <w:rPr>
          <w:rFonts w:hint="eastAsia" w:ascii="仿宋_GB2312" w:hAnsi="仿宋_GB2312" w:eastAsia="仿宋_GB2312" w:cs="仿宋_GB2312"/>
          <w:color w:val="auto"/>
          <w:sz w:val="32"/>
          <w:szCs w:val="32"/>
          <w:lang w:val="en-US" w:eastAsia="zh-CN"/>
        </w:rPr>
        <w:t>住房改革支出(02)住房公积金</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01</w:t>
      </w:r>
      <w:r>
        <w:rPr>
          <w:rFonts w:hint="eastAsia" w:ascii="仿宋_GB2312" w:hAnsi="仿宋_GB2312" w:eastAsia="仿宋_GB2312" w:cs="Times New Roman"/>
          <w:kern w:val="1"/>
          <w:sz w:val="32"/>
          <w:szCs w:val="32"/>
        </w:rPr>
        <w:t>）</w:t>
      </w:r>
      <w:r>
        <w:rPr>
          <w:rFonts w:hint="eastAsia" w:ascii="仿宋_GB2312" w:hAnsi="仿宋_GB2312" w:eastAsia="仿宋_GB2312" w:cs="Times New Roman"/>
          <w:kern w:val="1"/>
          <w:sz w:val="32"/>
          <w:szCs w:val="32"/>
          <w:lang w:val="en-US" w:eastAsia="zh-CN"/>
        </w:rPr>
        <w:t>:指行政事业单位按人力资源和社会保障部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财政部规定的基本工资和津贴补贴以及规定比例为职工缴纳的住房公积金</w:t>
      </w:r>
      <w:r>
        <w:rPr>
          <w:rFonts w:hint="eastAsia" w:ascii="仿宋_GB2312" w:hAnsi="仿宋_GB2312" w:eastAsia="仿宋_GB2312" w:cs="Times New Roman"/>
          <w:kern w:val="1"/>
          <w:sz w:val="32"/>
          <w:szCs w:val="32"/>
          <w:lang w:eastAsia="zh-CN"/>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（解释本部门决算报表中全部功能分类科目至项级，请参照《2018年政府收支分类科目》增减内容。）</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.基本支出：指为保障机构正常运转、完成日常工作任务而发生的人员支出和公用支出。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 xml:space="preserve">.项目支出：指在基本支出之外为完成特定行政任务和事业发展目标所发生的支出。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.经营支出：指事业单位在专业业务活动及其辅助活动之外开展非独立核算经营活动发生的支出。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仿宋_GB2312" w:eastAsia="仿宋_GB2312" w:cs="仿宋_GB2312"/>
          <w:color w:val="FF0000"/>
          <w:sz w:val="32"/>
          <w:szCs w:val="32"/>
          <w:lang w:eastAsia="zh-CN"/>
        </w:rPr>
        <w:t>（单位未涉及的可删，类款项要填科目代码）</w:t>
      </w:r>
    </w:p>
    <w:p>
      <w:pPr>
        <w:spacing w:line="600" w:lineRule="exact"/>
        <w:jc w:val="center"/>
        <w:outlineLvl w:val="0"/>
        <w:rPr>
          <w:rStyle w:val="24"/>
          <w:rFonts w:ascii="黑体" w:hAnsi="黑体" w:eastAsia="黑体"/>
          <w:b w:val="0"/>
        </w:rPr>
      </w:pPr>
      <w:bookmarkStart w:id="65" w:name="_Toc15377226"/>
      <w:r>
        <w:rPr>
          <w:rFonts w:ascii="宋体"/>
          <w:b/>
          <w:color w:val="000000"/>
          <w:sz w:val="44"/>
          <w:szCs w:val="44"/>
        </w:rPr>
        <w:br w:type="page"/>
      </w:r>
      <w:bookmarkStart w:id="66"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66"/>
    </w:p>
    <w:p>
      <w:pPr>
        <w:spacing w:line="600" w:lineRule="exact"/>
        <w:jc w:val="center"/>
        <w:outlineLvl w:val="0"/>
        <w:rPr>
          <w:rStyle w:val="24"/>
        </w:rPr>
      </w:pPr>
    </w:p>
    <w:p>
      <w:pPr>
        <w:pStyle w:val="3"/>
        <w:rPr>
          <w:rStyle w:val="24"/>
          <w:rFonts w:ascii="仿宋" w:hAnsi="仿宋" w:eastAsia="仿宋"/>
          <w:b w:val="0"/>
          <w:bCs w:val="0"/>
          <w:sz w:val="32"/>
          <w:szCs w:val="32"/>
        </w:rPr>
      </w:pPr>
      <w:bookmarkStart w:id="67" w:name="_Toc15396615"/>
      <w:r>
        <w:rPr>
          <w:rStyle w:val="24"/>
          <w:rFonts w:hint="eastAsia" w:ascii="仿宋" w:hAnsi="仿宋" w:eastAsia="仿宋"/>
          <w:b w:val="0"/>
          <w:bCs w:val="0"/>
          <w:sz w:val="32"/>
          <w:szCs w:val="32"/>
        </w:rPr>
        <w:t>附件1</w:t>
      </w:r>
      <w:bookmarkEnd w:id="67"/>
    </w:p>
    <w:p>
      <w:pPr>
        <w:spacing w:line="600" w:lineRule="exact"/>
        <w:jc w:val="center"/>
        <w:outlineLvl w:val="0"/>
        <w:rPr>
          <w:rFonts w:ascii="黑体" w:hAnsi="黑体" w:eastAsia="黑体" w:cs="方正小标宋简体"/>
          <w:sz w:val="36"/>
          <w:szCs w:val="36"/>
        </w:rPr>
      </w:pPr>
      <w:bookmarkStart w:id="68" w:name="_Toc15396616"/>
      <w:r>
        <w:rPr>
          <w:rFonts w:hint="eastAsia" w:ascii="黑体" w:hAnsi="黑体" w:eastAsia="黑体" w:cs="方正小标宋简体"/>
          <w:sz w:val="36"/>
          <w:szCs w:val="36"/>
          <w:lang w:eastAsia="zh-CN"/>
        </w:rPr>
        <w:t>大竹县司法局</w:t>
      </w:r>
      <w:r>
        <w:rPr>
          <w:rFonts w:hint="eastAsia" w:ascii="黑体" w:hAnsi="黑体" w:eastAsia="黑体" w:cs="方正小标宋简体"/>
          <w:sz w:val="36"/>
          <w:szCs w:val="36"/>
        </w:rPr>
        <w:t>2018年部门整体支出绩效评价报告</w:t>
      </w:r>
      <w:bookmarkEnd w:id="68"/>
    </w:p>
    <w:p>
      <w:pPr>
        <w:spacing w:line="580" w:lineRule="exact"/>
        <w:ind w:firstLine="640" w:firstLineChars="200"/>
        <w:rPr>
          <w:rFonts w:ascii="黑体" w:hAnsi="黑体" w:eastAsia="黑体" w:cs="黑体"/>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bookmarkStart w:id="69" w:name="_Toc15396617"/>
      <w:r>
        <w:rPr>
          <w:rFonts w:hint="eastAsia" w:ascii="仿宋_GB2312" w:hAnsi="宋体" w:eastAsia="仿宋_GB2312" w:cs="宋体"/>
          <w:color w:val="000000"/>
          <w:kern w:val="0"/>
          <w:sz w:val="32"/>
          <w:szCs w:val="32"/>
        </w:rPr>
        <w:t>一、</w:t>
      </w:r>
      <w:r>
        <w:rPr>
          <w:rFonts w:hint="eastAsia" w:ascii="仿宋_GB2312" w:hAnsi="宋体" w:eastAsia="仿宋_GB2312" w:cs="宋体"/>
          <w:color w:val="000000"/>
          <w:kern w:val="0"/>
          <w:sz w:val="32"/>
          <w:szCs w:val="32"/>
          <w:lang w:val="zh-CN"/>
        </w:rPr>
        <w:t>部门概况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（一）机构组成。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大竹县司法局是全额拨款的行政机关,现有6个内设机构1个法律援助中心、下辖51个司法所。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（二）机构职能。</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_GB2312" w:eastAsia="仿宋_GB2312"/>
          <w:sz w:val="32"/>
          <w:szCs w:val="32"/>
        </w:rPr>
      </w:pPr>
      <w:r>
        <w:rPr>
          <w:rFonts w:hint="eastAsia" w:ascii="仿宋_GB2312" w:eastAsia="仿宋_GB2312"/>
          <w:color w:val="333333"/>
          <w:sz w:val="32"/>
          <w:szCs w:val="32"/>
        </w:rPr>
        <w:t>大竹县司法局是</w:t>
      </w:r>
      <w:r>
        <w:rPr>
          <w:rFonts w:hint="eastAsia" w:ascii="仿宋_GB2312" w:eastAsia="仿宋_GB2312"/>
          <w:sz w:val="32"/>
          <w:szCs w:val="32"/>
        </w:rPr>
        <w:t>贯彻执行国家、省、市关于司法行政工作的方针、政策和法律法规及规章；制定司法行政规范性文件，编制全县司法行政工作中长期发展规划和年度工作计划，并负责组织实施的县政府组成部门，负责指导人民调解、安置帮教、社区矫正、法律援助、法律服务、司法鉴定等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（三）人员概况。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hAnsi="宋体" w:eastAsia="仿宋_GB2312" w:cs="宋体"/>
          <w:color w:val="000000"/>
          <w:kern w:val="0"/>
          <w:sz w:val="32"/>
          <w:szCs w:val="32"/>
          <w:lang w:val="zh-CN"/>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lang w:val="zh-CN"/>
        </w:rPr>
        <w:t>年末职工人数10</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lang w:val="zh-CN"/>
        </w:rPr>
        <w:t>人，其中：在职8</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val="zh-CN"/>
        </w:rPr>
        <w:t>人，退休2</w:t>
      </w: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lang w:val="zh-CN"/>
        </w:rPr>
        <w:t>人，</w:t>
      </w:r>
      <w:r>
        <w:rPr>
          <w:rFonts w:hint="eastAsia" w:ascii="仿宋_GB2312" w:eastAsia="仿宋_GB2312"/>
          <w:sz w:val="32"/>
          <w:szCs w:val="32"/>
        </w:rPr>
        <w:t>另有辅助人员1</w:t>
      </w:r>
      <w:r>
        <w:rPr>
          <w:rFonts w:hint="eastAsia" w:ascii="仿宋_GB2312" w:eastAsia="仿宋_GB2312"/>
          <w:sz w:val="32"/>
          <w:szCs w:val="32"/>
          <w:lang w:val="en-US" w:eastAsia="zh-CN"/>
        </w:rPr>
        <w:t>4</w:t>
      </w:r>
      <w:r>
        <w:rPr>
          <w:rFonts w:hint="eastAsia" w:ascii="仿宋_GB2312" w:eastAsia="仿宋_GB2312"/>
          <w:sz w:val="32"/>
          <w:szCs w:val="32"/>
        </w:rPr>
        <w:t>人，劳务派遣人员</w:t>
      </w:r>
      <w:r>
        <w:rPr>
          <w:rFonts w:hint="eastAsia" w:ascii="仿宋_GB2312" w:eastAsia="仿宋_GB2312"/>
          <w:sz w:val="32"/>
          <w:szCs w:val="32"/>
          <w:lang w:val="en-US" w:eastAsia="zh-CN"/>
        </w:rPr>
        <w:t>2</w:t>
      </w:r>
      <w:r>
        <w:rPr>
          <w:rFonts w:hint="eastAsia" w:ascii="仿宋_GB2312" w:eastAsia="仿宋_GB2312"/>
          <w:sz w:val="32"/>
          <w:szCs w:val="32"/>
        </w:rPr>
        <w:t>人</w:t>
      </w:r>
      <w:r>
        <w:rPr>
          <w:rFonts w:hint="eastAsia" w:ascii="仿宋_GB2312" w:hAnsi="宋体" w:eastAsia="仿宋_GB2312" w:cs="宋体"/>
          <w:color w:val="000000"/>
          <w:kern w:val="0"/>
          <w:sz w:val="32"/>
          <w:szCs w:val="32"/>
          <w:lang w:val="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二、部门财政资金收支情况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lang w:val="zh-CN"/>
        </w:rPr>
        <w:t>年度我局收入包括一般公共预算拨款收入，合计</w:t>
      </w:r>
      <w:r>
        <w:rPr>
          <w:rFonts w:hint="eastAsia" w:ascii="仿宋_GB2312" w:hAnsi="宋体" w:eastAsia="仿宋_GB2312" w:cs="宋体"/>
          <w:color w:val="000000"/>
          <w:kern w:val="0"/>
          <w:sz w:val="32"/>
          <w:szCs w:val="32"/>
          <w:lang w:val="en-US" w:eastAsia="zh-CN"/>
        </w:rPr>
        <w:t>17611863</w:t>
      </w:r>
      <w:r>
        <w:rPr>
          <w:rFonts w:hint="eastAsia" w:ascii="仿宋_GB2312" w:hAnsi="宋体" w:eastAsia="仿宋_GB2312" w:cs="宋体"/>
          <w:color w:val="000000"/>
          <w:kern w:val="0"/>
          <w:sz w:val="32"/>
          <w:szCs w:val="32"/>
          <w:lang w:val="zh-CN"/>
        </w:rPr>
        <w:t>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（二）部门财政资金支出情况。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年度我局共支出</w:t>
      </w:r>
      <w:r>
        <w:rPr>
          <w:rFonts w:hint="eastAsia" w:ascii="仿宋_GB2312" w:eastAsia="仿宋_GB2312"/>
          <w:sz w:val="32"/>
          <w:szCs w:val="32"/>
          <w:lang w:val="en-US" w:eastAsia="zh-CN"/>
        </w:rPr>
        <w:t>17611863</w:t>
      </w:r>
      <w:r>
        <w:rPr>
          <w:rFonts w:hint="eastAsia" w:ascii="仿宋_GB2312" w:eastAsia="仿宋_GB2312"/>
          <w:sz w:val="32"/>
          <w:szCs w:val="32"/>
        </w:rPr>
        <w:t>元，详见下表：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p>
    <w:tbl>
      <w:tblPr>
        <w:tblStyle w:val="12"/>
        <w:tblW w:w="8525" w:type="dxa"/>
        <w:tblInd w:w="0" w:type="dxa"/>
        <w:tblLayout w:type="fixed"/>
        <w:tblCellMar>
          <w:top w:w="0" w:type="dxa"/>
          <w:left w:w="108" w:type="dxa"/>
          <w:bottom w:w="0" w:type="dxa"/>
          <w:right w:w="108" w:type="dxa"/>
        </w:tblCellMar>
      </w:tblPr>
      <w:tblGrid>
        <w:gridCol w:w="634"/>
        <w:gridCol w:w="470"/>
        <w:gridCol w:w="1080"/>
        <w:gridCol w:w="1449"/>
        <w:gridCol w:w="1275"/>
        <w:gridCol w:w="1320"/>
        <w:gridCol w:w="1016"/>
        <w:gridCol w:w="1281"/>
      </w:tblGrid>
      <w:tr>
        <w:tblPrEx>
          <w:tblCellMar>
            <w:top w:w="0" w:type="dxa"/>
            <w:left w:w="108" w:type="dxa"/>
            <w:bottom w:w="0" w:type="dxa"/>
            <w:right w:w="108" w:type="dxa"/>
          </w:tblCellMar>
        </w:tblPrEx>
        <w:trPr>
          <w:trHeight w:val="564" w:hRule="atLeast"/>
        </w:trPr>
        <w:tc>
          <w:tcPr>
            <w:tcW w:w="11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Arial"/>
                <w:kern w:val="1"/>
                <w:sz w:val="32"/>
                <w:szCs w:val="32"/>
              </w:rPr>
            </w:pPr>
            <w:r>
              <w:rPr>
                <w:rFonts w:hint="eastAsia" w:ascii="仿宋_GB2312" w:hAnsi="仿宋_GB2312" w:eastAsia="仿宋_GB2312" w:cs="Arial"/>
                <w:kern w:val="1"/>
                <w:sz w:val="32"/>
                <w:szCs w:val="32"/>
              </w:rPr>
              <w:t>项目</w:t>
            </w:r>
          </w:p>
        </w:tc>
        <w:tc>
          <w:tcPr>
            <w:tcW w:w="108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Arial"/>
                <w:kern w:val="1"/>
                <w:sz w:val="32"/>
                <w:szCs w:val="32"/>
              </w:rPr>
            </w:pPr>
            <w:r>
              <w:rPr>
                <w:rFonts w:hint="eastAsia" w:ascii="仿宋_GB2312" w:hAnsi="仿宋_GB2312" w:eastAsia="仿宋_GB2312" w:cs="Arial"/>
                <w:kern w:val="1"/>
                <w:sz w:val="32"/>
                <w:szCs w:val="32"/>
              </w:rPr>
              <w:t>工资福利支出</w:t>
            </w:r>
          </w:p>
        </w:tc>
        <w:tc>
          <w:tcPr>
            <w:tcW w:w="14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Arial"/>
                <w:kern w:val="1"/>
                <w:sz w:val="32"/>
                <w:szCs w:val="32"/>
              </w:rPr>
            </w:pPr>
            <w:r>
              <w:rPr>
                <w:rFonts w:hint="eastAsia" w:ascii="仿宋_GB2312" w:hAnsi="仿宋_GB2312" w:eastAsia="仿宋_GB2312" w:cs="Arial"/>
                <w:kern w:val="1"/>
                <w:sz w:val="32"/>
                <w:szCs w:val="32"/>
              </w:rPr>
              <w:t>商品服务支出</w:t>
            </w:r>
          </w:p>
        </w:tc>
        <w:tc>
          <w:tcPr>
            <w:tcW w:w="1275"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Arial"/>
                <w:kern w:val="1"/>
                <w:sz w:val="32"/>
                <w:szCs w:val="32"/>
              </w:rPr>
            </w:pPr>
            <w:r>
              <w:rPr>
                <w:rFonts w:hint="eastAsia" w:ascii="仿宋_GB2312" w:hAnsi="仿宋_GB2312" w:eastAsia="仿宋_GB2312" w:cs="Arial"/>
                <w:kern w:val="1"/>
                <w:sz w:val="32"/>
                <w:szCs w:val="32"/>
              </w:rPr>
              <w:t>对个人和家庭补助支出</w:t>
            </w:r>
          </w:p>
        </w:tc>
        <w:tc>
          <w:tcPr>
            <w:tcW w:w="1320" w:type="dxa"/>
            <w:tcBorders>
              <w:top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Arial"/>
                <w:kern w:val="1"/>
                <w:sz w:val="32"/>
                <w:szCs w:val="32"/>
              </w:rPr>
            </w:pPr>
            <w:r>
              <w:rPr>
                <w:rFonts w:hint="eastAsia" w:ascii="仿宋_GB2312" w:hAnsi="仿宋_GB2312" w:eastAsia="仿宋_GB2312" w:cs="Arial"/>
                <w:kern w:val="1"/>
                <w:sz w:val="32"/>
                <w:szCs w:val="32"/>
              </w:rPr>
              <w:t>法律援助支出</w:t>
            </w:r>
          </w:p>
        </w:tc>
        <w:tc>
          <w:tcPr>
            <w:tcW w:w="1016" w:type="dxa"/>
            <w:tcBorders>
              <w:top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Arial"/>
                <w:kern w:val="1"/>
                <w:sz w:val="32"/>
                <w:szCs w:val="32"/>
              </w:rPr>
            </w:pPr>
            <w:r>
              <w:rPr>
                <w:rFonts w:hint="eastAsia" w:ascii="仿宋_GB2312" w:hAnsi="仿宋_GB2312" w:eastAsia="仿宋_GB2312" w:cs="Arial"/>
                <w:kern w:val="1"/>
                <w:sz w:val="32"/>
                <w:szCs w:val="32"/>
              </w:rPr>
              <w:t>项目</w:t>
            </w:r>
          </w:p>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Arial"/>
                <w:kern w:val="1"/>
                <w:sz w:val="32"/>
                <w:szCs w:val="32"/>
              </w:rPr>
            </w:pPr>
            <w:r>
              <w:rPr>
                <w:rFonts w:hint="eastAsia" w:ascii="仿宋_GB2312" w:hAnsi="仿宋_GB2312" w:eastAsia="仿宋_GB2312" w:cs="Arial"/>
                <w:kern w:val="1"/>
                <w:sz w:val="32"/>
                <w:szCs w:val="32"/>
              </w:rPr>
              <w:t>支出</w:t>
            </w:r>
          </w:p>
        </w:tc>
        <w:tc>
          <w:tcPr>
            <w:tcW w:w="128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仿宋_GB2312" w:hAnsi="仿宋_GB2312" w:eastAsia="仿宋_GB2312" w:cs="Arial"/>
                <w:kern w:val="1"/>
                <w:sz w:val="32"/>
                <w:szCs w:val="32"/>
              </w:rPr>
            </w:pPr>
            <w:r>
              <w:rPr>
                <w:rFonts w:hint="eastAsia" w:ascii="仿宋_GB2312" w:hAnsi="仿宋_GB2312" w:eastAsia="仿宋_GB2312" w:cs="Arial"/>
                <w:kern w:val="1"/>
                <w:sz w:val="32"/>
                <w:szCs w:val="32"/>
              </w:rPr>
              <w:t>合计</w:t>
            </w:r>
          </w:p>
        </w:tc>
      </w:tr>
      <w:tr>
        <w:tblPrEx>
          <w:tblCellMar>
            <w:top w:w="0" w:type="dxa"/>
            <w:left w:w="108" w:type="dxa"/>
            <w:bottom w:w="0" w:type="dxa"/>
            <w:right w:w="108" w:type="dxa"/>
          </w:tblCellMar>
        </w:tblPrEx>
        <w:trPr>
          <w:trHeight w:val="564" w:hRule="atLeast"/>
        </w:trPr>
        <w:tc>
          <w:tcPr>
            <w:tcW w:w="63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Arial"/>
                <w:kern w:val="1"/>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Arial"/>
                <w:kern w:val="1"/>
                <w:sz w:val="32"/>
                <w:szCs w:val="32"/>
              </w:rPr>
            </w:pPr>
          </w:p>
        </w:tc>
        <w:tc>
          <w:tcPr>
            <w:tcW w:w="1080"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仿宋_GB2312" w:hAnsi="仿宋_GB2312" w:eastAsia="仿宋_GB2312" w:cs="Arial"/>
                <w:kern w:val="1"/>
                <w:szCs w:val="21"/>
                <w:lang w:val="en-US" w:eastAsia="zh-CN"/>
              </w:rPr>
            </w:pPr>
            <w:r>
              <w:rPr>
                <w:rFonts w:hint="eastAsia" w:ascii="仿宋_GB2312" w:hAnsi="仿宋_GB2312" w:eastAsia="仿宋_GB2312" w:cs="Arial"/>
                <w:kern w:val="1"/>
                <w:szCs w:val="21"/>
                <w:lang w:val="en-US" w:eastAsia="zh-CN"/>
              </w:rPr>
              <w:t>9984319</w:t>
            </w:r>
          </w:p>
        </w:tc>
        <w:tc>
          <w:tcPr>
            <w:tcW w:w="1449"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仿宋_GB2312" w:hAnsi="仿宋_GB2312" w:eastAsia="仿宋_GB2312" w:cs="Arial"/>
                <w:kern w:val="1"/>
                <w:szCs w:val="21"/>
                <w:lang w:val="en-US" w:eastAsia="zh-CN"/>
              </w:rPr>
            </w:pPr>
            <w:r>
              <w:rPr>
                <w:rFonts w:hint="eastAsia" w:ascii="仿宋_GB2312" w:hAnsi="仿宋_GB2312" w:eastAsia="仿宋_GB2312" w:cs="Arial"/>
                <w:kern w:val="1"/>
                <w:szCs w:val="21"/>
                <w:lang w:val="en-US" w:eastAsia="zh-CN"/>
              </w:rPr>
              <w:t>1594971</w:t>
            </w:r>
          </w:p>
        </w:tc>
        <w:tc>
          <w:tcPr>
            <w:tcW w:w="1275" w:type="dxa"/>
            <w:tcBorders>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仿宋_GB2312" w:hAnsi="仿宋_GB2312" w:eastAsia="仿宋_GB2312" w:cs="Arial"/>
                <w:kern w:val="1"/>
                <w:szCs w:val="21"/>
                <w:lang w:val="en-US" w:eastAsia="zh-CN"/>
              </w:rPr>
            </w:pPr>
            <w:r>
              <w:rPr>
                <w:rFonts w:hint="eastAsia" w:ascii="仿宋_GB2312" w:hAnsi="仿宋_GB2312" w:eastAsia="仿宋_GB2312" w:cs="Arial"/>
                <w:kern w:val="1"/>
                <w:szCs w:val="21"/>
                <w:lang w:val="en-US" w:eastAsia="zh-CN"/>
              </w:rPr>
              <w:t>169253</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仿宋_GB2312" w:hAnsi="仿宋_GB2312" w:eastAsia="仿宋_GB2312" w:cs="Arial"/>
                <w:kern w:val="1"/>
                <w:szCs w:val="21"/>
                <w:lang w:val="en-US" w:eastAsia="zh-CN"/>
              </w:rPr>
            </w:pPr>
            <w:r>
              <w:rPr>
                <w:rFonts w:hint="eastAsia" w:ascii="仿宋_GB2312" w:hAnsi="仿宋_GB2312" w:eastAsia="仿宋_GB2312" w:cs="Arial"/>
                <w:kern w:val="1"/>
                <w:szCs w:val="21"/>
                <w:lang w:val="en-US" w:eastAsia="zh-CN"/>
              </w:rPr>
              <w:t>642153</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仿宋_GB2312" w:hAnsi="仿宋_GB2312" w:eastAsia="仿宋_GB2312" w:cs="Arial"/>
                <w:kern w:val="1"/>
                <w:szCs w:val="21"/>
                <w:lang w:val="en-US" w:eastAsia="zh-CN"/>
              </w:rPr>
            </w:pPr>
            <w:r>
              <w:rPr>
                <w:rFonts w:hint="eastAsia" w:ascii="仿宋_GB2312" w:hAnsi="仿宋_GB2312" w:eastAsia="仿宋_GB2312" w:cs="Arial"/>
                <w:kern w:val="1"/>
                <w:szCs w:val="21"/>
                <w:lang w:val="en-US" w:eastAsia="zh-CN"/>
              </w:rPr>
              <w:t>5221167</w:t>
            </w:r>
          </w:p>
        </w:tc>
        <w:tc>
          <w:tcPr>
            <w:tcW w:w="1281" w:type="dxa"/>
            <w:tcBorders>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仿宋_GB2312" w:hAnsi="仿宋_GB2312" w:eastAsia="仿宋_GB2312" w:cs="仿宋_GB2312"/>
                <w:kern w:val="1"/>
                <w:szCs w:val="21"/>
                <w:lang w:val="en-US" w:eastAsia="zh-CN"/>
              </w:rPr>
            </w:pPr>
            <w:r>
              <w:rPr>
                <w:rFonts w:hint="eastAsia" w:ascii="仿宋_GB2312" w:hAnsi="仿宋_GB2312" w:eastAsia="仿宋_GB2312" w:cs="仿宋_GB2312"/>
                <w:kern w:val="1"/>
                <w:szCs w:val="21"/>
                <w:lang w:val="en-US" w:eastAsia="zh-CN"/>
              </w:rPr>
              <w:t>17611863</w:t>
            </w:r>
          </w:p>
        </w:tc>
      </w:tr>
      <w:tr>
        <w:tblPrEx>
          <w:tblCellMar>
            <w:top w:w="0" w:type="dxa"/>
            <w:left w:w="108" w:type="dxa"/>
            <w:bottom w:w="0" w:type="dxa"/>
            <w:right w:w="108" w:type="dxa"/>
          </w:tblCellMar>
        </w:tblPrEx>
        <w:trPr>
          <w:trHeight w:val="564" w:hRule="atLeast"/>
        </w:trPr>
        <w:tc>
          <w:tcPr>
            <w:tcW w:w="63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left"/>
              <w:textAlignment w:val="auto"/>
              <w:rPr>
                <w:rFonts w:hint="eastAsia" w:ascii="仿宋_GB2312" w:hAnsi="仿宋_GB2312" w:eastAsia="仿宋_GB2312" w:cs="Arial"/>
                <w:kern w:val="1"/>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Arial"/>
                <w:kern w:val="1"/>
                <w:sz w:val="32"/>
                <w:szCs w:val="32"/>
              </w:rPr>
            </w:pPr>
            <w:r>
              <w:rPr>
                <w:rFonts w:hint="eastAsia" w:ascii="仿宋_GB2312" w:hAnsi="仿宋_GB2312" w:eastAsia="仿宋_GB2312" w:cs="Arial"/>
                <w:kern w:val="1"/>
                <w:sz w:val="32"/>
                <w:szCs w:val="32"/>
              </w:rPr>
              <w:t>占比%</w:t>
            </w:r>
          </w:p>
        </w:tc>
        <w:tc>
          <w:tcPr>
            <w:tcW w:w="1080"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56.69</w:t>
            </w:r>
          </w:p>
        </w:tc>
        <w:tc>
          <w:tcPr>
            <w:tcW w:w="1449"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9.05</w:t>
            </w:r>
          </w:p>
        </w:tc>
        <w:tc>
          <w:tcPr>
            <w:tcW w:w="1275" w:type="dxa"/>
            <w:tcBorders>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0.96</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3.65</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left"/>
              <w:textAlignment w:val="auto"/>
              <w:rPr>
                <w:rFonts w:hint="default" w:ascii="仿宋_GB2312" w:eastAsia="仿宋_GB2312"/>
                <w:szCs w:val="21"/>
                <w:lang w:val="en-US" w:eastAsia="zh-CN"/>
              </w:rPr>
            </w:pPr>
            <w:r>
              <w:rPr>
                <w:rFonts w:hint="eastAsia" w:ascii="仿宋_GB2312" w:eastAsia="仿宋_GB2312"/>
                <w:szCs w:val="21"/>
                <w:lang w:val="en-US" w:eastAsia="zh-CN"/>
              </w:rPr>
              <w:t>29.65</w:t>
            </w:r>
          </w:p>
        </w:tc>
        <w:tc>
          <w:tcPr>
            <w:tcW w:w="1281" w:type="dxa"/>
            <w:tcBorders>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仿宋_GB2312" w:hAnsi="仿宋_GB2312" w:eastAsia="仿宋_GB2312" w:cs="Arial"/>
                <w:kern w:val="1"/>
                <w:szCs w:val="21"/>
                <w:lang w:val="en-US" w:eastAsia="zh-CN"/>
              </w:rPr>
            </w:pPr>
            <w:r>
              <w:rPr>
                <w:rFonts w:hint="eastAsia" w:ascii="仿宋_GB2312" w:hAnsi="仿宋_GB2312" w:eastAsia="仿宋_GB2312" w:cs="Arial"/>
                <w:kern w:val="1"/>
                <w:szCs w:val="21"/>
                <w:lang w:val="en-US" w:eastAsia="zh-CN"/>
              </w:rPr>
              <w:t>100</w:t>
            </w:r>
          </w:p>
        </w:tc>
      </w:tr>
    </w:tbl>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宋体" w:eastAsia="仿宋_GB2312" w:cs="Arial"/>
          <w:color w:val="000000"/>
          <w:sz w:val="32"/>
          <w:szCs w:val="32"/>
        </w:rPr>
      </w:pPr>
      <w:r>
        <w:rPr>
          <w:rFonts w:hint="eastAsia" w:ascii="仿宋_GB2312" w:hAnsi="宋体" w:eastAsia="仿宋_GB2312"/>
          <w:sz w:val="32"/>
          <w:szCs w:val="32"/>
        </w:rPr>
        <w:t>按支出性质分：基本支出</w:t>
      </w:r>
      <w:r>
        <w:rPr>
          <w:rFonts w:hint="eastAsia" w:ascii="仿宋_GB2312" w:hAnsi="宋体" w:eastAsia="仿宋_GB2312"/>
          <w:sz w:val="32"/>
          <w:szCs w:val="32"/>
          <w:lang w:val="en-US" w:eastAsia="zh-CN"/>
        </w:rPr>
        <w:t>12390696</w:t>
      </w:r>
      <w:r>
        <w:rPr>
          <w:rFonts w:hint="eastAsia" w:ascii="仿宋_GB2312" w:hAnsi="宋体" w:eastAsia="仿宋_GB2312" w:cs="Arial"/>
          <w:color w:val="000000"/>
          <w:sz w:val="32"/>
          <w:szCs w:val="32"/>
        </w:rPr>
        <w:t>元，占全部支出</w:t>
      </w:r>
      <w:r>
        <w:rPr>
          <w:rFonts w:hint="eastAsia" w:ascii="仿宋_GB2312" w:hAnsi="宋体" w:eastAsia="仿宋_GB2312" w:cs="Arial"/>
          <w:color w:val="000000"/>
          <w:sz w:val="32"/>
          <w:szCs w:val="32"/>
          <w:lang w:val="en-US" w:eastAsia="zh-CN"/>
        </w:rPr>
        <w:t>70.35</w:t>
      </w:r>
      <w:r>
        <w:rPr>
          <w:rFonts w:hint="eastAsia" w:ascii="仿宋_GB2312" w:hAnsi="宋体" w:eastAsia="仿宋_GB2312" w:cs="Arial"/>
          <w:color w:val="000000"/>
          <w:sz w:val="32"/>
          <w:szCs w:val="32"/>
        </w:rPr>
        <w:t>%；项目支出</w:t>
      </w:r>
      <w:r>
        <w:rPr>
          <w:rFonts w:hint="eastAsia" w:ascii="仿宋_GB2312" w:hAnsi="宋体" w:eastAsia="仿宋_GB2312" w:cs="Arial"/>
          <w:color w:val="000000"/>
          <w:sz w:val="32"/>
          <w:szCs w:val="32"/>
          <w:lang w:val="en-US" w:eastAsia="zh-CN"/>
        </w:rPr>
        <w:t>5221167</w:t>
      </w:r>
      <w:r>
        <w:rPr>
          <w:rFonts w:hint="eastAsia" w:ascii="仿宋_GB2312" w:hAnsi="宋体" w:eastAsia="仿宋_GB2312" w:cs="Arial"/>
          <w:color w:val="000000"/>
          <w:sz w:val="32"/>
          <w:szCs w:val="32"/>
        </w:rPr>
        <w:t>元，占全部支出</w:t>
      </w:r>
      <w:r>
        <w:rPr>
          <w:rFonts w:hint="eastAsia" w:ascii="仿宋_GB2312" w:hAnsi="宋体" w:eastAsia="仿宋_GB2312" w:cs="Arial"/>
          <w:color w:val="000000"/>
          <w:sz w:val="32"/>
          <w:szCs w:val="32"/>
          <w:lang w:val="en-US" w:eastAsia="zh-CN"/>
        </w:rPr>
        <w:t>29.65</w:t>
      </w:r>
      <w:r>
        <w:rPr>
          <w:rFonts w:hint="eastAsia" w:ascii="仿宋_GB2312" w:hAnsi="宋体" w:eastAsia="仿宋_GB2312" w:cs="Arial"/>
          <w:color w:val="000000"/>
          <w:sz w:val="32"/>
          <w:szCs w:val="32"/>
        </w:rPr>
        <w:t>%。</w:t>
      </w:r>
    </w:p>
    <w:p>
      <w:pPr>
        <w:keepNext w:val="0"/>
        <w:keepLines w:val="0"/>
        <w:pageBreakBefore w:val="0"/>
        <w:kinsoku/>
        <w:wordWrap/>
        <w:overflowPunct/>
        <w:topLinePunct w:val="0"/>
        <w:autoSpaceDE/>
        <w:autoSpaceDN/>
        <w:bidi w:val="0"/>
        <w:spacing w:line="600" w:lineRule="exact"/>
        <w:ind w:left="147" w:leftChars="70" w:firstLine="480" w:firstLineChars="150"/>
        <w:textAlignment w:val="auto"/>
        <w:rPr>
          <w:rFonts w:hint="eastAsia" w:ascii="仿宋_GB2312" w:hAnsi="宋体" w:eastAsia="仿宋_GB2312" w:cs="Arial"/>
          <w:color w:val="000000"/>
          <w:sz w:val="32"/>
          <w:szCs w:val="32"/>
        </w:rPr>
      </w:pPr>
      <w:r>
        <w:rPr>
          <w:rFonts w:hint="eastAsia" w:ascii="仿宋_GB2312" w:hAnsi="宋体" w:eastAsia="仿宋_GB2312" w:cs="Arial"/>
          <w:color w:val="000000"/>
          <w:sz w:val="32"/>
          <w:szCs w:val="32"/>
        </w:rPr>
        <w:t>按支出经济分类分：工资福利支出</w:t>
      </w:r>
      <w:r>
        <w:rPr>
          <w:rFonts w:hint="eastAsia" w:ascii="仿宋_GB2312" w:hAnsi="宋体" w:eastAsia="仿宋_GB2312" w:cs="Arial"/>
          <w:color w:val="000000"/>
          <w:sz w:val="32"/>
          <w:szCs w:val="32"/>
          <w:lang w:val="en-US" w:eastAsia="zh-CN"/>
        </w:rPr>
        <w:t>9984319</w:t>
      </w:r>
      <w:r>
        <w:rPr>
          <w:rFonts w:hint="eastAsia" w:ascii="仿宋_GB2312" w:hAnsi="宋体" w:eastAsia="仿宋_GB2312" w:cs="Arial"/>
          <w:color w:val="000000"/>
          <w:sz w:val="32"/>
          <w:szCs w:val="32"/>
        </w:rPr>
        <w:t>元，占全部支出5</w:t>
      </w:r>
      <w:r>
        <w:rPr>
          <w:rFonts w:hint="eastAsia" w:ascii="仿宋_GB2312" w:hAnsi="宋体" w:eastAsia="仿宋_GB2312" w:cs="Arial"/>
          <w:color w:val="000000"/>
          <w:sz w:val="32"/>
          <w:szCs w:val="32"/>
          <w:lang w:val="en-US" w:eastAsia="zh-CN"/>
        </w:rPr>
        <w:t>6</w:t>
      </w:r>
      <w:r>
        <w:rPr>
          <w:rFonts w:hint="eastAsia" w:ascii="仿宋_GB2312" w:hAnsi="宋体" w:eastAsia="仿宋_GB2312" w:cs="Arial"/>
          <w:color w:val="000000"/>
          <w:sz w:val="32"/>
          <w:szCs w:val="32"/>
        </w:rPr>
        <w:t>.</w:t>
      </w:r>
      <w:r>
        <w:rPr>
          <w:rFonts w:hint="eastAsia" w:ascii="仿宋_GB2312" w:hAnsi="宋体" w:eastAsia="仿宋_GB2312" w:cs="Arial"/>
          <w:color w:val="000000"/>
          <w:sz w:val="32"/>
          <w:szCs w:val="32"/>
          <w:lang w:val="en-US" w:eastAsia="zh-CN"/>
        </w:rPr>
        <w:t>69</w:t>
      </w:r>
      <w:r>
        <w:rPr>
          <w:rFonts w:hint="eastAsia" w:ascii="仿宋_GB2312" w:hAnsi="宋体" w:eastAsia="仿宋_GB2312" w:cs="Arial"/>
          <w:color w:val="000000"/>
          <w:sz w:val="32"/>
          <w:szCs w:val="32"/>
        </w:rPr>
        <w:t>%；商品服务支出</w:t>
      </w:r>
      <w:r>
        <w:rPr>
          <w:rFonts w:hint="eastAsia" w:ascii="仿宋_GB2312" w:hAnsi="宋体" w:eastAsia="仿宋_GB2312" w:cs="Arial"/>
          <w:color w:val="000000"/>
          <w:sz w:val="32"/>
          <w:szCs w:val="32"/>
          <w:lang w:val="en-US" w:eastAsia="zh-CN"/>
        </w:rPr>
        <w:t>4482965</w:t>
      </w:r>
      <w:r>
        <w:rPr>
          <w:rFonts w:hint="eastAsia" w:ascii="仿宋_GB2312" w:hAnsi="宋体" w:eastAsia="仿宋_GB2312" w:cs="Arial"/>
          <w:color w:val="000000"/>
          <w:sz w:val="32"/>
          <w:szCs w:val="32"/>
        </w:rPr>
        <w:t>元，占全部支出</w:t>
      </w:r>
      <w:r>
        <w:rPr>
          <w:rFonts w:hint="eastAsia" w:ascii="仿宋_GB2312" w:hAnsi="宋体" w:eastAsia="仿宋_GB2312" w:cs="Arial"/>
          <w:color w:val="000000"/>
          <w:sz w:val="32"/>
          <w:szCs w:val="32"/>
          <w:lang w:val="en-US" w:eastAsia="zh-CN"/>
        </w:rPr>
        <w:t>25.46</w:t>
      </w:r>
      <w:r>
        <w:rPr>
          <w:rFonts w:hint="eastAsia" w:ascii="仿宋_GB2312" w:hAnsi="宋体" w:eastAsia="仿宋_GB2312" w:cs="Arial"/>
          <w:color w:val="000000"/>
          <w:sz w:val="32"/>
          <w:szCs w:val="32"/>
        </w:rPr>
        <w:t>%；对个人和家庭补助支出</w:t>
      </w:r>
      <w:r>
        <w:rPr>
          <w:rFonts w:hint="eastAsia" w:ascii="仿宋_GB2312" w:hAnsi="宋体" w:eastAsia="仿宋_GB2312" w:cs="Arial"/>
          <w:color w:val="000000"/>
          <w:sz w:val="32"/>
          <w:szCs w:val="32"/>
          <w:lang w:val="en-US" w:eastAsia="zh-CN"/>
        </w:rPr>
        <w:t>169253</w:t>
      </w:r>
      <w:r>
        <w:rPr>
          <w:rFonts w:hint="eastAsia" w:ascii="仿宋_GB2312" w:hAnsi="宋体" w:eastAsia="仿宋_GB2312" w:cs="Arial"/>
          <w:color w:val="000000"/>
          <w:sz w:val="32"/>
          <w:szCs w:val="32"/>
        </w:rPr>
        <w:t>元，占全部支出</w:t>
      </w:r>
      <w:r>
        <w:rPr>
          <w:rFonts w:hint="eastAsia" w:ascii="仿宋_GB2312" w:hAnsi="宋体" w:eastAsia="仿宋_GB2312" w:cs="Arial"/>
          <w:color w:val="000000"/>
          <w:sz w:val="32"/>
          <w:szCs w:val="32"/>
          <w:lang w:val="en-US" w:eastAsia="zh-CN"/>
        </w:rPr>
        <w:t>0.96</w:t>
      </w:r>
      <w:r>
        <w:rPr>
          <w:rFonts w:hint="eastAsia" w:ascii="仿宋_GB2312" w:hAnsi="宋体" w:eastAsia="仿宋_GB2312" w:cs="Arial"/>
          <w:color w:val="000000"/>
          <w:sz w:val="32"/>
          <w:szCs w:val="32"/>
        </w:rPr>
        <w:t>%；</w:t>
      </w:r>
      <w:r>
        <w:rPr>
          <w:rFonts w:hint="eastAsia" w:ascii="仿宋_GB2312" w:hAnsi="宋体" w:eastAsia="仿宋_GB2312" w:cs="Arial"/>
          <w:color w:val="000000"/>
          <w:sz w:val="32"/>
          <w:szCs w:val="32"/>
          <w:lang w:eastAsia="zh-CN"/>
        </w:rPr>
        <w:t>资本性</w:t>
      </w:r>
      <w:r>
        <w:rPr>
          <w:rFonts w:hint="eastAsia" w:ascii="仿宋_GB2312" w:hAnsi="宋体" w:eastAsia="仿宋_GB2312" w:cs="Arial"/>
          <w:color w:val="000000"/>
          <w:sz w:val="32"/>
          <w:szCs w:val="32"/>
        </w:rPr>
        <w:t>支出</w:t>
      </w:r>
      <w:r>
        <w:rPr>
          <w:rFonts w:hint="eastAsia" w:ascii="仿宋_GB2312" w:hAnsi="宋体" w:eastAsia="仿宋_GB2312" w:cs="Arial"/>
          <w:color w:val="000000"/>
          <w:sz w:val="32"/>
          <w:szCs w:val="32"/>
          <w:lang w:val="en-US" w:eastAsia="zh-CN"/>
        </w:rPr>
        <w:t>2975326</w:t>
      </w:r>
      <w:r>
        <w:rPr>
          <w:rFonts w:hint="eastAsia" w:ascii="仿宋_GB2312" w:hAnsi="宋体" w:eastAsia="仿宋_GB2312" w:cs="Arial"/>
          <w:color w:val="000000"/>
          <w:sz w:val="32"/>
          <w:szCs w:val="32"/>
        </w:rPr>
        <w:t>元，占全部支出</w:t>
      </w:r>
      <w:r>
        <w:rPr>
          <w:rFonts w:hint="eastAsia" w:ascii="仿宋_GB2312" w:hAnsi="宋体" w:eastAsia="仿宋_GB2312" w:cs="Arial"/>
          <w:color w:val="000000"/>
          <w:sz w:val="32"/>
          <w:szCs w:val="32"/>
          <w:lang w:val="en-US" w:eastAsia="zh-CN"/>
        </w:rPr>
        <w:t>16.89</w:t>
      </w:r>
      <w:r>
        <w:rPr>
          <w:rFonts w:hint="eastAsia" w:ascii="仿宋_GB2312" w:hAnsi="宋体" w:eastAsia="仿宋_GB2312" w:cs="Arial"/>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三、部门财政支出管理情况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（一）预算编制情况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1、预算编制质量</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严格按照县级部门预算编制通知和有关要求，按时完成基础库和项目库的维护和报送。注重基础信息资料的准确性，凡有发生变化的数据及时对基础库进行维护，在保证实效的同时确保了信息和数据的完整性和准确性。严格执行收入预算编制口径，做到了应编尽编，无一漏报。严格执行支出预算“人员经费按标准、日常公用按定额、专项经费按项目”的编制口径，并将 “三公”经费支出预算列为编制重点，保证了支出预算编制的准确性和规范性。</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2、绩效目标填报</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lang w:val="zh-CN"/>
        </w:rPr>
        <w:t>年我局部门预算资金均较准确编制了当年计划完成工作任务和预期要实现的目标，部门整体绩效目标完整、合理反映部门年度职责履行情况，项目绩效目标编制明确、量化。</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auto"/>
          <w:kern w:val="0"/>
          <w:sz w:val="32"/>
          <w:szCs w:val="32"/>
          <w:lang w:val="zh-CN"/>
        </w:rPr>
      </w:pPr>
      <w:r>
        <w:rPr>
          <w:rFonts w:hint="eastAsia" w:ascii="仿宋_GB2312" w:hAnsi="宋体" w:eastAsia="仿宋_GB2312" w:cs="宋体"/>
          <w:color w:val="auto"/>
          <w:kern w:val="0"/>
          <w:sz w:val="32"/>
          <w:szCs w:val="32"/>
          <w:lang w:val="zh-CN"/>
        </w:rPr>
        <w:t>3、转移支付预算</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auto"/>
          <w:kern w:val="0"/>
          <w:sz w:val="32"/>
          <w:szCs w:val="32"/>
          <w:lang w:val="zh-CN"/>
        </w:rPr>
      </w:pPr>
      <w:r>
        <w:rPr>
          <w:rFonts w:hint="eastAsia" w:ascii="仿宋_GB2312" w:hAnsi="宋体" w:eastAsia="仿宋_GB2312" w:cs="宋体"/>
          <w:color w:val="auto"/>
          <w:kern w:val="0"/>
          <w:sz w:val="32"/>
          <w:szCs w:val="32"/>
          <w:lang w:val="zh-CN"/>
        </w:rPr>
        <w:t>201</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lang w:val="zh-CN"/>
        </w:rPr>
        <w:t>年年初预算</w:t>
      </w:r>
      <w:r>
        <w:rPr>
          <w:rFonts w:hint="eastAsia" w:ascii="仿宋_GB2312" w:hAnsi="宋体" w:eastAsia="仿宋_GB2312" w:cs="宋体"/>
          <w:color w:val="auto"/>
          <w:kern w:val="0"/>
          <w:sz w:val="32"/>
          <w:szCs w:val="32"/>
          <w:lang w:val="en-US" w:eastAsia="zh-CN"/>
        </w:rPr>
        <w:t>227</w:t>
      </w:r>
      <w:r>
        <w:rPr>
          <w:rFonts w:hint="eastAsia" w:ascii="仿宋_GB2312" w:hAnsi="宋体" w:eastAsia="仿宋_GB2312" w:cs="宋体"/>
          <w:color w:val="auto"/>
          <w:kern w:val="0"/>
          <w:sz w:val="32"/>
          <w:szCs w:val="32"/>
          <w:lang w:val="zh-CN"/>
        </w:rPr>
        <w:t>万元，其中司法所规范化建设奖补资金</w:t>
      </w:r>
      <w:r>
        <w:rPr>
          <w:rFonts w:hint="eastAsia" w:ascii="仿宋_GB2312" w:hAnsi="宋体" w:eastAsia="仿宋_GB2312" w:cs="宋体"/>
          <w:color w:val="auto"/>
          <w:kern w:val="0"/>
          <w:sz w:val="32"/>
          <w:szCs w:val="32"/>
          <w:lang w:val="en-US" w:eastAsia="zh-CN"/>
        </w:rPr>
        <w:t>112万元，法律援助经费37万元，司法救助4万元，</w:t>
      </w:r>
      <w:r>
        <w:rPr>
          <w:rFonts w:hint="eastAsia" w:ascii="仿宋_GB2312" w:hAnsi="宋体" w:eastAsia="仿宋_GB2312" w:cs="宋体"/>
          <w:color w:val="auto"/>
          <w:kern w:val="0"/>
          <w:sz w:val="32"/>
          <w:szCs w:val="32"/>
          <w:lang w:val="zh-CN"/>
        </w:rPr>
        <w:t>办案业务费</w:t>
      </w:r>
      <w:r>
        <w:rPr>
          <w:rFonts w:hint="eastAsia" w:ascii="仿宋_GB2312" w:hAnsi="宋体" w:eastAsia="仿宋_GB2312" w:cs="宋体"/>
          <w:color w:val="auto"/>
          <w:kern w:val="0"/>
          <w:sz w:val="32"/>
          <w:szCs w:val="32"/>
          <w:lang w:val="en-US" w:eastAsia="zh-CN"/>
        </w:rPr>
        <w:t>44</w:t>
      </w:r>
      <w:r>
        <w:rPr>
          <w:rFonts w:hint="eastAsia" w:ascii="仿宋_GB2312" w:hAnsi="宋体" w:eastAsia="仿宋_GB2312" w:cs="宋体"/>
          <w:color w:val="auto"/>
          <w:kern w:val="0"/>
          <w:sz w:val="32"/>
          <w:szCs w:val="32"/>
          <w:lang w:val="zh-CN"/>
        </w:rPr>
        <w:t>万元，业务装备</w:t>
      </w:r>
      <w:r>
        <w:rPr>
          <w:rFonts w:hint="eastAsia" w:ascii="仿宋_GB2312" w:hAnsi="宋体" w:eastAsia="仿宋_GB2312" w:cs="宋体"/>
          <w:color w:val="auto"/>
          <w:kern w:val="0"/>
          <w:sz w:val="32"/>
          <w:szCs w:val="32"/>
          <w:lang w:val="en-US" w:eastAsia="zh-CN"/>
        </w:rPr>
        <w:t>30</w:t>
      </w:r>
      <w:r>
        <w:rPr>
          <w:rFonts w:hint="eastAsia" w:ascii="仿宋_GB2312" w:hAnsi="宋体" w:eastAsia="仿宋_GB2312" w:cs="宋体"/>
          <w:color w:val="auto"/>
          <w:kern w:val="0"/>
          <w:sz w:val="32"/>
          <w:szCs w:val="32"/>
          <w:lang w:val="zh-CN"/>
        </w:rPr>
        <w:t>万元。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（二）执行管理情况。</w:t>
      </w:r>
      <w:r>
        <w:rPr>
          <w:rFonts w:hint="eastAsia" w:ascii="仿宋_GB2312" w:hAnsi="楷体" w:eastAsia="仿宋_GB2312" w:cs="宋体"/>
          <w:color w:val="000000"/>
          <w:kern w:val="0"/>
          <w:sz w:val="32"/>
          <w:szCs w:val="32"/>
          <w:lang w:val="zh-CN"/>
        </w:rPr>
        <w:tab/>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1、执行进度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中央专款分配、部门预算执行进度、预算执行率均实现了既定目标。</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2、中期评估</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sz w:val="32"/>
          <w:szCs w:val="32"/>
        </w:rPr>
        <w:t>根据县财政局要求，我局对县财政上年结转和当年安排的项目预算执行情况进行了认真清理核查，根据当年实际工作开展情况和经费使用情况提出预算调整意见，增加预算</w:t>
      </w:r>
      <w:r>
        <w:rPr>
          <w:rFonts w:hint="eastAsia" w:ascii="仿宋_GB2312" w:hAnsi="宋体" w:eastAsia="仿宋_GB2312"/>
          <w:sz w:val="32"/>
          <w:szCs w:val="32"/>
          <w:lang w:val="en-US" w:eastAsia="zh-CN"/>
        </w:rPr>
        <w:t>3195886</w:t>
      </w:r>
      <w:r>
        <w:rPr>
          <w:rFonts w:hint="eastAsia" w:ascii="仿宋_GB2312" w:hAnsi="宋体" w:eastAsia="仿宋_GB2312"/>
          <w:sz w:val="32"/>
          <w:szCs w:val="32"/>
        </w:rPr>
        <w:t>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3、节能消耗</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lang w:val="zh-CN"/>
        </w:rPr>
        <w:t>年我局油用量为</w:t>
      </w:r>
      <w:r>
        <w:rPr>
          <w:rFonts w:hint="eastAsia" w:ascii="仿宋_GB2312" w:hAnsi="宋体" w:eastAsia="仿宋_GB2312" w:cs="宋体"/>
          <w:color w:val="000000"/>
          <w:kern w:val="0"/>
          <w:sz w:val="32"/>
          <w:szCs w:val="32"/>
          <w:lang w:val="en-US" w:eastAsia="zh-CN"/>
        </w:rPr>
        <w:t>12655</w:t>
      </w:r>
      <w:r>
        <w:rPr>
          <w:rFonts w:hint="eastAsia" w:ascii="仿宋_GB2312" w:hAnsi="宋体" w:eastAsia="仿宋_GB2312" w:cs="宋体"/>
          <w:color w:val="000000"/>
          <w:kern w:val="0"/>
          <w:sz w:val="32"/>
          <w:szCs w:val="32"/>
          <w:lang w:val="zh-CN"/>
        </w:rPr>
        <w:t>升，比上年增加</w:t>
      </w:r>
      <w:r>
        <w:rPr>
          <w:rFonts w:hint="eastAsia" w:ascii="仿宋_GB2312" w:hAnsi="宋体" w:eastAsia="仿宋_GB2312" w:cs="宋体"/>
          <w:color w:val="000000"/>
          <w:kern w:val="0"/>
          <w:sz w:val="32"/>
          <w:szCs w:val="32"/>
          <w:lang w:val="en-US" w:eastAsia="zh-CN"/>
        </w:rPr>
        <w:t>2.8</w:t>
      </w:r>
      <w:r>
        <w:rPr>
          <w:rFonts w:hint="eastAsia" w:ascii="仿宋_GB2312" w:hAnsi="宋体" w:eastAsia="仿宋_GB2312" w:cs="宋体"/>
          <w:color w:val="000000"/>
          <w:kern w:val="0"/>
          <w:sz w:val="32"/>
          <w:szCs w:val="32"/>
          <w:lang w:val="zh-CN"/>
        </w:rPr>
        <w:t>%，水用量为</w:t>
      </w:r>
      <w:r>
        <w:rPr>
          <w:rFonts w:hint="eastAsia" w:ascii="仿宋_GB2312" w:hAnsi="宋体" w:eastAsia="仿宋_GB2312" w:cs="宋体"/>
          <w:color w:val="000000"/>
          <w:kern w:val="0"/>
          <w:sz w:val="32"/>
          <w:szCs w:val="32"/>
          <w:lang w:val="en-US" w:eastAsia="zh-CN"/>
        </w:rPr>
        <w:t>5217</w:t>
      </w:r>
      <w:r>
        <w:rPr>
          <w:rFonts w:hint="eastAsia" w:ascii="仿宋_GB2312" w:hAnsi="宋体" w:eastAsia="仿宋_GB2312" w:cs="宋体"/>
          <w:color w:val="000000"/>
          <w:kern w:val="0"/>
          <w:sz w:val="32"/>
          <w:szCs w:val="32"/>
          <w:lang w:val="zh-CN"/>
        </w:rPr>
        <w:t>吨，比上年减少</w:t>
      </w:r>
      <w:r>
        <w:rPr>
          <w:rFonts w:hint="eastAsia" w:ascii="仿宋_GB2312" w:hAnsi="宋体" w:eastAsia="仿宋_GB2312" w:cs="宋体"/>
          <w:color w:val="000000"/>
          <w:kern w:val="0"/>
          <w:sz w:val="32"/>
          <w:szCs w:val="32"/>
          <w:lang w:val="en-US" w:eastAsia="zh-CN"/>
        </w:rPr>
        <w:t>16.63</w:t>
      </w:r>
      <w:r>
        <w:rPr>
          <w:rFonts w:hint="eastAsia" w:ascii="仿宋_GB2312" w:hAnsi="宋体" w:eastAsia="仿宋_GB2312" w:cs="宋体"/>
          <w:color w:val="000000"/>
          <w:kern w:val="0"/>
          <w:sz w:val="32"/>
          <w:szCs w:val="32"/>
          <w:lang w:val="zh-CN"/>
        </w:rPr>
        <w:t xml:space="preserve"> %；电用量为 </w:t>
      </w:r>
      <w:r>
        <w:rPr>
          <w:rFonts w:hint="eastAsia" w:ascii="仿宋_GB2312" w:hAnsi="宋体" w:eastAsia="仿宋_GB2312" w:cs="宋体"/>
          <w:color w:val="000000"/>
          <w:kern w:val="0"/>
          <w:sz w:val="32"/>
          <w:szCs w:val="32"/>
          <w:lang w:val="en-US" w:eastAsia="zh-CN"/>
        </w:rPr>
        <w:t>55346</w:t>
      </w:r>
      <w:r>
        <w:rPr>
          <w:rFonts w:hint="eastAsia" w:ascii="仿宋_GB2312" w:hAnsi="宋体" w:eastAsia="仿宋_GB2312" w:cs="宋体"/>
          <w:color w:val="000000"/>
          <w:kern w:val="0"/>
          <w:sz w:val="32"/>
          <w:szCs w:val="32"/>
          <w:lang w:val="zh-CN"/>
        </w:rPr>
        <w:t xml:space="preserve"> 度，比上年</w:t>
      </w:r>
      <w:r>
        <w:rPr>
          <w:rFonts w:hint="eastAsia" w:ascii="仿宋_GB2312" w:hAnsi="宋体" w:eastAsia="仿宋_GB2312" w:cs="宋体"/>
          <w:color w:val="000000"/>
          <w:kern w:val="0"/>
          <w:sz w:val="32"/>
          <w:szCs w:val="32"/>
          <w:lang w:val="zh-CN" w:eastAsia="zh-CN"/>
        </w:rPr>
        <w:t>减少</w:t>
      </w:r>
      <w:r>
        <w:rPr>
          <w:rFonts w:hint="eastAsia" w:ascii="仿宋_GB2312" w:hAnsi="宋体" w:eastAsia="仿宋_GB2312" w:cs="宋体"/>
          <w:color w:val="000000"/>
          <w:kern w:val="0"/>
          <w:sz w:val="32"/>
          <w:szCs w:val="32"/>
          <w:lang w:val="en-US" w:eastAsia="zh-CN"/>
        </w:rPr>
        <w:t>8.86</w:t>
      </w:r>
      <w:r>
        <w:rPr>
          <w:rFonts w:hint="eastAsia" w:ascii="仿宋_GB2312" w:hAnsi="宋体" w:eastAsia="仿宋_GB2312" w:cs="宋体"/>
          <w:color w:val="000000"/>
          <w:kern w:val="0"/>
          <w:sz w:val="32"/>
          <w:szCs w:val="32"/>
          <w:lang w:val="zh-CN"/>
        </w:rPr>
        <w:t xml:space="preserve"> %；</w:t>
      </w:r>
      <w:r>
        <w:rPr>
          <w:rFonts w:hint="eastAsia" w:ascii="仿宋_GB2312" w:hAnsi="宋体" w:eastAsia="仿宋_GB2312" w:cs="宋体"/>
          <w:color w:val="auto"/>
          <w:kern w:val="0"/>
          <w:sz w:val="32"/>
          <w:szCs w:val="32"/>
          <w:lang w:val="zh-CN"/>
        </w:rPr>
        <w:t>因为我局提倡节约用水用电，反对浪费资源，全局上下都积极的行动起来了。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4、“三公”经费预算</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lang w:val="zh-CN"/>
        </w:rPr>
        <w:t>年我局 “三公”经费预算执行情况：无公务用车购置费，公务用车运行维护费</w:t>
      </w:r>
      <w:r>
        <w:rPr>
          <w:rFonts w:hint="eastAsia" w:ascii="仿宋_GB2312" w:hAnsi="宋体" w:eastAsia="仿宋_GB2312" w:cs="宋体"/>
          <w:color w:val="000000"/>
          <w:kern w:val="0"/>
          <w:sz w:val="32"/>
          <w:szCs w:val="32"/>
          <w:lang w:val="en-US" w:eastAsia="zh-CN"/>
        </w:rPr>
        <w:t>201113</w:t>
      </w:r>
      <w:r>
        <w:rPr>
          <w:rFonts w:hint="eastAsia" w:ascii="仿宋_GB2312" w:hAnsi="宋体" w:eastAsia="仿宋_GB2312" w:cs="宋体"/>
          <w:color w:val="000000"/>
          <w:kern w:val="0"/>
          <w:sz w:val="32"/>
          <w:szCs w:val="32"/>
          <w:lang w:val="zh-CN"/>
        </w:rPr>
        <w:t>元,公务接待费29</w:t>
      </w:r>
      <w:r>
        <w:rPr>
          <w:rFonts w:hint="eastAsia" w:ascii="仿宋_GB2312" w:hAnsi="宋体" w:eastAsia="仿宋_GB2312" w:cs="宋体"/>
          <w:color w:val="000000"/>
          <w:kern w:val="0"/>
          <w:sz w:val="32"/>
          <w:szCs w:val="32"/>
          <w:lang w:val="en-US" w:eastAsia="zh-CN"/>
        </w:rPr>
        <w:t>659</w:t>
      </w:r>
      <w:r>
        <w:rPr>
          <w:rFonts w:hint="eastAsia" w:ascii="仿宋_GB2312" w:hAnsi="宋体" w:eastAsia="仿宋_GB2312" w:cs="宋体"/>
          <w:color w:val="000000"/>
          <w:kern w:val="0"/>
          <w:sz w:val="32"/>
          <w:szCs w:val="32"/>
          <w:lang w:val="zh-CN"/>
        </w:rPr>
        <w:t>元，接待3</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lang w:val="zh-CN"/>
        </w:rPr>
        <w:t>批次，3</w:t>
      </w:r>
      <w:r>
        <w:rPr>
          <w:rFonts w:hint="eastAsia" w:ascii="仿宋_GB2312" w:hAnsi="宋体" w:eastAsia="仿宋_GB2312" w:cs="宋体"/>
          <w:color w:val="000000"/>
          <w:kern w:val="0"/>
          <w:sz w:val="32"/>
          <w:szCs w:val="32"/>
          <w:lang w:val="en-US" w:eastAsia="zh-CN"/>
        </w:rPr>
        <w:t>66</w:t>
      </w:r>
      <w:r>
        <w:rPr>
          <w:rFonts w:hint="eastAsia" w:ascii="仿宋_GB2312" w:hAnsi="宋体" w:eastAsia="仿宋_GB2312" w:cs="宋体"/>
          <w:color w:val="000000"/>
          <w:kern w:val="0"/>
          <w:sz w:val="32"/>
          <w:szCs w:val="32"/>
          <w:lang w:val="zh-CN"/>
        </w:rPr>
        <w:t>人次,较上年减少</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val="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（三）综合管理情况。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1、政府性债务管理和非税收入执收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截止201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lang w:val="zh-CN"/>
        </w:rPr>
        <w:t>年底，我局无政府性债务，也无收费项目的非税收入。</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2、政府采购实施计划</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我局政府采购严格执行采购计划编制备案制度，并严格按照采购计划备案内容执行采购，按程序交政府采购中心集中采购。</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3、资产管理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单位固定资产全部纳入系统管理，落实专人负责系统管理，按要求及时、准确、全面开展资产清查工作，及时更新资产管理信息，数据与上报财政的资产清查结果一致。落实专人负责资产报表填报工作，按时完成资产报表上报工作，报表填写规范完整、数据真实。</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4、内控制度管理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我局请专人修订内控制度，确保内控制度健全完整，在本年度内未发生因内控制度不健全或执行不到位造成单位出现廉政风险或发生重大责任事故。</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5、信息公开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我局及时按照要求公开单位预算、决算、整体支出绩效自评报告及其他按要求应公开的绩效信息。</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6、绩效评价</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我局按要求向财政部门报送自评报告等相关绩效信息并针对绩效评价发现问题制定整改措施，评价覆盖率100%，并整改落实到位，在绩效编制、内控制度建设方面都有了较大提升。</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7、依法接受财政监督情况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我局依法接受财政监督，在规定时间内报送自查自纠相关材料，就发现的问题及时进行整改，确保各项工作规范严谨。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（四）整体绩效。</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auto"/>
          <w:kern w:val="0"/>
          <w:sz w:val="32"/>
          <w:szCs w:val="32"/>
          <w:lang w:val="zh-CN"/>
        </w:rPr>
      </w:pPr>
      <w:r>
        <w:rPr>
          <w:rFonts w:hint="eastAsia" w:ascii="仿宋_GB2312" w:hAnsi="宋体" w:eastAsia="仿宋_GB2312" w:cs="宋体"/>
          <w:color w:val="auto"/>
          <w:kern w:val="0"/>
          <w:sz w:val="32"/>
          <w:szCs w:val="32"/>
          <w:lang w:val="zh-CN"/>
        </w:rPr>
        <w:t>1、部门职责履行结果</w:t>
      </w:r>
    </w:p>
    <w:p>
      <w:pPr>
        <w:spacing w:line="578" w:lineRule="exact"/>
        <w:ind w:firstLine="640" w:firstLineChars="20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lang w:val="zh-CN"/>
        </w:rPr>
        <w:t>年我局</w:t>
      </w:r>
      <w:r>
        <w:rPr>
          <w:rFonts w:eastAsia="仿宋_GB2312"/>
          <w:color w:val="000000"/>
          <w:sz w:val="32"/>
          <w:szCs w:val="32"/>
        </w:rPr>
        <w:t>在县委、县政府的领导下，在县人大、县政协的监督下，在省司法厅、市司法局的指导下，围绕县委、县政府中心工作</w:t>
      </w:r>
      <w:r>
        <w:rPr>
          <w:rFonts w:hint="eastAsia" w:eastAsia="仿宋_GB2312"/>
          <w:color w:val="000000"/>
          <w:sz w:val="32"/>
          <w:szCs w:val="32"/>
          <w:lang w:eastAsia="zh-CN"/>
        </w:rPr>
        <w:t>，</w:t>
      </w:r>
      <w:r>
        <w:rPr>
          <w:rFonts w:hint="eastAsia" w:ascii="仿宋_GB2312" w:hAnsi="宋体" w:eastAsia="仿宋_GB2312" w:cs="宋体"/>
          <w:color w:val="000000"/>
          <w:kern w:val="0"/>
          <w:sz w:val="32"/>
          <w:szCs w:val="32"/>
          <w:lang w:val="zh-CN"/>
        </w:rPr>
        <w:t>共</w:t>
      </w:r>
      <w:r>
        <w:rPr>
          <w:rFonts w:hint="eastAsia" w:eastAsia="仿宋_GB2312"/>
          <w:color w:val="000000"/>
          <w:kern w:val="0"/>
          <w:sz w:val="32"/>
          <w:szCs w:val="32"/>
        </w:rPr>
        <w:t>受理各类法律援助案件401件（其中民事237件，刑事158件，执行5件，行政1件），办理其他法律援助事项3785件，提供法律援助4677余人次</w:t>
      </w:r>
      <w:r>
        <w:rPr>
          <w:rFonts w:eastAsia="仿宋_GB2312"/>
          <w:color w:val="000000"/>
          <w:kern w:val="0"/>
          <w:sz w:val="32"/>
          <w:szCs w:val="32"/>
        </w:rPr>
        <w:t>。</w:t>
      </w:r>
      <w:r>
        <w:rPr>
          <w:rFonts w:hint="eastAsia" w:ascii="仿宋_GB2312" w:hAnsi="宋体" w:eastAsia="仿宋_GB2312" w:cs="宋体"/>
          <w:color w:val="000000"/>
          <w:kern w:val="0"/>
          <w:sz w:val="32"/>
          <w:szCs w:val="32"/>
          <w:lang w:val="zh-CN"/>
        </w:rPr>
        <w:t>调解矛盾纠纷案件</w:t>
      </w:r>
      <w:r>
        <w:rPr>
          <w:rFonts w:hint="eastAsia" w:ascii="仿宋_GB2312" w:hAnsi="宋体" w:eastAsia="仿宋_GB2312" w:cs="宋体"/>
          <w:color w:val="000000"/>
          <w:kern w:val="0"/>
          <w:sz w:val="32"/>
          <w:szCs w:val="32"/>
          <w:lang w:val="en-US" w:eastAsia="zh-CN"/>
        </w:rPr>
        <w:t>7320</w:t>
      </w:r>
      <w:r>
        <w:rPr>
          <w:rFonts w:hint="eastAsia" w:ascii="仿宋_GB2312" w:hAnsi="宋体" w:eastAsia="仿宋_GB2312" w:cs="宋体"/>
          <w:color w:val="000000"/>
          <w:kern w:val="0"/>
          <w:sz w:val="32"/>
          <w:szCs w:val="32"/>
          <w:lang w:val="zh-CN"/>
        </w:rPr>
        <w:t>件，社区矫正</w:t>
      </w:r>
      <w:r>
        <w:rPr>
          <w:rFonts w:hint="eastAsia" w:ascii="仿宋_GB2312" w:hAnsi="宋体" w:eastAsia="仿宋_GB2312" w:cs="宋体"/>
          <w:color w:val="000000"/>
          <w:kern w:val="0"/>
          <w:sz w:val="32"/>
          <w:szCs w:val="32"/>
          <w:lang w:val="en-US" w:eastAsia="zh-CN"/>
        </w:rPr>
        <w:t>354</w:t>
      </w:r>
      <w:r>
        <w:rPr>
          <w:rFonts w:hint="eastAsia" w:ascii="仿宋_GB2312" w:hAnsi="宋体" w:eastAsia="仿宋_GB2312" w:cs="宋体"/>
          <w:color w:val="000000"/>
          <w:kern w:val="0"/>
          <w:sz w:val="32"/>
          <w:szCs w:val="32"/>
          <w:lang w:val="zh-CN"/>
        </w:rPr>
        <w:t>余人，接受刑满释放人员4</w:t>
      </w:r>
      <w:r>
        <w:rPr>
          <w:rFonts w:hint="eastAsia" w:ascii="仿宋_GB2312" w:hAnsi="宋体" w:eastAsia="仿宋_GB2312" w:cs="宋体"/>
          <w:color w:val="000000"/>
          <w:kern w:val="0"/>
          <w:sz w:val="32"/>
          <w:szCs w:val="32"/>
          <w:lang w:val="en-US" w:eastAsia="zh-CN"/>
        </w:rPr>
        <w:t>67</w:t>
      </w:r>
      <w:r>
        <w:rPr>
          <w:rFonts w:hint="eastAsia" w:ascii="仿宋_GB2312" w:hAnsi="宋体" w:eastAsia="仿宋_GB2312" w:cs="宋体"/>
          <w:color w:val="000000"/>
          <w:kern w:val="0"/>
          <w:sz w:val="32"/>
          <w:szCs w:val="32"/>
          <w:lang w:val="zh-CN"/>
        </w:rPr>
        <w:t>人，进行大型法治文艺演出6</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lang w:val="zh-CN"/>
        </w:rPr>
        <w:t>场，订单式普法及培训130多次，为推动建成繁荣时尚美丽和谐大竹提供了有力的司法保障和优质的司法服务。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2、服务对象满意度</w:t>
      </w:r>
    </w:p>
    <w:p>
      <w:pPr>
        <w:keepNext w:val="0"/>
        <w:keepLines w:val="0"/>
        <w:pageBreakBefore w:val="0"/>
        <w:widowControl/>
        <w:kinsoku/>
        <w:wordWrap/>
        <w:overflowPunct/>
        <w:topLinePunct w:val="0"/>
        <w:autoSpaceDE/>
        <w:autoSpaceDN/>
        <w:bidi w:val="0"/>
        <w:adjustRightInd w:val="0"/>
        <w:snapToGrid w:val="0"/>
        <w:spacing w:line="600" w:lineRule="exact"/>
        <w:ind w:firstLine="720"/>
        <w:jc w:val="left"/>
        <w:textAlignment w:val="auto"/>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lang w:val="zh-CN"/>
        </w:rPr>
        <w:t>年我局密切联系群众、服务群众，坚持以促进公正为目的，自觉接受各方监督。加强人大、政协联络工作，对法律援助人员应援则援，大力开展“一村一法律顾问”活动，为贫困村建言献策，</w:t>
      </w:r>
      <w:r>
        <w:rPr>
          <w:rFonts w:hint="eastAsia" w:ascii="仿宋_GB2312" w:hAnsi="仿宋_GB2312" w:eastAsia="仿宋_GB2312" w:cs="仿宋_GB2312"/>
          <w:color w:val="000000"/>
          <w:kern w:val="0"/>
          <w:sz w:val="32"/>
          <w:szCs w:val="32"/>
        </w:rPr>
        <w:t>在县委、县政府的坚强领导下，在财政局的指导下开拓创新</w:t>
      </w:r>
      <w:r>
        <w:rPr>
          <w:rFonts w:hint="eastAsia" w:ascii="仿宋_GB2312" w:hAnsi="仿宋_GB2312" w:eastAsia="仿宋_GB2312" w:cs="仿宋_GB2312"/>
          <w:color w:val="000000"/>
          <w:kern w:val="0"/>
          <w:sz w:val="32"/>
          <w:szCs w:val="32"/>
          <w:lang w:val="zh-CN"/>
        </w:rPr>
        <w:t>、勇于奋进，为大竹县社会经济全面发展贡献了一定的力量，在财政资金整体支出上严格控制、合理利用，既做好了各项业务工作，又发挥了资金的最大使用效益，达到了满意的效果。</w:t>
      </w:r>
      <w:r>
        <w:rPr>
          <w:rFonts w:hint="eastAsia" w:ascii="仿宋_GB2312" w:hAnsi="宋体" w:eastAsia="仿宋_GB2312" w:cs="宋体"/>
          <w:color w:val="000000"/>
          <w:kern w:val="0"/>
          <w:sz w:val="32"/>
          <w:szCs w:val="32"/>
          <w:lang w:val="zh-CN"/>
        </w:rPr>
        <w:t>也为进一步提升大竹形象做出了应有的贡献，受到了群众广泛好评。</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四、评价结论及建议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（一）评价结论。</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auto"/>
          <w:kern w:val="0"/>
          <w:sz w:val="32"/>
          <w:szCs w:val="32"/>
          <w:lang w:val="zh-CN"/>
        </w:rPr>
      </w:pPr>
      <w:r>
        <w:rPr>
          <w:rFonts w:hint="eastAsia" w:ascii="仿宋_GB2312" w:hAnsi="宋体" w:eastAsia="仿宋_GB2312" w:cs="宋体"/>
          <w:color w:val="000000"/>
          <w:kern w:val="0"/>
          <w:sz w:val="32"/>
          <w:szCs w:val="32"/>
          <w:lang w:val="zh-CN"/>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lang w:val="zh-CN"/>
        </w:rPr>
        <w:t>年我局算资金能保障单位正常运转需求，分配办法科学，考虑的因素合规合理，分配的结果满意，能基本保障人员经费支出和单位全年司法行政工作任务的完成。按照公开单位预算、决算、“三公”经费等要求公开的信息，固定资产由专人进行管理，做到帐帐、账证、账实相符，基本无闲置浪费现象。经过认真对照</w:t>
      </w:r>
      <w:r>
        <w:rPr>
          <w:rFonts w:hint="eastAsia" w:ascii="仿宋_GB2312" w:hAnsi="宋体" w:eastAsia="仿宋_GB2312" w:cs="宋体"/>
          <w:color w:val="auto"/>
          <w:kern w:val="0"/>
          <w:sz w:val="32"/>
          <w:szCs w:val="32"/>
          <w:lang w:val="zh-CN"/>
        </w:rPr>
        <w:t>《大竹县201</w:t>
      </w:r>
      <w:r>
        <w:rPr>
          <w:rFonts w:hint="eastAsia" w:ascii="仿宋_GB2312" w:hAnsi="宋体" w:eastAsia="仿宋_GB2312" w:cs="宋体"/>
          <w:color w:val="auto"/>
          <w:kern w:val="0"/>
          <w:sz w:val="32"/>
          <w:szCs w:val="32"/>
          <w:lang w:val="en-US" w:eastAsia="zh-CN"/>
        </w:rPr>
        <w:t>9</w:t>
      </w:r>
      <w:r>
        <w:rPr>
          <w:rFonts w:hint="eastAsia" w:ascii="仿宋_GB2312" w:hAnsi="宋体" w:eastAsia="仿宋_GB2312" w:cs="宋体"/>
          <w:color w:val="auto"/>
          <w:kern w:val="0"/>
          <w:sz w:val="32"/>
          <w:szCs w:val="32"/>
          <w:lang w:val="zh-CN"/>
        </w:rPr>
        <w:t>年部门整体支出绩效评价指标体系》，我局各项指标都较好达到了相关要求，自评</w:t>
      </w:r>
      <w:r>
        <w:rPr>
          <w:rFonts w:hint="eastAsia" w:ascii="仿宋_GB2312" w:hAnsi="宋体" w:eastAsia="仿宋_GB2312" w:cs="宋体"/>
          <w:color w:val="auto"/>
          <w:kern w:val="0"/>
          <w:sz w:val="32"/>
          <w:szCs w:val="32"/>
          <w:lang w:val="zh-CN" w:eastAsia="zh-CN"/>
        </w:rPr>
        <w:t>得</w:t>
      </w:r>
      <w:r>
        <w:rPr>
          <w:rFonts w:hint="eastAsia" w:ascii="仿宋_GB2312" w:hAnsi="宋体" w:eastAsia="仿宋_GB2312" w:cs="宋体"/>
          <w:color w:val="auto"/>
          <w:kern w:val="0"/>
          <w:sz w:val="32"/>
          <w:szCs w:val="32"/>
          <w:lang w:val="zh-CN"/>
        </w:rPr>
        <w:t>分为8</w:t>
      </w: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lang w:val="zh-CN"/>
        </w:rPr>
        <w:t>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（二）存在问题。</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我局在上年底编制部门年度预算时，虽然根据司法行政工作职能职责和年度工作任务制定，但由于一些工作需求和临时工作任务的增加，仍然有一些超出年初预算的项目支出，需要在年度中进行预算追加和调整。</w:t>
      </w:r>
      <w:r>
        <w:rPr>
          <w:rFonts w:hint="eastAsia" w:ascii="仿宋_GB2312" w:hAnsi="仿宋_GB2312" w:eastAsia="仿宋_GB2312" w:cs="仿宋_GB2312"/>
          <w:color w:val="333333"/>
          <w:sz w:val="32"/>
          <w:szCs w:val="32"/>
        </w:rPr>
        <w:t>同时，由于单位财务人员人手少，现有人员年龄偏大，工作量大，自身能力限制了对新的财务知识、新的政策、绩效考核知识的理解，使部门内部绩效考核不够完善、明确、精细。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（三）改进建议。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1、科学合理，严格落实预算编制执行。要加强预算编制的前瞻性，按照《预算法》及其实施条例的相关规定，综合上一年的预算执行情况和本年度收支预测科学、合理地编制本年度预算，以避免预算支出与实际执行出现偏差的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2、完善制度，加强资产管理核算。进一步贯彻落实中央八项规定</w:t>
      </w:r>
      <w:bookmarkStart w:id="84" w:name="_GoBack"/>
      <w:bookmarkEnd w:id="84"/>
      <w:r>
        <w:rPr>
          <w:rFonts w:hint="eastAsia" w:ascii="仿宋_GB2312" w:hAnsi="宋体" w:eastAsia="仿宋_GB2312" w:cs="宋体"/>
          <w:color w:val="000000"/>
          <w:kern w:val="0"/>
          <w:sz w:val="32"/>
          <w:szCs w:val="32"/>
          <w:lang w:val="zh-CN"/>
        </w:rPr>
        <w:t>、公务支出各项管理制度和厉行节约制度，加强经费审批和控制，规范支出标准与范围，并严格执行。加强固定资产管理，规范资产购置、保管、使用及处置等程序，定期进行盘点，确保账账相符、账实相符。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outlineLvl w:val="0"/>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3、加强学习，提高预算绩效水平。</w:t>
      </w:r>
      <w:r>
        <w:rPr>
          <w:rFonts w:hint="eastAsia" w:ascii="仿宋_GB2312" w:hAnsi="仿宋_GB2312" w:eastAsia="仿宋_GB2312" w:cs="仿宋_GB2312"/>
          <w:color w:val="333333"/>
          <w:sz w:val="32"/>
          <w:szCs w:val="32"/>
        </w:rPr>
        <w:t>加强充实本单位的财务人员，同时</w:t>
      </w:r>
      <w:r>
        <w:rPr>
          <w:rFonts w:hint="eastAsia" w:ascii="仿宋_GB2312" w:hAnsi="宋体" w:eastAsia="仿宋_GB2312" w:cs="宋体"/>
          <w:color w:val="000000"/>
          <w:kern w:val="0"/>
          <w:sz w:val="32"/>
          <w:szCs w:val="32"/>
          <w:lang w:val="zh-CN"/>
        </w:rPr>
        <w:t>加强新事业单位会计制度、新预算法及内控制度的学习培训。规范部门预算收支核算，完善内部管理制度，切实提高部门预算收支管理水平和内控管理水平。</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Style w:val="24"/>
          <w:rFonts w:ascii="仿宋" w:hAnsi="仿宋" w:eastAsia="仿宋"/>
          <w:b w:val="0"/>
          <w:bCs w:val="0"/>
          <w:sz w:val="32"/>
          <w:szCs w:val="32"/>
        </w:rPr>
      </w:pPr>
      <w:r>
        <w:rPr>
          <w:rStyle w:val="24"/>
          <w:rFonts w:hint="eastAsia" w:ascii="仿宋" w:hAnsi="仿宋" w:eastAsia="仿宋"/>
          <w:b w:val="0"/>
          <w:bCs w:val="0"/>
          <w:sz w:val="32"/>
          <w:szCs w:val="32"/>
        </w:rPr>
        <w:t>附件2</w:t>
      </w:r>
      <w:bookmarkEnd w:id="69"/>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4"/>
          <w:rFonts w:ascii="黑体" w:hAnsi="黑体" w:eastAsia="黑体"/>
          <w:b w:val="0"/>
        </w:rPr>
      </w:pPr>
      <w:bookmarkStart w:id="70"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65"/>
      <w:bookmarkEnd w:id="70"/>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71"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71"/>
    </w:p>
    <w:p>
      <w:pPr>
        <w:pStyle w:val="3"/>
        <w:rPr>
          <w:rFonts w:ascii="仿宋" w:hAnsi="仿宋" w:eastAsia="仿宋"/>
          <w:color w:val="000000"/>
        </w:rPr>
      </w:pPr>
      <w:bookmarkStart w:id="72"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72"/>
    </w:p>
    <w:p>
      <w:pPr>
        <w:pStyle w:val="3"/>
        <w:rPr>
          <w:rFonts w:ascii="仿宋" w:hAnsi="仿宋" w:eastAsia="仿宋"/>
          <w:color w:val="000000"/>
        </w:rPr>
      </w:pPr>
      <w:bookmarkStart w:id="73"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73"/>
    </w:p>
    <w:p>
      <w:pPr>
        <w:pStyle w:val="3"/>
        <w:rPr>
          <w:rFonts w:ascii="仿宋" w:hAnsi="仿宋" w:eastAsia="仿宋"/>
          <w:b w:val="0"/>
          <w:color w:val="000000"/>
        </w:rPr>
      </w:pPr>
      <w:bookmarkStart w:id="74"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74"/>
    </w:p>
    <w:p>
      <w:pPr>
        <w:pStyle w:val="3"/>
        <w:rPr>
          <w:rFonts w:ascii="仿宋" w:hAnsi="仿宋" w:eastAsia="仿宋"/>
          <w:color w:val="000000"/>
        </w:rPr>
      </w:pPr>
      <w:bookmarkStart w:id="75"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75"/>
    </w:p>
    <w:p>
      <w:pPr>
        <w:pStyle w:val="3"/>
        <w:rPr>
          <w:rFonts w:ascii="仿宋" w:hAnsi="仿宋" w:eastAsia="仿宋"/>
          <w:color w:val="000000"/>
        </w:rPr>
      </w:pPr>
      <w:bookmarkStart w:id="76"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6"/>
    </w:p>
    <w:p>
      <w:pPr>
        <w:pStyle w:val="3"/>
        <w:rPr>
          <w:rFonts w:ascii="仿宋" w:hAnsi="仿宋" w:eastAsia="仿宋"/>
          <w:color w:val="000000"/>
        </w:rPr>
      </w:pPr>
      <w:bookmarkStart w:id="77"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7"/>
    </w:p>
    <w:p>
      <w:pPr>
        <w:pStyle w:val="3"/>
        <w:rPr>
          <w:rFonts w:ascii="仿宋" w:hAnsi="仿宋" w:eastAsia="仿宋"/>
          <w:color w:val="000000"/>
        </w:rPr>
      </w:pPr>
      <w:bookmarkStart w:id="78"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8"/>
    </w:p>
    <w:p>
      <w:pPr>
        <w:pStyle w:val="3"/>
        <w:rPr>
          <w:rFonts w:ascii="仿宋" w:hAnsi="仿宋" w:eastAsia="仿宋"/>
          <w:color w:val="000000"/>
        </w:rPr>
      </w:pPr>
      <w:bookmarkStart w:id="79"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9"/>
    </w:p>
    <w:p>
      <w:pPr>
        <w:pStyle w:val="3"/>
        <w:rPr>
          <w:rFonts w:ascii="仿宋" w:hAnsi="仿宋" w:eastAsia="仿宋"/>
          <w:color w:val="000000"/>
        </w:rPr>
      </w:pPr>
      <w:bookmarkStart w:id="80"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80"/>
    </w:p>
    <w:p>
      <w:pPr>
        <w:pStyle w:val="3"/>
        <w:rPr>
          <w:rFonts w:ascii="仿宋" w:hAnsi="仿宋" w:eastAsia="仿宋"/>
          <w:color w:val="000000"/>
        </w:rPr>
      </w:pPr>
      <w:bookmarkStart w:id="81"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81"/>
    </w:p>
    <w:p>
      <w:pPr>
        <w:pStyle w:val="3"/>
        <w:rPr>
          <w:rFonts w:ascii="仿宋" w:hAnsi="仿宋" w:eastAsia="仿宋"/>
          <w:color w:val="000000"/>
        </w:rPr>
      </w:pPr>
      <w:bookmarkStart w:id="82"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82"/>
    </w:p>
    <w:p>
      <w:pPr>
        <w:pStyle w:val="3"/>
        <w:rPr>
          <w:rFonts w:ascii="仿宋" w:hAnsi="仿宋" w:eastAsia="仿宋"/>
          <w:color w:val="000000" w:themeColor="text1"/>
        </w:rPr>
      </w:pPr>
      <w:bookmarkStart w:id="83"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8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I2YjBiZjhhOTkwMGQwNWQ3ZDg2N2E0NTlhNDY4ZTMifQ=="/>
  </w:docVars>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98C"/>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1740B"/>
    <w:rsid w:val="00622830"/>
    <w:rsid w:val="00624A7D"/>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70046"/>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E5F4F"/>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F65212"/>
    <w:rsid w:val="020127C7"/>
    <w:rsid w:val="026512FC"/>
    <w:rsid w:val="0286797B"/>
    <w:rsid w:val="02DF5645"/>
    <w:rsid w:val="03341948"/>
    <w:rsid w:val="038C3B7B"/>
    <w:rsid w:val="038C506A"/>
    <w:rsid w:val="039D0DE5"/>
    <w:rsid w:val="03F91E97"/>
    <w:rsid w:val="051744CC"/>
    <w:rsid w:val="054C7665"/>
    <w:rsid w:val="056F5ADF"/>
    <w:rsid w:val="058C7DA1"/>
    <w:rsid w:val="059A793A"/>
    <w:rsid w:val="05F95CE7"/>
    <w:rsid w:val="06007642"/>
    <w:rsid w:val="06856792"/>
    <w:rsid w:val="06B50889"/>
    <w:rsid w:val="06CD7C43"/>
    <w:rsid w:val="07EA62D7"/>
    <w:rsid w:val="082D42A9"/>
    <w:rsid w:val="083314CD"/>
    <w:rsid w:val="086E6B1A"/>
    <w:rsid w:val="088927A6"/>
    <w:rsid w:val="09261B37"/>
    <w:rsid w:val="0964764A"/>
    <w:rsid w:val="0B2E1A2C"/>
    <w:rsid w:val="0B951ED0"/>
    <w:rsid w:val="0B9A37DA"/>
    <w:rsid w:val="0CB7472E"/>
    <w:rsid w:val="0D102E55"/>
    <w:rsid w:val="0D1F1996"/>
    <w:rsid w:val="0D2C10E3"/>
    <w:rsid w:val="0D991F85"/>
    <w:rsid w:val="0E7B228D"/>
    <w:rsid w:val="0E8C24EC"/>
    <w:rsid w:val="0F6829F6"/>
    <w:rsid w:val="0FD0535A"/>
    <w:rsid w:val="107B4CFD"/>
    <w:rsid w:val="10C055FF"/>
    <w:rsid w:val="118A3E89"/>
    <w:rsid w:val="11944A46"/>
    <w:rsid w:val="126F6627"/>
    <w:rsid w:val="12947318"/>
    <w:rsid w:val="12C53115"/>
    <w:rsid w:val="12F36D13"/>
    <w:rsid w:val="130757CD"/>
    <w:rsid w:val="13500829"/>
    <w:rsid w:val="14371F30"/>
    <w:rsid w:val="14815F01"/>
    <w:rsid w:val="14E83914"/>
    <w:rsid w:val="155306B4"/>
    <w:rsid w:val="15CB4775"/>
    <w:rsid w:val="16760FED"/>
    <w:rsid w:val="16913229"/>
    <w:rsid w:val="16BB723D"/>
    <w:rsid w:val="170D7EE4"/>
    <w:rsid w:val="17646E56"/>
    <w:rsid w:val="17850BC4"/>
    <w:rsid w:val="179C1268"/>
    <w:rsid w:val="19F64177"/>
    <w:rsid w:val="1A4F4AE6"/>
    <w:rsid w:val="1AC44D64"/>
    <w:rsid w:val="1C290B99"/>
    <w:rsid w:val="1C447102"/>
    <w:rsid w:val="1CEC67DF"/>
    <w:rsid w:val="1D1F2942"/>
    <w:rsid w:val="1D5365EA"/>
    <w:rsid w:val="1D954123"/>
    <w:rsid w:val="1D9773A1"/>
    <w:rsid w:val="1DC97552"/>
    <w:rsid w:val="1DD77725"/>
    <w:rsid w:val="1EAD4847"/>
    <w:rsid w:val="1EC75CDD"/>
    <w:rsid w:val="1EC76225"/>
    <w:rsid w:val="1F7F4AAB"/>
    <w:rsid w:val="1FA71F50"/>
    <w:rsid w:val="208D60BB"/>
    <w:rsid w:val="20CF6EED"/>
    <w:rsid w:val="20F67AD2"/>
    <w:rsid w:val="21227F16"/>
    <w:rsid w:val="21364395"/>
    <w:rsid w:val="22251C1D"/>
    <w:rsid w:val="228353B8"/>
    <w:rsid w:val="22B40DA3"/>
    <w:rsid w:val="22F31BD0"/>
    <w:rsid w:val="230D2B64"/>
    <w:rsid w:val="23640361"/>
    <w:rsid w:val="23A622C6"/>
    <w:rsid w:val="23D83DA4"/>
    <w:rsid w:val="23E977DA"/>
    <w:rsid w:val="23F20914"/>
    <w:rsid w:val="240371BF"/>
    <w:rsid w:val="24063D3E"/>
    <w:rsid w:val="24BE624D"/>
    <w:rsid w:val="252C6EDA"/>
    <w:rsid w:val="25AC79AF"/>
    <w:rsid w:val="26B96DEA"/>
    <w:rsid w:val="273035F6"/>
    <w:rsid w:val="27BF5AAB"/>
    <w:rsid w:val="280869AC"/>
    <w:rsid w:val="28175F00"/>
    <w:rsid w:val="281B7EE5"/>
    <w:rsid w:val="28641DAF"/>
    <w:rsid w:val="288B4476"/>
    <w:rsid w:val="28B66553"/>
    <w:rsid w:val="29DA32B8"/>
    <w:rsid w:val="29DE4AAE"/>
    <w:rsid w:val="29FD04D3"/>
    <w:rsid w:val="2A3A3F09"/>
    <w:rsid w:val="2A3D7D94"/>
    <w:rsid w:val="2A5234CE"/>
    <w:rsid w:val="2A6D71B4"/>
    <w:rsid w:val="2A8E5DEB"/>
    <w:rsid w:val="2B53504C"/>
    <w:rsid w:val="2C1F6463"/>
    <w:rsid w:val="2C2C54D9"/>
    <w:rsid w:val="2CF11AB4"/>
    <w:rsid w:val="2E2B195D"/>
    <w:rsid w:val="2F6574AF"/>
    <w:rsid w:val="301807B1"/>
    <w:rsid w:val="3109140C"/>
    <w:rsid w:val="3115723E"/>
    <w:rsid w:val="312369C7"/>
    <w:rsid w:val="314241A9"/>
    <w:rsid w:val="31671769"/>
    <w:rsid w:val="31916DD2"/>
    <w:rsid w:val="319F7F4E"/>
    <w:rsid w:val="31DB12A2"/>
    <w:rsid w:val="31E9392E"/>
    <w:rsid w:val="33097255"/>
    <w:rsid w:val="333227D3"/>
    <w:rsid w:val="333A6C1F"/>
    <w:rsid w:val="333E4C7D"/>
    <w:rsid w:val="335B1CC0"/>
    <w:rsid w:val="33846ECF"/>
    <w:rsid w:val="33B7258C"/>
    <w:rsid w:val="34B03A5E"/>
    <w:rsid w:val="350F7271"/>
    <w:rsid w:val="3525620A"/>
    <w:rsid w:val="35FE7CE1"/>
    <w:rsid w:val="36493D69"/>
    <w:rsid w:val="366B31B5"/>
    <w:rsid w:val="368D2E71"/>
    <w:rsid w:val="375E23DC"/>
    <w:rsid w:val="37CB2DDF"/>
    <w:rsid w:val="382C1D73"/>
    <w:rsid w:val="38831480"/>
    <w:rsid w:val="38AF17B6"/>
    <w:rsid w:val="38D722C1"/>
    <w:rsid w:val="38FB79A0"/>
    <w:rsid w:val="39086447"/>
    <w:rsid w:val="39367AFD"/>
    <w:rsid w:val="39936EE3"/>
    <w:rsid w:val="39FF0FDB"/>
    <w:rsid w:val="3A114EB8"/>
    <w:rsid w:val="3A24085E"/>
    <w:rsid w:val="3A821E64"/>
    <w:rsid w:val="3AB402F4"/>
    <w:rsid w:val="3ADB02A3"/>
    <w:rsid w:val="3B07159D"/>
    <w:rsid w:val="3B363092"/>
    <w:rsid w:val="3B3E0F7D"/>
    <w:rsid w:val="3B744A5D"/>
    <w:rsid w:val="3BBF700D"/>
    <w:rsid w:val="3BF01F38"/>
    <w:rsid w:val="3C017B2C"/>
    <w:rsid w:val="3CD12B62"/>
    <w:rsid w:val="3CE8646C"/>
    <w:rsid w:val="3D397B6C"/>
    <w:rsid w:val="3DAC6CD5"/>
    <w:rsid w:val="3DE441F1"/>
    <w:rsid w:val="3DE709A9"/>
    <w:rsid w:val="3E6037D3"/>
    <w:rsid w:val="3ED4517D"/>
    <w:rsid w:val="3EDA041D"/>
    <w:rsid w:val="3FA355F8"/>
    <w:rsid w:val="3FFC112A"/>
    <w:rsid w:val="4015007E"/>
    <w:rsid w:val="4038200F"/>
    <w:rsid w:val="404B6360"/>
    <w:rsid w:val="40555C64"/>
    <w:rsid w:val="40691E55"/>
    <w:rsid w:val="408C4ED1"/>
    <w:rsid w:val="40A413CD"/>
    <w:rsid w:val="41622F43"/>
    <w:rsid w:val="416B6C24"/>
    <w:rsid w:val="41BB2B4C"/>
    <w:rsid w:val="433C1DBE"/>
    <w:rsid w:val="436974D1"/>
    <w:rsid w:val="43713321"/>
    <w:rsid w:val="43B7184C"/>
    <w:rsid w:val="43BC43ED"/>
    <w:rsid w:val="43D1659C"/>
    <w:rsid w:val="44102DE4"/>
    <w:rsid w:val="443B08D3"/>
    <w:rsid w:val="444F577B"/>
    <w:rsid w:val="4557206B"/>
    <w:rsid w:val="458D6753"/>
    <w:rsid w:val="459F25E9"/>
    <w:rsid w:val="4623064D"/>
    <w:rsid w:val="46910CF0"/>
    <w:rsid w:val="46DD0420"/>
    <w:rsid w:val="46DE1136"/>
    <w:rsid w:val="477A73F0"/>
    <w:rsid w:val="477B043F"/>
    <w:rsid w:val="47D3467C"/>
    <w:rsid w:val="47E84F7F"/>
    <w:rsid w:val="47EB6CD9"/>
    <w:rsid w:val="48067831"/>
    <w:rsid w:val="48865F16"/>
    <w:rsid w:val="48A603A8"/>
    <w:rsid w:val="49013908"/>
    <w:rsid w:val="493B4E0A"/>
    <w:rsid w:val="49427C49"/>
    <w:rsid w:val="4943041A"/>
    <w:rsid w:val="49615D03"/>
    <w:rsid w:val="49833346"/>
    <w:rsid w:val="4ADE4D85"/>
    <w:rsid w:val="4B2732DA"/>
    <w:rsid w:val="4B5A003B"/>
    <w:rsid w:val="4BEC3CB7"/>
    <w:rsid w:val="4C5E1D4D"/>
    <w:rsid w:val="4CD10F9B"/>
    <w:rsid w:val="4D3C131E"/>
    <w:rsid w:val="4D420849"/>
    <w:rsid w:val="4D434DC0"/>
    <w:rsid w:val="4DB92544"/>
    <w:rsid w:val="4F5B2D10"/>
    <w:rsid w:val="4FE471B5"/>
    <w:rsid w:val="50B00F45"/>
    <w:rsid w:val="50C96E04"/>
    <w:rsid w:val="518D09D0"/>
    <w:rsid w:val="5200700D"/>
    <w:rsid w:val="52D64F85"/>
    <w:rsid w:val="5303488D"/>
    <w:rsid w:val="532E221E"/>
    <w:rsid w:val="54A01231"/>
    <w:rsid w:val="560D0D16"/>
    <w:rsid w:val="563F6F88"/>
    <w:rsid w:val="56E97DD9"/>
    <w:rsid w:val="571F6B53"/>
    <w:rsid w:val="57CA7F94"/>
    <w:rsid w:val="5803780A"/>
    <w:rsid w:val="58D640A4"/>
    <w:rsid w:val="59024E24"/>
    <w:rsid w:val="591A2515"/>
    <w:rsid w:val="59570912"/>
    <w:rsid w:val="59637FFA"/>
    <w:rsid w:val="5A4074FB"/>
    <w:rsid w:val="5B200184"/>
    <w:rsid w:val="5B357911"/>
    <w:rsid w:val="5C1A54D3"/>
    <w:rsid w:val="5C9550B6"/>
    <w:rsid w:val="5D505F37"/>
    <w:rsid w:val="5D955231"/>
    <w:rsid w:val="5E287B74"/>
    <w:rsid w:val="5F0C4DDB"/>
    <w:rsid w:val="5F1A28BC"/>
    <w:rsid w:val="5F9D2C29"/>
    <w:rsid w:val="60554861"/>
    <w:rsid w:val="606D38E3"/>
    <w:rsid w:val="614C12D4"/>
    <w:rsid w:val="61555932"/>
    <w:rsid w:val="615F3429"/>
    <w:rsid w:val="619A4ADC"/>
    <w:rsid w:val="62642354"/>
    <w:rsid w:val="62701DD3"/>
    <w:rsid w:val="628E7CD3"/>
    <w:rsid w:val="62F35E75"/>
    <w:rsid w:val="6308008A"/>
    <w:rsid w:val="630E0141"/>
    <w:rsid w:val="63453B53"/>
    <w:rsid w:val="64087513"/>
    <w:rsid w:val="65B212B2"/>
    <w:rsid w:val="65C2148D"/>
    <w:rsid w:val="660E2F66"/>
    <w:rsid w:val="668B7445"/>
    <w:rsid w:val="668E1699"/>
    <w:rsid w:val="675357C7"/>
    <w:rsid w:val="678C5324"/>
    <w:rsid w:val="67CE011F"/>
    <w:rsid w:val="684B4B57"/>
    <w:rsid w:val="68547D9C"/>
    <w:rsid w:val="68A430FA"/>
    <w:rsid w:val="69377A0D"/>
    <w:rsid w:val="6946573B"/>
    <w:rsid w:val="69590201"/>
    <w:rsid w:val="69624054"/>
    <w:rsid w:val="6AF32DB3"/>
    <w:rsid w:val="6AFA6578"/>
    <w:rsid w:val="6B524A3F"/>
    <w:rsid w:val="6B836120"/>
    <w:rsid w:val="6BAB02AB"/>
    <w:rsid w:val="6C04292A"/>
    <w:rsid w:val="6C2971E3"/>
    <w:rsid w:val="6C730B32"/>
    <w:rsid w:val="6CEE3640"/>
    <w:rsid w:val="6CFC3E2E"/>
    <w:rsid w:val="6D143461"/>
    <w:rsid w:val="6D7E7C95"/>
    <w:rsid w:val="6DD06B21"/>
    <w:rsid w:val="6F2F1B65"/>
    <w:rsid w:val="6F3015C6"/>
    <w:rsid w:val="6FA457EA"/>
    <w:rsid w:val="6FC92A76"/>
    <w:rsid w:val="6FD85037"/>
    <w:rsid w:val="6FD97431"/>
    <w:rsid w:val="703C1FAA"/>
    <w:rsid w:val="708F190F"/>
    <w:rsid w:val="70ED65ED"/>
    <w:rsid w:val="714A5540"/>
    <w:rsid w:val="71623263"/>
    <w:rsid w:val="71BB4E76"/>
    <w:rsid w:val="72996945"/>
    <w:rsid w:val="72F86CB1"/>
    <w:rsid w:val="735D26E8"/>
    <w:rsid w:val="74333F7D"/>
    <w:rsid w:val="74D111F0"/>
    <w:rsid w:val="754F2379"/>
    <w:rsid w:val="76074426"/>
    <w:rsid w:val="76751CEC"/>
    <w:rsid w:val="76D72043"/>
    <w:rsid w:val="776736B5"/>
    <w:rsid w:val="77674702"/>
    <w:rsid w:val="776B523D"/>
    <w:rsid w:val="788157D2"/>
    <w:rsid w:val="78B70E03"/>
    <w:rsid w:val="78E3016E"/>
    <w:rsid w:val="79192368"/>
    <w:rsid w:val="792A70A2"/>
    <w:rsid w:val="79437765"/>
    <w:rsid w:val="7963054B"/>
    <w:rsid w:val="798D3775"/>
    <w:rsid w:val="79AE2F43"/>
    <w:rsid w:val="7A2C5C13"/>
    <w:rsid w:val="7A613ACB"/>
    <w:rsid w:val="7A6C2C7D"/>
    <w:rsid w:val="7A7D6AA0"/>
    <w:rsid w:val="7AC942FD"/>
    <w:rsid w:val="7B154F78"/>
    <w:rsid w:val="7B340762"/>
    <w:rsid w:val="7B615B9B"/>
    <w:rsid w:val="7BC5012F"/>
    <w:rsid w:val="7BFF7716"/>
    <w:rsid w:val="7D075533"/>
    <w:rsid w:val="7D275E71"/>
    <w:rsid w:val="7D6A1C90"/>
    <w:rsid w:val="7D6B335A"/>
    <w:rsid w:val="7D785038"/>
    <w:rsid w:val="7D7D6BD7"/>
    <w:rsid w:val="7E737775"/>
    <w:rsid w:val="7EA26F78"/>
    <w:rsid w:val="7EEF6EB2"/>
    <w:rsid w:val="7F1C3918"/>
    <w:rsid w:val="7F82190F"/>
    <w:rsid w:val="7F8B5F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财政拨款收入、支出变动图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Lbl>
              <c:idx val="0"/>
              <c:layout>
                <c:manualLayout>
                  <c:x val="-0.00203141928494041"/>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1761.19</a:t>
                    </a:r>
                    <a:r>
                      <a:t>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1761.19</a:t>
                    </a:r>
                    <a:r>
                      <a:t>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财政拨款收入</c:v>
                </c:pt>
                <c:pt idx="1">
                  <c:v>财政拨款支出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1761.19</c:v>
                </c:pt>
                <c:pt idx="1">
                  <c:v>1761.19</c:v>
                </c:pt>
              </c:numCache>
            </c:numRef>
          </c:val>
        </c:ser>
        <c:ser>
          <c:idx val="1"/>
          <c:order val="1"/>
          <c:tx>
            <c:strRef>
              <c:f>Sheet1!$C$1</c:f>
              <c:strCache>
                <c:ptCount val="1"/>
                <c:pt idx="0">
                  <c:v>2017年</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1283.3</a:t>
                    </a:r>
                    <a:r>
                      <a:t>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1281.86</a:t>
                    </a:r>
                    <a:r>
                      <a:t>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财政拨款收入</c:v>
                </c:pt>
                <c:pt idx="1">
                  <c:v>财政拨款支出</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1283.3</c:v>
                </c:pt>
                <c:pt idx="1">
                  <c:v>1281.86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财政拨款收入</c:v>
                </c:pt>
                <c:pt idx="1">
                  <c:v>财政拨款支出</c:v>
                </c:pt>
              </c:strCache>
            </c:strRef>
          </c:cat>
        </c:ser>
        <c:dLbls>
          <c:showLegendKey val="0"/>
          <c:showVal val="0"/>
          <c:showCatName val="0"/>
          <c:showSerName val="0"/>
          <c:showPercent val="0"/>
          <c:showBubbleSize val="0"/>
        </c:dLbls>
        <c:gapWidth val="219"/>
        <c:overlap val="-27"/>
        <c:axId val="816818892"/>
        <c:axId val="756180181"/>
      </c:barChart>
      <c:catAx>
        <c:axId val="8168188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180181"/>
        <c:crosses val="autoZero"/>
        <c:auto val="1"/>
        <c:lblAlgn val="ctr"/>
        <c:lblOffset val="100"/>
        <c:noMultiLvlLbl val="0"/>
      </c:catAx>
      <c:valAx>
        <c:axId val="7561801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681889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a:t>
            </a:r>
            <a:r>
              <a:rPr lang="en-US" altLang="zh-CN"/>
              <a:t>8</a:t>
            </a:r>
            <a:r>
              <a:t>年财政收入结构图</a:t>
            </a:r>
          </a:p>
        </c:rich>
      </c:tx>
      <c:layout/>
      <c:overlay val="0"/>
      <c:spPr>
        <a:noFill/>
        <a:ln>
          <a:noFill/>
        </a:ln>
        <a:effectLst/>
      </c:spPr>
    </c:title>
    <c:autoTitleDeleted val="0"/>
    <c:plotArea>
      <c:layout/>
      <c:pieChart>
        <c:varyColors val="1"/>
        <c:ser>
          <c:idx val="0"/>
          <c:order val="0"/>
          <c:tx>
            <c:strRef>
              <c:f>[工作簿1]Sheet1!$B$1</c:f>
              <c:strCache>
                <c:ptCount val="1"/>
                <c:pt idx="0">
                  <c:v>2017年总收入额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1761.19</a:t>
                    </a:r>
                    <a:r>
                      <a:t>万元, 100%</a:t>
                    </a:r>
                  </a:p>
                </c:rich>
              </c:tx>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[工作簿1]Sheet1!$A$2:$A$14</c15:sqref>
                  </c15:fullRef>
                </c:ext>
              </c:extLst>
              <c:f>([工作簿1]Sheet1!$A$2:$A$3,[工作簿1]Sheet1!$A$10:$A$14)</c:f>
              <c:strCache>
                <c:ptCount val="7"/>
                <c:pt idx="0">
                  <c:v>一般公共预算财政拨款收入</c:v>
                </c:pt>
                <c:pt idx="1">
                  <c:v>政府性基金收入</c:v>
                </c:pt>
              </c:strCache>
            </c:strRef>
          </c:cat>
          <c:val>
            <c:numRef>
              <c:extLst>
                <c:ext xmlns:c15="http://schemas.microsoft.com/office/drawing/2012/chart" uri="{02D57815-91ED-43cb-92C2-25804820EDAC}">
                  <c15:fullRef>
                    <c15:sqref>Sheet1!$B$2:$B$14</c15:sqref>
                  </c15:fullRef>
                </c:ext>
              </c:extLst>
              <c:f>([工作簿1]Sheet1!$B$2:$B$3,[工作簿1]Sheet1!$B$10:$B$14)</c:f>
              <c:numCache>
                <c:formatCode>General</c:formatCode>
                <c:ptCount val="7"/>
                <c:pt idx="0">
                  <c:v>1283.3</c:v>
                </c:pt>
                <c:pt idx="1">
                  <c:v>0</c:v>
                </c:pt>
              </c:numCache>
            </c:numRef>
          </c:val>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[工作簿1]Sheet1!$C$1</c15:sqref>
                        </c15:formulaRef>
                      </c:ext>
                    </c:extLst>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extLst>
                      <c:ext uri="{02D57815-91ED-43cb-92C2-25804820EDAC}">
                        <c15:fullRef>
                          <c15:sqref>[工作簿1]Sheet1!$A$2:$A$14</c15:sqref>
                        </c15:fullRef>
                        <c15:formulaRef>
                          <c15:sqref>([工作簿1]Sheet1!$A$2:$A$3,[工作簿1]Sheet1!$A$10:$A$14)</c15:sqref>
                        </c15:formulaRef>
                      </c:ext>
                    </c:extLst>
                    <c:strCache>
                      <c:ptCount val="7"/>
                      <c:pt idx="0">
                        <c:v>一般公共预算财政拨款收入</c:v>
                      </c:pt>
                      <c:pt idx="1">
                        <c:v>政府性基金收入</c:v>
                      </c:pt>
                    </c:strCache>
                  </c:strRef>
                </c:cat>
                <c:val>
                  <c:numRef>
                    <c:extLst>
                      <c:ext uri="{02D57815-91ED-43cb-92C2-25804820EDAC}">
                        <c15:fullRef>
                          <c15:sqref>Sheet1!$C$2:$C$14</c15:sqref>
                        </c15:fullRef>
                        <c15:formulaRef>
                          <c15:sqref>{#N/A,#N/A,#N/A,#N/A,#N/A,#N/A,#N/A}</c15:sqref>
                        </c15:formulaRef>
                      </c:ext>
                    </c:extLst>
                    <c:numCache>
                      <c:formatCode>General</c:formatCode>
                      <c:ptCount val="7"/>
                    </c:numCache>
                  </c:numRef>
                </c:val>
              </c15:ser>
            </c15:filteredPieSeries>
            <c15:filteredPieSeries>
              <c15:ser>
                <c:idx val="2"/>
                <c:order val="2"/>
                <c:tx>
                  <c:strRef>
                    <c:extLst>
                      <c:ext uri="{02D57815-91ED-43cb-92C2-25804820EDAC}">
                        <c15:formulaRef>
                          <c15:sqref>[工作簿1]Sheet1!$D$1</c15:sqref>
                        </c15:formulaRef>
                      </c:ext>
                    </c:extLst>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extLst>
                      <c:ext uri="{02D57815-91ED-43cb-92C2-25804820EDAC}">
                        <c15:fullRef>
                          <c15:sqref>[工作簿1]Sheet1!$A$2:$A$14</c15:sqref>
                        </c15:fullRef>
                        <c15:formulaRef>
                          <c15:sqref>([工作簿1]Sheet1!$A$2:$A$3,[工作簿1]Sheet1!$A$10:$A$14)</c15:sqref>
                        </c15:formulaRef>
                      </c:ext>
                    </c:extLst>
                    <c:strCache>
                      <c:ptCount val="7"/>
                      <c:pt idx="0">
                        <c:v>一般公共预算财政拨款收入</c:v>
                      </c:pt>
                      <c:pt idx="1">
                        <c:v>政府性基金收入</c:v>
                      </c:pt>
                    </c:strCache>
                  </c:strRef>
                </c:cat>
                <c:val>
                  <c:numRef>
                    <c:extLst>
                      <c:ext uri="{02D57815-91ED-43cb-92C2-25804820EDAC}">
                        <c15:fullRef>
                          <c15:sqref>Sheet1!$D$2:$D$14</c15:sqref>
                        </c15:fullRef>
                        <c15:formulaRef>
                          <c15:sqref>{#N/A,#N/A,#N/A,#N/A,#N/A,#N/A,#N/A}</c15:sqref>
                        </c15:formulaRef>
                      </c:ext>
                    </c:extLst>
                    <c:numCache>
                      <c:formatCode>General</c:formatCode>
                      <c:ptCount val="7"/>
                    </c:numCache>
                  </c:numRef>
                </c:val>
              </c15:ser>
            </c15:filteredPieSeries>
            <c15:filteredPieSeries>
              <c15:ser>
                <c:idx val="3"/>
                <c:order val="3"/>
                <c:tx>
                  <c:strRef>
                    <c:extLst>
                      <c:ext uri="{02D57815-91ED-43cb-92C2-25804820EDAC}">
                        <c15:formulaRef>
                          <c15:sqref>[工作簿1]Sheet1!$E$1</c15:sqref>
                        </c15:formulaRef>
                      </c:ext>
                    </c:extLst>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extLst>
                      <c:ext uri="{02D57815-91ED-43cb-92C2-25804820EDAC}">
                        <c15:fullRef>
                          <c15:sqref>[工作簿1]Sheet1!$A$2:$A$14</c15:sqref>
                        </c15:fullRef>
                        <c15:formulaRef>
                          <c15:sqref>([工作簿1]Sheet1!$A$2:$A$3,[工作簿1]Sheet1!$A$10:$A$14)</c15:sqref>
                        </c15:formulaRef>
                      </c:ext>
                    </c:extLst>
                    <c:strCache>
                      <c:ptCount val="7"/>
                      <c:pt idx="0">
                        <c:v>一般公共预算财政拨款收入</c:v>
                      </c:pt>
                      <c:pt idx="1">
                        <c:v>政府性基金收入</c:v>
                      </c:pt>
                    </c:strCache>
                  </c:strRef>
                </c:cat>
                <c:val>
                  <c:numRef>
                    <c:extLst>
                      <c:ext uri="{02D57815-91ED-43cb-92C2-25804820EDAC}">
                        <c15:fullRef>
                          <c15:sqref>Sheet1!$E$2:$E$14</c15:sqref>
                        </c15:fullRef>
                        <c15:formulaRef>
                          <c15:sqref>{#N/A,#N/A,#N/A,#N/A,#N/A,#N/A,#N/A}</c15:sqref>
                        </c15:formulaRef>
                      </c:ext>
                    </c:extLst>
                    <c:numCache>
                      <c:formatCode>General</c:formatCode>
                      <c:ptCount val="7"/>
                    </c:numCache>
                  </c:numRef>
                </c:val>
              </c15:ser>
            </c15:filteredPieSeries>
            <c15:filteredPieSeries>
              <c15:ser>
                <c:idx val="4"/>
                <c:order val="4"/>
                <c:tx>
                  <c:strRef>
                    <c:extLst>
                      <c:ext uri="{02D57815-91ED-43cb-92C2-25804820EDAC}">
                        <c15:formulaRef>
                          <c15:sqref>[工作簿1]Sheet1!$F$1</c15:sqref>
                        </c15:formulaRef>
                      </c:ext>
                    </c:extLst>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extLst>
                      <c:ext uri="{02D57815-91ED-43cb-92C2-25804820EDAC}">
                        <c15:fullRef>
                          <c15:sqref>[工作簿1]Sheet1!$A$2:$A$14</c15:sqref>
                        </c15:fullRef>
                        <c15:formulaRef>
                          <c15:sqref>([工作簿1]Sheet1!$A$2:$A$3,[工作簿1]Sheet1!$A$10:$A$14)</c15:sqref>
                        </c15:formulaRef>
                      </c:ext>
                    </c:extLst>
                    <c:strCache>
                      <c:ptCount val="7"/>
                      <c:pt idx="0">
                        <c:v>一般公共预算财政拨款收入</c:v>
                      </c:pt>
                      <c:pt idx="1">
                        <c:v>政府性基金收入</c:v>
                      </c:pt>
                    </c:strCache>
                  </c:strRef>
                </c:cat>
                <c:val>
                  <c:numRef>
                    <c:extLst>
                      <c:ext uri="{02D57815-91ED-43cb-92C2-25804820EDAC}">
                        <c15:fullRef>
                          <c15:sqref>Sheet1!$F$2:$F$14</c15:sqref>
                        </c15:fullRef>
                        <c15:formulaRef>
                          <c15:sqref>{#N/A,#N/A,#N/A,#N/A,#N/A,#N/A,#N/A}</c15:sqref>
                        </c15:formulaRef>
                      </c:ext>
                    </c:extLst>
                    <c:numCache>
                      <c:formatCode>General</c:formatCode>
                      <c:ptCount val="7"/>
                    </c:numCache>
                  </c:numRef>
                </c:val>
              </c15:ser>
            </c15:filteredPieSeries>
            <c15:filteredPieSeries>
              <c15:ser>
                <c:idx val="5"/>
                <c:order val="5"/>
                <c:tx>
                  <c:strRef>
                    <c:extLst>
                      <c:ext uri="{02D57815-91ED-43cb-92C2-25804820EDAC}">
                        <c15:formulaRef>
                          <c15:sqref>[工作簿1]Sheet1!$G$1</c15:sqref>
                        </c15:formulaRef>
                      </c:ext>
                    </c:extLst>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extLst>
                      <c:ext uri="{02D57815-91ED-43cb-92C2-25804820EDAC}">
                        <c15:fullRef>
                          <c15:sqref>[工作簿1]Sheet1!$A$2:$A$14</c15:sqref>
                        </c15:fullRef>
                        <c15:formulaRef>
                          <c15:sqref>([工作簿1]Sheet1!$A$2:$A$3,[工作簿1]Sheet1!$A$10:$A$14)</c15:sqref>
                        </c15:formulaRef>
                      </c:ext>
                    </c:extLst>
                    <c:strCache>
                      <c:ptCount val="7"/>
                      <c:pt idx="0">
                        <c:v>一般公共预算财政拨款收入</c:v>
                      </c:pt>
                      <c:pt idx="1">
                        <c:v>政府性基金收入</c:v>
                      </c:pt>
                    </c:strCache>
                  </c:strRef>
                </c:cat>
                <c:val>
                  <c:numRef>
                    <c:extLst>
                      <c:ext uri="{02D57815-91ED-43cb-92C2-25804820EDAC}">
                        <c15:fullRef>
                          <c15:sqref>Sheet1!$G$2:$G$14</c15:sqref>
                        </c15:fullRef>
                        <c15:formulaRef>
                          <c15:sqref>{#N/A,#N/A,#N/A,#N/A,#N/A,#N/A,#N/A}</c15:sqref>
                        </c15:formulaRef>
                      </c:ext>
                    </c:extLst>
                    <c:numCache>
                      <c:formatCode>General</c:formatCode>
                      <c:ptCount val="7"/>
                    </c:numCache>
                  </c:numRef>
                </c:val>
              </c15:ser>
            </c15:filteredPieSeries>
          </c:ext>
        </c:extLst>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2">
        <a:lumMod val="90000"/>
      </a:schemeClr>
    </a:solidFill>
    <a:ln w="9525" cap="sq" cmpd="sng" algn="ctr">
      <a:solidFill>
        <a:schemeClr val="tx1"/>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12</a:t>
                    </a:r>
                    <a:r>
                      <a:rPr lang="en-US" altLang="zh-CN"/>
                      <a:t>39.07</a:t>
                    </a:r>
                    <a:r>
                      <a:t>万元, </a:t>
                    </a:r>
                    <a:r>
                      <a:rPr lang="en-US" altLang="zh-CN"/>
                      <a:t>70.35</a:t>
                    </a:r>
                    <a:r>
                      <a:t>%</a:t>
                    </a:r>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522.12</a:t>
                    </a:r>
                    <a:r>
                      <a:t>万元, </a:t>
                    </a:r>
                    <a:r>
                      <a:rPr lang="en-US" altLang="zh-CN"/>
                      <a:t>29.6</a:t>
                    </a:r>
                    <a:r>
                      <a:t>5%</a:t>
                    </a:r>
                  </a:p>
                </c:rich>
              </c:tx>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1239.07</c:v>
                </c:pt>
                <c:pt idx="1">
                  <c:v>522.12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财政拨款收入、支出变动图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Lbl>
              <c:idx val="0"/>
              <c:layout>
                <c:manualLayout>
                  <c:x val="-0.00203141928494041"/>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1761.19</a:t>
                    </a:r>
                    <a:r>
                      <a:t>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1761.19</a:t>
                    </a:r>
                    <a:r>
                      <a:t>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财政拨款收入</c:v>
                </c:pt>
                <c:pt idx="1">
                  <c:v>财政拨款支出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1761.19</c:v>
                </c:pt>
                <c:pt idx="1">
                  <c:v>1761.19</c:v>
                </c:pt>
              </c:numCache>
            </c:numRef>
          </c:val>
        </c:ser>
        <c:ser>
          <c:idx val="1"/>
          <c:order val="1"/>
          <c:tx>
            <c:strRef>
              <c:f>Sheet1!$C$1</c:f>
              <c:strCache>
                <c:ptCount val="1"/>
                <c:pt idx="0">
                  <c:v>2017年</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1283.3</a:t>
                    </a:r>
                    <a:r>
                      <a:t>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a:t>
                    </a:r>
                    <a:r>
                      <a:rPr lang="en-US" altLang="zh-CN"/>
                      <a:t>281.86</a:t>
                    </a:r>
                    <a:r>
                      <a:t>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财政拨款收入</c:v>
                </c:pt>
                <c:pt idx="1">
                  <c:v>财政拨款支出</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1283.3</c:v>
                </c:pt>
                <c:pt idx="1">
                  <c:v>1281.86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财政拨款收入</c:v>
                </c:pt>
                <c:pt idx="1">
                  <c:v>财政拨款支出</c:v>
                </c:pt>
              </c:strCache>
            </c:strRef>
          </c:cat>
        </c:ser>
        <c:dLbls>
          <c:showLegendKey val="0"/>
          <c:showVal val="0"/>
          <c:showCatName val="0"/>
          <c:showSerName val="0"/>
          <c:showPercent val="0"/>
          <c:showBubbleSize val="0"/>
        </c:dLbls>
        <c:gapWidth val="219"/>
        <c:overlap val="-27"/>
        <c:axId val="816818892"/>
        <c:axId val="756180181"/>
      </c:barChart>
      <c:catAx>
        <c:axId val="8168188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180181"/>
        <c:crosses val="autoZero"/>
        <c:auto val="1"/>
        <c:lblAlgn val="ctr"/>
        <c:lblOffset val="100"/>
        <c:noMultiLvlLbl val="0"/>
      </c:catAx>
      <c:valAx>
        <c:axId val="7561801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681889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1761.19</a:t>
                    </a:r>
                    <a:r>
                      <a:t>万元</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一般公共预算财政拨款支出决算变动</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1761.19</c:v>
                </c:pt>
              </c:numCache>
            </c:numRef>
          </c:val>
        </c:ser>
        <c:ser>
          <c:idx val="1"/>
          <c:order val="1"/>
          <c:tx>
            <c:strRef>
              <c:f>Sheet1!$C$1</c:f>
              <c:strCache>
                <c:ptCount val="1"/>
                <c:pt idx="0">
                  <c:v>2017年</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1281.86</a:t>
                    </a:r>
                    <a:r>
                      <a:t>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一般公共预算财政拨款支出决算变动</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1281.86</c:v>
                </c:pt>
              </c:numCache>
            </c:numRef>
          </c:val>
        </c:ser>
        <c:dLbls>
          <c:showLegendKey val="0"/>
          <c:showVal val="0"/>
          <c:showCatName val="0"/>
          <c:showSerName val="0"/>
          <c:showPercent val="0"/>
          <c:showBubbleSize val="0"/>
        </c:dLbls>
        <c:gapWidth val="219"/>
        <c:overlap val="-27"/>
        <c:axId val="816818892"/>
        <c:axId val="756180181"/>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一般公共预算财政拨款支出决算变动</c:v>
                      </c:pt>
                    </c:strCache>
                  </c:strRef>
                </c:cat>
              </c15:ser>
            </c15:filteredBarSeries>
          </c:ext>
        </c:extLst>
      </c:barChart>
      <c:catAx>
        <c:axId val="8168188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6180181"/>
        <c:crosses val="autoZero"/>
        <c:auto val="1"/>
        <c:lblAlgn val="ctr"/>
        <c:lblOffset val="100"/>
        <c:noMultiLvlLbl val="0"/>
      </c:catAx>
      <c:valAx>
        <c:axId val="7561801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68188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1370.55</a:t>
                    </a:r>
                    <a:r>
                      <a:t>万元, </a:t>
                    </a:r>
                    <a:r>
                      <a:rPr lang="en-US" altLang="zh-CN"/>
                      <a:t>77.82</a:t>
                    </a:r>
                    <a:r>
                      <a:t>%</a:t>
                    </a:r>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0342369859854606"/>
                  <c:y val="0.015040768462720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a:t>
                    </a:r>
                    <a:r>
                      <a:rPr lang="en-US" altLang="zh-CN"/>
                      <a:t>10.41</a:t>
                    </a:r>
                    <a:r>
                      <a:t>万元, </a:t>
                    </a:r>
                    <a:r>
                      <a:rPr lang="en-US" altLang="zh-CN"/>
                      <a:t>6.27</a:t>
                    </a:r>
                    <a:r>
                      <a:t>%</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214</a:t>
                    </a:r>
                    <a:r>
                      <a:t>万元, </a:t>
                    </a:r>
                    <a:r>
                      <a:rPr lang="en-US" altLang="zh-CN"/>
                      <a:t>12.15</a:t>
                    </a:r>
                    <a:r>
                      <a:t>%</a:t>
                    </a:r>
                  </a:p>
                </c:rich>
              </c:tx>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公共安全支出</c:v>
                </c:pt>
                <c:pt idx="1">
                  <c:v>社会保障和就业支出</c:v>
                </c:pt>
                <c:pt idx="2">
                  <c:v>公共服务支出</c:v>
                </c:pt>
                <c:pt idx="3">
                  <c:v>住房保障支出</c:v>
                </c:pt>
              </c:strCache>
            </c:strRef>
          </c:cat>
          <c:val>
            <c:numRef>
              <c:f>Sheet1!$B$2:$B$5</c:f>
              <c:numCache>
                <c:formatCode>General</c:formatCode>
                <c:ptCount val="4"/>
                <c:pt idx="0">
                  <c:v>1370.55</c:v>
                </c:pt>
                <c:pt idx="1">
                  <c:v>110.41</c:v>
                </c:pt>
                <c:pt idx="2">
                  <c:v>214</c:v>
                </c:pt>
                <c:pt idx="3">
                  <c:v>66.23</c:v>
                </c:pt>
              </c:numCache>
            </c:numRef>
          </c:val>
        </c:ser>
        <c:ser>
          <c:idx val="1"/>
          <c:order val="1"/>
          <c:tx>
            <c:strRef>
              <c:f>Sheet1!$B$2:$B$5</c:f>
              <c:strCache>
                <c:ptCount val="1"/>
                <c:pt idx="0">
                  <c:v>1370.55 110.41 214 66.23</c:v>
                </c:pt>
              </c:strCache>
            </c:strRef>
          </c:tx>
          <c:spPr/>
          <c:explosion val="0"/>
          <c:dPt>
            <c:idx val="0"/>
            <c:bubble3D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公共安全支出</c:v>
                </c:pt>
                <c:pt idx="1">
                  <c:v>社会保障和就业支出</c:v>
                </c:pt>
                <c:pt idx="2">
                  <c:v>公共服务支出</c:v>
                </c:pt>
                <c:pt idx="3">
                  <c:v>住房保障支出</c:v>
                </c:pt>
              </c:strCache>
            </c:strRef>
          </c:cat>
          <c:val>
            <c:numRef>
              <c:f>{1}</c:f>
              <c:numCache>
                <c:formatCode>General</c:formatCode>
                <c:ptCount val="1"/>
                <c:pt idx="0">
                  <c:v>1</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20.11</a:t>
                    </a:r>
                    <a:r>
                      <a:t>万元, 8</a:t>
                    </a:r>
                    <a:r>
                      <a:rPr lang="en-US" altLang="zh-CN"/>
                      <a:t>7.14</a:t>
                    </a:r>
                    <a:r>
                      <a:t>%</a:t>
                    </a:r>
                  </a:p>
                </c:rich>
              </c:tx>
              <c:dLblPos val="bestFit"/>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2.9</a:t>
                    </a:r>
                    <a:r>
                      <a:rPr lang="en-US" altLang="zh-CN"/>
                      <a:t>7</a:t>
                    </a:r>
                    <a:r>
                      <a:t>万元, </a:t>
                    </a:r>
                    <a:r>
                      <a:rPr lang="en-US" altLang="zh-CN"/>
                      <a:t>12.86</a:t>
                    </a:r>
                    <a:r>
                      <a:t>%</a:t>
                    </a:r>
                  </a:p>
                </c:rich>
              </c:tx>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16.94</c:v>
                </c:pt>
                <c:pt idx="2">
                  <c:v>2.99</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10099</Words>
  <Characters>11386</Characters>
  <Lines>74</Lines>
  <Paragraphs>20</Paragraphs>
  <TotalTime>6</TotalTime>
  <ScaleCrop>false</ScaleCrop>
  <LinksUpToDate>false</LinksUpToDate>
  <CharactersWithSpaces>11452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lenovo</cp:lastModifiedBy>
  <cp:lastPrinted>2019-11-18T07:20:00Z</cp:lastPrinted>
  <dcterms:modified xsi:type="dcterms:W3CDTF">2022-10-24T06:43:40Z</dcterms:modified>
  <dc:title>四川省***</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3F4F9A1A54614F3E80056A393F893A77</vt:lpwstr>
  </property>
</Properties>
</file>