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auto"/>
          <w:sz w:val="21"/>
          <w:szCs w:val="21"/>
          <w:highlight w:val="none"/>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96475"/>
      <w:bookmarkStart w:id="2" w:name="_Toc15378441"/>
      <w:bookmarkStart w:id="3" w:name="_Toc15377193"/>
      <w:bookmarkStart w:id="4" w:name="_Toc15377425"/>
      <w:bookmarkStart w:id="5"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96476"/>
      <w:bookmarkStart w:id="7" w:name="_Toc15378442"/>
      <w:bookmarkStart w:id="8" w:name="_Toc15377194"/>
      <w:bookmarkStart w:id="9" w:name="_Toc15396598"/>
      <w:bookmarkStart w:id="10" w:name="_Toc15377426"/>
      <w:r>
        <w:rPr>
          <w:rFonts w:hint="eastAsia" w:ascii="方正小标宋简体" w:hAnsi="方正小标宋简体" w:eastAsia="方正小标宋简体" w:cs="方正小标宋简体"/>
          <w:color w:val="auto"/>
          <w:sz w:val="72"/>
          <w:szCs w:val="72"/>
          <w:highlight w:val="none"/>
          <w:lang w:eastAsia="zh-CN"/>
        </w:rPr>
        <w:t>大竹县</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财政局单位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auto"/>
          <w:sz w:val="52"/>
          <w:szCs w:val="52"/>
          <w:highlight w:val="none"/>
        </w:rPr>
      </w:pPr>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rPr>
          <w:color w:val="auto"/>
          <w:highlight w:val="none"/>
        </w:rPr>
      </w:pP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p>
    <w:p>
      <w:pPr>
        <w:pStyle w:val="11"/>
        <w:adjustRightInd w:val="0"/>
        <w:snapToGrid w:val="0"/>
        <w:spacing w:line="440" w:lineRule="exact"/>
        <w:jc w:val="left"/>
        <w:rPr>
          <w:rFonts w:hint="eastAsia" w:eastAsia="宋体"/>
          <w:color w:val="auto"/>
          <w:sz w:val="24"/>
          <w:highlight w:val="none"/>
          <w:lang w:eastAsia="zh-CN"/>
        </w:rPr>
      </w:pPr>
      <w:r>
        <w:rPr>
          <w:rFonts w:hint="eastAsia"/>
          <w:color w:val="auto"/>
          <w:sz w:val="24"/>
          <w:highlight w:val="none"/>
        </w:rPr>
        <w:t>一、</w:t>
      </w:r>
      <w:r>
        <w:rPr>
          <w:rFonts w:hint="eastAsia"/>
          <w:color w:val="auto"/>
          <w:sz w:val="24"/>
          <w:highlight w:val="none"/>
          <w:lang w:eastAsia="zh-CN"/>
        </w:rPr>
        <w:t>主要职责</w:t>
      </w:r>
    </w:p>
    <w:p>
      <w:pPr>
        <w:pStyle w:val="11"/>
        <w:adjustRightInd w:val="0"/>
        <w:snapToGrid w:val="0"/>
        <w:spacing w:line="440" w:lineRule="exact"/>
        <w:jc w:val="left"/>
        <w:rPr>
          <w:rFonts w:hint="eastAsia" w:eastAsia="宋体"/>
          <w:color w:val="auto"/>
          <w:lang w:eastAsia="zh-CN"/>
        </w:rPr>
      </w:pPr>
      <w:r>
        <w:rPr>
          <w:rFonts w:hint="eastAsia"/>
          <w:color w:val="auto"/>
          <w:sz w:val="24"/>
          <w:highlight w:val="none"/>
          <w:lang w:eastAsia="zh-CN"/>
        </w:rPr>
        <w:t>二</w:t>
      </w:r>
      <w:r>
        <w:rPr>
          <w:rFonts w:hint="eastAsia"/>
          <w:color w:val="auto"/>
          <w:sz w:val="24"/>
          <w:highlight w:val="none"/>
        </w:rPr>
        <w:t>、</w:t>
      </w:r>
      <w:r>
        <w:rPr>
          <w:rFonts w:hint="eastAsia"/>
          <w:color w:val="auto"/>
          <w:sz w:val="24"/>
          <w:highlight w:val="none"/>
          <w:lang w:eastAsia="zh-CN"/>
        </w:rPr>
        <w:t>机构设置</w:t>
      </w:r>
    </w:p>
    <w:p>
      <w:pPr>
        <w:pStyle w:val="10"/>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2022年度</w:t>
      </w:r>
      <w:r>
        <w:rPr>
          <w:rFonts w:hint="eastAsia"/>
          <w:color w:val="auto"/>
          <w:sz w:val="24"/>
          <w:highlight w:val="none"/>
          <w:lang w:eastAsia="zh-CN"/>
        </w:rPr>
        <w:t>单位</w:t>
      </w:r>
      <w:r>
        <w:rPr>
          <w:rFonts w:hint="eastAsia"/>
          <w:color w:val="auto"/>
          <w:sz w:val="24"/>
          <w:highlight w:val="none"/>
        </w:rPr>
        <w:t>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七、财政拨款</w:t>
      </w:r>
      <w:r>
        <w:rPr>
          <w:rFonts w:hint="eastAsia"/>
          <w:color w:val="auto"/>
          <w:sz w:val="24"/>
          <w:highlight w:val="none"/>
          <w:lang w:eastAsia="zh-CN"/>
        </w:rPr>
        <w:t>“</w:t>
      </w:r>
      <w:r>
        <w:rPr>
          <w:rFonts w:hint="eastAsia"/>
          <w:color w:val="auto"/>
          <w:sz w:val="24"/>
          <w:highlight w:val="none"/>
        </w:rPr>
        <w:t>三公”经费支出决算情况说明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九、国有资本经营预算支出决算情况说明</w:t>
      </w:r>
    </w:p>
    <w:p>
      <w:pPr>
        <w:pStyle w:val="11"/>
        <w:adjustRightInd w:val="0"/>
        <w:snapToGrid w:val="0"/>
        <w:spacing w:line="440" w:lineRule="exact"/>
        <w:jc w:val="left"/>
        <w:rPr>
          <w:rFonts w:hint="eastAsia"/>
          <w:color w:val="auto"/>
          <w:sz w:val="24"/>
          <w:highlight w:val="none"/>
          <w:lang w:eastAsia="zh-CN"/>
        </w:rPr>
      </w:pPr>
      <w:r>
        <w:rPr>
          <w:rFonts w:hint="eastAsia"/>
          <w:color w:val="auto"/>
          <w:sz w:val="24"/>
          <w:highlight w:val="none"/>
        </w:rPr>
        <w:t>十、其他重要事项的情况说明</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w:t>
      </w:r>
      <w:r>
        <w:rPr>
          <w:rFonts w:hint="eastAsia"/>
          <w:color w:val="auto"/>
          <w:sz w:val="24"/>
          <w:highlight w:val="none"/>
          <w:lang w:eastAsia="zh-CN"/>
        </w:rPr>
        <w:t>明细</w:t>
      </w:r>
      <w:r>
        <w:rPr>
          <w:rFonts w:hint="eastAsia"/>
          <w:color w:val="auto"/>
          <w:sz w:val="24"/>
          <w:highlight w:val="none"/>
        </w:rPr>
        <w:t>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十、政府性基金预算财政拨款收入支出决算表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十一、国有资本经营预算财政拨款收入支出决算表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十二、</w:t>
      </w:r>
      <w:r>
        <w:rPr>
          <w:rFonts w:hint="eastAsia"/>
          <w:color w:val="auto"/>
          <w:sz w:val="24"/>
          <w:highlight w:val="none"/>
          <w:lang w:val="en-US" w:eastAsia="zh-CN"/>
        </w:rPr>
        <w:t>国有资本经营预算财政拨款支出决算表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十三、财政拨款“三公”经费支出决算表</w:t>
      </w:r>
    </w:p>
    <w:p>
      <w:pPr>
        <w:widowControl/>
        <w:adjustRightInd w:val="0"/>
        <w:snapToGrid w:val="0"/>
        <w:spacing w:line="440" w:lineRule="exact"/>
        <w:ind w:firstLine="1320" w:firstLineChars="550"/>
        <w:jc w:val="left"/>
        <w:rPr>
          <w:rFonts w:ascii="仿宋" w:hAnsi="仿宋" w:eastAsia="仿宋"/>
          <w:color w:val="auto"/>
          <w:sz w:val="24"/>
          <w:highlight w:val="none"/>
        </w:rPr>
      </w:pPr>
      <w:r>
        <w:rPr>
          <w:rFonts w:ascii="仿宋" w:hAnsi="仿宋" w:eastAsia="仿宋"/>
          <w:color w:val="auto"/>
          <w:sz w:val="24"/>
          <w:highlight w:val="none"/>
        </w:rPr>
        <w:t>(注：</w:t>
      </w:r>
      <w:r>
        <w:rPr>
          <w:rFonts w:hint="eastAsia" w:ascii="仿宋" w:hAnsi="仿宋" w:eastAsia="仿宋"/>
          <w:color w:val="auto"/>
          <w:sz w:val="24"/>
          <w:highlight w:val="none"/>
        </w:rPr>
        <w:t>请</w:t>
      </w:r>
      <w:r>
        <w:rPr>
          <w:rFonts w:hint="eastAsia" w:ascii="仿宋" w:hAnsi="仿宋" w:eastAsia="仿宋"/>
          <w:color w:val="auto"/>
          <w:sz w:val="24"/>
          <w:highlight w:val="none"/>
          <w:lang w:eastAsia="zh-CN"/>
        </w:rPr>
        <w:t>单位</w:t>
      </w:r>
      <w:r>
        <w:rPr>
          <w:rFonts w:hint="eastAsia" w:ascii="仿宋" w:hAnsi="仿宋" w:eastAsia="仿宋"/>
          <w:color w:val="auto"/>
          <w:sz w:val="24"/>
          <w:highlight w:val="none"/>
        </w:rPr>
        <w:t>根据实际注明页码</w:t>
      </w:r>
      <w:r>
        <w:rPr>
          <w:rFonts w:ascii="仿宋" w:hAnsi="仿宋" w:eastAsia="仿宋"/>
          <w:color w:val="auto"/>
          <w:sz w:val="24"/>
          <w:highlight w:val="none"/>
        </w:rPr>
        <w:t>)</w:t>
      </w:r>
    </w:p>
    <w:p>
      <w:pPr>
        <w:widowControl/>
        <w:spacing w:line="440" w:lineRule="exact"/>
        <w:jc w:val="left"/>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2"/>
        <w:jc w:val="center"/>
        <w:rPr>
          <w:rFonts w:ascii="黑体" w:eastAsia="黑体"/>
          <w:color w:val="auto"/>
          <w:sz w:val="32"/>
          <w:szCs w:val="32"/>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2"/>
      <w:bookmarkEnd w:id="13"/>
    </w:p>
    <w:p>
      <w:pPr>
        <w:pStyle w:val="3"/>
        <w:numPr>
          <w:ilvl w:val="0"/>
          <w:numId w:val="1"/>
        </w:numPr>
        <w:rPr>
          <w:rStyle w:val="25"/>
          <w:rFonts w:hint="eastAsia" w:ascii="黑体" w:hAnsi="黑体" w:eastAsia="黑体"/>
          <w:b w:val="0"/>
          <w:bCs w:val="0"/>
          <w:color w:val="auto"/>
          <w:highlight w:val="none"/>
          <w:lang w:eastAsia="zh-CN"/>
        </w:rPr>
      </w:pPr>
      <w:bookmarkStart w:id="14" w:name="_Toc15396600"/>
      <w:bookmarkStart w:id="15" w:name="_Toc15377197"/>
      <w:r>
        <w:rPr>
          <w:rStyle w:val="25"/>
          <w:rFonts w:hint="eastAsia" w:ascii="黑体" w:hAnsi="黑体" w:eastAsia="黑体"/>
          <w:b w:val="0"/>
          <w:bCs w:val="0"/>
          <w:color w:val="auto"/>
          <w:highlight w:val="none"/>
          <w:lang w:eastAsia="zh-CN"/>
        </w:rPr>
        <w:t>主要职责</w:t>
      </w:r>
    </w:p>
    <w:p>
      <w:pPr>
        <w:spacing w:line="600" w:lineRule="exact"/>
        <w:ind w:firstLine="640" w:firstLineChars="200"/>
        <w:rPr>
          <w:rFonts w:hint="eastAsia"/>
          <w:lang w:eastAsia="zh-CN"/>
        </w:rPr>
      </w:pPr>
      <w:r>
        <w:rPr>
          <w:rFonts w:hint="eastAsia" w:ascii="仿宋" w:hAnsi="仿宋" w:eastAsia="仿宋"/>
          <w:sz w:val="32"/>
          <w:szCs w:val="32"/>
        </w:rPr>
        <w:t>大竹县财政局是贯彻执行国家财税政策，承担各项财政收支管理责任，负责编制年度县级预决算草案并组织执行，以及监督财政性经济发展支出等财政管理相关工作的县政府组成部门。</w:t>
      </w:r>
    </w:p>
    <w:p>
      <w:pPr>
        <w:pStyle w:val="3"/>
        <w:numPr>
          <w:ilvl w:val="0"/>
          <w:numId w:val="1"/>
        </w:numPr>
        <w:ind w:left="0" w:leftChars="0" w:firstLine="0" w:firstLineChars="0"/>
        <w:rPr>
          <w:rFonts w:hint="eastAsia" w:ascii="黑体" w:hAnsi="黑体" w:eastAsia="黑体"/>
          <w:b w:val="0"/>
          <w:color w:val="auto"/>
          <w:highlight w:val="none"/>
          <w:lang w:val="en-US" w:eastAsia="zh-CN"/>
        </w:rPr>
      </w:pPr>
      <w:r>
        <w:rPr>
          <w:rFonts w:hint="eastAsia" w:ascii="黑体" w:hAnsi="黑体" w:eastAsia="黑体"/>
          <w:b w:val="0"/>
          <w:color w:val="auto"/>
          <w:highlight w:val="none"/>
          <w:lang w:val="en-US" w:eastAsia="zh-CN"/>
        </w:rPr>
        <w:t>机构设置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lang w:val="en-US" w:eastAsia="zh-CN"/>
        </w:rPr>
      </w:pPr>
      <w:r>
        <w:rPr>
          <w:rFonts w:hint="eastAsia" w:ascii="仿宋" w:hAnsi="仿宋" w:eastAsia="仿宋"/>
          <w:color w:val="auto"/>
          <w:sz w:val="32"/>
          <w:szCs w:val="32"/>
          <w:highlight w:val="none"/>
          <w:lang w:eastAsia="zh-CN"/>
        </w:rPr>
        <w:t>财政局</w:t>
      </w:r>
      <w:r>
        <w:rPr>
          <w:rFonts w:hint="eastAsia" w:ascii="仿宋" w:hAnsi="仿宋" w:eastAsia="仿宋"/>
          <w:color w:val="auto"/>
          <w:sz w:val="32"/>
          <w:szCs w:val="32"/>
          <w:highlight w:val="none"/>
        </w:rPr>
        <w:t>下属二级</w:t>
      </w:r>
      <w:r>
        <w:rPr>
          <w:rFonts w:hint="eastAsia" w:ascii="仿宋" w:hAnsi="仿宋" w:eastAsia="仿宋"/>
          <w:color w:val="auto"/>
          <w:sz w:val="32"/>
          <w:szCs w:val="32"/>
          <w:highlight w:val="none"/>
          <w:lang w:eastAsia="zh-CN"/>
        </w:rPr>
        <w:t>预算</w:t>
      </w:r>
      <w:r>
        <w:rPr>
          <w:rFonts w:hint="eastAsia" w:ascii="仿宋" w:hAnsi="仿宋" w:eastAsia="仿宋"/>
          <w:color w:val="auto"/>
          <w:sz w:val="32"/>
          <w:szCs w:val="32"/>
          <w:highlight w:val="none"/>
        </w:rPr>
        <w:t>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个，其中行政单位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个，参照公务员法管理的事业单位</w:t>
      </w:r>
      <w:r>
        <w:rPr>
          <w:rFonts w:hint="eastAsia" w:ascii="仿宋" w:hAnsi="仿宋" w:eastAsia="仿宋"/>
          <w:bCs/>
          <w:color w:val="auto"/>
          <w:sz w:val="32"/>
          <w:szCs w:val="32"/>
          <w:highlight w:val="none"/>
          <w:lang w:val="en-US" w:eastAsia="zh-CN"/>
        </w:rPr>
        <w:t>0</w:t>
      </w:r>
      <w:r>
        <w:rPr>
          <w:rFonts w:hint="eastAsia" w:ascii="仿宋" w:hAnsi="仿宋" w:eastAsia="仿宋"/>
          <w:color w:val="auto"/>
          <w:sz w:val="32"/>
          <w:szCs w:val="32"/>
          <w:highlight w:val="none"/>
        </w:rPr>
        <w:t>个，其他事业单位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w:t>
      </w:r>
      <w:r>
        <w:rPr>
          <w:rFonts w:hint="eastAsia" w:ascii="仿宋" w:hAnsi="仿宋" w:eastAsia="仿宋"/>
          <w:color w:val="auto"/>
          <w:sz w:val="32"/>
          <w:szCs w:val="32"/>
          <w:highlight w:val="none"/>
          <w:lang w:eastAsia="zh-CN"/>
        </w:rPr>
        <w:t>无</w:t>
      </w:r>
      <w:r>
        <w:rPr>
          <w:rFonts w:hint="eastAsia" w:ascii="仿宋" w:hAnsi="仿宋" w:eastAsia="仿宋"/>
          <w:color w:val="auto"/>
          <w:sz w:val="32"/>
          <w:szCs w:val="32"/>
          <w:highlight w:val="none"/>
        </w:rPr>
        <w:t>纳入20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年度部门决算编制范围的二级预算单位</w:t>
      </w:r>
      <w:r>
        <w:rPr>
          <w:rFonts w:hint="eastAsia" w:ascii="仿宋" w:hAnsi="仿宋" w:eastAsia="仿宋"/>
          <w:color w:val="auto"/>
          <w:sz w:val="32"/>
          <w:szCs w:val="32"/>
          <w:highlight w:val="none"/>
          <w:lang w:eastAsia="zh-CN"/>
        </w:rPr>
        <w:t>。</w:t>
      </w:r>
    </w:p>
    <w:bookmarkEnd w:id="14"/>
    <w:bookmarkEnd w:id="15"/>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2"/>
        <w:ind w:right="440"/>
        <w:jc w:val="center"/>
        <w:rPr>
          <w:color w:val="auto"/>
          <w:highlight w:val="none"/>
        </w:rPr>
      </w:pPr>
      <w:bookmarkStart w:id="16" w:name="_Toc15396602"/>
      <w:bookmarkStart w:id="17"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16"/>
      <w:bookmarkEnd w:id="17"/>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18" w:name="_Toc15396603"/>
      <w:bookmarkStart w:id="19" w:name="_Toc15377205"/>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w:t>
      </w:r>
      <w:r>
        <w:rPr>
          <w:rFonts w:hint="eastAsia" w:ascii="仿宋" w:hAnsi="仿宋" w:eastAsia="仿宋"/>
          <w:color w:val="auto"/>
          <w:sz w:val="32"/>
          <w:szCs w:val="32"/>
          <w:highlight w:val="none"/>
          <w:lang w:eastAsia="zh-CN"/>
        </w:rPr>
        <w:t>入总计</w:t>
      </w:r>
      <w:r>
        <w:rPr>
          <w:rFonts w:hint="eastAsia" w:ascii="仿宋" w:hAnsi="仿宋" w:eastAsia="仿宋"/>
          <w:color w:val="auto"/>
          <w:sz w:val="32"/>
          <w:szCs w:val="32"/>
          <w:highlight w:val="none"/>
          <w:lang w:val="en-US" w:eastAsia="zh-CN"/>
        </w:rPr>
        <w:t>3081.22</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支</w:t>
      </w:r>
      <w:r>
        <w:rPr>
          <w:rFonts w:hint="eastAsia" w:ascii="仿宋" w:hAnsi="仿宋" w:eastAsia="仿宋"/>
          <w:color w:val="auto"/>
          <w:sz w:val="32"/>
          <w:szCs w:val="32"/>
          <w:highlight w:val="none"/>
          <w:lang w:eastAsia="zh-CN"/>
        </w:rPr>
        <w:t>出</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3081.22</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w:t>
      </w:r>
      <w:r>
        <w:rPr>
          <w:rFonts w:hint="eastAsia" w:ascii="仿宋" w:hAnsi="仿宋" w:eastAsia="仿宋"/>
          <w:color w:val="auto"/>
          <w:sz w:val="32"/>
          <w:szCs w:val="32"/>
          <w:highlight w:val="none"/>
          <w:lang w:eastAsia="zh-CN"/>
        </w:rPr>
        <w:t>入增加261.88万元，增长9.29%；</w:t>
      </w:r>
      <w:r>
        <w:rPr>
          <w:rFonts w:hint="eastAsia" w:ascii="仿宋" w:hAnsi="仿宋" w:eastAsia="仿宋"/>
          <w:color w:val="auto"/>
          <w:sz w:val="32"/>
          <w:szCs w:val="32"/>
          <w:highlight w:val="none"/>
        </w:rPr>
        <w:t>支</w:t>
      </w:r>
      <w:r>
        <w:rPr>
          <w:rFonts w:hint="eastAsia" w:ascii="仿宋" w:hAnsi="仿宋" w:eastAsia="仿宋"/>
          <w:color w:val="auto"/>
          <w:sz w:val="32"/>
          <w:szCs w:val="32"/>
          <w:highlight w:val="none"/>
          <w:lang w:eastAsia="zh-CN"/>
        </w:rPr>
        <w:t>出</w:t>
      </w:r>
      <w:r>
        <w:rPr>
          <w:rFonts w:hint="eastAsia" w:ascii="仿宋" w:hAnsi="仿宋" w:eastAsia="仿宋"/>
          <w:color w:val="auto"/>
          <w:sz w:val="32"/>
          <w:szCs w:val="32"/>
          <w:highlight w:val="none"/>
        </w:rPr>
        <w:t>总计增加201.97万元，增长7.01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增加了资产清查、财政预算一体化系统等</w:t>
      </w:r>
      <w:r>
        <w:rPr>
          <w:rFonts w:hint="eastAsia" w:ascii="仿宋" w:hAnsi="仿宋" w:eastAsia="仿宋"/>
          <w:color w:val="auto"/>
          <w:sz w:val="32"/>
          <w:szCs w:val="32"/>
          <w:highlight w:val="none"/>
        </w:rPr>
        <w:t>项目</w:t>
      </w:r>
      <w:r>
        <w:rPr>
          <w:rFonts w:hint="eastAsia" w:ascii="仿宋" w:hAnsi="仿宋" w:eastAsia="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olor w:val="auto"/>
          <w:sz w:val="32"/>
          <w:szCs w:val="32"/>
          <w:highlight w:val="none"/>
          <w:lang w:eastAsia="zh-CN"/>
        </w:rPr>
      </w:pPr>
      <w:r>
        <w:drawing>
          <wp:inline distT="0" distB="0" distL="114300" distR="114300">
            <wp:extent cx="4502150" cy="2432050"/>
            <wp:effectExtent l="4445" t="5080" r="19685" b="1651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0" w:name="_Toc15377206"/>
      <w:bookmarkStart w:id="21" w:name="_Toc15396604"/>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3081.22</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2846.65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92.39</w:t>
      </w:r>
      <w:r>
        <w:rPr>
          <w:rFonts w:ascii="仿宋" w:hAnsi="仿宋" w:eastAsia="仿宋"/>
          <w:color w:val="auto"/>
          <w:sz w:val="32"/>
          <w:szCs w:val="32"/>
          <w:highlight w:val="none"/>
        </w:rPr>
        <w:t>%</w:t>
      </w:r>
      <w:r>
        <w:rPr>
          <w:rFonts w:hint="eastAsia" w:ascii="仿宋" w:hAnsi="仿宋" w:eastAsia="仿宋"/>
          <w:color w:val="auto"/>
          <w:sz w:val="32"/>
          <w:szCs w:val="32"/>
          <w:highlight w:val="none"/>
        </w:rPr>
        <w:t>；年初财政拨款结转结余收入</w:t>
      </w:r>
      <w:r>
        <w:rPr>
          <w:rFonts w:hint="eastAsia" w:ascii="仿宋" w:hAnsi="仿宋" w:eastAsia="仿宋"/>
          <w:color w:val="auto"/>
          <w:sz w:val="32"/>
          <w:szCs w:val="32"/>
          <w:highlight w:val="none"/>
          <w:lang w:val="en-US" w:eastAsia="zh-CN"/>
        </w:rPr>
        <w:t>234.57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7.61</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pPr>
      <w:r>
        <w:drawing>
          <wp:inline distT="0" distB="0" distL="114300" distR="114300">
            <wp:extent cx="4227195" cy="2353945"/>
            <wp:effectExtent l="4445" t="4445" r="5080" b="1905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（图2：收入决算结构图）（饼状图）</w:t>
      </w: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2" w:name="_Toc15396605"/>
      <w:bookmarkStart w:id="23" w:name="_Toc15377207"/>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3081.22</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2649.91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86</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431.31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14</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pPr>
      <w:r>
        <w:drawing>
          <wp:inline distT="0" distB="0" distL="114300" distR="114300">
            <wp:extent cx="4299585" cy="2385060"/>
            <wp:effectExtent l="4445" t="4445" r="8890" b="1841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ascii="仿宋_GB2312" w:eastAsia="仿宋_GB2312"/>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outlineLvl w:val="1"/>
        <w:rPr>
          <w:rStyle w:val="25"/>
          <w:rFonts w:ascii="黑体" w:hAnsi="黑体" w:eastAsia="黑体"/>
          <w:b w:val="0"/>
          <w:color w:val="auto"/>
          <w:highlight w:val="none"/>
        </w:rPr>
      </w:pPr>
      <w:bookmarkStart w:id="24" w:name="_Toc15377208"/>
      <w:bookmarkStart w:id="25" w:name="_Toc15396606"/>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24"/>
      <w:bookmarkEnd w:id="25"/>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w:t>
      </w:r>
      <w:r>
        <w:rPr>
          <w:rFonts w:hint="eastAsia" w:ascii="仿宋" w:hAnsi="仿宋" w:eastAsia="仿宋"/>
          <w:color w:val="auto"/>
          <w:sz w:val="32"/>
          <w:szCs w:val="32"/>
          <w:highlight w:val="none"/>
          <w:lang w:eastAsia="zh-CN"/>
        </w:rPr>
        <w:t>入总计</w:t>
      </w:r>
      <w:r>
        <w:rPr>
          <w:rFonts w:hint="eastAsia" w:ascii="仿宋" w:hAnsi="仿宋" w:eastAsia="仿宋"/>
          <w:color w:val="auto"/>
          <w:sz w:val="32"/>
          <w:szCs w:val="32"/>
          <w:highlight w:val="none"/>
          <w:lang w:val="en-US" w:eastAsia="zh-CN"/>
        </w:rPr>
        <w:t>3081.22万元，</w:t>
      </w:r>
      <w:r>
        <w:rPr>
          <w:rFonts w:hint="eastAsia" w:ascii="仿宋" w:hAnsi="仿宋" w:eastAsia="仿宋"/>
          <w:color w:val="auto"/>
          <w:sz w:val="32"/>
          <w:szCs w:val="32"/>
          <w:highlight w:val="none"/>
        </w:rPr>
        <w:t>支</w:t>
      </w:r>
      <w:r>
        <w:rPr>
          <w:rFonts w:hint="eastAsia" w:ascii="仿宋" w:hAnsi="仿宋" w:eastAsia="仿宋"/>
          <w:color w:val="auto"/>
          <w:sz w:val="32"/>
          <w:szCs w:val="32"/>
          <w:highlight w:val="none"/>
          <w:lang w:eastAsia="zh-CN"/>
        </w:rPr>
        <w:t>出</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3081.22</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w:t>
      </w:r>
      <w:r>
        <w:rPr>
          <w:rFonts w:hint="eastAsia" w:ascii="仿宋" w:hAnsi="仿宋" w:eastAsia="仿宋"/>
          <w:color w:val="auto"/>
          <w:sz w:val="32"/>
          <w:szCs w:val="32"/>
          <w:highlight w:val="none"/>
          <w:lang w:eastAsia="zh-CN"/>
        </w:rPr>
        <w:t>入增加261.88万元，增长9.29</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支</w:t>
      </w:r>
      <w:r>
        <w:rPr>
          <w:rFonts w:hint="eastAsia" w:ascii="仿宋" w:hAnsi="仿宋" w:eastAsia="仿宋"/>
          <w:color w:val="auto"/>
          <w:sz w:val="32"/>
          <w:szCs w:val="32"/>
          <w:highlight w:val="none"/>
          <w:lang w:eastAsia="zh-CN"/>
        </w:rPr>
        <w:t>出</w:t>
      </w:r>
      <w:r>
        <w:rPr>
          <w:rFonts w:hint="eastAsia" w:ascii="仿宋" w:hAnsi="仿宋" w:eastAsia="仿宋"/>
          <w:color w:val="auto"/>
          <w:sz w:val="32"/>
          <w:szCs w:val="32"/>
          <w:highlight w:val="none"/>
        </w:rPr>
        <w:t>总计各增加201.97万元，增长7.01%。主要变动原因是项目增加导致人员经费增长以及项目支出增多。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olor w:val="auto"/>
          <w:sz w:val="32"/>
          <w:szCs w:val="32"/>
          <w:highlight w:val="none"/>
        </w:rPr>
      </w:pPr>
      <w:r>
        <w:drawing>
          <wp:inline distT="0" distB="0" distL="114300" distR="114300">
            <wp:extent cx="4248150" cy="2466340"/>
            <wp:effectExtent l="4445" t="4445" r="14605" b="13335"/>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b/>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firstLineChars="200"/>
        <w:outlineLvl w:val="1"/>
        <w:rPr>
          <w:rStyle w:val="25"/>
          <w:rFonts w:ascii="黑体" w:hAnsi="黑体" w:eastAsia="黑体"/>
          <w:b w:val="0"/>
          <w:color w:val="auto"/>
          <w:highlight w:val="none"/>
        </w:rPr>
      </w:pPr>
      <w:bookmarkStart w:id="26" w:name="_Toc15377209"/>
      <w:bookmarkStart w:id="27"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3081.22</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支出增加</w:t>
      </w:r>
      <w:r>
        <w:rPr>
          <w:rFonts w:hint="eastAsia" w:ascii="仿宋" w:hAnsi="仿宋" w:eastAsia="仿宋"/>
          <w:color w:val="auto"/>
          <w:sz w:val="32"/>
          <w:szCs w:val="32"/>
          <w:highlight w:val="none"/>
          <w:lang w:val="en-US" w:eastAsia="zh-CN"/>
        </w:rPr>
        <w:t>201.97</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增长</w:t>
      </w:r>
      <w:r>
        <w:rPr>
          <w:rFonts w:hint="eastAsia" w:ascii="仿宋" w:hAnsi="仿宋" w:eastAsia="仿宋"/>
          <w:color w:val="auto"/>
          <w:sz w:val="32"/>
          <w:szCs w:val="32"/>
          <w:highlight w:val="none"/>
          <w:lang w:val="en-US" w:eastAsia="zh-CN"/>
        </w:rPr>
        <w:t>7.01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财政预算一体化系统等</w:t>
      </w:r>
      <w:r>
        <w:rPr>
          <w:rFonts w:hint="eastAsia" w:ascii="仿宋" w:hAnsi="仿宋" w:eastAsia="仿宋"/>
          <w:color w:val="auto"/>
          <w:sz w:val="32"/>
          <w:szCs w:val="32"/>
          <w:highlight w:val="none"/>
        </w:rPr>
        <w:t>项目增加导致项目支出增多。</w:t>
      </w:r>
      <w:r>
        <w:drawing>
          <wp:inline distT="0" distB="0" distL="114300" distR="114300">
            <wp:extent cx="5302885" cy="2346960"/>
            <wp:effectExtent l="4445" t="4445" r="11430" b="10795"/>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3081.22</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w:t>
      </w:r>
      <w:r>
        <w:rPr>
          <w:rFonts w:hint="eastAsia" w:ascii="仿宋" w:hAnsi="仿宋" w:eastAsia="仿宋"/>
          <w:b/>
          <w:sz w:val="32"/>
          <w:szCs w:val="32"/>
        </w:rPr>
        <w:t>（201）</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2540.84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82.46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sz w:val="32"/>
          <w:szCs w:val="32"/>
        </w:rPr>
        <w:t>（208）</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247.61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8.04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w:t>
      </w:r>
      <w:r>
        <w:rPr>
          <w:rFonts w:hint="eastAsia" w:ascii="仿宋" w:hAnsi="仿宋" w:eastAsia="仿宋"/>
          <w:b/>
          <w:sz w:val="32"/>
          <w:szCs w:val="32"/>
        </w:rPr>
        <w:t>（2</w:t>
      </w:r>
      <w:r>
        <w:rPr>
          <w:rFonts w:hint="eastAsia" w:ascii="仿宋" w:hAnsi="仿宋" w:eastAsia="仿宋"/>
          <w:b/>
          <w:sz w:val="32"/>
          <w:szCs w:val="32"/>
          <w:lang w:val="en-US" w:eastAsia="zh-CN"/>
        </w:rPr>
        <w:t>10</w:t>
      </w:r>
      <w:r>
        <w:rPr>
          <w:rFonts w:hint="eastAsia" w:ascii="仿宋" w:hAnsi="仿宋" w:eastAsia="仿宋"/>
          <w:b/>
          <w:sz w:val="32"/>
          <w:szCs w:val="32"/>
        </w:rPr>
        <w:t>）</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95.36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3.09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eastAsia="zh-CN"/>
        </w:rPr>
        <w:t>农林水</w:t>
      </w:r>
      <w:r>
        <w:rPr>
          <w:rFonts w:hint="eastAsia" w:ascii="仿宋" w:hAnsi="仿宋" w:eastAsia="仿宋"/>
          <w:b/>
          <w:sz w:val="32"/>
          <w:szCs w:val="32"/>
        </w:rPr>
        <w:t>（2</w:t>
      </w:r>
      <w:r>
        <w:rPr>
          <w:rFonts w:hint="eastAsia" w:ascii="仿宋" w:hAnsi="仿宋" w:eastAsia="仿宋"/>
          <w:b/>
          <w:sz w:val="32"/>
          <w:szCs w:val="32"/>
          <w:lang w:val="en-US" w:eastAsia="zh-CN"/>
        </w:rPr>
        <w:t>13</w:t>
      </w:r>
      <w:r>
        <w:rPr>
          <w:rFonts w:hint="eastAsia" w:ascii="仿宋" w:hAnsi="仿宋" w:eastAsia="仿宋"/>
          <w:b/>
          <w:sz w:val="32"/>
          <w:szCs w:val="32"/>
        </w:rPr>
        <w:t>）</w:t>
      </w:r>
      <w:r>
        <w:rPr>
          <w:rFonts w:hint="eastAsia" w:ascii="仿宋" w:hAnsi="仿宋" w:eastAsia="仿宋"/>
          <w:b/>
          <w:bCs/>
          <w:color w:val="auto"/>
          <w:sz w:val="32"/>
          <w:szCs w:val="32"/>
          <w:highlight w:val="none"/>
          <w:lang w:eastAsia="zh-CN"/>
        </w:rPr>
        <w:t>支出</w:t>
      </w:r>
      <w:r>
        <w:rPr>
          <w:rFonts w:hint="eastAsia" w:ascii="仿宋" w:hAnsi="仿宋" w:eastAsia="仿宋"/>
          <w:color w:val="auto"/>
          <w:sz w:val="32"/>
          <w:szCs w:val="32"/>
          <w:highlight w:val="none"/>
          <w:lang w:val="en-US" w:eastAsia="zh-CN"/>
        </w:rPr>
        <w:t>27.2万元，占0.88%；</w:t>
      </w:r>
      <w:r>
        <w:rPr>
          <w:rFonts w:hint="eastAsia" w:ascii="仿宋" w:hAnsi="仿宋" w:eastAsia="仿宋"/>
          <w:b/>
          <w:bCs/>
          <w:color w:val="auto"/>
          <w:sz w:val="32"/>
          <w:szCs w:val="32"/>
          <w:highlight w:val="none"/>
        </w:rPr>
        <w:t>住房保障</w:t>
      </w:r>
      <w:r>
        <w:rPr>
          <w:rFonts w:hint="eastAsia" w:ascii="仿宋" w:hAnsi="仿宋" w:eastAsia="仿宋"/>
          <w:b/>
          <w:sz w:val="32"/>
          <w:szCs w:val="32"/>
        </w:rPr>
        <w:t>（2</w:t>
      </w:r>
      <w:r>
        <w:rPr>
          <w:rFonts w:hint="eastAsia" w:ascii="仿宋" w:hAnsi="仿宋" w:eastAsia="仿宋"/>
          <w:b/>
          <w:sz w:val="32"/>
          <w:szCs w:val="32"/>
          <w:lang w:val="en-US" w:eastAsia="zh-CN"/>
        </w:rPr>
        <w:t>21</w:t>
      </w:r>
      <w:r>
        <w:rPr>
          <w:rFonts w:hint="eastAsia" w:ascii="仿宋" w:hAnsi="仿宋" w:eastAsia="仿宋"/>
          <w:b/>
          <w:sz w:val="32"/>
          <w:szCs w:val="32"/>
        </w:rPr>
        <w:t>）</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170.21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5.52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1"/>
        <w:jc w:val="center"/>
        <w:textAlignment w:val="auto"/>
        <w:rPr>
          <w:rFonts w:ascii="仿宋" w:hAnsi="仿宋" w:eastAsia="仿宋"/>
          <w:color w:val="auto"/>
          <w:sz w:val="32"/>
          <w:szCs w:val="32"/>
          <w:highlight w:val="none"/>
        </w:rPr>
      </w:pPr>
      <w:r>
        <w:drawing>
          <wp:inline distT="0" distB="0" distL="114300" distR="114300">
            <wp:extent cx="4179570" cy="2550795"/>
            <wp:effectExtent l="4445" t="4445" r="6985" b="5080"/>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7444"/>
      <w:bookmarkStart w:id="32" w:name="_Toc15377213"/>
      <w:bookmarkStart w:id="33"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3081.22万元</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100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31"/>
      <w:bookmarkEnd w:id="32"/>
      <w:bookmarkEnd w:id="33"/>
    </w:p>
    <w:p>
      <w:pPr>
        <w:numPr>
          <w:ilvl w:val="0"/>
          <w:numId w:val="3"/>
        </w:num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rPr>
        <w:t>一般公共服务（</w:t>
      </w:r>
      <w:r>
        <w:rPr>
          <w:rStyle w:val="14"/>
          <w:rFonts w:hint="eastAsia" w:ascii="仿宋" w:hAnsi="仿宋" w:eastAsia="仿宋"/>
          <w:bCs/>
          <w:color w:val="auto"/>
          <w:sz w:val="32"/>
          <w:szCs w:val="32"/>
          <w:highlight w:val="none"/>
          <w:lang w:val="en-US" w:eastAsia="zh-CN"/>
        </w:rPr>
        <w:t>201</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政府办公厅（室）及相关机构事务</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03</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行政运行</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01</w:t>
      </w:r>
      <w:r>
        <w:rPr>
          <w:rStyle w:val="14"/>
          <w:rFonts w:hint="eastAsia" w:ascii="仿宋" w:hAnsi="仿宋" w:eastAsia="仿宋"/>
          <w:bCs/>
          <w:color w:val="auto"/>
          <w:sz w:val="32"/>
          <w:szCs w:val="32"/>
          <w:highlight w:val="none"/>
        </w:rPr>
        <w:t>）</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21.94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pStyle w:val="5"/>
        <w:keepNext w:val="0"/>
        <w:keepLines w:val="0"/>
        <w:pageBreakBefore w:val="0"/>
        <w:widowControl w:val="0"/>
        <w:numPr>
          <w:ilvl w:val="0"/>
          <w:numId w:val="3"/>
        </w:numPr>
        <w:kinsoku/>
        <w:wordWrap/>
        <w:overflowPunct/>
        <w:topLinePunct w:val="0"/>
        <w:autoSpaceDE/>
        <w:autoSpaceDN/>
        <w:bidi w:val="0"/>
        <w:adjustRightInd/>
        <w:snapToGrid/>
        <w:ind w:firstLine="643" w:firstLineChars="200"/>
        <w:textAlignment w:val="auto"/>
      </w:pPr>
      <w:r>
        <w:rPr>
          <w:rStyle w:val="14"/>
          <w:rFonts w:hint="eastAsia" w:ascii="仿宋" w:hAnsi="仿宋" w:eastAsia="仿宋"/>
          <w:bCs/>
          <w:color w:val="auto"/>
          <w:sz w:val="32"/>
          <w:szCs w:val="32"/>
          <w:highlight w:val="none"/>
        </w:rPr>
        <w:t>一般公共服务（</w:t>
      </w:r>
      <w:r>
        <w:rPr>
          <w:rStyle w:val="14"/>
          <w:rFonts w:hint="eastAsia" w:ascii="仿宋" w:hAnsi="仿宋" w:eastAsia="仿宋"/>
          <w:bCs/>
          <w:color w:val="auto"/>
          <w:sz w:val="32"/>
          <w:szCs w:val="32"/>
          <w:highlight w:val="none"/>
          <w:lang w:val="en-US" w:eastAsia="zh-CN"/>
        </w:rPr>
        <w:t>201</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财政事务</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06</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行政运行</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01</w:t>
      </w:r>
      <w:r>
        <w:rPr>
          <w:rStyle w:val="14"/>
          <w:rFonts w:hint="eastAsia" w:ascii="仿宋" w:hAnsi="仿宋" w:eastAsia="仿宋"/>
          <w:bCs/>
          <w:color w:val="auto"/>
          <w:sz w:val="32"/>
          <w:szCs w:val="32"/>
          <w:highlight w:val="none"/>
        </w:rPr>
        <w:t>）</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1258.52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pStyle w:val="5"/>
        <w:keepNext w:val="0"/>
        <w:keepLines w:val="0"/>
        <w:pageBreakBefore w:val="0"/>
        <w:widowControl w:val="0"/>
        <w:numPr>
          <w:ilvl w:val="0"/>
          <w:numId w:val="3"/>
        </w:numPr>
        <w:kinsoku/>
        <w:wordWrap/>
        <w:overflowPunct/>
        <w:topLinePunct w:val="0"/>
        <w:autoSpaceDE/>
        <w:autoSpaceDN/>
        <w:bidi w:val="0"/>
        <w:adjustRightInd/>
        <w:snapToGrid/>
        <w:ind w:firstLine="643" w:firstLineChars="200"/>
        <w:textAlignment w:val="auto"/>
      </w:pPr>
      <w:r>
        <w:rPr>
          <w:rStyle w:val="14"/>
          <w:rFonts w:hint="eastAsia" w:ascii="仿宋" w:hAnsi="仿宋" w:eastAsia="仿宋"/>
          <w:bCs/>
          <w:color w:val="auto"/>
          <w:sz w:val="32"/>
          <w:szCs w:val="32"/>
          <w:highlight w:val="none"/>
        </w:rPr>
        <w:t>一般公共服务（</w:t>
      </w:r>
      <w:r>
        <w:rPr>
          <w:rStyle w:val="14"/>
          <w:rFonts w:hint="eastAsia" w:ascii="仿宋" w:hAnsi="仿宋" w:eastAsia="仿宋"/>
          <w:bCs/>
          <w:color w:val="auto"/>
          <w:sz w:val="32"/>
          <w:szCs w:val="32"/>
          <w:highlight w:val="none"/>
          <w:lang w:val="en-US" w:eastAsia="zh-CN"/>
        </w:rPr>
        <w:t>201</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财政事务</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06</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一般行政管理事务</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02</w:t>
      </w:r>
      <w:r>
        <w:rPr>
          <w:rStyle w:val="14"/>
          <w:rFonts w:hint="eastAsia" w:ascii="仿宋" w:hAnsi="仿宋" w:eastAsia="仿宋"/>
          <w:bCs/>
          <w:color w:val="auto"/>
          <w:sz w:val="32"/>
          <w:szCs w:val="32"/>
          <w:highlight w:val="none"/>
        </w:rPr>
        <w:t>）</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431.31</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pStyle w:val="5"/>
        <w:keepNext w:val="0"/>
        <w:keepLines w:val="0"/>
        <w:pageBreakBefore w:val="0"/>
        <w:widowControl w:val="0"/>
        <w:numPr>
          <w:ilvl w:val="0"/>
          <w:numId w:val="3"/>
        </w:numPr>
        <w:kinsoku/>
        <w:wordWrap/>
        <w:overflowPunct/>
        <w:topLinePunct w:val="0"/>
        <w:autoSpaceDE/>
        <w:autoSpaceDN/>
        <w:bidi w:val="0"/>
        <w:adjustRightInd/>
        <w:snapToGrid/>
        <w:ind w:firstLine="643" w:firstLineChars="200"/>
        <w:textAlignment w:val="auto"/>
      </w:pPr>
      <w:r>
        <w:rPr>
          <w:rStyle w:val="14"/>
          <w:rFonts w:hint="eastAsia" w:ascii="仿宋" w:hAnsi="仿宋" w:eastAsia="仿宋"/>
          <w:bCs/>
          <w:color w:val="auto"/>
          <w:sz w:val="32"/>
          <w:szCs w:val="32"/>
          <w:highlight w:val="none"/>
        </w:rPr>
        <w:t>一般公共服务（</w:t>
      </w:r>
      <w:r>
        <w:rPr>
          <w:rStyle w:val="14"/>
          <w:rFonts w:hint="eastAsia" w:ascii="仿宋" w:hAnsi="仿宋" w:eastAsia="仿宋"/>
          <w:bCs/>
          <w:color w:val="auto"/>
          <w:sz w:val="32"/>
          <w:szCs w:val="32"/>
          <w:highlight w:val="none"/>
          <w:lang w:val="en-US" w:eastAsia="zh-CN"/>
        </w:rPr>
        <w:t>201</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财政事务</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06</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事业运行</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50</w:t>
      </w:r>
      <w:r>
        <w:rPr>
          <w:rStyle w:val="14"/>
          <w:rFonts w:hint="eastAsia" w:ascii="仿宋" w:hAnsi="仿宋" w:eastAsia="仿宋"/>
          <w:bCs/>
          <w:color w:val="auto"/>
          <w:sz w:val="32"/>
          <w:szCs w:val="32"/>
          <w:highlight w:val="none"/>
        </w:rPr>
        <w:t>）</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574.56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pStyle w:val="5"/>
        <w:keepNext w:val="0"/>
        <w:keepLines w:val="0"/>
        <w:pageBreakBefore w:val="0"/>
        <w:widowControl w:val="0"/>
        <w:numPr>
          <w:ilvl w:val="0"/>
          <w:numId w:val="3"/>
        </w:numPr>
        <w:kinsoku/>
        <w:wordWrap/>
        <w:overflowPunct/>
        <w:topLinePunct w:val="0"/>
        <w:autoSpaceDE/>
        <w:autoSpaceDN/>
        <w:bidi w:val="0"/>
        <w:adjustRightInd/>
        <w:snapToGrid/>
        <w:ind w:firstLine="643" w:firstLineChars="200"/>
        <w:textAlignment w:val="auto"/>
      </w:pPr>
      <w:r>
        <w:rPr>
          <w:rStyle w:val="14"/>
          <w:rFonts w:hint="eastAsia" w:ascii="仿宋" w:hAnsi="仿宋" w:eastAsia="仿宋"/>
          <w:bCs/>
          <w:color w:val="auto"/>
          <w:sz w:val="32"/>
          <w:szCs w:val="32"/>
          <w:highlight w:val="none"/>
        </w:rPr>
        <w:t>一般公共服务（</w:t>
      </w:r>
      <w:r>
        <w:rPr>
          <w:rStyle w:val="14"/>
          <w:rFonts w:hint="eastAsia" w:ascii="仿宋" w:hAnsi="仿宋" w:eastAsia="仿宋"/>
          <w:bCs/>
          <w:color w:val="auto"/>
          <w:sz w:val="32"/>
          <w:szCs w:val="32"/>
          <w:highlight w:val="none"/>
          <w:lang w:val="en-US" w:eastAsia="zh-CN"/>
        </w:rPr>
        <w:t>201</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财政事务</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06</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其他财政事务支出</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99</w:t>
      </w:r>
      <w:r>
        <w:rPr>
          <w:rStyle w:val="14"/>
          <w:rFonts w:hint="eastAsia" w:ascii="仿宋" w:hAnsi="仿宋" w:eastAsia="仿宋"/>
          <w:bCs/>
          <w:color w:val="auto"/>
          <w:sz w:val="32"/>
          <w:szCs w:val="32"/>
          <w:highlight w:val="none"/>
        </w:rPr>
        <w:t>）</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234.55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pStyle w:val="5"/>
        <w:keepNext w:val="0"/>
        <w:keepLines w:val="0"/>
        <w:pageBreakBefore w:val="0"/>
        <w:widowControl w:val="0"/>
        <w:numPr>
          <w:ilvl w:val="0"/>
          <w:numId w:val="3"/>
        </w:numPr>
        <w:kinsoku/>
        <w:wordWrap/>
        <w:overflowPunct/>
        <w:topLinePunct w:val="0"/>
        <w:autoSpaceDE/>
        <w:autoSpaceDN/>
        <w:bidi w:val="0"/>
        <w:adjustRightInd/>
        <w:snapToGrid/>
        <w:ind w:firstLine="643" w:firstLineChars="200"/>
        <w:textAlignment w:val="auto"/>
      </w:pPr>
      <w:r>
        <w:rPr>
          <w:rStyle w:val="14"/>
          <w:rFonts w:hint="eastAsia" w:ascii="仿宋" w:hAnsi="仿宋" w:eastAsia="仿宋"/>
          <w:bCs/>
          <w:color w:val="auto"/>
          <w:sz w:val="32"/>
          <w:szCs w:val="32"/>
          <w:highlight w:val="none"/>
        </w:rPr>
        <w:t>一般公共服务（</w:t>
      </w:r>
      <w:r>
        <w:rPr>
          <w:rStyle w:val="14"/>
          <w:rFonts w:hint="eastAsia" w:ascii="仿宋" w:hAnsi="仿宋" w:eastAsia="仿宋"/>
          <w:bCs/>
          <w:color w:val="auto"/>
          <w:sz w:val="32"/>
          <w:szCs w:val="32"/>
          <w:highlight w:val="none"/>
          <w:lang w:val="en-US" w:eastAsia="zh-CN"/>
        </w:rPr>
        <w:t>201</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纪检监察事务</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11</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eastAsia="zh-CN"/>
        </w:rPr>
        <w:t>派驻派出机构</w:t>
      </w:r>
      <w:r>
        <w:rPr>
          <w:rStyle w:val="14"/>
          <w:rFonts w:hint="eastAsia" w:ascii="仿宋" w:hAnsi="仿宋" w:eastAsia="仿宋"/>
          <w:bCs/>
          <w:color w:val="auto"/>
          <w:sz w:val="32"/>
          <w:szCs w:val="32"/>
          <w:highlight w:val="none"/>
        </w:rPr>
        <w:t>（</w:t>
      </w:r>
      <w:r>
        <w:rPr>
          <w:rStyle w:val="14"/>
          <w:rFonts w:hint="eastAsia" w:ascii="仿宋" w:hAnsi="仿宋" w:eastAsia="仿宋"/>
          <w:bCs/>
          <w:color w:val="auto"/>
          <w:sz w:val="32"/>
          <w:szCs w:val="32"/>
          <w:highlight w:val="none"/>
          <w:lang w:val="en-US" w:eastAsia="zh-CN"/>
        </w:rPr>
        <w:t>05</w:t>
      </w:r>
      <w:r>
        <w:rPr>
          <w:rStyle w:val="14"/>
          <w:rFonts w:hint="eastAsia" w:ascii="仿宋" w:hAnsi="仿宋" w:eastAsia="仿宋"/>
          <w:bCs/>
          <w:color w:val="auto"/>
          <w:sz w:val="32"/>
          <w:szCs w:val="32"/>
          <w:highlight w:val="none"/>
        </w:rPr>
        <w:t>）</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19.96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pStyle w:val="5"/>
        <w:keepNext w:val="0"/>
        <w:keepLines w:val="0"/>
        <w:pageBreakBefore w:val="0"/>
        <w:widowControl w:val="0"/>
        <w:numPr>
          <w:ilvl w:val="0"/>
          <w:numId w:val="3"/>
        </w:numPr>
        <w:kinsoku/>
        <w:wordWrap/>
        <w:overflowPunct/>
        <w:topLinePunct w:val="0"/>
        <w:autoSpaceDE/>
        <w:autoSpaceDN/>
        <w:bidi w:val="0"/>
        <w:adjustRightInd/>
        <w:snapToGrid/>
        <w:ind w:firstLine="643" w:firstLineChars="200"/>
        <w:textAlignment w:val="auto"/>
      </w:pPr>
      <w:r>
        <w:rPr>
          <w:rStyle w:val="14"/>
          <w:rFonts w:hint="eastAsia" w:ascii="仿宋" w:hAnsi="仿宋" w:eastAsia="仿宋"/>
          <w:bCs/>
          <w:sz w:val="32"/>
          <w:szCs w:val="32"/>
        </w:rPr>
        <w:t>社会保障和就业（208）人力资源和社会保障管理事务（01）其他人力资源和社会保障管理事务支出（99）</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支出决算为3万元，完成预算100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pStyle w:val="5"/>
        <w:keepNext w:val="0"/>
        <w:keepLines w:val="0"/>
        <w:pageBreakBefore w:val="0"/>
        <w:widowControl w:val="0"/>
        <w:numPr>
          <w:ilvl w:val="0"/>
          <w:numId w:val="3"/>
        </w:numPr>
        <w:kinsoku/>
        <w:wordWrap/>
        <w:overflowPunct/>
        <w:topLinePunct w:val="0"/>
        <w:autoSpaceDE/>
        <w:autoSpaceDN/>
        <w:bidi w:val="0"/>
        <w:adjustRightInd/>
        <w:snapToGrid/>
        <w:ind w:firstLine="643" w:firstLineChars="200"/>
        <w:textAlignment w:val="auto"/>
      </w:pPr>
      <w:r>
        <w:rPr>
          <w:rStyle w:val="14"/>
          <w:rFonts w:hint="eastAsia" w:ascii="仿宋" w:hAnsi="仿宋" w:eastAsia="仿宋"/>
          <w:bCs/>
          <w:sz w:val="32"/>
          <w:szCs w:val="32"/>
        </w:rPr>
        <w:t>社会保障和就业（208）行政事业单位养老支出（05）机关事业单位基本养老保险缴费支出（05）</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153.56</w:t>
      </w:r>
      <w:r>
        <w:rPr>
          <w:rStyle w:val="14"/>
          <w:rFonts w:hint="eastAsia" w:ascii="仿宋" w:hAnsi="仿宋" w:eastAsia="仿宋"/>
          <w:b w:val="0"/>
          <w:bCs/>
          <w:sz w:val="32"/>
          <w:szCs w:val="32"/>
        </w:rPr>
        <w:t>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pStyle w:val="5"/>
        <w:keepNext w:val="0"/>
        <w:keepLines w:val="0"/>
        <w:pageBreakBefore w:val="0"/>
        <w:widowControl w:val="0"/>
        <w:numPr>
          <w:ilvl w:val="0"/>
          <w:numId w:val="3"/>
        </w:numPr>
        <w:kinsoku/>
        <w:wordWrap/>
        <w:overflowPunct/>
        <w:topLinePunct w:val="0"/>
        <w:autoSpaceDE/>
        <w:autoSpaceDN/>
        <w:bidi w:val="0"/>
        <w:adjustRightInd/>
        <w:snapToGrid/>
        <w:ind w:firstLine="643" w:firstLineChars="200"/>
        <w:textAlignment w:val="auto"/>
      </w:pPr>
      <w:r>
        <w:rPr>
          <w:rStyle w:val="14"/>
          <w:rFonts w:hint="eastAsia" w:ascii="仿宋" w:hAnsi="仿宋" w:eastAsia="仿宋"/>
          <w:bCs/>
          <w:sz w:val="32"/>
          <w:szCs w:val="32"/>
        </w:rPr>
        <w:t>社会保障和就业（208）行政事业单位养老支出（05）机关事业单位职业年金缴费支出（06）</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54.1</w:t>
      </w:r>
      <w:r>
        <w:rPr>
          <w:rStyle w:val="14"/>
          <w:rFonts w:hint="eastAsia" w:ascii="仿宋" w:hAnsi="仿宋" w:eastAsia="仿宋"/>
          <w:b w:val="0"/>
          <w:bCs/>
          <w:sz w:val="32"/>
          <w:szCs w:val="32"/>
        </w:rPr>
        <w:t>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pStyle w:val="5"/>
        <w:keepNext w:val="0"/>
        <w:keepLines w:val="0"/>
        <w:pageBreakBefore w:val="0"/>
        <w:widowControl w:val="0"/>
        <w:numPr>
          <w:ilvl w:val="0"/>
          <w:numId w:val="3"/>
        </w:numPr>
        <w:kinsoku/>
        <w:wordWrap/>
        <w:overflowPunct/>
        <w:topLinePunct w:val="0"/>
        <w:autoSpaceDE/>
        <w:autoSpaceDN/>
        <w:bidi w:val="0"/>
        <w:adjustRightInd/>
        <w:snapToGrid/>
        <w:ind w:left="0" w:leftChars="0" w:firstLine="643" w:firstLineChars="200"/>
        <w:textAlignment w:val="auto"/>
        <w:rPr>
          <w:rStyle w:val="14"/>
          <w:rFonts w:hint="eastAsia" w:ascii="仿宋" w:hAnsi="仿宋" w:eastAsia="仿宋"/>
          <w:b w:val="0"/>
          <w:bCs/>
          <w:sz w:val="32"/>
          <w:szCs w:val="32"/>
        </w:rPr>
      </w:pPr>
      <w:r>
        <w:rPr>
          <w:rStyle w:val="14"/>
          <w:rFonts w:hint="eastAsia" w:ascii="仿宋" w:hAnsi="仿宋" w:eastAsia="仿宋"/>
          <w:bCs/>
          <w:sz w:val="32"/>
          <w:szCs w:val="32"/>
        </w:rPr>
        <w:t>社会保障和就业（208）行政事业单位养老支出（05）其他行政事业单位养老支出（99）</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20.18</w:t>
      </w:r>
      <w:r>
        <w:rPr>
          <w:rStyle w:val="14"/>
          <w:rFonts w:hint="eastAsia" w:ascii="仿宋" w:hAnsi="仿宋" w:eastAsia="仿宋"/>
          <w:b w:val="0"/>
          <w:bCs/>
          <w:sz w:val="32"/>
          <w:szCs w:val="32"/>
        </w:rPr>
        <w:t>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pStyle w:val="5"/>
        <w:keepNext w:val="0"/>
        <w:keepLines w:val="0"/>
        <w:pageBreakBefore w:val="0"/>
        <w:widowControl w:val="0"/>
        <w:numPr>
          <w:ilvl w:val="0"/>
          <w:numId w:val="3"/>
        </w:numPr>
        <w:kinsoku/>
        <w:wordWrap/>
        <w:overflowPunct/>
        <w:topLinePunct w:val="0"/>
        <w:autoSpaceDE/>
        <w:autoSpaceDN/>
        <w:bidi w:val="0"/>
        <w:adjustRightInd/>
        <w:snapToGrid/>
        <w:ind w:left="0" w:leftChars="0" w:firstLine="643" w:firstLineChars="200"/>
        <w:textAlignment w:val="auto"/>
        <w:rPr>
          <w:rStyle w:val="14"/>
          <w:rFonts w:hint="eastAsia" w:ascii="仿宋" w:hAnsi="仿宋" w:eastAsia="仿宋"/>
          <w:b w:val="0"/>
          <w:bCs/>
          <w:sz w:val="32"/>
          <w:szCs w:val="32"/>
        </w:rPr>
      </w:pPr>
      <w:r>
        <w:rPr>
          <w:rStyle w:val="14"/>
          <w:rFonts w:hint="eastAsia" w:ascii="仿宋" w:hAnsi="仿宋" w:eastAsia="仿宋"/>
          <w:bCs/>
          <w:sz w:val="32"/>
          <w:szCs w:val="32"/>
        </w:rPr>
        <w:t>社会保障和就业（208）</w:t>
      </w:r>
      <w:r>
        <w:rPr>
          <w:rStyle w:val="14"/>
          <w:rFonts w:hint="eastAsia" w:ascii="仿宋" w:hAnsi="仿宋" w:eastAsia="仿宋"/>
          <w:bCs/>
          <w:sz w:val="32"/>
          <w:szCs w:val="32"/>
          <w:lang w:eastAsia="zh-CN"/>
        </w:rPr>
        <w:t>抚恤</w:t>
      </w:r>
      <w:r>
        <w:rPr>
          <w:rStyle w:val="14"/>
          <w:rFonts w:hint="eastAsia" w:ascii="仿宋" w:hAnsi="仿宋" w:eastAsia="仿宋"/>
          <w:bCs/>
          <w:sz w:val="32"/>
          <w:szCs w:val="32"/>
        </w:rPr>
        <w:t>（0</w:t>
      </w:r>
      <w:r>
        <w:rPr>
          <w:rStyle w:val="14"/>
          <w:rFonts w:hint="eastAsia" w:ascii="仿宋" w:hAnsi="仿宋" w:eastAsia="仿宋"/>
          <w:bCs/>
          <w:sz w:val="32"/>
          <w:szCs w:val="32"/>
          <w:lang w:val="en-US" w:eastAsia="zh-CN"/>
        </w:rPr>
        <w:t>8</w:t>
      </w:r>
      <w:r>
        <w:rPr>
          <w:rStyle w:val="14"/>
          <w:rFonts w:hint="eastAsia" w:ascii="仿宋" w:hAnsi="仿宋" w:eastAsia="仿宋"/>
          <w:bCs/>
          <w:sz w:val="32"/>
          <w:szCs w:val="32"/>
        </w:rPr>
        <w:t>）</w:t>
      </w:r>
      <w:r>
        <w:rPr>
          <w:rStyle w:val="14"/>
          <w:rFonts w:hint="eastAsia" w:ascii="仿宋" w:hAnsi="仿宋" w:eastAsia="仿宋"/>
          <w:bCs/>
          <w:sz w:val="32"/>
          <w:szCs w:val="32"/>
          <w:lang w:eastAsia="zh-CN"/>
        </w:rPr>
        <w:t>死亡抚恤</w:t>
      </w:r>
      <w:r>
        <w:rPr>
          <w:rStyle w:val="14"/>
          <w:rFonts w:hint="eastAsia" w:ascii="仿宋" w:hAnsi="仿宋" w:eastAsia="仿宋"/>
          <w:bCs/>
          <w:sz w:val="32"/>
          <w:szCs w:val="32"/>
        </w:rPr>
        <w:t>（</w:t>
      </w:r>
      <w:r>
        <w:rPr>
          <w:rStyle w:val="14"/>
          <w:rFonts w:hint="eastAsia" w:ascii="仿宋" w:hAnsi="仿宋" w:eastAsia="仿宋"/>
          <w:bCs/>
          <w:sz w:val="32"/>
          <w:szCs w:val="32"/>
          <w:lang w:val="en-US" w:eastAsia="zh-CN"/>
        </w:rPr>
        <w:t>01</w:t>
      </w:r>
      <w:r>
        <w:rPr>
          <w:rStyle w:val="14"/>
          <w:rFonts w:hint="eastAsia" w:ascii="仿宋" w:hAnsi="仿宋" w:eastAsia="仿宋"/>
          <w:bCs/>
          <w:sz w:val="32"/>
          <w:szCs w:val="32"/>
        </w:rPr>
        <w:t>）</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16.77</w:t>
      </w:r>
      <w:r>
        <w:rPr>
          <w:rStyle w:val="14"/>
          <w:rFonts w:hint="eastAsia" w:ascii="仿宋" w:hAnsi="仿宋" w:eastAsia="仿宋"/>
          <w:b w:val="0"/>
          <w:bCs/>
          <w:sz w:val="32"/>
          <w:szCs w:val="32"/>
        </w:rPr>
        <w:t>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pStyle w:val="5"/>
        <w:keepNext w:val="0"/>
        <w:keepLines w:val="0"/>
        <w:pageBreakBefore w:val="0"/>
        <w:widowControl w:val="0"/>
        <w:numPr>
          <w:ilvl w:val="0"/>
          <w:numId w:val="3"/>
        </w:numPr>
        <w:kinsoku/>
        <w:wordWrap/>
        <w:overflowPunct/>
        <w:topLinePunct w:val="0"/>
        <w:autoSpaceDE/>
        <w:autoSpaceDN/>
        <w:bidi w:val="0"/>
        <w:adjustRightInd/>
        <w:snapToGrid/>
        <w:ind w:left="0" w:leftChars="0" w:firstLine="643" w:firstLineChars="200"/>
        <w:textAlignment w:val="auto"/>
        <w:rPr>
          <w:rStyle w:val="14"/>
          <w:rFonts w:hint="eastAsia" w:ascii="仿宋" w:hAnsi="仿宋" w:eastAsia="仿宋"/>
          <w:b w:val="0"/>
          <w:bCs/>
          <w:sz w:val="32"/>
          <w:szCs w:val="32"/>
        </w:rPr>
      </w:pPr>
      <w:r>
        <w:rPr>
          <w:rFonts w:hint="eastAsia" w:ascii="仿宋" w:hAnsi="仿宋" w:eastAsia="仿宋"/>
          <w:b/>
          <w:bCs/>
          <w:sz w:val="32"/>
          <w:szCs w:val="32"/>
        </w:rPr>
        <w:t>卫生健康</w:t>
      </w:r>
      <w:r>
        <w:rPr>
          <w:rStyle w:val="14"/>
          <w:rFonts w:hint="eastAsia" w:ascii="仿宋" w:hAnsi="仿宋" w:eastAsia="仿宋"/>
          <w:bCs/>
          <w:sz w:val="32"/>
          <w:szCs w:val="32"/>
        </w:rPr>
        <w:t>（210）行政事业单位医疗（11）行政单位医疗（01）</w:t>
      </w:r>
      <w:r>
        <w:rPr>
          <w:rStyle w:val="14"/>
          <w:rFonts w:ascii="仿宋" w:hAnsi="仿宋" w:eastAsia="仿宋"/>
          <w:bCs/>
          <w:sz w:val="32"/>
          <w:szCs w:val="32"/>
        </w:rPr>
        <w:t>:</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39.84</w:t>
      </w:r>
      <w:r>
        <w:rPr>
          <w:rStyle w:val="14"/>
          <w:rFonts w:hint="eastAsia" w:ascii="仿宋" w:hAnsi="仿宋" w:eastAsia="仿宋"/>
          <w:b w:val="0"/>
          <w:bCs/>
          <w:sz w:val="32"/>
          <w:szCs w:val="32"/>
        </w:rPr>
        <w:t>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pStyle w:val="5"/>
        <w:keepNext w:val="0"/>
        <w:keepLines w:val="0"/>
        <w:pageBreakBefore w:val="0"/>
        <w:widowControl w:val="0"/>
        <w:numPr>
          <w:ilvl w:val="0"/>
          <w:numId w:val="3"/>
        </w:numPr>
        <w:kinsoku/>
        <w:wordWrap/>
        <w:overflowPunct/>
        <w:topLinePunct w:val="0"/>
        <w:autoSpaceDE/>
        <w:autoSpaceDN/>
        <w:bidi w:val="0"/>
        <w:adjustRightInd/>
        <w:snapToGrid/>
        <w:ind w:left="0" w:leftChars="0" w:firstLine="643" w:firstLineChars="200"/>
        <w:textAlignment w:val="auto"/>
        <w:rPr>
          <w:rStyle w:val="14"/>
          <w:rFonts w:hint="eastAsia" w:ascii="仿宋" w:hAnsi="仿宋" w:eastAsia="仿宋"/>
          <w:b w:val="0"/>
          <w:bCs/>
          <w:sz w:val="32"/>
          <w:szCs w:val="32"/>
        </w:rPr>
      </w:pPr>
      <w:r>
        <w:rPr>
          <w:rFonts w:hint="eastAsia" w:ascii="仿宋" w:hAnsi="仿宋" w:eastAsia="仿宋"/>
          <w:b/>
          <w:bCs/>
          <w:sz w:val="32"/>
          <w:szCs w:val="32"/>
        </w:rPr>
        <w:t>卫生健康</w:t>
      </w:r>
      <w:r>
        <w:rPr>
          <w:rStyle w:val="14"/>
          <w:rFonts w:hint="eastAsia" w:ascii="仿宋" w:hAnsi="仿宋" w:eastAsia="仿宋"/>
          <w:bCs/>
          <w:sz w:val="32"/>
          <w:szCs w:val="32"/>
        </w:rPr>
        <w:t>（210）行政事业单位医疗（11）</w:t>
      </w:r>
      <w:r>
        <w:rPr>
          <w:rStyle w:val="14"/>
          <w:rFonts w:hint="eastAsia" w:ascii="仿宋" w:hAnsi="仿宋" w:eastAsia="仿宋"/>
          <w:bCs/>
          <w:sz w:val="32"/>
          <w:szCs w:val="32"/>
          <w:lang w:eastAsia="zh-CN"/>
        </w:rPr>
        <w:t>事业</w:t>
      </w:r>
      <w:r>
        <w:rPr>
          <w:rStyle w:val="14"/>
          <w:rFonts w:hint="eastAsia" w:ascii="仿宋" w:hAnsi="仿宋" w:eastAsia="仿宋"/>
          <w:bCs/>
          <w:sz w:val="32"/>
          <w:szCs w:val="32"/>
        </w:rPr>
        <w:t>单位医疗（0</w:t>
      </w:r>
      <w:r>
        <w:rPr>
          <w:rStyle w:val="14"/>
          <w:rFonts w:hint="eastAsia" w:ascii="仿宋" w:hAnsi="仿宋" w:eastAsia="仿宋"/>
          <w:bCs/>
          <w:sz w:val="32"/>
          <w:szCs w:val="32"/>
          <w:lang w:val="en-US" w:eastAsia="zh-CN"/>
        </w:rPr>
        <w:t>2</w:t>
      </w:r>
      <w:r>
        <w:rPr>
          <w:rStyle w:val="14"/>
          <w:rFonts w:hint="eastAsia" w:ascii="仿宋" w:hAnsi="仿宋" w:eastAsia="仿宋"/>
          <w:bCs/>
          <w:sz w:val="32"/>
          <w:szCs w:val="32"/>
        </w:rPr>
        <w:t>）</w:t>
      </w:r>
      <w:r>
        <w:rPr>
          <w:rStyle w:val="14"/>
          <w:rFonts w:ascii="仿宋" w:hAnsi="仿宋" w:eastAsia="仿宋"/>
          <w:bCs/>
          <w:sz w:val="32"/>
          <w:szCs w:val="32"/>
        </w:rPr>
        <w:t>:</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28.59</w:t>
      </w:r>
      <w:r>
        <w:rPr>
          <w:rStyle w:val="14"/>
          <w:rFonts w:hint="eastAsia" w:ascii="仿宋" w:hAnsi="仿宋" w:eastAsia="仿宋"/>
          <w:b w:val="0"/>
          <w:bCs/>
          <w:sz w:val="32"/>
          <w:szCs w:val="32"/>
        </w:rPr>
        <w:t>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pStyle w:val="5"/>
        <w:keepNext w:val="0"/>
        <w:keepLines w:val="0"/>
        <w:pageBreakBefore w:val="0"/>
        <w:widowControl w:val="0"/>
        <w:numPr>
          <w:ilvl w:val="0"/>
          <w:numId w:val="3"/>
        </w:numPr>
        <w:kinsoku/>
        <w:wordWrap/>
        <w:overflowPunct/>
        <w:topLinePunct w:val="0"/>
        <w:autoSpaceDE/>
        <w:autoSpaceDN/>
        <w:bidi w:val="0"/>
        <w:adjustRightInd/>
        <w:snapToGrid/>
        <w:ind w:left="0" w:leftChars="0" w:firstLine="643" w:firstLineChars="200"/>
        <w:textAlignment w:val="auto"/>
        <w:rPr>
          <w:rStyle w:val="14"/>
          <w:rFonts w:hint="eastAsia" w:ascii="仿宋" w:hAnsi="仿宋" w:eastAsia="仿宋"/>
          <w:b w:val="0"/>
          <w:bCs/>
          <w:sz w:val="32"/>
          <w:szCs w:val="32"/>
        </w:rPr>
      </w:pPr>
      <w:r>
        <w:rPr>
          <w:rFonts w:hint="eastAsia" w:ascii="仿宋" w:hAnsi="仿宋" w:eastAsia="仿宋"/>
          <w:b/>
          <w:bCs/>
          <w:sz w:val="32"/>
          <w:szCs w:val="32"/>
        </w:rPr>
        <w:t>卫生健康</w:t>
      </w:r>
      <w:r>
        <w:rPr>
          <w:rStyle w:val="14"/>
          <w:rFonts w:hint="eastAsia" w:ascii="仿宋" w:hAnsi="仿宋" w:eastAsia="仿宋"/>
          <w:bCs/>
          <w:sz w:val="32"/>
          <w:szCs w:val="32"/>
        </w:rPr>
        <w:t>（210）行政事业单位医疗（11）</w:t>
      </w:r>
      <w:r>
        <w:rPr>
          <w:rStyle w:val="14"/>
          <w:rFonts w:hint="eastAsia" w:ascii="仿宋" w:hAnsi="仿宋" w:eastAsia="仿宋"/>
          <w:bCs/>
          <w:sz w:val="32"/>
          <w:szCs w:val="32"/>
          <w:lang w:eastAsia="zh-CN"/>
        </w:rPr>
        <w:t>公务员医疗补助</w:t>
      </w:r>
      <w:r>
        <w:rPr>
          <w:rStyle w:val="14"/>
          <w:rFonts w:hint="eastAsia" w:ascii="仿宋" w:hAnsi="仿宋" w:eastAsia="仿宋"/>
          <w:bCs/>
          <w:sz w:val="32"/>
          <w:szCs w:val="32"/>
        </w:rPr>
        <w:t>（0</w:t>
      </w:r>
      <w:r>
        <w:rPr>
          <w:rStyle w:val="14"/>
          <w:rFonts w:hint="eastAsia" w:ascii="仿宋" w:hAnsi="仿宋" w:eastAsia="仿宋"/>
          <w:bCs/>
          <w:sz w:val="32"/>
          <w:szCs w:val="32"/>
          <w:lang w:val="en-US" w:eastAsia="zh-CN"/>
        </w:rPr>
        <w:t>3</w:t>
      </w:r>
      <w:r>
        <w:rPr>
          <w:rStyle w:val="14"/>
          <w:rFonts w:hint="eastAsia" w:ascii="仿宋" w:hAnsi="仿宋" w:eastAsia="仿宋"/>
          <w:bCs/>
          <w:sz w:val="32"/>
          <w:szCs w:val="32"/>
        </w:rPr>
        <w:t>）</w:t>
      </w:r>
      <w:r>
        <w:rPr>
          <w:rStyle w:val="14"/>
          <w:rFonts w:ascii="仿宋" w:hAnsi="仿宋" w:eastAsia="仿宋"/>
          <w:bCs/>
          <w:sz w:val="32"/>
          <w:szCs w:val="32"/>
        </w:rPr>
        <w:t>:</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26.92</w:t>
      </w:r>
      <w:r>
        <w:rPr>
          <w:rStyle w:val="14"/>
          <w:rFonts w:hint="eastAsia" w:ascii="仿宋" w:hAnsi="仿宋" w:eastAsia="仿宋"/>
          <w:b w:val="0"/>
          <w:bCs/>
          <w:sz w:val="32"/>
          <w:szCs w:val="32"/>
        </w:rPr>
        <w:t>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pStyle w:val="5"/>
        <w:keepNext w:val="0"/>
        <w:keepLines w:val="0"/>
        <w:pageBreakBefore w:val="0"/>
        <w:widowControl w:val="0"/>
        <w:numPr>
          <w:ilvl w:val="0"/>
          <w:numId w:val="3"/>
        </w:numPr>
        <w:kinsoku/>
        <w:wordWrap/>
        <w:overflowPunct/>
        <w:topLinePunct w:val="0"/>
        <w:autoSpaceDE/>
        <w:autoSpaceDN/>
        <w:bidi w:val="0"/>
        <w:adjustRightInd/>
        <w:snapToGrid/>
        <w:ind w:left="0" w:leftChars="0" w:firstLine="643" w:firstLineChars="200"/>
        <w:textAlignment w:val="auto"/>
        <w:rPr>
          <w:rStyle w:val="14"/>
          <w:rFonts w:hint="eastAsia" w:ascii="仿宋" w:hAnsi="仿宋" w:eastAsia="仿宋"/>
          <w:b w:val="0"/>
          <w:bCs/>
          <w:sz w:val="32"/>
          <w:szCs w:val="32"/>
        </w:rPr>
      </w:pPr>
      <w:r>
        <w:rPr>
          <w:rFonts w:hint="eastAsia" w:ascii="仿宋" w:hAnsi="仿宋" w:eastAsia="仿宋"/>
          <w:b/>
          <w:bCs/>
          <w:sz w:val="32"/>
          <w:szCs w:val="32"/>
          <w:lang w:eastAsia="zh-CN"/>
        </w:rPr>
        <w:t>农林水支出（</w:t>
      </w:r>
      <w:r>
        <w:rPr>
          <w:rFonts w:hint="eastAsia" w:ascii="仿宋" w:hAnsi="仿宋" w:eastAsia="仿宋"/>
          <w:b/>
          <w:bCs/>
          <w:sz w:val="32"/>
          <w:szCs w:val="32"/>
          <w:lang w:val="en-US" w:eastAsia="zh-CN"/>
        </w:rPr>
        <w:t>213</w:t>
      </w:r>
      <w:r>
        <w:rPr>
          <w:rFonts w:hint="eastAsia" w:ascii="仿宋" w:hAnsi="仿宋" w:eastAsia="仿宋"/>
          <w:b/>
          <w:bCs/>
          <w:sz w:val="32"/>
          <w:szCs w:val="32"/>
          <w:lang w:eastAsia="zh-CN"/>
        </w:rPr>
        <w:t>）巩固脱贫衔接乡村振兴（</w:t>
      </w:r>
      <w:r>
        <w:rPr>
          <w:rFonts w:hint="eastAsia" w:ascii="仿宋" w:hAnsi="仿宋" w:eastAsia="仿宋"/>
          <w:b/>
          <w:bCs/>
          <w:sz w:val="32"/>
          <w:szCs w:val="32"/>
          <w:lang w:val="en-US" w:eastAsia="zh-CN"/>
        </w:rPr>
        <w:t>05</w:t>
      </w:r>
      <w:r>
        <w:rPr>
          <w:rFonts w:hint="eastAsia" w:ascii="仿宋" w:hAnsi="仿宋" w:eastAsia="仿宋"/>
          <w:b/>
          <w:bCs/>
          <w:sz w:val="32"/>
          <w:szCs w:val="32"/>
          <w:lang w:eastAsia="zh-CN"/>
        </w:rPr>
        <w:t>）其他巩固脱贫衔接乡村振兴支出（</w:t>
      </w:r>
      <w:r>
        <w:rPr>
          <w:rFonts w:hint="eastAsia" w:ascii="仿宋" w:hAnsi="仿宋" w:eastAsia="仿宋"/>
          <w:b/>
          <w:bCs/>
          <w:sz w:val="32"/>
          <w:szCs w:val="32"/>
          <w:lang w:val="en-US" w:eastAsia="zh-CN"/>
        </w:rPr>
        <w:t>99</w:t>
      </w:r>
      <w:r>
        <w:rPr>
          <w:rFonts w:hint="eastAsia" w:ascii="仿宋" w:hAnsi="仿宋" w:eastAsia="仿宋"/>
          <w:b/>
          <w:bCs/>
          <w:sz w:val="32"/>
          <w:szCs w:val="32"/>
          <w:lang w:eastAsia="zh-CN"/>
        </w:rPr>
        <w:t>）：</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27.2</w:t>
      </w:r>
      <w:r>
        <w:rPr>
          <w:rStyle w:val="14"/>
          <w:rFonts w:hint="eastAsia" w:ascii="仿宋" w:hAnsi="仿宋" w:eastAsia="仿宋"/>
          <w:b w:val="0"/>
          <w:bCs/>
          <w:sz w:val="32"/>
          <w:szCs w:val="32"/>
        </w:rPr>
        <w:t>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b/>
          <w:color w:val="auto"/>
          <w:sz w:val="32"/>
          <w:szCs w:val="32"/>
          <w:highlight w:val="none"/>
        </w:rPr>
      </w:pPr>
      <w:r>
        <w:rPr>
          <w:rStyle w:val="14"/>
          <w:rFonts w:hint="eastAsia" w:ascii="仿宋" w:hAnsi="仿宋" w:eastAsia="仿宋"/>
          <w:bCs/>
          <w:sz w:val="32"/>
          <w:szCs w:val="32"/>
          <w:lang w:val="en-US" w:eastAsia="zh-CN"/>
        </w:rPr>
        <w:t>16.</w:t>
      </w:r>
      <w:r>
        <w:rPr>
          <w:rStyle w:val="14"/>
          <w:rFonts w:hint="eastAsia" w:ascii="仿宋" w:hAnsi="仿宋" w:eastAsia="仿宋"/>
          <w:bCs/>
          <w:sz w:val="32"/>
          <w:szCs w:val="32"/>
        </w:rPr>
        <w:t>住房保障（221）住房改革支出（02）住房公积金（01）</w:t>
      </w:r>
      <w:r>
        <w:rPr>
          <w:rStyle w:val="14"/>
          <w:rFonts w:ascii="仿宋" w:hAnsi="仿宋" w:eastAsia="仿宋"/>
          <w:bCs/>
          <w:sz w:val="32"/>
          <w:szCs w:val="32"/>
        </w:rPr>
        <w:t>:</w:t>
      </w:r>
      <w:r>
        <w:rPr>
          <w:rStyle w:val="14"/>
          <w:rFonts w:hint="eastAsia" w:ascii="仿宋" w:hAnsi="仿宋" w:eastAsia="仿宋"/>
          <w:b w:val="0"/>
          <w:bCs/>
          <w:sz w:val="32"/>
          <w:szCs w:val="32"/>
        </w:rPr>
        <w:t>支出决算为1</w:t>
      </w:r>
      <w:r>
        <w:rPr>
          <w:rStyle w:val="14"/>
          <w:rFonts w:hint="eastAsia" w:ascii="仿宋" w:hAnsi="仿宋" w:eastAsia="仿宋"/>
          <w:b w:val="0"/>
          <w:bCs/>
          <w:sz w:val="32"/>
          <w:szCs w:val="32"/>
          <w:lang w:val="en-US" w:eastAsia="zh-CN"/>
        </w:rPr>
        <w:t>70.21</w:t>
      </w:r>
      <w:r>
        <w:rPr>
          <w:rStyle w:val="14"/>
          <w:rFonts w:hint="eastAsia" w:ascii="仿宋" w:hAnsi="仿宋" w:eastAsia="仿宋"/>
          <w:b w:val="0"/>
          <w:bCs/>
          <w:sz w:val="32"/>
          <w:szCs w:val="32"/>
        </w:rPr>
        <w:t>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tabs>
          <w:tab w:val="right" w:pos="8306"/>
        </w:tabs>
        <w:spacing w:line="600" w:lineRule="exact"/>
        <w:ind w:firstLine="640"/>
        <w:outlineLvl w:val="1"/>
        <w:rPr>
          <w:rStyle w:val="25"/>
          <w:color w:val="auto"/>
          <w:highlight w:val="none"/>
        </w:rPr>
      </w:pPr>
      <w:bookmarkStart w:id="34" w:name="_Toc15396608"/>
      <w:bookmarkStart w:id="3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34"/>
      <w:bookmarkEnd w:id="35"/>
      <w:r>
        <w:rPr>
          <w:rStyle w:val="25"/>
          <w:rFonts w:ascii="黑体" w:hAnsi="黑体" w:eastAsia="黑体"/>
          <w:b w:val="0"/>
          <w:color w:val="auto"/>
          <w:highlight w:val="none"/>
        </w:rPr>
        <w:tab/>
      </w:r>
    </w:p>
    <w:p>
      <w:pPr>
        <w:spacing w:line="600" w:lineRule="exact"/>
        <w:ind w:firstLine="645"/>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2649.91</w:t>
      </w:r>
      <w:r>
        <w:rPr>
          <w:rFonts w:hint="eastAsia" w:ascii="仿宋" w:hAnsi="仿宋" w:eastAsia="仿宋"/>
          <w:color w:val="auto"/>
          <w:sz w:val="32"/>
          <w:szCs w:val="32"/>
          <w:highlight w:val="none"/>
        </w:rPr>
        <w:t>万元，其中：人员经费</w:t>
      </w:r>
      <w:r>
        <w:rPr>
          <w:rFonts w:hint="eastAsia" w:ascii="仿宋" w:hAnsi="仿宋" w:eastAsia="仿宋"/>
          <w:color w:val="auto"/>
          <w:sz w:val="32"/>
          <w:szCs w:val="32"/>
          <w:highlight w:val="none"/>
          <w:lang w:val="en-US" w:eastAsia="zh-CN"/>
        </w:rPr>
        <w:t>1798.81</w:t>
      </w:r>
      <w:r>
        <w:rPr>
          <w:rFonts w:hint="eastAsia" w:ascii="仿宋" w:hAnsi="仿宋" w:eastAsia="仿宋"/>
          <w:color w:val="auto"/>
          <w:sz w:val="32"/>
          <w:szCs w:val="32"/>
          <w:highlight w:val="none"/>
        </w:rPr>
        <w:t>万元，主要包括：基本工资</w:t>
      </w:r>
      <w:r>
        <w:rPr>
          <w:rFonts w:hint="eastAsia" w:ascii="仿宋" w:hAnsi="仿宋" w:eastAsia="仿宋"/>
          <w:color w:val="auto"/>
          <w:sz w:val="32"/>
          <w:szCs w:val="32"/>
          <w:highlight w:val="none"/>
          <w:lang w:val="en-US" w:eastAsia="zh-CN"/>
        </w:rPr>
        <w:t>763.45万元</w:t>
      </w:r>
      <w:r>
        <w:rPr>
          <w:rFonts w:hint="eastAsia" w:ascii="仿宋" w:hAnsi="仿宋" w:eastAsia="仿宋"/>
          <w:color w:val="auto"/>
          <w:sz w:val="32"/>
          <w:szCs w:val="32"/>
          <w:highlight w:val="none"/>
        </w:rPr>
        <w:t>、津贴补贴</w:t>
      </w:r>
      <w:r>
        <w:rPr>
          <w:rFonts w:hint="eastAsia" w:ascii="仿宋" w:hAnsi="仿宋" w:eastAsia="仿宋"/>
          <w:color w:val="auto"/>
          <w:sz w:val="32"/>
          <w:szCs w:val="32"/>
          <w:highlight w:val="none"/>
          <w:lang w:val="en-US" w:eastAsia="zh-CN"/>
        </w:rPr>
        <w:t>135万元</w:t>
      </w:r>
      <w:r>
        <w:rPr>
          <w:rFonts w:hint="eastAsia" w:ascii="仿宋" w:hAnsi="仿宋" w:eastAsia="仿宋"/>
          <w:color w:val="auto"/>
          <w:sz w:val="32"/>
          <w:szCs w:val="32"/>
          <w:highlight w:val="none"/>
        </w:rPr>
        <w:t>、奖金</w:t>
      </w:r>
      <w:r>
        <w:rPr>
          <w:rFonts w:hint="eastAsia" w:ascii="仿宋" w:hAnsi="仿宋" w:eastAsia="仿宋"/>
          <w:color w:val="auto"/>
          <w:sz w:val="32"/>
          <w:szCs w:val="32"/>
          <w:highlight w:val="none"/>
          <w:lang w:val="en-US" w:eastAsia="zh-CN"/>
        </w:rPr>
        <w:t>26.78万元</w:t>
      </w:r>
      <w:r>
        <w:rPr>
          <w:rFonts w:hint="eastAsia" w:ascii="仿宋" w:hAnsi="仿宋" w:eastAsia="仿宋"/>
          <w:color w:val="auto"/>
          <w:sz w:val="32"/>
          <w:szCs w:val="32"/>
          <w:highlight w:val="none"/>
        </w:rPr>
        <w:t>、绩效工资</w:t>
      </w:r>
      <w:r>
        <w:rPr>
          <w:rFonts w:hint="eastAsia" w:ascii="仿宋" w:hAnsi="仿宋" w:eastAsia="仿宋"/>
          <w:color w:val="auto"/>
          <w:sz w:val="32"/>
          <w:szCs w:val="32"/>
          <w:highlight w:val="none"/>
          <w:lang w:val="en-US" w:eastAsia="zh-CN"/>
        </w:rPr>
        <w:t>98.58万元</w:t>
      </w:r>
      <w:r>
        <w:rPr>
          <w:rFonts w:hint="eastAsia" w:ascii="仿宋" w:hAnsi="仿宋" w:eastAsia="仿宋"/>
          <w:color w:val="auto"/>
          <w:sz w:val="32"/>
          <w:szCs w:val="32"/>
          <w:highlight w:val="none"/>
        </w:rPr>
        <w:t>、机关事业单位基本养老保险缴费</w:t>
      </w:r>
      <w:r>
        <w:rPr>
          <w:rFonts w:hint="eastAsia" w:ascii="仿宋" w:hAnsi="仿宋" w:eastAsia="仿宋"/>
          <w:color w:val="auto"/>
          <w:sz w:val="32"/>
          <w:szCs w:val="32"/>
          <w:highlight w:val="none"/>
          <w:lang w:val="en-US" w:eastAsia="zh-CN"/>
        </w:rPr>
        <w:t>153.56万元</w:t>
      </w:r>
      <w:r>
        <w:rPr>
          <w:rFonts w:hint="eastAsia" w:ascii="仿宋" w:hAnsi="仿宋" w:eastAsia="仿宋"/>
          <w:color w:val="auto"/>
          <w:sz w:val="32"/>
          <w:szCs w:val="32"/>
          <w:highlight w:val="none"/>
        </w:rPr>
        <w:t>、职业年金缴费</w:t>
      </w:r>
      <w:r>
        <w:rPr>
          <w:rFonts w:hint="eastAsia" w:ascii="仿宋" w:hAnsi="仿宋" w:eastAsia="仿宋"/>
          <w:color w:val="auto"/>
          <w:sz w:val="32"/>
          <w:szCs w:val="32"/>
          <w:highlight w:val="none"/>
          <w:lang w:val="en-US" w:eastAsia="zh-CN"/>
        </w:rPr>
        <w:t>54.1万元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职工基本医疗保险缴费</w:t>
      </w:r>
      <w:r>
        <w:rPr>
          <w:rFonts w:hint="eastAsia" w:ascii="仿宋" w:hAnsi="仿宋" w:eastAsia="仿宋"/>
          <w:color w:val="auto"/>
          <w:sz w:val="32"/>
          <w:szCs w:val="32"/>
          <w:highlight w:val="none"/>
          <w:lang w:val="en-US" w:eastAsia="zh-CN"/>
        </w:rPr>
        <w:t>68.43万元、公务员医疗补助缴费26.92万元、住房公积金170.21万元、</w:t>
      </w:r>
      <w:r>
        <w:rPr>
          <w:rFonts w:hint="eastAsia" w:ascii="仿宋" w:hAnsi="仿宋" w:eastAsia="仿宋"/>
          <w:color w:val="auto"/>
          <w:sz w:val="32"/>
          <w:szCs w:val="32"/>
          <w:highlight w:val="none"/>
        </w:rPr>
        <w:t>其他工资福利支出</w:t>
      </w:r>
      <w:r>
        <w:rPr>
          <w:rFonts w:hint="eastAsia" w:ascii="仿宋" w:hAnsi="仿宋" w:eastAsia="仿宋"/>
          <w:color w:val="auto"/>
          <w:sz w:val="32"/>
          <w:szCs w:val="32"/>
          <w:highlight w:val="none"/>
          <w:lang w:val="en-US" w:eastAsia="zh-CN"/>
        </w:rPr>
        <w:t>215.34万元</w:t>
      </w:r>
      <w:r>
        <w:rPr>
          <w:rFonts w:hint="eastAsia" w:ascii="仿宋" w:hAnsi="仿宋" w:eastAsia="仿宋"/>
          <w:color w:val="auto"/>
          <w:sz w:val="32"/>
          <w:szCs w:val="32"/>
          <w:highlight w:val="none"/>
        </w:rPr>
        <w:t>、抚恤金</w:t>
      </w:r>
      <w:r>
        <w:rPr>
          <w:rFonts w:hint="eastAsia" w:ascii="仿宋" w:hAnsi="仿宋" w:eastAsia="仿宋"/>
          <w:color w:val="auto"/>
          <w:sz w:val="32"/>
          <w:szCs w:val="32"/>
          <w:highlight w:val="none"/>
          <w:lang w:val="en-US" w:eastAsia="zh-CN"/>
        </w:rPr>
        <w:t>16.77万元、</w:t>
      </w:r>
      <w:r>
        <w:rPr>
          <w:rFonts w:hint="eastAsia" w:ascii="仿宋" w:hAnsi="仿宋" w:eastAsia="仿宋"/>
          <w:color w:val="auto"/>
          <w:sz w:val="32"/>
          <w:szCs w:val="32"/>
          <w:highlight w:val="none"/>
        </w:rPr>
        <w:t>生活补助</w:t>
      </w:r>
      <w:r>
        <w:rPr>
          <w:rFonts w:hint="eastAsia" w:ascii="仿宋" w:hAnsi="仿宋" w:eastAsia="仿宋"/>
          <w:color w:val="auto"/>
          <w:sz w:val="32"/>
          <w:szCs w:val="32"/>
          <w:highlight w:val="none"/>
          <w:lang w:val="en-US" w:eastAsia="zh-CN"/>
        </w:rPr>
        <w:t>42.42万元</w:t>
      </w:r>
      <w:r>
        <w:rPr>
          <w:rFonts w:hint="eastAsia" w:ascii="仿宋" w:hAnsi="仿宋" w:eastAsia="仿宋"/>
          <w:color w:val="auto"/>
          <w:sz w:val="32"/>
          <w:szCs w:val="32"/>
          <w:highlight w:val="none"/>
        </w:rPr>
        <w:t>、奖励金</w:t>
      </w:r>
      <w:r>
        <w:rPr>
          <w:rFonts w:hint="eastAsia" w:ascii="仿宋" w:hAnsi="仿宋" w:eastAsia="仿宋"/>
          <w:color w:val="auto"/>
          <w:sz w:val="32"/>
          <w:szCs w:val="32"/>
          <w:highlight w:val="none"/>
          <w:lang w:val="en-US" w:eastAsia="zh-CN"/>
        </w:rPr>
        <w:t>2.18万元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其他对个人和家庭的补助</w:t>
      </w:r>
      <w:r>
        <w:rPr>
          <w:rFonts w:hint="eastAsia" w:ascii="仿宋" w:hAnsi="仿宋" w:eastAsia="仿宋"/>
          <w:color w:val="auto"/>
          <w:sz w:val="32"/>
          <w:szCs w:val="32"/>
          <w:highlight w:val="none"/>
          <w:lang w:val="en-US" w:eastAsia="zh-CN"/>
        </w:rPr>
        <w:t>25.07万元</w:t>
      </w:r>
      <w:r>
        <w:rPr>
          <w:rFonts w:hint="eastAsia" w:ascii="仿宋" w:hAnsi="仿宋" w:eastAsia="仿宋"/>
          <w:color w:val="auto"/>
          <w:sz w:val="32"/>
          <w:szCs w:val="32"/>
          <w:highlight w:val="none"/>
        </w:rPr>
        <w:t>。</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851.1</w:t>
      </w:r>
      <w:r>
        <w:rPr>
          <w:rFonts w:hint="eastAsia" w:ascii="仿宋" w:hAnsi="仿宋" w:eastAsia="仿宋"/>
          <w:color w:val="auto"/>
          <w:sz w:val="32"/>
          <w:szCs w:val="32"/>
          <w:highlight w:val="none"/>
        </w:rPr>
        <w:t>万元，主要包括：办公费</w:t>
      </w:r>
      <w:r>
        <w:rPr>
          <w:rFonts w:hint="eastAsia" w:ascii="仿宋" w:hAnsi="仿宋" w:eastAsia="仿宋"/>
          <w:color w:val="auto"/>
          <w:sz w:val="32"/>
          <w:szCs w:val="32"/>
          <w:highlight w:val="none"/>
          <w:lang w:val="en-US" w:eastAsia="zh-CN"/>
        </w:rPr>
        <w:t>246.31万元</w:t>
      </w:r>
      <w:r>
        <w:rPr>
          <w:rFonts w:hint="eastAsia" w:ascii="仿宋" w:hAnsi="仿宋" w:eastAsia="仿宋"/>
          <w:color w:val="auto"/>
          <w:sz w:val="32"/>
          <w:szCs w:val="32"/>
          <w:highlight w:val="none"/>
        </w:rPr>
        <w:t>、印刷费</w:t>
      </w:r>
      <w:r>
        <w:rPr>
          <w:rFonts w:hint="eastAsia" w:ascii="仿宋" w:hAnsi="仿宋" w:eastAsia="仿宋"/>
          <w:color w:val="auto"/>
          <w:sz w:val="32"/>
          <w:szCs w:val="32"/>
          <w:highlight w:val="none"/>
          <w:lang w:val="en-US" w:eastAsia="zh-CN"/>
        </w:rPr>
        <w:t>11.2万元</w:t>
      </w:r>
      <w:r>
        <w:rPr>
          <w:rFonts w:hint="eastAsia" w:ascii="仿宋" w:hAnsi="仿宋" w:eastAsia="仿宋"/>
          <w:color w:val="auto"/>
          <w:sz w:val="32"/>
          <w:szCs w:val="32"/>
          <w:highlight w:val="none"/>
        </w:rPr>
        <w:t>、咨询费</w:t>
      </w:r>
      <w:r>
        <w:rPr>
          <w:rFonts w:hint="eastAsia" w:ascii="仿宋" w:hAnsi="仿宋" w:eastAsia="仿宋"/>
          <w:color w:val="auto"/>
          <w:sz w:val="32"/>
          <w:szCs w:val="32"/>
          <w:highlight w:val="none"/>
          <w:lang w:val="en-US" w:eastAsia="zh-CN"/>
        </w:rPr>
        <w:t>2.5万元</w:t>
      </w:r>
      <w:r>
        <w:rPr>
          <w:rFonts w:hint="eastAsia" w:ascii="仿宋" w:hAnsi="仿宋" w:eastAsia="仿宋"/>
          <w:color w:val="auto"/>
          <w:sz w:val="32"/>
          <w:szCs w:val="32"/>
          <w:highlight w:val="none"/>
        </w:rPr>
        <w:t>、水费</w:t>
      </w:r>
      <w:r>
        <w:rPr>
          <w:rFonts w:hint="eastAsia" w:ascii="仿宋" w:hAnsi="仿宋" w:eastAsia="仿宋"/>
          <w:color w:val="auto"/>
          <w:sz w:val="32"/>
          <w:szCs w:val="32"/>
          <w:highlight w:val="none"/>
          <w:lang w:val="en-US" w:eastAsia="zh-CN"/>
        </w:rPr>
        <w:t>7.2万元</w:t>
      </w:r>
      <w:r>
        <w:rPr>
          <w:rFonts w:hint="eastAsia" w:ascii="仿宋" w:hAnsi="仿宋" w:eastAsia="仿宋"/>
          <w:color w:val="auto"/>
          <w:sz w:val="32"/>
          <w:szCs w:val="32"/>
          <w:highlight w:val="none"/>
        </w:rPr>
        <w:t>、电费</w:t>
      </w:r>
      <w:r>
        <w:rPr>
          <w:rFonts w:hint="eastAsia" w:ascii="仿宋" w:hAnsi="仿宋" w:eastAsia="仿宋"/>
          <w:color w:val="auto"/>
          <w:sz w:val="32"/>
          <w:szCs w:val="32"/>
          <w:highlight w:val="none"/>
          <w:lang w:val="en-US" w:eastAsia="zh-CN"/>
        </w:rPr>
        <w:t>34.54万元</w:t>
      </w:r>
      <w:r>
        <w:rPr>
          <w:rFonts w:hint="eastAsia" w:ascii="仿宋" w:hAnsi="仿宋" w:eastAsia="仿宋"/>
          <w:color w:val="auto"/>
          <w:sz w:val="32"/>
          <w:szCs w:val="32"/>
          <w:highlight w:val="none"/>
        </w:rPr>
        <w:t>、邮电费</w:t>
      </w:r>
      <w:r>
        <w:rPr>
          <w:rFonts w:hint="eastAsia" w:ascii="仿宋" w:hAnsi="仿宋" w:eastAsia="仿宋"/>
          <w:color w:val="auto"/>
          <w:sz w:val="32"/>
          <w:szCs w:val="32"/>
          <w:highlight w:val="none"/>
          <w:lang w:val="en-US" w:eastAsia="zh-CN"/>
        </w:rPr>
        <w:t>29.53万元</w:t>
      </w:r>
      <w:r>
        <w:rPr>
          <w:rFonts w:hint="eastAsia" w:ascii="仿宋" w:hAnsi="仿宋" w:eastAsia="仿宋"/>
          <w:color w:val="auto"/>
          <w:sz w:val="32"/>
          <w:szCs w:val="32"/>
          <w:highlight w:val="none"/>
        </w:rPr>
        <w:t>、差旅费</w:t>
      </w:r>
      <w:r>
        <w:rPr>
          <w:rFonts w:hint="eastAsia" w:ascii="仿宋" w:hAnsi="仿宋" w:eastAsia="仿宋"/>
          <w:color w:val="auto"/>
          <w:sz w:val="32"/>
          <w:szCs w:val="32"/>
          <w:highlight w:val="none"/>
          <w:lang w:val="en-US" w:eastAsia="zh-CN"/>
        </w:rPr>
        <w:t>59.83万元</w:t>
      </w:r>
      <w:r>
        <w:rPr>
          <w:rFonts w:hint="eastAsia" w:ascii="仿宋" w:hAnsi="仿宋" w:eastAsia="仿宋"/>
          <w:color w:val="auto"/>
          <w:sz w:val="32"/>
          <w:szCs w:val="32"/>
          <w:highlight w:val="none"/>
        </w:rPr>
        <w:t>、维修（护）费</w:t>
      </w:r>
      <w:r>
        <w:rPr>
          <w:rFonts w:hint="eastAsia" w:ascii="仿宋" w:hAnsi="仿宋" w:eastAsia="仿宋"/>
          <w:color w:val="auto"/>
          <w:sz w:val="32"/>
          <w:szCs w:val="32"/>
          <w:highlight w:val="none"/>
          <w:lang w:val="en-US" w:eastAsia="zh-CN"/>
        </w:rPr>
        <w:t>55.8万元</w:t>
      </w:r>
      <w:r>
        <w:rPr>
          <w:rFonts w:hint="eastAsia" w:ascii="仿宋" w:hAnsi="仿宋" w:eastAsia="仿宋"/>
          <w:color w:val="auto"/>
          <w:sz w:val="32"/>
          <w:szCs w:val="32"/>
          <w:highlight w:val="none"/>
        </w:rPr>
        <w:t>、租赁费</w:t>
      </w:r>
      <w:r>
        <w:rPr>
          <w:rFonts w:hint="eastAsia" w:ascii="仿宋" w:hAnsi="仿宋" w:eastAsia="仿宋"/>
          <w:color w:val="auto"/>
          <w:sz w:val="32"/>
          <w:szCs w:val="32"/>
          <w:highlight w:val="none"/>
          <w:lang w:val="en-US" w:eastAsia="zh-CN"/>
        </w:rPr>
        <w:t>6.5万元</w:t>
      </w:r>
      <w:r>
        <w:rPr>
          <w:rFonts w:hint="eastAsia" w:ascii="仿宋" w:hAnsi="仿宋" w:eastAsia="仿宋"/>
          <w:color w:val="auto"/>
          <w:sz w:val="32"/>
          <w:szCs w:val="32"/>
          <w:highlight w:val="none"/>
        </w:rPr>
        <w:t>、会议费</w:t>
      </w:r>
      <w:r>
        <w:rPr>
          <w:rFonts w:hint="eastAsia" w:ascii="仿宋" w:hAnsi="仿宋" w:eastAsia="仿宋"/>
          <w:color w:val="auto"/>
          <w:sz w:val="32"/>
          <w:szCs w:val="32"/>
          <w:highlight w:val="none"/>
          <w:lang w:val="en-US" w:eastAsia="zh-CN"/>
        </w:rPr>
        <w:t>0.14万元</w:t>
      </w:r>
      <w:r>
        <w:rPr>
          <w:rFonts w:hint="eastAsia" w:ascii="仿宋" w:hAnsi="仿宋" w:eastAsia="仿宋"/>
          <w:color w:val="auto"/>
          <w:sz w:val="32"/>
          <w:szCs w:val="32"/>
          <w:highlight w:val="none"/>
        </w:rPr>
        <w:t>、培训费</w:t>
      </w:r>
      <w:r>
        <w:rPr>
          <w:rFonts w:hint="eastAsia" w:ascii="仿宋" w:hAnsi="仿宋" w:eastAsia="仿宋"/>
          <w:color w:val="auto"/>
          <w:sz w:val="32"/>
          <w:szCs w:val="32"/>
          <w:highlight w:val="none"/>
          <w:lang w:val="en-US" w:eastAsia="zh-CN"/>
        </w:rPr>
        <w:t>3万元</w:t>
      </w:r>
      <w:r>
        <w:rPr>
          <w:rFonts w:hint="eastAsia" w:ascii="仿宋" w:hAnsi="仿宋" w:eastAsia="仿宋"/>
          <w:color w:val="auto"/>
          <w:sz w:val="32"/>
          <w:szCs w:val="32"/>
          <w:highlight w:val="none"/>
        </w:rPr>
        <w:t>、公务接待费</w:t>
      </w:r>
      <w:r>
        <w:rPr>
          <w:rFonts w:hint="eastAsia" w:ascii="仿宋" w:hAnsi="仿宋" w:eastAsia="仿宋"/>
          <w:color w:val="auto"/>
          <w:sz w:val="32"/>
          <w:szCs w:val="32"/>
          <w:highlight w:val="none"/>
          <w:lang w:val="en-US" w:eastAsia="zh-CN"/>
        </w:rPr>
        <w:t>1.34万元</w:t>
      </w:r>
      <w:r>
        <w:rPr>
          <w:rFonts w:hint="eastAsia" w:ascii="仿宋" w:hAnsi="仿宋" w:eastAsia="仿宋"/>
          <w:color w:val="auto"/>
          <w:sz w:val="32"/>
          <w:szCs w:val="32"/>
          <w:highlight w:val="none"/>
        </w:rPr>
        <w:t>、劳务费</w:t>
      </w:r>
      <w:r>
        <w:rPr>
          <w:rFonts w:hint="eastAsia" w:ascii="仿宋" w:hAnsi="仿宋" w:eastAsia="仿宋"/>
          <w:color w:val="auto"/>
          <w:sz w:val="32"/>
          <w:szCs w:val="32"/>
          <w:highlight w:val="none"/>
          <w:lang w:val="en-US" w:eastAsia="zh-CN"/>
        </w:rPr>
        <w:t>23.16万元</w:t>
      </w:r>
      <w:r>
        <w:rPr>
          <w:rFonts w:hint="eastAsia" w:ascii="仿宋" w:hAnsi="仿宋" w:eastAsia="仿宋"/>
          <w:color w:val="auto"/>
          <w:sz w:val="32"/>
          <w:szCs w:val="32"/>
          <w:highlight w:val="none"/>
        </w:rPr>
        <w:t>、委托业务费</w:t>
      </w:r>
      <w:r>
        <w:rPr>
          <w:rFonts w:hint="eastAsia" w:ascii="仿宋" w:hAnsi="仿宋" w:eastAsia="仿宋"/>
          <w:color w:val="auto"/>
          <w:sz w:val="32"/>
          <w:szCs w:val="32"/>
          <w:highlight w:val="none"/>
          <w:lang w:val="en-US" w:eastAsia="zh-CN"/>
        </w:rPr>
        <w:t>4.43万元</w:t>
      </w:r>
      <w:r>
        <w:rPr>
          <w:rFonts w:hint="eastAsia" w:ascii="仿宋" w:hAnsi="仿宋" w:eastAsia="仿宋"/>
          <w:color w:val="auto"/>
          <w:sz w:val="32"/>
          <w:szCs w:val="32"/>
          <w:highlight w:val="none"/>
        </w:rPr>
        <w:t>、工会经费</w:t>
      </w:r>
      <w:r>
        <w:rPr>
          <w:rFonts w:hint="eastAsia" w:ascii="仿宋" w:hAnsi="仿宋" w:eastAsia="仿宋"/>
          <w:color w:val="auto"/>
          <w:sz w:val="32"/>
          <w:szCs w:val="32"/>
          <w:highlight w:val="none"/>
          <w:lang w:val="en-US" w:eastAsia="zh-CN"/>
        </w:rPr>
        <w:t>4万元</w:t>
      </w:r>
      <w:r>
        <w:rPr>
          <w:rFonts w:hint="eastAsia" w:ascii="仿宋" w:hAnsi="仿宋" w:eastAsia="仿宋"/>
          <w:color w:val="auto"/>
          <w:sz w:val="32"/>
          <w:szCs w:val="32"/>
          <w:highlight w:val="none"/>
        </w:rPr>
        <w:t>、福利费</w:t>
      </w:r>
      <w:r>
        <w:rPr>
          <w:rFonts w:hint="eastAsia" w:ascii="仿宋" w:hAnsi="仿宋" w:eastAsia="仿宋"/>
          <w:color w:val="auto"/>
          <w:sz w:val="32"/>
          <w:szCs w:val="32"/>
          <w:highlight w:val="none"/>
          <w:lang w:val="en-US" w:eastAsia="zh-CN"/>
        </w:rPr>
        <w:t>0.37万元</w:t>
      </w:r>
      <w:r>
        <w:rPr>
          <w:rFonts w:hint="eastAsia" w:ascii="仿宋" w:hAnsi="仿宋" w:eastAsia="仿宋"/>
          <w:color w:val="auto"/>
          <w:sz w:val="32"/>
          <w:szCs w:val="32"/>
          <w:highlight w:val="none"/>
        </w:rPr>
        <w:t>、其他交通费</w:t>
      </w:r>
      <w:r>
        <w:rPr>
          <w:rFonts w:hint="eastAsia" w:ascii="仿宋" w:hAnsi="仿宋" w:eastAsia="仿宋"/>
          <w:color w:val="auto"/>
          <w:sz w:val="32"/>
          <w:szCs w:val="32"/>
          <w:highlight w:val="none"/>
          <w:lang w:eastAsia="zh-CN"/>
        </w:rPr>
        <w:t>用</w:t>
      </w:r>
      <w:r>
        <w:rPr>
          <w:rFonts w:hint="eastAsia" w:ascii="仿宋" w:hAnsi="仿宋" w:eastAsia="仿宋"/>
          <w:color w:val="auto"/>
          <w:sz w:val="32"/>
          <w:szCs w:val="32"/>
          <w:highlight w:val="none"/>
          <w:lang w:val="en-US" w:eastAsia="zh-CN"/>
        </w:rPr>
        <w:t>144.79万元</w:t>
      </w:r>
      <w:r>
        <w:rPr>
          <w:rFonts w:hint="eastAsia" w:ascii="仿宋" w:hAnsi="仿宋" w:eastAsia="仿宋"/>
          <w:color w:val="auto"/>
          <w:sz w:val="32"/>
          <w:szCs w:val="32"/>
          <w:highlight w:val="none"/>
        </w:rPr>
        <w:t>、其他商品和服务支出</w:t>
      </w:r>
      <w:r>
        <w:rPr>
          <w:rFonts w:hint="eastAsia" w:ascii="仿宋" w:hAnsi="仿宋" w:eastAsia="仿宋"/>
          <w:color w:val="auto"/>
          <w:sz w:val="32"/>
          <w:szCs w:val="32"/>
          <w:highlight w:val="none"/>
          <w:lang w:val="en-US" w:eastAsia="zh-CN"/>
        </w:rPr>
        <w:t>206.8万元</w:t>
      </w:r>
      <w:r>
        <w:rPr>
          <w:rFonts w:hint="eastAsia" w:ascii="仿宋" w:hAnsi="仿宋" w:eastAsia="仿宋"/>
          <w:color w:val="auto"/>
          <w:sz w:val="32"/>
          <w:szCs w:val="32"/>
          <w:highlight w:val="none"/>
        </w:rPr>
        <w:t>、办公设备购置</w:t>
      </w:r>
      <w:r>
        <w:rPr>
          <w:rFonts w:hint="eastAsia" w:ascii="仿宋" w:hAnsi="仿宋" w:eastAsia="仿宋"/>
          <w:color w:val="auto"/>
          <w:sz w:val="32"/>
          <w:szCs w:val="32"/>
          <w:highlight w:val="none"/>
          <w:lang w:val="en-US" w:eastAsia="zh-CN"/>
        </w:rPr>
        <w:t>9.65万元</w:t>
      </w:r>
      <w:r>
        <w:rPr>
          <w:rFonts w:hint="eastAsia" w:ascii="仿宋" w:hAnsi="仿宋" w:eastAsia="仿宋"/>
          <w:color w:val="auto"/>
          <w:sz w:val="32"/>
          <w:szCs w:val="32"/>
          <w:highlight w:val="none"/>
        </w:rPr>
        <w:t>。</w:t>
      </w:r>
    </w:p>
    <w:p>
      <w:pPr>
        <w:spacing w:line="600" w:lineRule="exact"/>
        <w:ind w:firstLine="640"/>
        <w:outlineLvl w:val="1"/>
        <w:rPr>
          <w:rStyle w:val="25"/>
          <w:rFonts w:ascii="黑体" w:hAnsi="黑体" w:eastAsia="黑体"/>
          <w:b w:val="0"/>
          <w:color w:val="auto"/>
          <w:highlight w:val="none"/>
        </w:rPr>
      </w:pPr>
      <w:bookmarkStart w:id="36" w:name="_Toc15396609"/>
      <w:bookmarkStart w:id="37" w:name="_Toc15377215"/>
      <w:r>
        <w:rPr>
          <w:rFonts w:hint="eastAsia" w:ascii="黑体" w:eastAsia="黑体"/>
          <w:color w:val="auto"/>
          <w:sz w:val="32"/>
          <w:szCs w:val="32"/>
          <w:highlight w:val="none"/>
        </w:rPr>
        <w:t>七、</w:t>
      </w:r>
      <w:r>
        <w:rPr>
          <w:rStyle w:val="25"/>
          <w:rFonts w:hint="eastAsia" w:ascii="黑体" w:hAnsi="黑体" w:eastAsia="黑体"/>
          <w:b w:val="0"/>
          <w:color w:val="auto"/>
          <w:highlight w:val="none"/>
        </w:rPr>
        <w:t>财政拨款</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1.34</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减少0.46万元，下降25.56%。</w:t>
      </w:r>
      <w:r>
        <w:rPr>
          <w:rFonts w:hint="eastAsia" w:ascii="仿宋" w:hAnsi="仿宋" w:eastAsia="仿宋"/>
          <w:color w:val="auto"/>
          <w:sz w:val="32"/>
          <w:szCs w:val="32"/>
          <w:highlight w:val="none"/>
        </w:rPr>
        <w:t>决算数与预算数持平。</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1.34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仿宋" w:hAnsi="仿宋" w:eastAsia="仿宋"/>
          <w:color w:val="auto"/>
          <w:sz w:val="32"/>
          <w:szCs w:val="32"/>
          <w:highlight w:val="none"/>
        </w:rPr>
      </w:pPr>
      <w:r>
        <w:drawing>
          <wp:inline distT="0" distB="0" distL="114300" distR="114300">
            <wp:extent cx="4309110" cy="2348230"/>
            <wp:effectExtent l="4445" t="4445" r="14605" b="952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1.34</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0.46</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25.56</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三公经费支出总体规模按要求压减</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1.34</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68</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309</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1.34</w:t>
      </w:r>
      <w:r>
        <w:rPr>
          <w:rFonts w:hint="eastAsia" w:ascii="仿宋_GB2312" w:eastAsia="仿宋_GB2312"/>
          <w:color w:val="auto"/>
          <w:sz w:val="32"/>
          <w:szCs w:val="32"/>
          <w:highlight w:val="none"/>
        </w:rPr>
        <w:t>万元，具体内容包括：</w:t>
      </w:r>
      <w:r>
        <w:rPr>
          <w:rFonts w:hint="eastAsia" w:ascii="仿宋_GB2312" w:eastAsia="仿宋_GB2312"/>
          <w:sz w:val="32"/>
          <w:szCs w:val="32"/>
          <w:highlight w:val="none"/>
        </w:rPr>
        <w:t>上级专项资金检查0.</w:t>
      </w:r>
      <w:r>
        <w:rPr>
          <w:rFonts w:hint="eastAsia" w:ascii="仿宋_GB2312" w:eastAsia="仿宋_GB2312"/>
          <w:sz w:val="32"/>
          <w:szCs w:val="32"/>
          <w:highlight w:val="none"/>
          <w:lang w:val="en-US" w:eastAsia="zh-CN"/>
        </w:rPr>
        <w:t>49</w:t>
      </w:r>
      <w:r>
        <w:rPr>
          <w:rFonts w:hint="eastAsia" w:ascii="仿宋_GB2312" w:eastAsia="仿宋_GB2312"/>
          <w:sz w:val="32"/>
          <w:szCs w:val="32"/>
          <w:highlight w:val="none"/>
        </w:rPr>
        <w:t>万元、检查</w:t>
      </w:r>
      <w:r>
        <w:rPr>
          <w:rFonts w:hint="eastAsia" w:ascii="仿宋_GB2312" w:eastAsia="仿宋_GB2312"/>
          <w:sz w:val="32"/>
          <w:szCs w:val="32"/>
        </w:rPr>
        <w:t>指导业务0.</w:t>
      </w:r>
      <w:r>
        <w:rPr>
          <w:rFonts w:hint="eastAsia" w:ascii="仿宋_GB2312" w:eastAsia="仿宋_GB2312"/>
          <w:sz w:val="32"/>
          <w:szCs w:val="32"/>
          <w:lang w:val="en-US" w:eastAsia="zh-CN"/>
        </w:rPr>
        <w:t>27</w:t>
      </w:r>
      <w:r>
        <w:rPr>
          <w:rFonts w:hint="eastAsia" w:ascii="仿宋_GB2312" w:eastAsia="仿宋_GB2312"/>
          <w:sz w:val="32"/>
          <w:szCs w:val="32"/>
        </w:rPr>
        <w:t>万元、专题调研0.</w:t>
      </w:r>
      <w:r>
        <w:rPr>
          <w:rFonts w:hint="eastAsia" w:ascii="仿宋_GB2312" w:eastAsia="仿宋_GB2312"/>
          <w:sz w:val="32"/>
          <w:szCs w:val="32"/>
          <w:lang w:val="en-US" w:eastAsia="zh-CN"/>
        </w:rPr>
        <w:t>26</w:t>
      </w:r>
      <w:r>
        <w:rPr>
          <w:rFonts w:hint="eastAsia" w:ascii="仿宋_GB2312" w:eastAsia="仿宋_GB2312"/>
          <w:sz w:val="32"/>
          <w:szCs w:val="32"/>
        </w:rPr>
        <w:t>万元、交叉检查0.</w:t>
      </w:r>
      <w:r>
        <w:rPr>
          <w:rFonts w:hint="eastAsia" w:ascii="仿宋_GB2312" w:eastAsia="仿宋_GB2312"/>
          <w:sz w:val="32"/>
          <w:szCs w:val="32"/>
          <w:lang w:val="en-US" w:eastAsia="zh-CN"/>
        </w:rPr>
        <w:t>32</w:t>
      </w:r>
      <w:r>
        <w:rPr>
          <w:rFonts w:hint="eastAsia" w:ascii="仿宋_GB2312" w:eastAsia="仿宋_GB2312"/>
          <w:sz w:val="32"/>
          <w:szCs w:val="32"/>
        </w:rPr>
        <w:t>万元等</w:t>
      </w:r>
      <w:r>
        <w:rPr>
          <w:rFonts w:hint="eastAsia" w:ascii="仿宋_GB2312" w:eastAsia="仿宋_GB2312"/>
          <w:color w:val="auto"/>
          <w:sz w:val="32"/>
          <w:szCs w:val="32"/>
          <w:highlight w:val="none"/>
        </w:rPr>
        <w:t>。</w:t>
      </w:r>
    </w:p>
    <w:p>
      <w:pPr>
        <w:spacing w:line="600" w:lineRule="exact"/>
        <w:ind w:firstLine="643"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r>
        <w:rPr>
          <w:rFonts w:hint="eastAsia" w:ascii="仿宋_GB2312" w:eastAsia="仿宋_GB2312"/>
          <w:color w:val="auto"/>
          <w:sz w:val="32"/>
          <w:szCs w:val="32"/>
          <w:highlight w:val="none"/>
          <w:lang w:eastAsia="zh-CN"/>
        </w:rPr>
        <w:t>次（不包括陪同人员）</w:t>
      </w:r>
      <w:r>
        <w:rPr>
          <w:rFonts w:hint="eastAsia" w:ascii="仿宋_GB2312" w:eastAsia="仿宋_GB2312"/>
          <w:color w:val="auto"/>
          <w:sz w:val="32"/>
          <w:szCs w:val="32"/>
          <w:highlight w:val="none"/>
        </w:rPr>
        <w:t>，共计支出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Start w:id="40" w:name="_Toc15377218"/>
      <w:bookmarkStart w:id="41" w:name="_Toc15396610"/>
    </w:p>
    <w:p>
      <w:pPr>
        <w:spacing w:line="600" w:lineRule="exact"/>
        <w:ind w:firstLine="640"/>
        <w:outlineLvl w:val="1"/>
        <w:rPr>
          <w:rStyle w:val="25"/>
          <w:rFonts w:ascii="黑体" w:hAnsi="黑体" w:eastAsia="黑体"/>
          <w:color w:val="auto"/>
          <w:highlight w:val="none"/>
        </w:rPr>
      </w:pPr>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4"/>
        </w:numPr>
        <w:spacing w:line="600" w:lineRule="exact"/>
        <w:ind w:firstLine="640"/>
        <w:outlineLvl w:val="1"/>
        <w:rPr>
          <w:rStyle w:val="25"/>
          <w:rFonts w:ascii="黑体" w:hAnsi="黑体" w:eastAsia="黑体"/>
          <w:b w:val="0"/>
          <w:color w:val="auto"/>
          <w:highlight w:val="none"/>
        </w:rPr>
      </w:pPr>
      <w:bookmarkStart w:id="42" w:name="_Toc15396611"/>
      <w:bookmarkStart w:id="43" w:name="_Toc15377219"/>
      <w:r>
        <w:rPr>
          <w:rStyle w:val="25"/>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4"/>
        </w:numPr>
        <w:spacing w:line="600" w:lineRule="exact"/>
        <w:ind w:firstLine="640"/>
        <w:outlineLvl w:val="1"/>
        <w:rPr>
          <w:rStyle w:val="25"/>
          <w:rFonts w:hint="eastAsia" w:ascii="黑体" w:hAnsi="黑体" w:eastAsia="黑体"/>
          <w:b w:val="0"/>
          <w:color w:val="auto"/>
          <w:highlight w:val="none"/>
        </w:rPr>
      </w:pPr>
      <w:bookmarkStart w:id="44" w:name="_Toc15396612"/>
      <w:bookmarkStart w:id="45" w:name="_Toc15377221"/>
      <w:r>
        <w:rPr>
          <w:rStyle w:val="25"/>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大竹</w:t>
      </w:r>
      <w:bookmarkStart w:id="67" w:name="_GoBack"/>
      <w:bookmarkEnd w:id="67"/>
      <w:r>
        <w:rPr>
          <w:rFonts w:hint="eastAsia" w:ascii="仿宋_GB2312" w:eastAsia="仿宋_GB2312"/>
          <w:color w:val="auto"/>
          <w:sz w:val="32"/>
          <w:szCs w:val="32"/>
          <w:highlight w:val="none"/>
          <w:lang w:eastAsia="zh-CN"/>
        </w:rPr>
        <w:t>县财政局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851.1</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375.57</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78.8</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主要原因是增加一体化上线相关支出</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大竹县财政局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ascii="仿宋" w:hAnsi="仿宋" w:eastAsia="仿宋"/>
          <w:b/>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大竹县财政局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根据预算绩效管理要求，本单位在202</w:t>
      </w:r>
      <w:r>
        <w:rPr>
          <w:rFonts w:hint="eastAsia"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hAnsi="仿宋_GB2312" w:cs="仿宋_GB2312"/>
          <w:color w:val="auto"/>
          <w:sz w:val="32"/>
          <w:szCs w:val="32"/>
          <w:highlight w:val="none"/>
          <w:lang w:eastAsia="zh-CN"/>
        </w:rPr>
        <w:t>资产清查</w:t>
      </w:r>
      <w:r>
        <w:rPr>
          <w:rFonts w:hint="eastAsia" w:ascii="仿宋_GB2312" w:hAnsi="仿宋_GB2312" w:eastAsia="仿宋_GB2312" w:cs="仿宋_GB2312"/>
          <w:color w:val="auto"/>
          <w:sz w:val="32"/>
          <w:szCs w:val="32"/>
          <w:highlight w:val="none"/>
        </w:rPr>
        <w:t>等</w:t>
      </w:r>
      <w:r>
        <w:rPr>
          <w:rFonts w:hint="eastAsia" w:hAnsi="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个项目开展了预算事前绩效评估，对</w:t>
      </w:r>
      <w:r>
        <w:rPr>
          <w:rFonts w:hint="eastAsia" w:hAnsi="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个项目编制了绩效目标，预算执行过程中，</w:t>
      </w:r>
      <w:r>
        <w:rPr>
          <w:rFonts w:hint="eastAsia" w:hAnsi="仿宋_GB2312" w:cs="仿宋_GB2312"/>
          <w:color w:val="auto"/>
          <w:sz w:val="32"/>
          <w:szCs w:val="32"/>
          <w:highlight w:val="none"/>
          <w:lang w:eastAsia="zh-CN"/>
        </w:rPr>
        <w:t>对</w:t>
      </w:r>
      <w:r>
        <w:rPr>
          <w:rFonts w:hint="eastAsia" w:hAnsi="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个项目开展绩效监控，组织对</w:t>
      </w:r>
      <w:r>
        <w:rPr>
          <w:rFonts w:hint="eastAsia" w:hAnsi="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个项目开展绩效自评，绩效自评表详见</w:t>
      </w:r>
      <w:r>
        <w:rPr>
          <w:rFonts w:hint="eastAsia" w:hAnsi="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附件。</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highlight w:val="none"/>
        </w:rPr>
      </w:pPr>
    </w:p>
    <w:p>
      <w:pPr>
        <w:pStyle w:val="5"/>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2"/>
          <w:szCs w:val="32"/>
          <w:highlight w:val="none"/>
        </w:rPr>
      </w:pPr>
    </w:p>
    <w:p>
      <w:pPr>
        <w:numPr>
          <w:ilvl w:val="0"/>
          <w:numId w:val="5"/>
        </w:numPr>
        <w:spacing w:line="600" w:lineRule="exact"/>
        <w:ind w:firstLine="660" w:firstLineChars="150"/>
        <w:jc w:val="center"/>
        <w:outlineLvl w:val="0"/>
        <w:rPr>
          <w:rFonts w:ascii="宋体"/>
          <w:b/>
          <w:color w:val="auto"/>
          <w:sz w:val="44"/>
          <w:szCs w:val="44"/>
          <w:highlight w:val="none"/>
        </w:rPr>
      </w:pPr>
      <w:bookmarkStart w:id="49" w:name="_Toc15396613"/>
      <w:bookmarkStart w:id="50" w:name="_Toc15377225"/>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49"/>
      <w:bookmarkEnd w:id="50"/>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2"/>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2"/>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2"/>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2"/>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年末结转和结余：指单位按有关规定结转到下年或以后年度继续使用的资金。</w:t>
      </w:r>
    </w:p>
    <w:p>
      <w:pPr>
        <w:pStyle w:val="22"/>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9.</w:t>
      </w:r>
      <w:r>
        <w:rPr>
          <w:rFonts w:hint="eastAsia" w:ascii="仿宋_GB2312" w:hAnsi="仿宋_GB2312" w:eastAsia="仿宋_GB2312" w:cs="仿宋_GB2312"/>
          <w:sz w:val="32"/>
          <w:szCs w:val="32"/>
          <w:highlight w:val="none"/>
        </w:rPr>
        <w:t>一般公共服务（</w:t>
      </w:r>
      <w:r>
        <w:rPr>
          <w:rFonts w:hint="eastAsia" w:ascii="仿宋_GB2312" w:hAnsi="仿宋_GB2312" w:eastAsia="仿宋_GB2312" w:cs="仿宋_GB2312"/>
          <w:sz w:val="32"/>
          <w:szCs w:val="32"/>
          <w:highlight w:val="none"/>
          <w:lang w:val="en-US" w:eastAsia="zh-CN"/>
        </w:rPr>
        <w:t>201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政府</w:t>
      </w:r>
      <w:r>
        <w:rPr>
          <w:rFonts w:hint="eastAsia" w:ascii="仿宋_GB2312" w:hAnsi="仿宋_GB2312" w:eastAsia="仿宋_GB2312" w:cs="仿宋_GB2312"/>
          <w:sz w:val="32"/>
          <w:szCs w:val="32"/>
          <w:lang w:eastAsia="zh-CN"/>
        </w:rPr>
        <w:t>办公厅（室）及相关机构事务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03</w:t>
      </w:r>
      <w:r>
        <w:rPr>
          <w:rFonts w:hint="eastAsia" w:ascii="仿宋_GB2312" w:hAnsi="仿宋_GB2312" w:eastAsia="仿宋_GB2312" w:cs="仿宋_GB2312"/>
          <w:sz w:val="32"/>
          <w:szCs w:val="32"/>
        </w:rPr>
        <w:t>）行政运行（</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反映各级政府办公厅（室）及相关机构的支出。</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.一般公共服务（</w:t>
      </w:r>
      <w:r>
        <w:rPr>
          <w:rFonts w:hint="eastAsia"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rPr>
        <w:t>）财政事务（</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）行政运行（</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 指本单位在职职工人员经费、公用经费开支。</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.一般公共服务（</w:t>
      </w:r>
      <w:r>
        <w:rPr>
          <w:rFonts w:hint="eastAsia"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rPr>
        <w:t>）财政事务（</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）一般行政管理事务（</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 指本单位发生未单独设置项级科目的其他支出。</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highlight w:val="none"/>
        </w:rPr>
        <w:t>一般公共服务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rPr>
        <w:t>）财政事务（</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事业运行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反映事业单位的基本支出。</w:t>
      </w:r>
      <w:r>
        <w:rPr>
          <w:rFonts w:hint="eastAsia" w:ascii="仿宋_GB2312" w:hAnsi="仿宋_GB2312" w:eastAsia="仿宋_GB2312" w:cs="仿宋_GB2312"/>
          <w:sz w:val="32"/>
          <w:szCs w:val="32"/>
        </w:rPr>
        <w:t xml:space="preserve"> </w:t>
      </w:r>
    </w:p>
    <w:p>
      <w:pPr>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一般公共服务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rPr>
        <w:t>）财政事务（</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其他财政事务支出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反映其他财政事务方面的支出。</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.一般公共服务（</w:t>
      </w:r>
      <w:r>
        <w:rPr>
          <w:rFonts w:hint="eastAsia" w:ascii="仿宋_GB2312" w:hAnsi="仿宋_GB2312" w:eastAsia="仿宋_GB2312" w:cs="仿宋_GB2312"/>
          <w:sz w:val="32"/>
          <w:szCs w:val="32"/>
          <w:lang w:val="en-US" w:eastAsia="zh-CN"/>
        </w:rPr>
        <w:t>201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纪检监察事务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派驻派出机构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纪检监察部门派驻本单位的纪检监察人员的专项业务支出</w:t>
      </w:r>
      <w:r>
        <w:rPr>
          <w:rFonts w:hint="eastAsia" w:ascii="仿宋_GB2312" w:hAnsi="仿宋_GB2312" w:eastAsia="仿宋_GB2312" w:cs="仿宋_GB2312"/>
          <w:sz w:val="32"/>
          <w:szCs w:val="32"/>
        </w:rPr>
        <w:t>。</w:t>
      </w:r>
    </w:p>
    <w:p>
      <w:pPr>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highlight w:val="none"/>
        </w:rPr>
        <w:t>社会保障和就业</w:t>
      </w:r>
      <w:r>
        <w:rPr>
          <w:rFonts w:hint="eastAsia" w:ascii="仿宋_GB2312" w:hAnsi="仿宋_GB2312" w:eastAsia="仿宋_GB2312" w:cs="仿宋_GB2312"/>
          <w:sz w:val="32"/>
          <w:szCs w:val="32"/>
        </w:rPr>
        <w:t>（208）</w:t>
      </w:r>
      <w:r>
        <w:rPr>
          <w:rFonts w:hint="eastAsia" w:ascii="仿宋_GB2312" w:hAnsi="仿宋_GB2312" w:eastAsia="仿宋_GB2312" w:cs="仿宋_GB2312"/>
          <w:sz w:val="32"/>
          <w:szCs w:val="32"/>
          <w:lang w:eastAsia="zh-CN"/>
        </w:rPr>
        <w:t>人力资源和社会保障管理事务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其他人力资源和社会保障管理事务支出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其他用于人力资源和社会保障管理事务方面的支出。</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.社会保障和就业（208）行政事业单位离退休（05）</w:t>
      </w:r>
      <w:r>
        <w:rPr>
          <w:rFonts w:hint="eastAsia" w:ascii="仿宋_GB2312" w:hAnsi="仿宋_GB2312" w:eastAsia="仿宋_GB2312" w:cs="仿宋_GB2312"/>
          <w:sz w:val="32"/>
          <w:szCs w:val="32"/>
          <w:lang w:eastAsia="zh-CN"/>
        </w:rPr>
        <w:t>机关事业单位基本养老保险缴费支出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机关事业单位实施养老保险制度由单位缴纳的基本养老保险费支出</w:t>
      </w:r>
      <w:r>
        <w:rPr>
          <w:rFonts w:hint="eastAsia" w:ascii="仿宋_GB2312" w:hAnsi="仿宋_GB2312" w:eastAsia="仿宋_GB2312" w:cs="仿宋_GB2312"/>
          <w:sz w:val="32"/>
          <w:szCs w:val="32"/>
        </w:rPr>
        <w:t>。</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社会保障和就业（208）行政事业单位离退休（05）</w:t>
      </w:r>
      <w:r>
        <w:rPr>
          <w:rFonts w:hint="eastAsia" w:ascii="仿宋_GB2312" w:hAnsi="仿宋_GB2312" w:eastAsia="仿宋_GB2312" w:cs="仿宋_GB2312"/>
          <w:sz w:val="32"/>
          <w:szCs w:val="32"/>
          <w:lang w:eastAsia="zh-CN"/>
        </w:rPr>
        <w:t>机关事业单位职业年金缴费支出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机关事业单位实施养老保险制度由单位实际缴纳的职业年金支出</w:t>
      </w:r>
      <w:r>
        <w:rPr>
          <w:rFonts w:hint="eastAsia" w:ascii="仿宋_GB2312" w:hAnsi="仿宋_GB2312" w:eastAsia="仿宋_GB2312" w:cs="仿宋_GB2312"/>
          <w:sz w:val="32"/>
          <w:szCs w:val="32"/>
        </w:rPr>
        <w:t>。</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社会保障和就业（208）行政事业单位</w:t>
      </w:r>
      <w:r>
        <w:rPr>
          <w:rFonts w:hint="eastAsia" w:ascii="仿宋_GB2312" w:hAnsi="仿宋_GB2312" w:eastAsia="仿宋_GB2312" w:cs="仿宋_GB2312"/>
          <w:sz w:val="32"/>
          <w:szCs w:val="32"/>
          <w:lang w:eastAsia="zh-CN"/>
        </w:rPr>
        <w:t>养老支出</w:t>
      </w:r>
      <w:r>
        <w:rPr>
          <w:rFonts w:hint="eastAsia" w:ascii="仿宋_GB2312" w:hAnsi="仿宋_GB2312" w:eastAsia="仿宋_GB2312" w:cs="仿宋_GB2312"/>
          <w:sz w:val="32"/>
          <w:szCs w:val="32"/>
        </w:rPr>
        <w:t>（05）</w:t>
      </w:r>
      <w:r>
        <w:rPr>
          <w:rFonts w:hint="eastAsia" w:ascii="仿宋_GB2312" w:hAnsi="仿宋_GB2312" w:eastAsia="仿宋_GB2312" w:cs="仿宋_GB2312"/>
          <w:sz w:val="32"/>
          <w:szCs w:val="32"/>
          <w:lang w:eastAsia="zh-CN"/>
        </w:rPr>
        <w:t>其他行政事业单位养老支出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w:t>
      </w:r>
    </w:p>
    <w:p>
      <w:pPr>
        <w:spacing w:line="600" w:lineRule="exac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社会保障和就业（208）</w:t>
      </w:r>
      <w:r>
        <w:rPr>
          <w:rFonts w:hint="eastAsia" w:ascii="仿宋_GB2312" w:hAnsi="仿宋_GB2312" w:eastAsia="仿宋_GB2312" w:cs="仿宋_GB2312"/>
          <w:sz w:val="32"/>
          <w:szCs w:val="32"/>
          <w:lang w:eastAsia="zh-CN"/>
        </w:rPr>
        <w:t>抚恤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死亡抚恤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按规定用于牺牲、病故人员家属的一次性和定期抚恤金以及丧葬补助费</w:t>
      </w:r>
      <w:r>
        <w:rPr>
          <w:rFonts w:hint="eastAsia" w:ascii="仿宋_GB2312" w:hAnsi="仿宋_GB2312" w:eastAsia="仿宋_GB2312" w:cs="仿宋_GB2312"/>
          <w:sz w:val="32"/>
          <w:szCs w:val="32"/>
        </w:rPr>
        <w:t>。</w:t>
      </w:r>
    </w:p>
    <w:p>
      <w:pPr>
        <w:spacing w:line="60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卫生健康（</w:t>
      </w:r>
      <w:r>
        <w:rPr>
          <w:rFonts w:hint="eastAsia" w:ascii="仿宋_GB2312" w:hAnsi="仿宋_GB2312" w:eastAsia="仿宋_GB2312" w:cs="仿宋_GB2312"/>
          <w:sz w:val="32"/>
          <w:szCs w:val="32"/>
          <w:lang w:val="en-US" w:eastAsia="zh-CN"/>
        </w:rPr>
        <w:t>210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行政事业单位医疗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行政单位医疗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财政部门集中安排的行政单位基本医疗保险缴费经费。</w:t>
      </w:r>
    </w:p>
    <w:p>
      <w:pPr>
        <w:spacing w:line="60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卫生健康（</w:t>
      </w:r>
      <w:r>
        <w:rPr>
          <w:rFonts w:hint="eastAsia" w:ascii="仿宋_GB2312" w:hAnsi="仿宋_GB2312" w:eastAsia="仿宋_GB2312" w:cs="仿宋_GB2312"/>
          <w:sz w:val="32"/>
          <w:szCs w:val="32"/>
          <w:lang w:val="en-US" w:eastAsia="zh-CN"/>
        </w:rPr>
        <w:t>210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行政事业单位医疗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事业单位医疗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财政部门集中安排的事业单位基本医疗保险缴费经费。</w:t>
      </w:r>
    </w:p>
    <w:p>
      <w:pPr>
        <w:spacing w:line="60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卫生健康（</w:t>
      </w:r>
      <w:r>
        <w:rPr>
          <w:rFonts w:hint="eastAsia" w:ascii="仿宋_GB2312" w:hAnsi="仿宋_GB2312" w:eastAsia="仿宋_GB2312" w:cs="仿宋_GB2312"/>
          <w:sz w:val="32"/>
          <w:szCs w:val="32"/>
          <w:lang w:val="en-US" w:eastAsia="zh-CN"/>
        </w:rPr>
        <w:t>210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行政事业单位医疗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公务员医疗补助</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财政部门集中安排的公务员医疗补助经费。</w:t>
      </w:r>
    </w:p>
    <w:p>
      <w:pPr>
        <w:spacing w:line="60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highlight w:val="none"/>
          <w:lang w:eastAsia="zh-CN"/>
        </w:rPr>
        <w:t>农林水支出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巩固脱贫衔接乡村振兴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其他巩固脱贫衔接乡村振兴支出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反映其他用于巩固拓展脱贫攻坚成果同乡村振兴有效衔接方面的支出。</w:t>
      </w:r>
    </w:p>
    <w:p>
      <w:pPr>
        <w:spacing w:line="600" w:lineRule="exact"/>
        <w:ind w:firstLine="640"/>
        <w:rPr>
          <w:rFonts w:ascii="仿宋" w:hAnsi="仿宋" w:eastAsia="仿宋"/>
          <w:b/>
          <w:color w:val="auto"/>
          <w:sz w:val="32"/>
          <w:szCs w:val="32"/>
          <w:highlight w:val="none"/>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.住房保障支出（</w:t>
      </w:r>
      <w:r>
        <w:rPr>
          <w:rFonts w:hint="eastAsia" w:ascii="仿宋_GB2312" w:hAnsi="仿宋_GB2312" w:eastAsia="仿宋_GB2312" w:cs="仿宋_GB2312"/>
          <w:sz w:val="32"/>
          <w:szCs w:val="32"/>
          <w:lang w:val="en-US" w:eastAsia="zh-CN"/>
        </w:rPr>
        <w:t>221</w:t>
      </w:r>
      <w:r>
        <w:rPr>
          <w:rFonts w:hint="eastAsia" w:ascii="仿宋_GB2312" w:hAnsi="仿宋_GB2312" w:eastAsia="仿宋_GB2312" w:cs="仿宋_GB2312"/>
          <w:sz w:val="32"/>
          <w:szCs w:val="32"/>
        </w:rPr>
        <w:t>）住房改革支出（</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）住房公积金（</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）：指本单位在职职工的住房公积金缴费。</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6</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7</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28</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eastAsia="仿宋_GB2312"/>
          <w:color w:val="auto"/>
          <w:sz w:val="32"/>
          <w:szCs w:val="32"/>
          <w:highlight w:val="none"/>
          <w:lang w:val="en-US" w:eastAsia="zh-CN"/>
        </w:rPr>
        <w:t>29</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51" w:name="_Toc15377226"/>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52"/>
    </w:p>
    <w:tbl>
      <w:tblPr>
        <w:tblStyle w:val="12"/>
        <w:tblW w:w="923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21"/>
        <w:gridCol w:w="103"/>
        <w:gridCol w:w="1293"/>
        <w:gridCol w:w="1205"/>
        <w:gridCol w:w="1446"/>
        <w:gridCol w:w="364"/>
        <w:gridCol w:w="1183"/>
        <w:gridCol w:w="397"/>
        <w:gridCol w:w="172"/>
        <w:gridCol w:w="695"/>
        <w:gridCol w:w="166"/>
        <w:gridCol w:w="188"/>
        <w:gridCol w:w="207"/>
        <w:gridCol w:w="351"/>
        <w:gridCol w:w="10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rPr>
        <w:tc>
          <w:tcPr>
            <w:tcW w:w="11602"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黑体" w:hAnsi="宋体" w:eastAsia="黑体" w:cs="黑体"/>
                <w:b/>
                <w:bCs/>
                <w:i w:val="0"/>
                <w:iCs w:val="0"/>
                <w:color w:val="000000"/>
                <w:sz w:val="30"/>
                <w:szCs w:val="30"/>
                <w:u w:val="none"/>
              </w:rPr>
            </w:pPr>
            <w:bookmarkStart w:id="53" w:name="_Toc15396618"/>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4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9139"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51172422T000005479614-网络平台建设及维护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4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0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大竹县财政局部门</w:t>
            </w:r>
          </w:p>
        </w:tc>
        <w:tc>
          <w:tcPr>
            <w:tcW w:w="982" w:type="dxa"/>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0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0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6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60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保证机关网络及各系统正常运转</w:t>
            </w:r>
          </w:p>
        </w:tc>
        <w:tc>
          <w:tcPr>
            <w:tcW w:w="30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保障了局机关网络安全；2022年度债务数据系统、金财网、农村三资系统、资产管理系统等日常维护及正常使用。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9139"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44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154.00</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77.90</w:t>
            </w:r>
          </w:p>
        </w:tc>
        <w:tc>
          <w:tcPr>
            <w:tcW w:w="244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77.90</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6"/>
                <w:szCs w:val="16"/>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154.00</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77.90</w:t>
            </w:r>
          </w:p>
        </w:tc>
        <w:tc>
          <w:tcPr>
            <w:tcW w:w="244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77.90</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44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44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1" w:hRule="atLeast"/>
        </w:trPr>
        <w:tc>
          <w:tcPr>
            <w:tcW w:w="6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iCs/>
                <w:color w:val="000000"/>
                <w:sz w:val="16"/>
                <w:szCs w:val="16"/>
                <w:u w:val="none"/>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iCs/>
                <w:color w:val="000000"/>
                <w:sz w:val="16"/>
                <w:szCs w:val="16"/>
                <w:u w:val="none"/>
              </w:rPr>
            </w:pPr>
          </w:p>
        </w:tc>
        <w:tc>
          <w:tcPr>
            <w:tcW w:w="244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iCs/>
                <w:color w:val="000000"/>
                <w:sz w:val="16"/>
                <w:szCs w:val="16"/>
                <w:u w:val="none"/>
              </w:rPr>
            </w:pP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iCs/>
                <w:color w:val="000000"/>
                <w:sz w:val="16"/>
                <w:szCs w:val="16"/>
                <w:u w:val="none"/>
              </w:rPr>
            </w:pPr>
          </w:p>
        </w:tc>
        <w:tc>
          <w:tcPr>
            <w:tcW w:w="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系统数量</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个（台、套、件、辆）</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iCs/>
                <w:color w:val="000000"/>
                <w:sz w:val="16"/>
                <w:szCs w:val="16"/>
                <w:u w:val="none"/>
              </w:rPr>
            </w:pPr>
          </w:p>
        </w:tc>
        <w:tc>
          <w:tcPr>
            <w:tcW w:w="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5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系统验收合格率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iCs/>
                <w:color w:val="000000"/>
                <w:sz w:val="16"/>
                <w:szCs w:val="16"/>
                <w:u w:val="none"/>
              </w:rPr>
            </w:pPr>
          </w:p>
        </w:tc>
        <w:tc>
          <w:tcPr>
            <w:tcW w:w="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5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系统故障率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iCs/>
                <w:color w:val="000000"/>
                <w:sz w:val="16"/>
                <w:szCs w:val="16"/>
                <w:u w:val="none"/>
              </w:rPr>
            </w:pPr>
          </w:p>
        </w:tc>
        <w:tc>
          <w:tcPr>
            <w:tcW w:w="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效果指标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系统使用率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iCs/>
                <w:color w:val="000000"/>
                <w:sz w:val="16"/>
                <w:szCs w:val="16"/>
                <w:u w:val="none"/>
              </w:rPr>
            </w:pPr>
          </w:p>
        </w:tc>
        <w:tc>
          <w:tcPr>
            <w:tcW w:w="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办公效率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iCs/>
                <w:color w:val="000000"/>
                <w:sz w:val="16"/>
                <w:szCs w:val="16"/>
                <w:u w:val="none"/>
              </w:rPr>
            </w:pPr>
          </w:p>
        </w:tc>
        <w:tc>
          <w:tcPr>
            <w:tcW w:w="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6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系统使用人员满意度</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iCs/>
                <w:color w:val="000000"/>
                <w:sz w:val="16"/>
                <w:szCs w:val="16"/>
                <w:u w:val="none"/>
              </w:rPr>
            </w:pPr>
          </w:p>
        </w:tc>
        <w:tc>
          <w:tcPr>
            <w:tcW w:w="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952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098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自评得分97分。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098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0986"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5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503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财务负责人：李小东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8" w:hRule="atLeast"/>
        </w:trPr>
        <w:tc>
          <w:tcPr>
            <w:tcW w:w="9230"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9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322"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51172422T000005489568-票据购置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trPr>
        <w:tc>
          <w:tcPr>
            <w:tcW w:w="19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6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大竹县财政局部门</w:t>
            </w:r>
          </w:p>
        </w:tc>
        <w:tc>
          <w:tcPr>
            <w:tcW w:w="965"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7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4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6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26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8" w:hRule="atLeast"/>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保障全年非税收入管理及票据购置等相关工作</w:t>
            </w:r>
          </w:p>
        </w:tc>
        <w:tc>
          <w:tcPr>
            <w:tcW w:w="26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保障了全年非税收入管理平台的正常使用。购买医疗票据、一般缴款书等票据。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322"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8" w:hRule="atLeast"/>
        </w:trPr>
        <w:tc>
          <w:tcPr>
            <w:tcW w:w="4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8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5.76</w:t>
            </w:r>
          </w:p>
        </w:tc>
        <w:tc>
          <w:tcPr>
            <w:tcW w:w="18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5.76</w:t>
            </w:r>
          </w:p>
        </w:tc>
        <w:tc>
          <w:tcPr>
            <w:tcW w:w="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5"/>
                <w:szCs w:val="15"/>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5.76</w:t>
            </w:r>
          </w:p>
        </w:tc>
        <w:tc>
          <w:tcPr>
            <w:tcW w:w="18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5.76</w:t>
            </w:r>
          </w:p>
        </w:tc>
        <w:tc>
          <w:tcPr>
            <w:tcW w:w="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8" w:hRule="atLeast"/>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8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8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8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4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系统数量</w:t>
            </w:r>
          </w:p>
        </w:tc>
        <w:tc>
          <w:tcPr>
            <w:tcW w:w="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全年票据购置数</w:t>
            </w:r>
          </w:p>
        </w:tc>
        <w:tc>
          <w:tcPr>
            <w:tcW w:w="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件</w:t>
            </w:r>
          </w:p>
        </w:tc>
        <w:tc>
          <w:tcPr>
            <w:tcW w:w="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完成工作时间</w:t>
            </w:r>
          </w:p>
        </w:tc>
        <w:tc>
          <w:tcPr>
            <w:tcW w:w="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2022.12</w:t>
            </w:r>
          </w:p>
        </w:tc>
        <w:tc>
          <w:tcPr>
            <w:tcW w:w="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票据购置单价</w:t>
            </w:r>
          </w:p>
        </w:tc>
        <w:tc>
          <w:tcPr>
            <w:tcW w:w="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w:t>
            </w:r>
          </w:p>
        </w:tc>
        <w:tc>
          <w:tcPr>
            <w:tcW w:w="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财政工作正常运行</w:t>
            </w:r>
          </w:p>
        </w:tc>
        <w:tc>
          <w:tcPr>
            <w:tcW w:w="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2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票据使用机构满意度</w:t>
            </w:r>
          </w:p>
        </w:tc>
        <w:tc>
          <w:tcPr>
            <w:tcW w:w="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系统使用工作人员满意度</w:t>
            </w:r>
          </w:p>
        </w:tc>
        <w:tc>
          <w:tcPr>
            <w:tcW w:w="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5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779"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自评得分97分。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779"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779"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502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21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财务负责人：李小东</w:t>
            </w:r>
          </w:p>
        </w:tc>
      </w:tr>
    </w:tbl>
    <w:p>
      <w:pPr>
        <w:pStyle w:val="5"/>
        <w:rPr>
          <w:rFonts w:hint="eastAsia" w:ascii="仿宋_GB2312" w:hAnsi="Calibri" w:eastAsia="仿宋_GB2312" w:cs="仿宋"/>
          <w:color w:val="auto"/>
          <w:kern w:val="0"/>
          <w:sz w:val="32"/>
          <w:szCs w:val="32"/>
          <w:highlight w:val="none"/>
          <w:lang w:val="en-US" w:eastAsia="zh-CN" w:bidi="ar-SA"/>
        </w:rPr>
      </w:pPr>
    </w:p>
    <w:tbl>
      <w:tblPr>
        <w:tblStyle w:val="12"/>
        <w:tblW w:w="92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7"/>
        <w:gridCol w:w="1390"/>
        <w:gridCol w:w="1074"/>
        <w:gridCol w:w="1428"/>
        <w:gridCol w:w="437"/>
        <w:gridCol w:w="1054"/>
        <w:gridCol w:w="437"/>
        <w:gridCol w:w="922"/>
        <w:gridCol w:w="486"/>
        <w:gridCol w:w="404"/>
        <w:gridCol w:w="1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923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24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51172422T000005489597-派驻纪检组工作经费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4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大竹县财政局部门</w:t>
            </w:r>
          </w:p>
        </w:tc>
        <w:tc>
          <w:tcPr>
            <w:tcW w:w="92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8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3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4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28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4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纪检工作经费保障</w:t>
            </w:r>
          </w:p>
        </w:tc>
        <w:tc>
          <w:tcPr>
            <w:tcW w:w="28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保障了2022年驻局纪检组日常工作经费。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24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19.96</w:t>
            </w:r>
          </w:p>
        </w:tc>
        <w:tc>
          <w:tcPr>
            <w:tcW w:w="1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19.96</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0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exact"/>
              <w:jc w:val="left"/>
              <w:textAlignment w:val="center"/>
              <w:rPr>
                <w:rFonts w:hint="eastAsia" w:ascii="黑体" w:hAnsi="黑体" w:eastAsia="黑体" w:cs="黑体"/>
                <w:i/>
                <w:iCs/>
                <w:color w:val="000000"/>
                <w:sz w:val="15"/>
                <w:szCs w:val="15"/>
                <w:u w:val="none"/>
              </w:rPr>
            </w:pPr>
            <w:r>
              <w:rPr>
                <w:rFonts w:hint="eastAsia" w:ascii="黑体" w:hAnsi="黑体" w:eastAsia="黑体" w:cs="黑体"/>
                <w:i/>
                <w:iCs/>
                <w:color w:val="000000"/>
                <w:kern w:val="0"/>
                <w:sz w:val="15"/>
                <w:szCs w:val="15"/>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19.96</w:t>
            </w:r>
          </w:p>
        </w:tc>
        <w:tc>
          <w:tcPr>
            <w:tcW w:w="1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19.96</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0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相关会议调研次数</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微软雅黑" w:hAnsi="微软雅黑" w:eastAsia="微软雅黑" w:cs="微软雅黑"/>
                <w:i/>
                <w:iCs/>
                <w:color w:val="000000"/>
                <w:sz w:val="16"/>
                <w:szCs w:val="16"/>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审查调查次数</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信访举报办结率</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微软雅黑" w:hAnsi="微软雅黑" w:eastAsia="微软雅黑" w:cs="微软雅黑"/>
                <w:i/>
                <w:iCs/>
                <w:color w:val="000000"/>
                <w:sz w:val="16"/>
                <w:szCs w:val="16"/>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立案案件办结率</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案件办理时限达标率</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办案人员被投诉次数</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iCs/>
                <w:color w:val="000000"/>
                <w:sz w:val="16"/>
                <w:szCs w:val="16"/>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3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6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自评得分99分。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6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6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9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30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财务负责人：李小东</w:t>
            </w:r>
          </w:p>
        </w:tc>
      </w:tr>
    </w:tbl>
    <w:p>
      <w:pPr>
        <w:pStyle w:val="5"/>
        <w:rPr>
          <w:rFonts w:hint="eastAsia" w:ascii="仿宋_GB2312" w:hAnsi="Calibri" w:eastAsia="仿宋_GB2312" w:cs="仿宋"/>
          <w:color w:val="auto"/>
          <w:kern w:val="0"/>
          <w:sz w:val="32"/>
          <w:szCs w:val="32"/>
          <w:highlight w:val="none"/>
          <w:lang w:val="en-US" w:eastAsia="zh-CN" w:bidi="ar-SA"/>
        </w:rPr>
      </w:pPr>
    </w:p>
    <w:tbl>
      <w:tblPr>
        <w:tblStyle w:val="12"/>
        <w:tblW w:w="92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8"/>
        <w:gridCol w:w="1270"/>
        <w:gridCol w:w="1175"/>
        <w:gridCol w:w="1416"/>
        <w:gridCol w:w="436"/>
        <w:gridCol w:w="1045"/>
        <w:gridCol w:w="436"/>
        <w:gridCol w:w="920"/>
        <w:gridCol w:w="486"/>
        <w:gridCol w:w="404"/>
        <w:gridCol w:w="10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160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913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51172422T000005489901-财政预算一体化系统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0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大竹县财政局部门</w:t>
            </w:r>
          </w:p>
        </w:tc>
        <w:tc>
          <w:tcPr>
            <w:tcW w:w="98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0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0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0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一体化系统日常运维及保障系统全年正常运行</w:t>
            </w:r>
          </w:p>
        </w:tc>
        <w:tc>
          <w:tcPr>
            <w:tcW w:w="3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保障了全县各单位（部门）预算一体化系统的正常使用及日常运维。为财政工作提质增效发挥重要作用。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913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w:t>
            </w:r>
          </w:p>
        </w:tc>
        <w:tc>
          <w:tcPr>
            <w:tcW w:w="2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60.00</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w:t>
            </w:r>
          </w:p>
        </w:tc>
        <w:tc>
          <w:tcPr>
            <w:tcW w:w="2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系统数量</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系统验收合格率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6"/>
                <w:szCs w:val="16"/>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系统故障修复处理时间</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小时</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6"/>
                <w:szCs w:val="16"/>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8"/>
                <w:szCs w:val="18"/>
                <w:u w:val="none"/>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系统运行维护响应时间</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分钟</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6"/>
                <w:szCs w:val="16"/>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系统正常使用年限</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6"/>
                <w:szCs w:val="16"/>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一体化系统使用人员满意度</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6"/>
                <w:szCs w:val="16"/>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52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94</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09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自评得分94分。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09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09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5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50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财务负责人：李小东</w:t>
            </w:r>
          </w:p>
        </w:tc>
      </w:tr>
    </w:tbl>
    <w:p>
      <w:pPr>
        <w:pStyle w:val="5"/>
        <w:rPr>
          <w:rFonts w:hint="eastAsia" w:ascii="仿宋_GB2312" w:hAnsi="Calibri" w:eastAsia="仿宋_GB2312" w:cs="仿宋"/>
          <w:color w:val="auto"/>
          <w:kern w:val="0"/>
          <w:sz w:val="32"/>
          <w:szCs w:val="32"/>
          <w:highlight w:val="none"/>
          <w:lang w:val="en-US" w:eastAsia="zh-CN" w:bidi="ar-SA"/>
        </w:rPr>
      </w:pPr>
    </w:p>
    <w:tbl>
      <w:tblPr>
        <w:tblStyle w:val="12"/>
        <w:tblW w:w="93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
        <w:gridCol w:w="489"/>
        <w:gridCol w:w="50"/>
        <w:gridCol w:w="1191"/>
        <w:gridCol w:w="197"/>
        <w:gridCol w:w="957"/>
        <w:gridCol w:w="260"/>
        <w:gridCol w:w="1124"/>
        <w:gridCol w:w="434"/>
        <w:gridCol w:w="18"/>
        <w:gridCol w:w="382"/>
        <w:gridCol w:w="793"/>
        <w:gridCol w:w="334"/>
        <w:gridCol w:w="100"/>
        <w:gridCol w:w="158"/>
        <w:gridCol w:w="759"/>
        <w:gridCol w:w="241"/>
        <w:gridCol w:w="245"/>
        <w:gridCol w:w="156"/>
        <w:gridCol w:w="247"/>
        <w:gridCol w:w="95"/>
        <w:gridCol w:w="892"/>
        <w:gridCol w:w="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08" w:type="dxa"/>
          <w:trHeight w:val="904" w:hRule="atLeast"/>
        </w:trPr>
        <w:tc>
          <w:tcPr>
            <w:tcW w:w="9230"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8" w:type="dxa"/>
          <w:trHeight w:val="286" w:hRule="atLeast"/>
        </w:trPr>
        <w:tc>
          <w:tcPr>
            <w:tcW w:w="18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392"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51172422T000005490060-办公设备购置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8" w:type="dxa"/>
          <w:trHeight w:val="512" w:hRule="atLeast"/>
        </w:trPr>
        <w:tc>
          <w:tcPr>
            <w:tcW w:w="18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59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大竹县财政局部门</w:t>
            </w:r>
          </w:p>
        </w:tc>
        <w:tc>
          <w:tcPr>
            <w:tcW w:w="917"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87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8" w:type="dxa"/>
          <w:trHeight w:val="286" w:hRule="atLeast"/>
        </w:trPr>
        <w:tc>
          <w:tcPr>
            <w:tcW w:w="59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2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59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279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8" w:type="dxa"/>
          <w:trHeight w:val="566" w:hRule="atLeast"/>
        </w:trPr>
        <w:tc>
          <w:tcPr>
            <w:tcW w:w="5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rPr>
                <w:rFonts w:hint="eastAsia" w:ascii="宋体" w:hAnsi="宋体" w:eastAsia="宋体" w:cs="宋体"/>
                <w:i w:val="0"/>
                <w:iCs w:val="0"/>
                <w:color w:val="000000"/>
                <w:sz w:val="18"/>
                <w:szCs w:val="18"/>
                <w:u w:val="none"/>
              </w:rPr>
            </w:pPr>
          </w:p>
        </w:tc>
        <w:tc>
          <w:tcPr>
            <w:tcW w:w="459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保障一体化系统正常运行</w:t>
            </w:r>
          </w:p>
        </w:tc>
        <w:tc>
          <w:tcPr>
            <w:tcW w:w="279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2022年对一体化系统所需设备进行购置，保障了财政工作的正常开展。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8" w:type="dxa"/>
          <w:trHeight w:val="599" w:hRule="atLeast"/>
        </w:trPr>
        <w:tc>
          <w:tcPr>
            <w:tcW w:w="5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392"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8" w:type="dxa"/>
          <w:trHeight w:val="361" w:hRule="atLeast"/>
        </w:trPr>
        <w:tc>
          <w:tcPr>
            <w:tcW w:w="59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2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06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8" w:type="dxa"/>
          <w:trHeight w:val="387" w:hRule="atLeast"/>
        </w:trPr>
        <w:tc>
          <w:tcPr>
            <w:tcW w:w="5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32.89</w:t>
            </w:r>
          </w:p>
        </w:tc>
        <w:tc>
          <w:tcPr>
            <w:tcW w:w="206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32.89</w:t>
            </w: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8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5"/>
                <w:szCs w:val="15"/>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8" w:type="dxa"/>
          <w:trHeight w:val="432" w:hRule="atLeast"/>
        </w:trPr>
        <w:tc>
          <w:tcPr>
            <w:tcW w:w="5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32.89</w:t>
            </w:r>
          </w:p>
        </w:tc>
        <w:tc>
          <w:tcPr>
            <w:tcW w:w="206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32.89</w:t>
            </w: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8" w:type="dxa"/>
          <w:trHeight w:val="447" w:hRule="atLeast"/>
        </w:trPr>
        <w:tc>
          <w:tcPr>
            <w:tcW w:w="5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6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8" w:type="dxa"/>
          <w:trHeight w:val="402" w:hRule="atLeast"/>
        </w:trPr>
        <w:tc>
          <w:tcPr>
            <w:tcW w:w="5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6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8" w:type="dxa"/>
          <w:trHeight w:val="601" w:hRule="atLeast"/>
        </w:trPr>
        <w:tc>
          <w:tcPr>
            <w:tcW w:w="5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6"/>
                <w:szCs w:val="16"/>
                <w:u w:val="none"/>
              </w:rPr>
            </w:pP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6"/>
                <w:szCs w:val="16"/>
                <w:u w:val="none"/>
              </w:rPr>
            </w:pPr>
          </w:p>
        </w:tc>
        <w:tc>
          <w:tcPr>
            <w:tcW w:w="206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6"/>
                <w:szCs w:val="16"/>
                <w:u w:val="none"/>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6"/>
                <w:szCs w:val="16"/>
                <w:u w:val="none"/>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8" w:type="dxa"/>
          <w:trHeight w:val="452" w:hRule="atLeast"/>
        </w:trPr>
        <w:tc>
          <w:tcPr>
            <w:tcW w:w="59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2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1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8" w:type="dxa"/>
          <w:trHeight w:val="452" w:hRule="atLeast"/>
        </w:trPr>
        <w:tc>
          <w:tcPr>
            <w:tcW w:w="5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购置一体化所需办公设备</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w:t>
            </w:r>
          </w:p>
        </w:tc>
        <w:tc>
          <w:tcPr>
            <w:tcW w:w="4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台/套</w:t>
            </w: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微软雅黑" w:hAnsi="微软雅黑" w:eastAsia="微软雅黑" w:cs="微软雅黑"/>
                <w:i/>
                <w:iCs/>
                <w:color w:val="000000"/>
                <w:sz w:val="16"/>
                <w:szCs w:val="16"/>
                <w:u w:val="none"/>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w:t>
            </w: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8" w:type="dxa"/>
          <w:trHeight w:val="339" w:hRule="atLeast"/>
        </w:trPr>
        <w:tc>
          <w:tcPr>
            <w:tcW w:w="5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设备质量合格率</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微软雅黑" w:hAnsi="微软雅黑" w:eastAsia="微软雅黑" w:cs="微软雅黑"/>
                <w:i/>
                <w:iCs/>
                <w:color w:val="000000"/>
                <w:sz w:val="16"/>
                <w:szCs w:val="16"/>
                <w:u w:val="none"/>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8" w:type="dxa"/>
          <w:trHeight w:val="339" w:hRule="atLeast"/>
        </w:trPr>
        <w:tc>
          <w:tcPr>
            <w:tcW w:w="5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设备故障率</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w:t>
            </w:r>
          </w:p>
        </w:tc>
        <w:tc>
          <w:tcPr>
            <w:tcW w:w="4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8" w:type="dxa"/>
          <w:trHeight w:val="339" w:hRule="atLeast"/>
        </w:trPr>
        <w:tc>
          <w:tcPr>
            <w:tcW w:w="5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完成时间</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2022.12</w:t>
            </w:r>
          </w:p>
        </w:tc>
        <w:tc>
          <w:tcPr>
            <w:tcW w:w="4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8" w:type="dxa"/>
          <w:trHeight w:val="339" w:hRule="atLeast"/>
        </w:trPr>
        <w:tc>
          <w:tcPr>
            <w:tcW w:w="5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设备利用率</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微软雅黑" w:hAnsi="微软雅黑" w:eastAsia="微软雅黑" w:cs="微软雅黑"/>
                <w:i/>
                <w:iCs/>
                <w:color w:val="000000"/>
                <w:sz w:val="16"/>
                <w:szCs w:val="16"/>
                <w:u w:val="none"/>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8" w:type="dxa"/>
          <w:trHeight w:val="452" w:hRule="atLeast"/>
        </w:trPr>
        <w:tc>
          <w:tcPr>
            <w:tcW w:w="5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使用人员满意度</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微软雅黑" w:hAnsi="微软雅黑" w:eastAsia="微软雅黑" w:cs="微软雅黑"/>
                <w:i/>
                <w:iCs/>
                <w:color w:val="000000"/>
                <w:sz w:val="16"/>
                <w:szCs w:val="16"/>
                <w:u w:val="none"/>
              </w:rPr>
            </w:pP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8" w:type="dxa"/>
          <w:trHeight w:val="286" w:hRule="atLeast"/>
        </w:trPr>
        <w:tc>
          <w:tcPr>
            <w:tcW w:w="7354"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w:t>
            </w:r>
          </w:p>
        </w:tc>
        <w:tc>
          <w:tcPr>
            <w:tcW w:w="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8" w:type="dxa"/>
          <w:trHeight w:val="603" w:hRule="atLeast"/>
        </w:trPr>
        <w:tc>
          <w:tcPr>
            <w:tcW w:w="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633"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自评得分97分。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8" w:type="dxa"/>
          <w:trHeight w:val="572" w:hRule="atLeast"/>
        </w:trPr>
        <w:tc>
          <w:tcPr>
            <w:tcW w:w="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633"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8" w:type="dxa"/>
          <w:trHeight w:val="633" w:hRule="atLeast"/>
        </w:trPr>
        <w:tc>
          <w:tcPr>
            <w:tcW w:w="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633"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8" w:type="dxa"/>
          <w:trHeight w:val="286" w:hRule="atLeast"/>
        </w:trPr>
        <w:tc>
          <w:tcPr>
            <w:tcW w:w="481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42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财务负责人：李小东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08" w:type="dxa"/>
          <w:trHeight w:val="726" w:hRule="atLeast"/>
        </w:trPr>
        <w:tc>
          <w:tcPr>
            <w:tcW w:w="9230"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08" w:type="dxa"/>
          <w:trHeight w:val="266" w:hRule="atLeast"/>
        </w:trPr>
        <w:tc>
          <w:tcPr>
            <w:tcW w:w="19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303"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51172422T000006517499-项目预算控制价评审经费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08" w:type="dxa"/>
          <w:trHeight w:val="512" w:hRule="atLeast"/>
        </w:trPr>
        <w:tc>
          <w:tcPr>
            <w:tcW w:w="19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56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大竹县财政局部门</w:t>
            </w:r>
          </w:p>
        </w:tc>
        <w:tc>
          <w:tcPr>
            <w:tcW w:w="1000"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74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08" w:type="dxa"/>
          <w:trHeight w:val="286" w:hRule="atLeast"/>
        </w:trPr>
        <w:tc>
          <w:tcPr>
            <w:tcW w:w="5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3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56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27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08" w:type="dxa"/>
          <w:trHeight w:val="720" w:hRule="atLeast"/>
        </w:trPr>
        <w:tc>
          <w:tcPr>
            <w:tcW w:w="5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56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按照业务股室送审要求及资料完成预算评审及结算审核项目。</w:t>
            </w:r>
          </w:p>
        </w:tc>
        <w:tc>
          <w:tcPr>
            <w:tcW w:w="27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中介机构完成预算评审工作共计64个项目，送审金额为41077.31万元，审定金额为38449.31万元，审减金额为2631.17万元，审减率为6.40%；中介机构完成竣工结算审核项目共计147个项目，送审总金额24315.60万元，审定总金额22851.51万元。审减率为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08" w:type="dxa"/>
          <w:trHeight w:val="395" w:hRule="atLeast"/>
        </w:trPr>
        <w:tc>
          <w:tcPr>
            <w:tcW w:w="5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303"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08" w:type="dxa"/>
          <w:trHeight w:val="361" w:hRule="atLeast"/>
        </w:trPr>
        <w:tc>
          <w:tcPr>
            <w:tcW w:w="5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5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7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08" w:type="dxa"/>
          <w:trHeight w:val="387" w:hRule="atLeast"/>
        </w:trPr>
        <w:tc>
          <w:tcPr>
            <w:tcW w:w="5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288.17</w:t>
            </w:r>
          </w:p>
        </w:tc>
        <w:tc>
          <w:tcPr>
            <w:tcW w:w="17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288.17</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0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5"/>
                <w:szCs w:val="15"/>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08" w:type="dxa"/>
          <w:trHeight w:val="432" w:hRule="atLeast"/>
        </w:trPr>
        <w:tc>
          <w:tcPr>
            <w:tcW w:w="5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288.17</w:t>
            </w:r>
          </w:p>
        </w:tc>
        <w:tc>
          <w:tcPr>
            <w:tcW w:w="17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288.17</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08" w:type="dxa"/>
          <w:trHeight w:val="447" w:hRule="atLeast"/>
        </w:trPr>
        <w:tc>
          <w:tcPr>
            <w:tcW w:w="5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7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08" w:type="dxa"/>
          <w:trHeight w:val="402" w:hRule="atLeast"/>
        </w:trPr>
        <w:tc>
          <w:tcPr>
            <w:tcW w:w="5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7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08" w:type="dxa"/>
          <w:trHeight w:val="379" w:hRule="atLeast"/>
        </w:trPr>
        <w:tc>
          <w:tcPr>
            <w:tcW w:w="5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08" w:type="dxa"/>
          <w:trHeight w:val="452" w:hRule="atLeast"/>
        </w:trPr>
        <w:tc>
          <w:tcPr>
            <w:tcW w:w="5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5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2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08" w:type="dxa"/>
          <w:trHeight w:val="452" w:hRule="atLeast"/>
        </w:trPr>
        <w:tc>
          <w:tcPr>
            <w:tcW w:w="5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5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每年完成项目评审报告</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w:t>
            </w:r>
          </w:p>
        </w:tc>
        <w:tc>
          <w:tcPr>
            <w:tcW w:w="2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18"/>
                <w:szCs w:val="18"/>
                <w:u w:val="none"/>
              </w:rPr>
            </w:pPr>
          </w:p>
        </w:tc>
        <w:tc>
          <w:tcPr>
            <w:tcW w:w="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08" w:type="dxa"/>
          <w:trHeight w:val="452" w:hRule="atLeast"/>
        </w:trPr>
        <w:tc>
          <w:tcPr>
            <w:tcW w:w="5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5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项目评审报告报送时限</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2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18"/>
                <w:szCs w:val="18"/>
                <w:u w:val="none"/>
              </w:rPr>
            </w:pPr>
          </w:p>
        </w:tc>
        <w:tc>
          <w:tcPr>
            <w:tcW w:w="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08" w:type="dxa"/>
          <w:trHeight w:val="452" w:hRule="atLeast"/>
        </w:trPr>
        <w:tc>
          <w:tcPr>
            <w:tcW w:w="5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5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评审报告质量</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2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8"/>
                <w:szCs w:val="18"/>
                <w:u w:val="none"/>
              </w:rPr>
            </w:pP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8"/>
                <w:szCs w:val="18"/>
                <w:u w:val="none"/>
              </w:rPr>
            </w:pPr>
          </w:p>
        </w:tc>
        <w:tc>
          <w:tcPr>
            <w:tcW w:w="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08" w:type="dxa"/>
          <w:trHeight w:val="452" w:hRule="atLeast"/>
        </w:trPr>
        <w:tc>
          <w:tcPr>
            <w:tcW w:w="5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15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办公效率</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2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8"/>
                <w:szCs w:val="18"/>
                <w:u w:val="none"/>
              </w:rPr>
            </w:pP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8"/>
                <w:szCs w:val="18"/>
                <w:u w:val="none"/>
              </w:rPr>
            </w:pPr>
          </w:p>
        </w:tc>
        <w:tc>
          <w:tcPr>
            <w:tcW w:w="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08" w:type="dxa"/>
          <w:trHeight w:val="452" w:hRule="atLeast"/>
        </w:trPr>
        <w:tc>
          <w:tcPr>
            <w:tcW w:w="5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5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提升项目资金利用率</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高中低</w:t>
            </w:r>
          </w:p>
        </w:tc>
        <w:tc>
          <w:tcPr>
            <w:tcW w:w="2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8"/>
                <w:szCs w:val="18"/>
                <w:u w:val="none"/>
              </w:rPr>
            </w:pP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8"/>
                <w:szCs w:val="18"/>
                <w:u w:val="none"/>
              </w:rPr>
            </w:pPr>
          </w:p>
        </w:tc>
        <w:tc>
          <w:tcPr>
            <w:tcW w:w="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08" w:type="dxa"/>
          <w:trHeight w:val="339" w:hRule="atLeast"/>
        </w:trPr>
        <w:tc>
          <w:tcPr>
            <w:tcW w:w="5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2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5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财政工作人员满意度</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2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6"/>
                <w:szCs w:val="16"/>
                <w:u w:val="none"/>
              </w:rPr>
            </w:pPr>
          </w:p>
        </w:tc>
        <w:tc>
          <w:tcPr>
            <w:tcW w:w="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08" w:type="dxa"/>
          <w:trHeight w:val="286" w:hRule="atLeast"/>
        </w:trPr>
        <w:tc>
          <w:tcPr>
            <w:tcW w:w="7487"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92</w:t>
            </w:r>
          </w:p>
        </w:tc>
        <w:tc>
          <w:tcPr>
            <w:tcW w:w="1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08" w:type="dxa"/>
          <w:trHeight w:val="341" w:hRule="atLeast"/>
        </w:trPr>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691"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自评得分92分。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08" w:type="dxa"/>
          <w:trHeight w:val="502" w:hRule="atLeast"/>
        </w:trPr>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691"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08" w:type="dxa"/>
          <w:trHeight w:val="633" w:hRule="atLeast"/>
        </w:trPr>
        <w:tc>
          <w:tcPr>
            <w:tcW w:w="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691"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08" w:type="dxa"/>
          <w:trHeight w:val="286" w:hRule="atLeast"/>
        </w:trPr>
        <w:tc>
          <w:tcPr>
            <w:tcW w:w="510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128"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财务负责人：李小东</w:t>
            </w:r>
          </w:p>
        </w:tc>
      </w:tr>
    </w:tbl>
    <w:p>
      <w:pPr>
        <w:pStyle w:val="5"/>
        <w:rPr>
          <w:rFonts w:hint="eastAsia" w:ascii="仿宋_GB2312" w:hAnsi="Calibri" w:eastAsia="仿宋_GB2312" w:cs="仿宋"/>
          <w:color w:val="auto"/>
          <w:kern w:val="0"/>
          <w:sz w:val="32"/>
          <w:szCs w:val="32"/>
          <w:highlight w:val="none"/>
          <w:lang w:val="en-US" w:eastAsia="zh-CN" w:bidi="ar-SA"/>
        </w:rPr>
      </w:pPr>
    </w:p>
    <w:tbl>
      <w:tblPr>
        <w:tblStyle w:val="12"/>
        <w:tblW w:w="92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37"/>
        <w:gridCol w:w="1376"/>
        <w:gridCol w:w="1207"/>
        <w:gridCol w:w="1535"/>
        <w:gridCol w:w="380"/>
        <w:gridCol w:w="1175"/>
        <w:gridCol w:w="380"/>
        <w:gridCol w:w="873"/>
        <w:gridCol w:w="399"/>
        <w:gridCol w:w="340"/>
        <w:gridCol w:w="1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4" w:hRule="atLeast"/>
        </w:trPr>
        <w:tc>
          <w:tcPr>
            <w:tcW w:w="1160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913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51172422T000006622344-资产清查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0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大竹县财政局部门</w:t>
            </w:r>
          </w:p>
        </w:tc>
        <w:tc>
          <w:tcPr>
            <w:tcW w:w="98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0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0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0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为进一步加强我县行政事业单位资产管理，全面摸清“家底”，完整反映全县行政事业单位资产状况和财务状况，根据《大竹县行政事业单位、县属国有及国有控股企业及村集体经济组织资产清查工作方案》，对全县行政事业单位资产开展清查核实工作，向第三方购买服务，以提高资产清查质量。</w:t>
            </w:r>
          </w:p>
        </w:tc>
        <w:tc>
          <w:tcPr>
            <w:tcW w:w="3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2022年9月，我局正式牵头启动行政事业单位资产清查工作，该项工作涉及全县292家单位，资产清查工作基准日为2021年12月31日，采取单位自查与第三方公司复核相结合的方式进行了资产清查核实。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913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11.60</w:t>
            </w:r>
          </w:p>
        </w:tc>
        <w:tc>
          <w:tcPr>
            <w:tcW w:w="2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11.60</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6"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11.60</w:t>
            </w:r>
          </w:p>
        </w:tc>
        <w:tc>
          <w:tcPr>
            <w:tcW w:w="2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11.60</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教科系统核查数量</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乡镇核查数量</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对卫生系统所属单位第三方资产核查服务单价</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17000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对教科系统所属单位第三方资产核查服务单价</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13000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建设资产清查信息系统</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对其他县级部门第三方资产核查服务单价</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14000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工作完成时间</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对乡镇第三方资产核查服务成本</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21000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卫生系统核查数量</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58</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其他县级部门（含派驻机构）核查数量</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127</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掌握全县行政事业单位资产状况和财务状况</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财政部门满意度</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952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09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自评得分99分。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09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09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5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50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财务负责人：李小东</w:t>
            </w:r>
          </w:p>
        </w:tc>
      </w:tr>
    </w:tbl>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p>
    <w:tbl>
      <w:tblPr>
        <w:tblStyle w:val="12"/>
        <w:tblW w:w="92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39"/>
        <w:gridCol w:w="1388"/>
        <w:gridCol w:w="1217"/>
        <w:gridCol w:w="1548"/>
        <w:gridCol w:w="382"/>
        <w:gridCol w:w="1155"/>
        <w:gridCol w:w="382"/>
        <w:gridCol w:w="876"/>
        <w:gridCol w:w="401"/>
        <w:gridCol w:w="342"/>
        <w:gridCol w:w="1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74" w:hRule="atLeast"/>
        </w:trPr>
        <w:tc>
          <w:tcPr>
            <w:tcW w:w="1160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913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51172422T000006953095-编制大竹月华田园综合体建设方案经费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0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大竹县财政局部门</w:t>
            </w:r>
          </w:p>
        </w:tc>
        <w:tc>
          <w:tcPr>
            <w:tcW w:w="98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0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0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0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根据四川省财政厅《关于做好2022年“三项试点”相关工作的通知》（川财农【2022】36号），按照省、市要求我县为抓好田园综合体建设试点工作，聘请第三方专业团队编制高效、合理、可操作性强的实施方案。</w:t>
            </w:r>
          </w:p>
        </w:tc>
        <w:tc>
          <w:tcPr>
            <w:tcW w:w="3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根据相关要求为月华田园综合体建设试点项目提供了实施方案。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7"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913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27.20</w:t>
            </w:r>
          </w:p>
        </w:tc>
        <w:tc>
          <w:tcPr>
            <w:tcW w:w="2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27.20</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w:t>
            </w:r>
            <w:r>
              <w:rPr>
                <w:rFonts w:hint="eastAsia" w:ascii="黑体" w:hAnsi="黑体" w:eastAsia="黑体" w:cs="黑体"/>
                <w:i/>
                <w:iCs/>
                <w:color w:val="000000"/>
                <w:kern w:val="0"/>
                <w:sz w:val="15"/>
                <w:szCs w:val="15"/>
                <w:u w:val="none"/>
                <w:lang w:val="en-US" w:eastAsia="zh-CN" w:bidi="ar"/>
              </w:rPr>
              <w:t>.预算执行率=预算执行数/调整后预算数，预算执行率未达到90%的需说明原因（100字以内）;2.年中发生预算调整的（追加或调减）,应单独说明理由；3.其他资金包括：社会投入资金、银行贷款.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27.20</w:t>
            </w:r>
          </w:p>
        </w:tc>
        <w:tc>
          <w:tcPr>
            <w:tcW w:w="2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27.20</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符合编制方案中相关要求</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编制方案数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套</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工作完成时间</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2023</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推动田园综合体建设有序发展</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为田园综合体建设试点项目提供实施方案</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相关部门满意度</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952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98</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9"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09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自评得分98分。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09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09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5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50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财务负责人：李小东</w:t>
            </w:r>
          </w:p>
        </w:tc>
      </w:tr>
    </w:tbl>
    <w:p>
      <w:pPr>
        <w:spacing w:line="600" w:lineRule="exact"/>
        <w:jc w:val="left"/>
        <w:outlineLvl w:val="0"/>
        <w:rPr>
          <w:rFonts w:hint="eastAsia" w:ascii="黑体" w:hAnsi="黑体" w:eastAsia="黑体"/>
          <w:color w:val="auto"/>
          <w:sz w:val="44"/>
          <w:szCs w:val="44"/>
          <w:highlight w:val="none"/>
        </w:rPr>
      </w:pPr>
    </w:p>
    <w:tbl>
      <w:tblPr>
        <w:tblStyle w:val="12"/>
        <w:tblW w:w="95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38"/>
        <w:gridCol w:w="11"/>
        <w:gridCol w:w="1365"/>
        <w:gridCol w:w="80"/>
        <w:gridCol w:w="1155"/>
        <w:gridCol w:w="109"/>
        <w:gridCol w:w="1426"/>
        <w:gridCol w:w="158"/>
        <w:gridCol w:w="222"/>
        <w:gridCol w:w="171"/>
        <w:gridCol w:w="975"/>
        <w:gridCol w:w="249"/>
        <w:gridCol w:w="131"/>
        <w:gridCol w:w="262"/>
        <w:gridCol w:w="611"/>
        <w:gridCol w:w="278"/>
        <w:gridCol w:w="121"/>
        <w:gridCol w:w="286"/>
        <w:gridCol w:w="54"/>
        <w:gridCol w:w="296"/>
        <w:gridCol w:w="732"/>
        <w:gridCol w:w="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4" w:hRule="atLeast"/>
        </w:trPr>
        <w:tc>
          <w:tcPr>
            <w:tcW w:w="9524"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9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53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51172422T000007111300-社保公共服务能力建设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19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85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大竹县财政局部门</w:t>
            </w:r>
          </w:p>
        </w:tc>
        <w:tc>
          <w:tcPr>
            <w:tcW w:w="889"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7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54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4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85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267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5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85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确保职工基本养老保险、工伤保险统筹顺利推进，参保覆盖人数持续增长，待遇水平稳步提高。</w:t>
            </w:r>
          </w:p>
        </w:tc>
        <w:tc>
          <w:tcPr>
            <w:tcW w:w="267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保障2022年度职工基本养老保险、工伤保险统筹顺利推进，参保覆盖人数持续增长，待遇水平稳步提高。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atLeast"/>
        </w:trPr>
        <w:tc>
          <w:tcPr>
            <w:tcW w:w="5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53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54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2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0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5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2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20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8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02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5"/>
                <w:szCs w:val="15"/>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5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2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20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8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5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5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5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2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54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2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5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职工基本养老保险参保在职人数</w:t>
            </w:r>
          </w:p>
        </w:tc>
        <w:tc>
          <w:tcPr>
            <w:tcW w:w="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140</w:t>
            </w:r>
          </w:p>
        </w:tc>
        <w:tc>
          <w:tcPr>
            <w:tcW w:w="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8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5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职工基本养老保险待遇按时足额发放</w:t>
            </w:r>
          </w:p>
        </w:tc>
        <w:tc>
          <w:tcPr>
            <w:tcW w:w="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5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业务经办人员培训人次</w:t>
            </w:r>
          </w:p>
        </w:tc>
        <w:tc>
          <w:tcPr>
            <w:tcW w:w="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人/年</w:t>
            </w:r>
          </w:p>
        </w:tc>
        <w:tc>
          <w:tcPr>
            <w:tcW w:w="8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5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2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参保职工获得感、幸福感</w:t>
            </w:r>
          </w:p>
        </w:tc>
        <w:tc>
          <w:tcPr>
            <w:tcW w:w="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不断增强</w:t>
            </w:r>
          </w:p>
        </w:tc>
        <w:tc>
          <w:tcPr>
            <w:tcW w:w="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5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2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参保人员满意度</w:t>
            </w:r>
          </w:p>
        </w:tc>
        <w:tc>
          <w:tcPr>
            <w:tcW w:w="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5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2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经济成本指标</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公共服务能力建设成本</w:t>
            </w:r>
          </w:p>
        </w:tc>
        <w:tc>
          <w:tcPr>
            <w:tcW w:w="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30000</w:t>
            </w:r>
          </w:p>
        </w:tc>
        <w:tc>
          <w:tcPr>
            <w:tcW w:w="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8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7741"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75"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自评得分99分。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75"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75"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523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289"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财务负责人：李小东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904" w:hRule="atLeast"/>
        </w:trPr>
        <w:tc>
          <w:tcPr>
            <w:tcW w:w="9230"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highlight w:val="none"/>
                <w:u w:val="none"/>
              </w:rPr>
            </w:pPr>
            <w:r>
              <w:rPr>
                <w:rFonts w:hint="eastAsia" w:ascii="黑体" w:hAnsi="宋体" w:eastAsia="黑体" w:cs="黑体"/>
                <w:b/>
                <w:bCs/>
                <w:i w:val="0"/>
                <w:iCs w:val="0"/>
                <w:color w:val="000000"/>
                <w:kern w:val="0"/>
                <w:sz w:val="30"/>
                <w:szCs w:val="30"/>
                <w:highlight w:val="none"/>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286" w:hRule="atLeast"/>
        </w:trPr>
        <w:tc>
          <w:tcPr>
            <w:tcW w:w="19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项目名称</w:t>
            </w:r>
          </w:p>
        </w:tc>
        <w:tc>
          <w:tcPr>
            <w:tcW w:w="7316"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51172423T000008779016-绩效评价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512" w:hRule="atLeast"/>
        </w:trPr>
        <w:tc>
          <w:tcPr>
            <w:tcW w:w="19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主管部门</w:t>
            </w:r>
          </w:p>
        </w:tc>
        <w:tc>
          <w:tcPr>
            <w:tcW w:w="467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大竹县财政局部门</w:t>
            </w:r>
          </w:p>
        </w:tc>
        <w:tc>
          <w:tcPr>
            <w:tcW w:w="873"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highlight w:val="none"/>
                <w:u w:val="none"/>
              </w:rPr>
            </w:pPr>
            <w:r>
              <w:rPr>
                <w:rFonts w:hint="eastAsia" w:ascii="黑体" w:hAnsi="黑体" w:eastAsia="黑体" w:cs="黑体"/>
                <w:i w:val="0"/>
                <w:iCs w:val="0"/>
                <w:color w:val="000000"/>
                <w:kern w:val="0"/>
                <w:sz w:val="18"/>
                <w:szCs w:val="18"/>
                <w:highlight w:val="none"/>
                <w:u w:val="none"/>
                <w:lang w:val="en-US" w:eastAsia="zh-CN" w:bidi="ar"/>
              </w:rPr>
              <w:t>实施单位 （盖章）</w:t>
            </w:r>
          </w:p>
        </w:tc>
        <w:tc>
          <w:tcPr>
            <w:tcW w:w="17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大竹县财政局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286" w:hRule="atLeast"/>
        </w:trPr>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项目基本情况</w:t>
            </w:r>
          </w:p>
        </w:tc>
        <w:tc>
          <w:tcPr>
            <w:tcW w:w="13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1.项目年度目标完成情况</w:t>
            </w:r>
          </w:p>
        </w:tc>
        <w:tc>
          <w:tcPr>
            <w:tcW w:w="467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项目年度目标</w:t>
            </w:r>
          </w:p>
        </w:tc>
        <w:tc>
          <w:tcPr>
            <w:tcW w:w="26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auto"/>
                <w:sz w:val="18"/>
                <w:szCs w:val="18"/>
                <w:highlight w:val="none"/>
                <w:u w:val="none"/>
                <w:shd w:val="clear" w:color="auto" w:fill="auto"/>
              </w:rPr>
            </w:pPr>
            <w:r>
              <w:rPr>
                <w:rFonts w:hint="eastAsia" w:ascii="黑体" w:hAnsi="黑体" w:eastAsia="黑体" w:cs="黑体"/>
                <w:i w:val="0"/>
                <w:iCs w:val="0"/>
                <w:color w:val="auto"/>
                <w:kern w:val="0"/>
                <w:sz w:val="18"/>
                <w:szCs w:val="18"/>
                <w:highlight w:val="none"/>
                <w:u w:val="none"/>
                <w:shd w:val="clear" w:color="auto" w:fill="auto"/>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708"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467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通过购买第三方服务进行相关绩效评价管理工作，提高财政资源优化配置。</w:t>
            </w:r>
          </w:p>
        </w:tc>
        <w:tc>
          <w:tcPr>
            <w:tcW w:w="26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auto"/>
                <w:sz w:val="18"/>
                <w:szCs w:val="18"/>
                <w:highlight w:val="none"/>
                <w:u w:val="none"/>
                <w:shd w:val="clear" w:color="auto" w:fill="auto"/>
                <w:lang w:val="en-US"/>
              </w:rPr>
            </w:pPr>
            <w:r>
              <w:rPr>
                <w:rFonts w:hint="eastAsia" w:ascii="黑体" w:hAnsi="黑体" w:eastAsia="黑体" w:cs="黑体"/>
                <w:i w:val="0"/>
                <w:iCs w:val="0"/>
                <w:color w:val="auto"/>
                <w:kern w:val="0"/>
                <w:sz w:val="18"/>
                <w:szCs w:val="18"/>
                <w:highlight w:val="none"/>
                <w:u w:val="none"/>
                <w:shd w:val="clear" w:color="auto" w:fill="auto"/>
                <w:lang w:val="en-US" w:eastAsia="zh-CN" w:bidi="ar"/>
              </w:rPr>
              <w:t>2</w:t>
            </w:r>
            <w:r>
              <w:rPr>
                <w:rFonts w:hint="eastAsia" w:ascii="宋体" w:hAnsi="宋体" w:eastAsia="宋体" w:cs="宋体"/>
                <w:i w:val="0"/>
                <w:iCs w:val="0"/>
                <w:color w:val="auto"/>
                <w:kern w:val="0"/>
                <w:sz w:val="18"/>
                <w:szCs w:val="18"/>
                <w:highlight w:val="none"/>
                <w:u w:val="none"/>
                <w:shd w:val="clear" w:color="auto" w:fill="auto"/>
                <w:lang w:val="en-US" w:eastAsia="zh-CN" w:bidi="ar"/>
              </w:rPr>
              <w:t>022年第三方公司对</w:t>
            </w:r>
            <w:r>
              <w:rPr>
                <w:rFonts w:hint="eastAsia" w:ascii="宋体" w:hAnsi="宋体" w:cs="宋体"/>
                <w:i w:val="0"/>
                <w:iCs w:val="0"/>
                <w:color w:val="auto"/>
                <w:kern w:val="0"/>
                <w:sz w:val="18"/>
                <w:szCs w:val="18"/>
                <w:highlight w:val="none"/>
                <w:u w:val="none"/>
                <w:shd w:val="clear" w:color="auto" w:fill="auto"/>
                <w:lang w:val="en-US" w:eastAsia="zh-CN" w:bidi="ar"/>
              </w:rPr>
              <w:t>7</w:t>
            </w:r>
            <w:r>
              <w:rPr>
                <w:rFonts w:hint="eastAsia" w:ascii="宋体" w:hAnsi="宋体" w:eastAsia="宋体" w:cs="宋体"/>
                <w:i w:val="0"/>
                <w:iCs w:val="0"/>
                <w:color w:val="auto"/>
                <w:kern w:val="0"/>
                <w:sz w:val="18"/>
                <w:szCs w:val="18"/>
                <w:highlight w:val="none"/>
                <w:u w:val="none"/>
                <w:shd w:val="clear" w:color="auto" w:fill="auto"/>
                <w:lang w:val="en-US" w:eastAsia="zh-CN" w:bidi="ar"/>
              </w:rPr>
              <w:t>个重点项目进行了绩效评价</w:t>
            </w:r>
            <w:r>
              <w:rPr>
                <w:rFonts w:hint="eastAsia" w:ascii="宋体" w:hAnsi="宋体" w:cs="宋体"/>
                <w:i w:val="0"/>
                <w:iCs w:val="0"/>
                <w:color w:val="auto"/>
                <w:kern w:val="0"/>
                <w:sz w:val="18"/>
                <w:szCs w:val="18"/>
                <w:highlight w:val="none"/>
                <w:u w:val="none"/>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693"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2.项目实施内容及过程概述</w:t>
            </w:r>
          </w:p>
        </w:tc>
        <w:tc>
          <w:tcPr>
            <w:tcW w:w="7316"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361" w:hRule="atLeast"/>
        </w:trPr>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预算执行情况（10分）</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年度预算数（万元）</w:t>
            </w:r>
          </w:p>
        </w:tc>
        <w:tc>
          <w:tcPr>
            <w:tcW w:w="1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年初预算</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调整后预算数</w:t>
            </w:r>
          </w:p>
        </w:tc>
        <w:tc>
          <w:tcPr>
            <w:tcW w:w="19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预算执行数</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预算执行率</w:t>
            </w: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权重</w:t>
            </w:r>
          </w:p>
        </w:tc>
        <w:tc>
          <w:tcPr>
            <w:tcW w:w="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得分</w:t>
            </w:r>
          </w:p>
        </w:tc>
        <w:tc>
          <w:tcPr>
            <w:tcW w:w="1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713"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总额</w:t>
            </w:r>
          </w:p>
        </w:tc>
        <w:tc>
          <w:tcPr>
            <w:tcW w:w="1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87.60</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59.57</w:t>
            </w:r>
          </w:p>
        </w:tc>
        <w:tc>
          <w:tcPr>
            <w:tcW w:w="19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59.57</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100.00%</w:t>
            </w: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highlight w:val="none"/>
                <w:u w:val="none"/>
              </w:rPr>
            </w:pPr>
            <w:r>
              <w:rPr>
                <w:rFonts w:ascii="宋体" w:hAnsi="宋体" w:eastAsia="宋体" w:cs="宋体"/>
                <w:i w:val="0"/>
                <w:iCs w:val="0"/>
                <w:color w:val="000000"/>
                <w:kern w:val="0"/>
                <w:sz w:val="18"/>
                <w:szCs w:val="18"/>
                <w:highlight w:val="none"/>
                <w:u w:val="none"/>
                <w:lang w:val="en-US" w:eastAsia="zh-CN" w:bidi="ar"/>
              </w:rPr>
              <w:t>10</w:t>
            </w:r>
          </w:p>
        </w:tc>
        <w:tc>
          <w:tcPr>
            <w:tcW w:w="102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highlight w:val="none"/>
                <w:u w:val="none"/>
              </w:rPr>
            </w:pPr>
            <w:r>
              <w:rPr>
                <w:rFonts w:hint="eastAsia" w:ascii="黑体" w:hAnsi="黑体" w:eastAsia="黑体" w:cs="黑体"/>
                <w:i/>
                <w:iCs/>
                <w:color w:val="000000"/>
                <w:kern w:val="0"/>
                <w:sz w:val="18"/>
                <w:szCs w:val="18"/>
                <w:highlight w:val="none"/>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674"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87.60</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59.57</w:t>
            </w:r>
          </w:p>
        </w:tc>
        <w:tc>
          <w:tcPr>
            <w:tcW w:w="19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59.57</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782"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776"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9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379"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452" w:hRule="atLeast"/>
        </w:trPr>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452"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项目报告的规范性</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452"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每个项目评价/评估点位</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452"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绩效评价项目总金额</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452"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事前绩效评估项目数</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452"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绩效评价项目数量</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452"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最终报告提交时间</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1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452"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单个项目评价周期</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1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452"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项目报告的完整性</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452"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项目报告的准确性</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452"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为项目、政策的决策提供参考</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参照性高</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452"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提高报告质量</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明显提高</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452"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采用报告对象满意度</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p>
        </w:tc>
        <w:tc>
          <w:tcPr>
            <w:tcW w:w="1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452"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经济成本指标</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100万＜项目金额＜500万</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452"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经济成本指标</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5000万＜项目金额＜10000万</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452"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经济成本指标</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1000万＜项目金额＜5000万</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452"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经济成本指标</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500万＜项目金额＜1000万</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339"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经济成本指标</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项目金额≤100万</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286" w:hRule="atLeast"/>
        </w:trPr>
        <w:tc>
          <w:tcPr>
            <w:tcW w:w="7463"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w:t>
            </w:r>
          </w:p>
        </w:tc>
        <w:tc>
          <w:tcPr>
            <w:tcW w:w="1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78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692"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自评得分96分。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75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692"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79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692"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4" w:type="dxa"/>
          <w:trHeight w:val="286" w:hRule="atLeast"/>
        </w:trPr>
        <w:tc>
          <w:tcPr>
            <w:tcW w:w="506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4166"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财务负责人：李小东</w:t>
            </w:r>
          </w:p>
        </w:tc>
      </w:tr>
    </w:tbl>
    <w:p>
      <w:pPr>
        <w:spacing w:line="600" w:lineRule="exact"/>
        <w:jc w:val="left"/>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tbl>
      <w:tblPr>
        <w:tblStyle w:val="12"/>
        <w:tblW w:w="92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42"/>
        <w:gridCol w:w="1404"/>
        <w:gridCol w:w="1230"/>
        <w:gridCol w:w="1592"/>
        <w:gridCol w:w="385"/>
        <w:gridCol w:w="1113"/>
        <w:gridCol w:w="385"/>
        <w:gridCol w:w="825"/>
        <w:gridCol w:w="403"/>
        <w:gridCol w:w="344"/>
        <w:gridCol w:w="1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2" w:hRule="atLeast"/>
        </w:trPr>
        <w:tc>
          <w:tcPr>
            <w:tcW w:w="1160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2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913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51172423T000008781296-财政管理工作经费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2" w:hRule="atLeast"/>
        </w:trPr>
        <w:tc>
          <w:tcPr>
            <w:tcW w:w="24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0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大竹县财政局部门</w:t>
            </w:r>
          </w:p>
        </w:tc>
        <w:tc>
          <w:tcPr>
            <w:tcW w:w="982"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0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0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0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该项目资金主要用于财政日常工作管理，包括：财政干部教育培训、财政监督事业经费、债务管理工作经费、综合管理事业工作经费、预算管理工作经费、国库事业经费等。</w:t>
            </w:r>
          </w:p>
        </w:tc>
        <w:tc>
          <w:tcPr>
            <w:tcW w:w="30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保障了2022年全年财政日常管理工作运行。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913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146.99</w:t>
            </w:r>
          </w:p>
        </w:tc>
        <w:tc>
          <w:tcPr>
            <w:tcW w:w="2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5"/>
                <w:szCs w:val="15"/>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146.99</w:t>
            </w:r>
          </w:p>
        </w:tc>
        <w:tc>
          <w:tcPr>
            <w:tcW w:w="2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4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全年监督检查单位（部门）</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工作完成时间</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财政干部培训次数</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次/年</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系统数量</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保障全年财政工作顺利运行</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财政工作人员专业能力提升度</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财政工作人员系统使用满意度</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952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09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自评得分97分。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09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3"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098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65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50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财务负责人：李小东</w:t>
            </w:r>
          </w:p>
        </w:tc>
      </w:tr>
    </w:tbl>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51"/>
      <w:bookmarkEnd w:id="53"/>
      <w:bookmarkStart w:id="54" w:name="_Toc15396619"/>
    </w:p>
    <w:p>
      <w:pPr>
        <w:pStyle w:val="3"/>
        <w:rPr>
          <w:rFonts w:ascii="仿宋" w:hAnsi="仿宋" w:eastAsia="仿宋"/>
          <w:color w:val="auto"/>
          <w:highlight w:val="none"/>
        </w:rPr>
      </w:pPr>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54"/>
    </w:p>
    <w:p>
      <w:pPr>
        <w:pStyle w:val="3"/>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55"/>
    </w:p>
    <w:p>
      <w:pPr>
        <w:pStyle w:val="3"/>
        <w:rPr>
          <w:rFonts w:ascii="仿宋" w:hAnsi="仿宋" w:eastAsia="仿宋"/>
          <w:color w:val="auto"/>
          <w:highlight w:val="none"/>
        </w:rPr>
      </w:pPr>
      <w:bookmarkStart w:id="56"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56"/>
    </w:p>
    <w:p>
      <w:pPr>
        <w:pStyle w:val="3"/>
        <w:rPr>
          <w:rFonts w:ascii="仿宋" w:hAnsi="仿宋" w:eastAsia="仿宋"/>
          <w:b w:val="0"/>
          <w:color w:val="auto"/>
          <w:highlight w:val="none"/>
        </w:rPr>
      </w:pPr>
      <w:bookmarkStart w:id="57"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57"/>
    </w:p>
    <w:p>
      <w:pPr>
        <w:pStyle w:val="3"/>
        <w:rPr>
          <w:rStyle w:val="25"/>
          <w:rFonts w:ascii="仿宋" w:hAnsi="仿宋" w:eastAsia="仿宋"/>
          <w:b w:val="0"/>
          <w:bCs w:val="0"/>
          <w:color w:val="auto"/>
          <w:highlight w:val="none"/>
        </w:rPr>
      </w:pPr>
      <w:bookmarkStart w:id="58"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58"/>
      <w:bookmarkStart w:id="59" w:name="_Toc15396624"/>
    </w:p>
    <w:p>
      <w:pPr>
        <w:pStyle w:val="3"/>
        <w:rPr>
          <w:rFonts w:ascii="仿宋" w:hAnsi="仿宋" w:eastAsia="仿宋"/>
          <w:color w:val="auto"/>
          <w:highlight w:val="none"/>
        </w:rPr>
      </w:pPr>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59"/>
    </w:p>
    <w:p>
      <w:pPr>
        <w:pStyle w:val="3"/>
        <w:rPr>
          <w:rFonts w:ascii="仿宋" w:hAnsi="仿宋" w:eastAsia="仿宋"/>
          <w:color w:val="auto"/>
          <w:highlight w:val="none"/>
        </w:rPr>
      </w:pPr>
      <w:bookmarkStart w:id="60"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60"/>
    </w:p>
    <w:p>
      <w:pPr>
        <w:pStyle w:val="3"/>
        <w:rPr>
          <w:rFonts w:ascii="仿宋" w:hAnsi="仿宋" w:eastAsia="仿宋"/>
          <w:color w:val="auto"/>
          <w:highlight w:val="none"/>
        </w:rPr>
      </w:pPr>
      <w:bookmarkStart w:id="61"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61"/>
    </w:p>
    <w:p>
      <w:pPr>
        <w:pStyle w:val="3"/>
        <w:rPr>
          <w:rFonts w:ascii="仿宋" w:hAnsi="仿宋" w:eastAsia="仿宋"/>
          <w:color w:val="auto"/>
          <w:highlight w:val="none"/>
        </w:rPr>
      </w:pPr>
      <w:bookmarkStart w:id="62"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62"/>
    </w:p>
    <w:p>
      <w:pPr>
        <w:pStyle w:val="3"/>
        <w:rPr>
          <w:rFonts w:ascii="仿宋" w:hAnsi="仿宋" w:eastAsia="仿宋"/>
          <w:color w:val="auto"/>
          <w:highlight w:val="none"/>
        </w:rPr>
      </w:pPr>
      <w:bookmarkStart w:id="63" w:name="_Toc15396628"/>
      <w:r>
        <w:rPr>
          <w:rStyle w:val="25"/>
          <w:rFonts w:hint="eastAsia" w:ascii="仿宋" w:hAnsi="仿宋" w:eastAsia="仿宋"/>
          <w:b w:val="0"/>
          <w:bCs w:val="0"/>
          <w:color w:val="auto"/>
          <w:highlight w:val="none"/>
        </w:rPr>
        <w:t>十、</w:t>
      </w:r>
      <w:bookmarkEnd w:id="63"/>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p>
    <w:p>
      <w:pPr>
        <w:pStyle w:val="3"/>
        <w:rPr>
          <w:rFonts w:ascii="仿宋" w:hAnsi="仿宋" w:eastAsia="仿宋"/>
          <w:color w:val="auto"/>
          <w:highlight w:val="none"/>
        </w:rPr>
      </w:pPr>
      <w:bookmarkStart w:id="64" w:name="_Toc15396629"/>
      <w:r>
        <w:rPr>
          <w:rStyle w:val="25"/>
          <w:rFonts w:hint="eastAsia" w:ascii="仿宋" w:hAnsi="仿宋" w:eastAsia="仿宋"/>
          <w:b w:val="0"/>
          <w:bCs w:val="0"/>
          <w:color w:val="auto"/>
          <w:highlight w:val="none"/>
        </w:rPr>
        <w:t>十一、</w:t>
      </w:r>
      <w:bookmarkEnd w:id="64"/>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p>
    <w:p>
      <w:pPr>
        <w:pStyle w:val="3"/>
        <w:rPr>
          <w:rFonts w:ascii="仿宋" w:hAnsi="仿宋" w:eastAsia="仿宋"/>
          <w:color w:val="auto"/>
          <w:highlight w:val="none"/>
        </w:rPr>
      </w:pPr>
      <w:bookmarkStart w:id="65" w:name="_Toc15396630"/>
      <w:r>
        <w:rPr>
          <w:rStyle w:val="25"/>
          <w:rFonts w:hint="eastAsia" w:ascii="仿宋" w:hAnsi="仿宋" w:eastAsia="仿宋"/>
          <w:b w:val="0"/>
          <w:bCs w:val="0"/>
          <w:color w:val="auto"/>
          <w:highlight w:val="none"/>
        </w:rPr>
        <w:t>十二、</w:t>
      </w:r>
      <w:bookmarkEnd w:id="65"/>
      <w:r>
        <w:rPr>
          <w:rStyle w:val="25"/>
          <w:rFonts w:hint="eastAsia" w:ascii="仿宋" w:hAnsi="仿宋" w:eastAsia="仿宋"/>
          <w:b w:val="0"/>
          <w:bCs w:val="0"/>
          <w:color w:val="auto"/>
          <w:highlight w:val="none"/>
          <w:lang w:eastAsia="zh-CN"/>
        </w:rPr>
        <w:t>国有资本经营预算财政拨款支出决算表</w:t>
      </w:r>
    </w:p>
    <w:p>
      <w:pPr>
        <w:pStyle w:val="3"/>
        <w:rPr>
          <w:rFonts w:hint="eastAsia" w:eastAsia="仿宋"/>
          <w:color w:val="auto"/>
          <w:highlight w:val="none"/>
          <w:lang w:eastAsia="zh-CN"/>
        </w:rPr>
      </w:pPr>
      <w:bookmarkStart w:id="66" w:name="_Toc15396631"/>
      <w:r>
        <w:rPr>
          <w:rStyle w:val="25"/>
          <w:rFonts w:hint="eastAsia" w:ascii="仿宋" w:hAnsi="仿宋" w:eastAsia="仿宋"/>
          <w:b w:val="0"/>
          <w:bCs w:val="0"/>
          <w:color w:val="auto"/>
          <w:highlight w:val="none"/>
        </w:rPr>
        <w:t>十三、</w:t>
      </w:r>
      <w:bookmarkEnd w:id="66"/>
      <w:r>
        <w:rPr>
          <w:rStyle w:val="25"/>
          <w:rFonts w:hint="eastAsia" w:ascii="仿宋" w:hAnsi="仿宋" w:eastAsia="仿宋"/>
          <w:b w:val="0"/>
          <w:bCs w:val="0"/>
          <w:color w:val="auto"/>
          <w:highlight w:val="none"/>
          <w:lang w:eastAsia="zh-CN"/>
        </w:rPr>
        <w:t>财政拨款“三公”经费支出决算表</w:t>
      </w: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abstractNum w:abstractNumId="4">
    <w:nsid w:val="47E5F323"/>
    <w:multiLevelType w:val="singleLevel"/>
    <w:tmpl w:val="47E5F323"/>
    <w:lvl w:ilvl="0" w:tentative="0">
      <w:start w:val="1"/>
      <w:numFmt w:val="decimal"/>
      <w:lvlText w:val="%1."/>
      <w:lvlJc w:val="left"/>
      <w:pPr>
        <w:tabs>
          <w:tab w:val="left" w:pos="312"/>
        </w:tabs>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M2ZmZTI5ZGU4ZGFkMGZhMzZmYTA0MTRmOGNiOWY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30EE"/>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F12408"/>
    <w:rsid w:val="02820C0A"/>
    <w:rsid w:val="053A62B5"/>
    <w:rsid w:val="09702A84"/>
    <w:rsid w:val="0A2032A3"/>
    <w:rsid w:val="0A36352C"/>
    <w:rsid w:val="0ACF2BD1"/>
    <w:rsid w:val="0B270EBC"/>
    <w:rsid w:val="0B8A37D8"/>
    <w:rsid w:val="0F1038DB"/>
    <w:rsid w:val="10C055FF"/>
    <w:rsid w:val="118107EC"/>
    <w:rsid w:val="11DD6519"/>
    <w:rsid w:val="133E5F0D"/>
    <w:rsid w:val="161435FF"/>
    <w:rsid w:val="16BB723D"/>
    <w:rsid w:val="18015F3F"/>
    <w:rsid w:val="19F53B66"/>
    <w:rsid w:val="1BE8440E"/>
    <w:rsid w:val="1D155CEE"/>
    <w:rsid w:val="1DE81C06"/>
    <w:rsid w:val="1EB32A5C"/>
    <w:rsid w:val="20F57F95"/>
    <w:rsid w:val="227D5534"/>
    <w:rsid w:val="240371BF"/>
    <w:rsid w:val="25711CC6"/>
    <w:rsid w:val="25C741E6"/>
    <w:rsid w:val="26DD144B"/>
    <w:rsid w:val="27842671"/>
    <w:rsid w:val="29FD04D3"/>
    <w:rsid w:val="2ABE7A3E"/>
    <w:rsid w:val="2CA234A8"/>
    <w:rsid w:val="2D4025BE"/>
    <w:rsid w:val="2DA92FD8"/>
    <w:rsid w:val="2EFA178C"/>
    <w:rsid w:val="30215448"/>
    <w:rsid w:val="306429C2"/>
    <w:rsid w:val="30B46D73"/>
    <w:rsid w:val="319F7F4E"/>
    <w:rsid w:val="330735DE"/>
    <w:rsid w:val="353164EF"/>
    <w:rsid w:val="383D272C"/>
    <w:rsid w:val="39AE70AB"/>
    <w:rsid w:val="3B451618"/>
    <w:rsid w:val="3C0C0783"/>
    <w:rsid w:val="3DB1427D"/>
    <w:rsid w:val="3E3B7B31"/>
    <w:rsid w:val="3E9739EC"/>
    <w:rsid w:val="3F2969DF"/>
    <w:rsid w:val="3F9F3A96"/>
    <w:rsid w:val="429D4E61"/>
    <w:rsid w:val="43C80459"/>
    <w:rsid w:val="46CB53EF"/>
    <w:rsid w:val="47CA057A"/>
    <w:rsid w:val="48BF60AB"/>
    <w:rsid w:val="493C27E9"/>
    <w:rsid w:val="496F39ED"/>
    <w:rsid w:val="49FF41D3"/>
    <w:rsid w:val="4A6C3396"/>
    <w:rsid w:val="4BE068DB"/>
    <w:rsid w:val="4BF6002B"/>
    <w:rsid w:val="4ECE2238"/>
    <w:rsid w:val="51352AE9"/>
    <w:rsid w:val="51DB4B86"/>
    <w:rsid w:val="54041F40"/>
    <w:rsid w:val="55333C3E"/>
    <w:rsid w:val="5713002F"/>
    <w:rsid w:val="601F4D31"/>
    <w:rsid w:val="607E39E0"/>
    <w:rsid w:val="64CA39A1"/>
    <w:rsid w:val="65633D3E"/>
    <w:rsid w:val="69630ADE"/>
    <w:rsid w:val="6C4A05C8"/>
    <w:rsid w:val="6D3B1A89"/>
    <w:rsid w:val="6ED53E5D"/>
    <w:rsid w:val="6FE77305"/>
    <w:rsid w:val="71BF4EC2"/>
    <w:rsid w:val="720C4209"/>
    <w:rsid w:val="72734D90"/>
    <w:rsid w:val="7412278C"/>
    <w:rsid w:val="764E7A4C"/>
    <w:rsid w:val="77602A1E"/>
    <w:rsid w:val="79E7B28D"/>
    <w:rsid w:val="7D294C66"/>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G:\&#22791;&#24536;&#24405;.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G:\&#22791;&#24536;&#24405;.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G:\&#22791;&#24536;&#24405;.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G:\&#22791;&#24536;&#24405;.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G:\&#22791;&#24536;&#24405;.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G:\&#22791;&#24536;&#24405;.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G:\&#22791;&#24536;&#244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收、支决算总计变动情况表（单位：万元）</a:t>
            </a:r>
            <a:endParaRPr b="1"/>
          </a:p>
        </c:rich>
      </c:tx>
      <c:layout/>
      <c:overlay val="0"/>
      <c:spPr>
        <a:noFill/>
        <a:ln>
          <a:noFill/>
        </a:ln>
        <a:effectLst/>
      </c:spPr>
    </c:title>
    <c:autoTitleDeleted val="0"/>
    <c:plotArea>
      <c:layout/>
      <c:barChart>
        <c:barDir val="col"/>
        <c:grouping val="clustered"/>
        <c:varyColors val="0"/>
        <c:ser>
          <c:idx val="0"/>
          <c:order val="0"/>
          <c:tx>
            <c:strRef>
              <c:f>[备忘录.xlsx]Sheet2!$I$62</c:f>
              <c:strCache>
                <c:ptCount val="1"/>
                <c:pt idx="0">
                  <c:v>2022年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[备忘录.xlsx]Sheet2!$J$61:$K$61</c:f>
              <c:strCache>
                <c:ptCount val="2"/>
                <c:pt idx="0">
                  <c:v>收入总计</c:v>
                </c:pt>
                <c:pt idx="1">
                  <c:v>支出总计</c:v>
                </c:pt>
              </c:strCache>
            </c:strRef>
          </c:cat>
          <c:val>
            <c:numRef>
              <c:f>[备忘录.xlsx]Sheet2!$J$62:$K$62</c:f>
              <c:numCache>
                <c:formatCode>General</c:formatCode>
                <c:ptCount val="2"/>
                <c:pt idx="0">
                  <c:v>3081.22</c:v>
                </c:pt>
                <c:pt idx="1">
                  <c:v>3081.22</c:v>
                </c:pt>
              </c:numCache>
            </c:numRef>
          </c:val>
        </c:ser>
        <c:ser>
          <c:idx val="1"/>
          <c:order val="1"/>
          <c:tx>
            <c:strRef>
              <c:f>[备忘录.xlsx]Sheet2!$I$63</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[备忘录.xlsx]Sheet2!$J$61:$K$61</c:f>
              <c:strCache>
                <c:ptCount val="2"/>
                <c:pt idx="0">
                  <c:v>收入总计</c:v>
                </c:pt>
                <c:pt idx="1">
                  <c:v>支出总计</c:v>
                </c:pt>
              </c:strCache>
            </c:strRef>
          </c:cat>
          <c:val>
            <c:numRef>
              <c:f>[备忘录.xlsx]Sheet2!$J$63:$K$63</c:f>
              <c:numCache>
                <c:formatCode>General</c:formatCode>
                <c:ptCount val="2"/>
                <c:pt idx="0">
                  <c:v>2819.34</c:v>
                </c:pt>
                <c:pt idx="1">
                  <c:v>2879.25</c:v>
                </c:pt>
              </c:numCache>
            </c:numRef>
          </c:val>
        </c:ser>
        <c:dLbls>
          <c:showLegendKey val="0"/>
          <c:showVal val="1"/>
          <c:showCatName val="0"/>
          <c:showSerName val="0"/>
          <c:showPercent val="0"/>
          <c:showBubbleSize val="0"/>
        </c:dLbls>
        <c:gapWidth val="219"/>
        <c:overlap val="-27"/>
        <c:axId val="480010652"/>
        <c:axId val="644781753"/>
      </c:barChart>
      <c:catAx>
        <c:axId val="48001065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644781753"/>
        <c:crosses val="autoZero"/>
        <c:auto val="1"/>
        <c:lblAlgn val="ctr"/>
        <c:lblOffset val="100"/>
        <c:noMultiLvlLbl val="0"/>
      </c:catAx>
      <c:valAx>
        <c:axId val="64478175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48001065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w="9525" cap="flat" cmpd="sng" algn="ctr">
      <a:solidFill>
        <a:schemeClr val="tx1">
          <a:lumMod val="15000"/>
          <a:lumOff val="85000"/>
        </a:schemeClr>
      </a:solidFill>
      <a:round/>
    </a:ln>
    <a:effectLst/>
  </c:spPr>
  <c:txPr>
    <a:bodyPr/>
    <a:lstStyle/>
    <a:p>
      <a:pPr>
        <a:defRPr lang="zh-CN" b="1"/>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收入决算结构图（单位：万元）</a:t>
            </a:r>
            <a:endParaRPr b="1"/>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541666666666667"/>
                  <c:y val="-0.26041666666666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24358036915291"/>
                  <c:y val="0.071443053859149"/>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[备忘录.xlsx]Sheet2!$O$61:$P$61</c:f>
              <c:strCache>
                <c:ptCount val="2"/>
                <c:pt idx="0">
                  <c:v>一般公共预算财政拨款收入</c:v>
                </c:pt>
                <c:pt idx="1">
                  <c:v>年初财政拨款结转结余收入</c:v>
                </c:pt>
              </c:strCache>
            </c:strRef>
          </c:cat>
          <c:val>
            <c:numRef>
              <c:f>[备忘录.xlsx]Sheet2!$O$62:$P$62</c:f>
              <c:numCache>
                <c:formatCode>General</c:formatCode>
                <c:ptCount val="2"/>
                <c:pt idx="0">
                  <c:v>2846.65</c:v>
                </c:pt>
                <c:pt idx="1">
                  <c:v>234.57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163263888888889"/>
          <c:y val="0.89166666666666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支出决算结构图（单位：万元）</a:t>
            </a:r>
            <a:endParaRPr b="1"/>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735337029471841"/>
                  <c:y val="-0.186223795262728"/>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[备忘录.xlsx]Sheet2!$A$81:$B$81</c:f>
              <c:strCache>
                <c:ptCount val="2"/>
                <c:pt idx="0">
                  <c:v>基本支出</c:v>
                </c:pt>
                <c:pt idx="1">
                  <c:v>项目支出</c:v>
                </c:pt>
              </c:strCache>
            </c:strRef>
          </c:cat>
          <c:val>
            <c:numRef>
              <c:f>[备忘录.xlsx]Sheet2!$A$82:$B$82</c:f>
              <c:numCache>
                <c:formatCode>General</c:formatCode>
                <c:ptCount val="2"/>
                <c:pt idx="0">
                  <c:v>2649.91</c:v>
                </c:pt>
                <c:pt idx="1">
                  <c:v>431.31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1" i="0" u="none" strike="noStrike" kern="1200" spc="0" baseline="0">
                <a:solidFill>
                  <a:schemeClr val="tx1">
                    <a:lumMod val="65000"/>
                    <a:lumOff val="35000"/>
                  </a:schemeClr>
                </a:solidFill>
                <a:latin typeface="+mn-lt"/>
                <a:ea typeface="+mn-ea"/>
                <a:cs typeface="+mn-cs"/>
              </a:defRPr>
            </a:pPr>
            <a:r>
              <a:rPr sz="1200" b="1"/>
              <a:t>财政拨款收、支决算总计变动情况图（单位：万元）</a:t>
            </a:r>
            <a:endParaRPr sz="1200" b="1"/>
          </a:p>
        </c:rich>
      </c:tx>
      <c:layout/>
      <c:overlay val="0"/>
      <c:spPr>
        <a:noFill/>
        <a:ln>
          <a:noFill/>
        </a:ln>
        <a:effectLst/>
      </c:spPr>
    </c:title>
    <c:autoTitleDeleted val="0"/>
    <c:plotArea>
      <c:layout/>
      <c:barChart>
        <c:barDir val="col"/>
        <c:grouping val="clustered"/>
        <c:varyColors val="0"/>
        <c:ser>
          <c:idx val="0"/>
          <c:order val="0"/>
          <c:tx>
            <c:strRef>
              <c:f>[备忘录.xlsx]Sheet2!$H$82</c:f>
              <c:strCache>
                <c:ptCount val="1"/>
                <c:pt idx="0">
                  <c:v>2022年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[备忘录.xlsx]Sheet2!$I$81:$J$81</c:f>
              <c:strCache>
                <c:ptCount val="2"/>
                <c:pt idx="0">
                  <c:v>财政拨款收入</c:v>
                </c:pt>
                <c:pt idx="1">
                  <c:v>财政拨款支出</c:v>
                </c:pt>
              </c:strCache>
            </c:strRef>
          </c:cat>
          <c:val>
            <c:numRef>
              <c:f>[备忘录.xlsx]Sheet2!$I$82:$J$82</c:f>
              <c:numCache>
                <c:formatCode>General</c:formatCode>
                <c:ptCount val="2"/>
                <c:pt idx="0">
                  <c:v>3081.22</c:v>
                </c:pt>
                <c:pt idx="1">
                  <c:v>3081.22</c:v>
                </c:pt>
              </c:numCache>
            </c:numRef>
          </c:val>
        </c:ser>
        <c:ser>
          <c:idx val="1"/>
          <c:order val="1"/>
          <c:tx>
            <c:strRef>
              <c:f>[备忘录.xlsx]Sheet2!$H$83</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[备忘录.xlsx]Sheet2!$I$81:$J$81</c:f>
              <c:strCache>
                <c:ptCount val="2"/>
                <c:pt idx="0">
                  <c:v>财政拨款收入</c:v>
                </c:pt>
                <c:pt idx="1">
                  <c:v>财政拨款支出</c:v>
                </c:pt>
              </c:strCache>
            </c:strRef>
          </c:cat>
          <c:val>
            <c:numRef>
              <c:f>[备忘录.xlsx]Sheet2!$I$83:$J$83</c:f>
              <c:numCache>
                <c:formatCode>General</c:formatCode>
                <c:ptCount val="2"/>
                <c:pt idx="0">
                  <c:v>2819.34</c:v>
                </c:pt>
                <c:pt idx="1">
                  <c:v>2879.25</c:v>
                </c:pt>
              </c:numCache>
            </c:numRef>
          </c:val>
        </c:ser>
        <c:dLbls>
          <c:showLegendKey val="0"/>
          <c:showVal val="1"/>
          <c:showCatName val="0"/>
          <c:showSerName val="0"/>
          <c:showPercent val="0"/>
          <c:showBubbleSize val="0"/>
        </c:dLbls>
        <c:gapWidth val="219"/>
        <c:overlap val="-27"/>
        <c:axId val="899359065"/>
        <c:axId val="595797754"/>
      </c:barChart>
      <c:catAx>
        <c:axId val="89935906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5797754"/>
        <c:crosses val="autoZero"/>
        <c:auto val="1"/>
        <c:lblAlgn val="ctr"/>
        <c:lblOffset val="100"/>
        <c:noMultiLvlLbl val="0"/>
      </c:catAx>
      <c:valAx>
        <c:axId val="59579775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935906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00" b="1" i="0" u="none" strike="noStrike" kern="1200" spc="0" baseline="0">
                <a:solidFill>
                  <a:schemeClr val="tx1">
                    <a:lumMod val="65000"/>
                    <a:lumOff val="35000"/>
                  </a:schemeClr>
                </a:solidFill>
                <a:latin typeface="+mn-lt"/>
                <a:ea typeface="+mn-ea"/>
                <a:cs typeface="+mn-cs"/>
              </a:defRPr>
            </a:pPr>
            <a:r>
              <a:rPr sz="1000" b="1"/>
              <a:t>一般公共预算财政拨款支出决算变动情况图（单位：万元）</a:t>
            </a:r>
            <a:endParaRPr sz="1000" b="1"/>
          </a:p>
        </c:rich>
      </c:tx>
      <c:layout/>
      <c:overlay val="0"/>
      <c:spPr>
        <a:noFill/>
        <a:ln>
          <a:noFill/>
        </a:ln>
        <a:effectLst/>
      </c:spPr>
    </c:title>
    <c:autoTitleDeleted val="0"/>
    <c:plotArea>
      <c:layout/>
      <c:barChart>
        <c:barDir val="col"/>
        <c:grouping val="clustered"/>
        <c:varyColors val="0"/>
        <c:ser>
          <c:idx val="0"/>
          <c:order val="0"/>
          <c:tx>
            <c:strRef>
              <c:f>[备忘录.xlsx]Sheet2!$P$81</c:f>
              <c:strCache>
                <c:ptCount val="1"/>
                <c:pt idx="0">
                  <c:v>一般公共预算财政拨款支出</c:v>
                </c:pt>
              </c:strCache>
            </c:strRef>
          </c:tx>
          <c:spPr>
            <a:solidFill>
              <a:schemeClr val="accent1"/>
            </a:solidFill>
            <a:ln>
              <a:noFill/>
            </a:ln>
            <a:effectLst/>
          </c:spPr>
          <c:invertIfNegative val="0"/>
          <c:dLbls>
            <c:dLbl>
              <c:idx val="0"/>
              <c:layout>
                <c:manualLayout>
                  <c:x val="-0.00161377084454008"/>
                  <c:y val="0.0890378171373863"/>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一般公共预算财政拨款支出, 3081.22万元</a:t>
                    </a:r>
                  </a:p>
                </c:rich>
              </c:tx>
              <c:dLblPos val="outEnd"/>
              <c:showLegendKey val="0"/>
              <c:showVal val="1"/>
              <c:showCatName val="0"/>
              <c:showSerName val="1"/>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一般公共预算财政拨款支出, 2879.25万元</a:t>
                    </a:r>
                  </a:p>
                </c:rich>
              </c:tx>
              <c:dLblPos val="outEnd"/>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1"/>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[备忘录.xlsx]Sheet2!$O$82:$O$83</c:f>
              <c:strCache>
                <c:ptCount val="2"/>
                <c:pt idx="0">
                  <c:v>2022年</c:v>
                </c:pt>
                <c:pt idx="1">
                  <c:v>2021年</c:v>
                </c:pt>
              </c:strCache>
            </c:strRef>
          </c:cat>
          <c:val>
            <c:numRef>
              <c:f>[备忘录.xlsx]Sheet2!$P$82:$P$83</c:f>
              <c:numCache>
                <c:formatCode>General</c:formatCode>
                <c:ptCount val="2"/>
                <c:pt idx="0">
                  <c:v>3081.22</c:v>
                </c:pt>
                <c:pt idx="1">
                  <c:v>2879.25</c:v>
                </c:pt>
              </c:numCache>
            </c:numRef>
          </c:val>
        </c:ser>
        <c:dLbls>
          <c:showLegendKey val="0"/>
          <c:showVal val="1"/>
          <c:showCatName val="0"/>
          <c:showSerName val="0"/>
          <c:showPercent val="0"/>
          <c:showBubbleSize val="0"/>
        </c:dLbls>
        <c:gapWidth val="219"/>
        <c:overlap val="-27"/>
        <c:axId val="280768055"/>
        <c:axId val="417464362"/>
      </c:barChart>
      <c:catAx>
        <c:axId val="28076805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417464362"/>
        <c:crosses val="autoZero"/>
        <c:auto val="1"/>
        <c:lblAlgn val="ctr"/>
        <c:lblOffset val="100"/>
        <c:noMultiLvlLbl val="0"/>
      </c:catAx>
      <c:valAx>
        <c:axId val="41746436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280768055"/>
        <c:crosses val="autoZero"/>
        <c:crossBetween val="between"/>
      </c:valAx>
      <c:spPr>
        <a:noFill/>
        <a:ln>
          <a:noFill/>
        </a:ln>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880000" scaled="0"/>
    </a:gradFill>
    <a:ln w="9525" cap="flat" cmpd="sng" algn="ctr">
      <a:solidFill>
        <a:schemeClr val="tx1">
          <a:lumMod val="15000"/>
          <a:lumOff val="85000"/>
        </a:schemeClr>
      </a:solidFill>
      <a:round/>
    </a:ln>
    <a:effectLst/>
  </c:spPr>
  <c:txPr>
    <a:bodyPr/>
    <a:lstStyle/>
    <a:p>
      <a:pPr>
        <a:defRPr lang="zh-CN" sz="1000"/>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00" b="1" i="0" u="none" strike="noStrike" kern="1200" spc="0" baseline="0">
                <a:solidFill>
                  <a:schemeClr val="tx1">
                    <a:lumMod val="65000"/>
                    <a:lumOff val="35000"/>
                  </a:schemeClr>
                </a:solidFill>
                <a:latin typeface="+mn-lt"/>
                <a:ea typeface="+mn-ea"/>
                <a:cs typeface="+mn-cs"/>
              </a:defRPr>
            </a:pPr>
            <a:r>
              <a:rPr sz="1000" b="1"/>
              <a:t>一般公共预算财政拨款支出决算结构图（单位：万元）</a:t>
            </a:r>
            <a:endParaRPr sz="1000" b="1"/>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108348381719683"/>
                  <c:y val="-0.17708333333333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一般公共服务, 2540.84万元</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992399084445455"/>
                  <c:y val="0.0732338375711169"/>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社会保障和就业, 247.61万元</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140272183157471"/>
                  <c:y val="0.039490067139529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卫生健康支出, 95.36万元</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0110723720547165"/>
                  <c:y val="-0.00193847249950249"/>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农林水支出, 27.2万元</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18476904428217"/>
                  <c:y val="0.026084275491097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住房保障支出, 170.21万元</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[备忘录.xlsx]Sheet2!$A$101:$E$101</c:f>
              <c:strCache>
                <c:ptCount val="5"/>
                <c:pt idx="0">
                  <c:v>一般公共服务</c:v>
                </c:pt>
                <c:pt idx="1">
                  <c:v>社会保障和就业</c:v>
                </c:pt>
                <c:pt idx="2">
                  <c:v>卫生健康支出</c:v>
                </c:pt>
                <c:pt idx="3">
                  <c:v>农林水支出</c:v>
                </c:pt>
                <c:pt idx="4">
                  <c:v>住房保障支出</c:v>
                </c:pt>
              </c:strCache>
            </c:strRef>
          </c:cat>
          <c:val>
            <c:numRef>
              <c:f>[备忘录.xlsx]Sheet2!$A$102:$E$102</c:f>
              <c:numCache>
                <c:formatCode>General</c:formatCode>
                <c:ptCount val="5"/>
                <c:pt idx="0">
                  <c:v>2540.84</c:v>
                </c:pt>
                <c:pt idx="1">
                  <c:v>247.61</c:v>
                </c:pt>
                <c:pt idx="2">
                  <c:v>95.36</c:v>
                </c:pt>
                <c:pt idx="3">
                  <c:v>27.2</c:v>
                </c:pt>
                <c:pt idx="4">
                  <c:v>170.21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400"/>
              <a:t>“</a:t>
            </a:r>
            <a:r>
              <a:rPr altLang="en-US" sz="1400"/>
              <a:t>三公</a:t>
            </a:r>
            <a:r>
              <a:rPr lang="en-US" altLang="zh-CN" sz="1400"/>
              <a:t>”</a:t>
            </a:r>
            <a:r>
              <a:rPr altLang="en-US" sz="1400"/>
              <a:t>经费财政拨款支出结构图（单位：万元）</a:t>
            </a:r>
            <a:endParaRPr altLang="en-US" sz="1400"/>
          </a:p>
        </c:rich>
      </c:tx>
      <c:layout/>
      <c:overlay val="0"/>
      <c:spPr>
        <a:noFill/>
        <a:ln>
          <a:noFill/>
        </a:ln>
        <a:effectLst/>
      </c:spPr>
    </c:title>
    <c:autoTitleDeleted val="0"/>
    <c:plotArea>
      <c:layout/>
      <c:pieChart>
        <c:varyColors val="1"/>
        <c:ser>
          <c:idx val="0"/>
          <c:order val="0"/>
          <c:tx>
            <c:strRef>
              <c:f>[备忘录.xlsx]Sheet2!$H$101</c:f>
              <c:strCache>
                <c:ptCount val="1"/>
                <c:pt idx="0">
                  <c:v>公务接待费</c:v>
                </c:pt>
              </c:strCache>
            </c:strRef>
          </c:tx>
          <c:spPr/>
          <c:explosion val="0"/>
          <c:dPt>
            <c:idx val="0"/>
            <c:bubble3D val="0"/>
            <c:spPr>
              <a:solidFill>
                <a:schemeClr val="accent1"/>
              </a:solidFill>
              <a:ln w="19050">
                <a:solidFill>
                  <a:schemeClr val="lt1"/>
                </a:solidFill>
              </a:ln>
              <a:effectLst/>
            </c:spPr>
          </c:dPt>
          <c:dLbls>
            <c:dLbl>
              <c:idx val="0"/>
              <c:layout>
                <c:manualLayout>
                  <c:x val="0.0112288797440878"/>
                  <c:y val="-0.15178619331882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900"/>
                      <a:t>公务接待费1.34万元,占 100%</a:t>
                    </a:r>
                    <a:endParaRPr sz="900"/>
                  </a:p>
                </c:rich>
              </c:tx>
              <c:numFmt formatCode="General" sourceLinked="1"/>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extLst>
                <c:ext xmlns:c15="http://schemas.microsoft.com/office/drawing/2012/chart" uri="{CE6537A1-D6FC-4f65-9D91-7224C49458BB}">
                  <c15:layout/>
                </c:ext>
              </c:extLst>
            </c:dLbl>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[备忘录.xlsx]Sheet2!$I$101</c:f>
              <c:numCache>
                <c:formatCode>General</c:formatCode>
                <c:ptCount val="1"/>
                <c:pt idx="0">
                  <c:v>1.34</c:v>
                </c:pt>
              </c:numCache>
            </c:numRef>
          </c:val>
        </c:ser>
        <c:dLbls>
          <c:showLegendKey val="0"/>
          <c:showVal val="1"/>
          <c:showCatName val="0"/>
          <c:showSerName val="0"/>
          <c:showPercent val="1"/>
          <c:showBubbleSize val="0"/>
          <c:showLeaderLines val="1"/>
        </c:dLbls>
        <c:firstSliceAng val="0"/>
      </c:pieChart>
      <c:spPr>
        <a:noFill/>
        <a:ln>
          <a:noFill/>
        </a:ln>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w="9525" cap="flat" cmpd="sng" algn="ctr">
      <a:solidFill>
        <a:schemeClr val="tx1">
          <a:lumMod val="15000"/>
          <a:lumOff val="85000"/>
        </a:schemeClr>
      </a:solidFill>
      <a:round/>
    </a:ln>
    <a:effectLst/>
  </c:spPr>
  <c:txPr>
    <a:bodyPr/>
    <a:lstStyle/>
    <a:p>
      <a:pPr>
        <a:defRPr lang="zh-CN" sz="800"/>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14</TotalTime>
  <ScaleCrop>false</ScaleCrop>
  <LinksUpToDate>false</LinksUpToDate>
  <CharactersWithSpaces>8692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不一样的烟火</cp:lastModifiedBy>
  <cp:lastPrinted>2023-10-11T07:51:00Z</cp:lastPrinted>
  <dcterms:modified xsi:type="dcterms:W3CDTF">2023-10-13T08:10:57Z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D6DC58CDA17A444A82D0BCC1476333C5_12</vt:lpwstr>
  </property>
</Properties>
</file>