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15377193"/>
      <w:bookmarkStart w:id="4" w:name="_Toc15377425"/>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78442"/>
      <w:bookmarkStart w:id="8" w:name="_Toc15377194"/>
      <w:bookmarkStart w:id="9" w:name="_Toc15396598"/>
      <w:bookmarkStart w:id="10" w:name="_Toc15377426"/>
      <w:r>
        <w:rPr>
          <w:rFonts w:hint="eastAsia" w:ascii="方正小标宋简体" w:hAnsi="方正小标宋简体" w:eastAsia="方正小标宋简体" w:cs="方正小标宋简体"/>
          <w:color w:val="auto"/>
          <w:sz w:val="72"/>
          <w:szCs w:val="72"/>
          <w:highlight w:val="none"/>
          <w:lang w:eastAsia="zh-CN"/>
        </w:rPr>
        <w:t>大竹县</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财政局单位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pPr>
        <w:pStyle w:val="11"/>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2"/>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pStyle w:val="3"/>
        <w:numPr>
          <w:ilvl w:val="0"/>
          <w:numId w:val="1"/>
        </w:numPr>
        <w:rPr>
          <w:rStyle w:val="25"/>
          <w:rFonts w:hint="eastAsia" w:ascii="黑体" w:hAnsi="黑体" w:eastAsia="黑体"/>
          <w:b w:val="0"/>
          <w:bCs w:val="0"/>
          <w:color w:val="auto"/>
          <w:highlight w:val="none"/>
          <w:lang w:eastAsia="zh-CN"/>
        </w:rPr>
      </w:pPr>
      <w:bookmarkStart w:id="14" w:name="_Toc15396600"/>
      <w:bookmarkStart w:id="15" w:name="_Toc15377197"/>
      <w:r>
        <w:rPr>
          <w:rStyle w:val="25"/>
          <w:rFonts w:hint="eastAsia" w:ascii="黑体" w:hAnsi="黑体" w:eastAsia="黑体"/>
          <w:b w:val="0"/>
          <w:bCs w:val="0"/>
          <w:color w:val="auto"/>
          <w:highlight w:val="none"/>
          <w:lang w:eastAsia="zh-CN"/>
        </w:rPr>
        <w:t>主要职责</w:t>
      </w:r>
    </w:p>
    <w:p>
      <w:pPr>
        <w:spacing w:line="600" w:lineRule="exact"/>
        <w:ind w:firstLine="640" w:firstLineChars="200"/>
        <w:rPr>
          <w:rFonts w:hint="eastAsia"/>
          <w:lang w:eastAsia="zh-CN"/>
        </w:rPr>
      </w:pPr>
      <w:r>
        <w:rPr>
          <w:rFonts w:hint="eastAsia" w:ascii="仿宋" w:hAnsi="仿宋" w:eastAsia="仿宋"/>
          <w:sz w:val="32"/>
          <w:szCs w:val="32"/>
        </w:rPr>
        <w:t>大竹县财政局是贯彻执行国家财税政策，承担各项财政收支管理责任，负责编制年度县级预决算草案并组织执行，以及监督财政性经济发展支出等财政管理相关工作的县政府组成部门。</w:t>
      </w:r>
    </w:p>
    <w:p>
      <w:pPr>
        <w:pStyle w:val="3"/>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r>
        <w:rPr>
          <w:rFonts w:hint="eastAsia" w:ascii="仿宋" w:hAnsi="仿宋" w:eastAsia="仿宋"/>
          <w:color w:val="auto"/>
          <w:sz w:val="32"/>
          <w:szCs w:val="32"/>
          <w:highlight w:val="none"/>
          <w:lang w:eastAsia="zh-CN"/>
        </w:rPr>
        <w:t>财政局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bookmarkEnd w:id="14"/>
    <w:bookmarkEnd w:id="15"/>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入增加261.88万元，增长9.29%；</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总计增加201.97万元，增长7.01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增加了资产清查、财政预算一体化系统等</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 w:hAnsi="仿宋" w:eastAsia="仿宋"/>
          <w:color w:val="auto"/>
          <w:sz w:val="32"/>
          <w:szCs w:val="32"/>
          <w:highlight w:val="none"/>
          <w:lang w:eastAsia="zh-CN"/>
        </w:rPr>
      </w:pPr>
      <w:r>
        <w:drawing>
          <wp:inline distT="0" distB="0" distL="114300" distR="114300">
            <wp:extent cx="4502150" cy="2432050"/>
            <wp:effectExtent l="4445" t="5080" r="19685" b="1651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2846.65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92.39</w:t>
      </w:r>
      <w:r>
        <w:rPr>
          <w:rFonts w:ascii="仿宋" w:hAnsi="仿宋" w:eastAsia="仿宋"/>
          <w:color w:val="auto"/>
          <w:sz w:val="32"/>
          <w:szCs w:val="32"/>
          <w:highlight w:val="none"/>
        </w:rPr>
        <w:t>%</w:t>
      </w:r>
      <w:r>
        <w:rPr>
          <w:rFonts w:hint="eastAsia" w:ascii="仿宋" w:hAnsi="仿宋" w:eastAsia="仿宋"/>
          <w:color w:val="auto"/>
          <w:sz w:val="32"/>
          <w:szCs w:val="32"/>
          <w:highlight w:val="none"/>
        </w:rPr>
        <w:t>；年初财政拨款结转结余收入</w:t>
      </w:r>
      <w:r>
        <w:rPr>
          <w:rFonts w:hint="eastAsia" w:ascii="仿宋" w:hAnsi="仿宋" w:eastAsia="仿宋"/>
          <w:color w:val="auto"/>
          <w:sz w:val="32"/>
          <w:szCs w:val="32"/>
          <w:highlight w:val="none"/>
          <w:lang w:val="en-US" w:eastAsia="zh-CN"/>
        </w:rPr>
        <w:t>234.57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pPr>
      <w:r>
        <w:drawing>
          <wp:inline distT="0" distB="0" distL="114300" distR="114300">
            <wp:extent cx="4227195" cy="2353945"/>
            <wp:effectExtent l="4445" t="4445" r="5080" b="1905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2649.91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431.31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pPr>
      <w:r>
        <w:drawing>
          <wp:inline distT="0" distB="0" distL="114300" distR="114300">
            <wp:extent cx="4299585" cy="2385060"/>
            <wp:effectExtent l="4445" t="4445" r="8890" b="1841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5"/>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3081.22万元，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eastAsia="zh-CN"/>
        </w:rPr>
        <w:t>入增加261.88万元，增长9.29</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总计各增加201.97万元，增长7.01%。主要变动原因是项目增加导致人员经费增长以及项目支出增多。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drawing>
          <wp:inline distT="0" distB="0" distL="114300" distR="114300">
            <wp:extent cx="4248150" cy="2466340"/>
            <wp:effectExtent l="4445" t="4445" r="14605" b="1333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201.97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7.01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财政预算一体化系统等</w:t>
      </w:r>
      <w:r>
        <w:rPr>
          <w:rFonts w:hint="eastAsia" w:ascii="仿宋" w:hAnsi="仿宋" w:eastAsia="仿宋"/>
          <w:color w:val="auto"/>
          <w:sz w:val="32"/>
          <w:szCs w:val="32"/>
          <w:highlight w:val="none"/>
        </w:rPr>
        <w:t>项目增加导致项目支出增多。</w:t>
      </w:r>
      <w:r>
        <w:drawing>
          <wp:inline distT="0" distB="0" distL="114300" distR="114300">
            <wp:extent cx="5302885" cy="2346960"/>
            <wp:effectExtent l="4445" t="4445" r="11430" b="1079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3081.22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sz w:val="32"/>
          <w:szCs w:val="32"/>
        </w:rPr>
        <w:t>（201）</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2540.84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sz w:val="32"/>
          <w:szCs w:val="32"/>
        </w:rPr>
        <w:t>（208）</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247.61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sz w:val="32"/>
          <w:szCs w:val="32"/>
        </w:rPr>
        <w:t>（2</w:t>
      </w:r>
      <w:r>
        <w:rPr>
          <w:rFonts w:hint="eastAsia" w:ascii="仿宋" w:hAnsi="仿宋" w:eastAsia="仿宋"/>
          <w:b/>
          <w:sz w:val="32"/>
          <w:szCs w:val="32"/>
          <w:lang w:val="en-US" w:eastAsia="zh-CN"/>
        </w:rPr>
        <w:t>10</w:t>
      </w:r>
      <w:r>
        <w:rPr>
          <w:rFonts w:hint="eastAsia" w:ascii="仿宋" w:hAnsi="仿宋" w:eastAsia="仿宋"/>
          <w:b/>
          <w:sz w:val="32"/>
          <w:szCs w:val="32"/>
        </w:rPr>
        <w:t>）</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95.36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w:t>
      </w:r>
      <w:r>
        <w:rPr>
          <w:rFonts w:hint="eastAsia" w:ascii="仿宋" w:hAnsi="仿宋" w:eastAsia="仿宋"/>
          <w:b/>
          <w:sz w:val="32"/>
          <w:szCs w:val="32"/>
        </w:rPr>
        <w:t>（2</w:t>
      </w:r>
      <w:r>
        <w:rPr>
          <w:rFonts w:hint="eastAsia" w:ascii="仿宋" w:hAnsi="仿宋" w:eastAsia="仿宋"/>
          <w:b/>
          <w:sz w:val="32"/>
          <w:szCs w:val="32"/>
          <w:lang w:val="en-US" w:eastAsia="zh-CN"/>
        </w:rPr>
        <w:t>13</w:t>
      </w:r>
      <w:r>
        <w:rPr>
          <w:rFonts w:hint="eastAsia" w:ascii="仿宋" w:hAnsi="仿宋" w:eastAsia="仿宋"/>
          <w:b/>
          <w:sz w:val="32"/>
          <w:szCs w:val="32"/>
        </w:rPr>
        <w:t>）</w:t>
      </w:r>
      <w:r>
        <w:rPr>
          <w:rFonts w:hint="eastAsia" w:ascii="仿宋" w:hAnsi="仿宋" w:eastAsia="仿宋"/>
          <w:b/>
          <w:bCs/>
          <w:color w:val="auto"/>
          <w:sz w:val="32"/>
          <w:szCs w:val="32"/>
          <w:highlight w:val="none"/>
          <w:lang w:eastAsia="zh-CN"/>
        </w:rPr>
        <w:t>支出</w:t>
      </w:r>
      <w:r>
        <w:rPr>
          <w:rFonts w:hint="eastAsia" w:ascii="仿宋" w:hAnsi="仿宋" w:eastAsia="仿宋"/>
          <w:color w:val="auto"/>
          <w:sz w:val="32"/>
          <w:szCs w:val="32"/>
          <w:highlight w:val="none"/>
          <w:lang w:val="en-US" w:eastAsia="zh-CN"/>
        </w:rPr>
        <w:t>27.2万元，占0.88%；</w:t>
      </w:r>
      <w:r>
        <w:rPr>
          <w:rFonts w:hint="eastAsia" w:ascii="仿宋" w:hAnsi="仿宋" w:eastAsia="仿宋"/>
          <w:b/>
          <w:bCs/>
          <w:color w:val="auto"/>
          <w:sz w:val="32"/>
          <w:szCs w:val="32"/>
          <w:highlight w:val="none"/>
        </w:rPr>
        <w:t>住房保障</w:t>
      </w:r>
      <w:r>
        <w:rPr>
          <w:rFonts w:hint="eastAsia" w:ascii="仿宋" w:hAnsi="仿宋" w:eastAsia="仿宋"/>
          <w:b/>
          <w:sz w:val="32"/>
          <w:szCs w:val="32"/>
        </w:rPr>
        <w:t>（2</w:t>
      </w:r>
      <w:r>
        <w:rPr>
          <w:rFonts w:hint="eastAsia" w:ascii="仿宋" w:hAnsi="仿宋" w:eastAsia="仿宋"/>
          <w:b/>
          <w:sz w:val="32"/>
          <w:szCs w:val="32"/>
          <w:lang w:val="en-US" w:eastAsia="zh-CN"/>
        </w:rPr>
        <w:t>21</w:t>
      </w:r>
      <w:r>
        <w:rPr>
          <w:rFonts w:hint="eastAsia" w:ascii="仿宋" w:hAnsi="仿宋" w:eastAsia="仿宋"/>
          <w:b/>
          <w:sz w:val="32"/>
          <w:szCs w:val="32"/>
        </w:rPr>
        <w:t>）</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170.21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ascii="仿宋" w:hAnsi="仿宋" w:eastAsia="仿宋"/>
          <w:color w:val="auto"/>
          <w:sz w:val="32"/>
          <w:szCs w:val="32"/>
          <w:highlight w:val="none"/>
        </w:rPr>
      </w:pPr>
      <w:r>
        <w:drawing>
          <wp:inline distT="0" distB="0" distL="114300" distR="114300">
            <wp:extent cx="4179570" cy="2550795"/>
            <wp:effectExtent l="4445" t="4445" r="6985" b="508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3081.22万元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numPr>
          <w:ilvl w:val="0"/>
          <w:numId w:val="3"/>
        </w:num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政府办公厅（室）及相关机构事务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行政运行</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21.94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财政事务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06</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行政运行</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1258.52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财政事务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06</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一般行政管理事务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431.31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财政事务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06</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事业运行</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50</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574.56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财政事务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06</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其他财政事务支出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234.55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color w:val="auto"/>
          <w:sz w:val="32"/>
          <w:szCs w:val="32"/>
          <w:highlight w:val="none"/>
        </w:rPr>
        <w:t>一般公共服务（</w:t>
      </w:r>
      <w:r>
        <w:rPr>
          <w:rStyle w:val="14"/>
          <w:rFonts w:hint="eastAsia" w:ascii="仿宋" w:hAnsi="仿宋" w:eastAsia="仿宋"/>
          <w:bCs/>
          <w:color w:val="auto"/>
          <w:sz w:val="32"/>
          <w:szCs w:val="32"/>
          <w:highlight w:val="none"/>
          <w:lang w:val="en-US" w:eastAsia="zh-CN"/>
        </w:rPr>
        <w:t>201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纪检监察事务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11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派驻派出机构</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19.96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sz w:val="32"/>
          <w:szCs w:val="32"/>
        </w:rPr>
        <w:t>社会保障和就业（208）人力资源和社会保障管理事务（01）其他人力资源和社会保障管理事务支出（99）</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sz w:val="32"/>
          <w:szCs w:val="32"/>
        </w:rPr>
        <w:t>社会保障和就业（208）行政事业单位养老支出（05）机关事业单位基本养老保险缴费支出（05）</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153.56</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pPr>
      <w:r>
        <w:rPr>
          <w:rStyle w:val="14"/>
          <w:rFonts w:hint="eastAsia" w:ascii="仿宋" w:hAnsi="仿宋" w:eastAsia="仿宋"/>
          <w:bCs/>
          <w:sz w:val="32"/>
          <w:szCs w:val="32"/>
        </w:rPr>
        <w:t>社会保障和就业（208）行政事业单位养老支出（05）机关事业单位职业年金缴费支出（06）</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54.1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Style w:val="14"/>
          <w:rFonts w:hint="eastAsia" w:ascii="仿宋" w:hAnsi="仿宋" w:eastAsia="仿宋"/>
          <w:b w:val="0"/>
          <w:bCs/>
          <w:sz w:val="32"/>
          <w:szCs w:val="32"/>
        </w:rPr>
      </w:pPr>
      <w:r>
        <w:rPr>
          <w:rStyle w:val="14"/>
          <w:rFonts w:hint="eastAsia" w:ascii="仿宋" w:hAnsi="仿宋" w:eastAsia="仿宋"/>
          <w:bCs/>
          <w:sz w:val="32"/>
          <w:szCs w:val="32"/>
        </w:rPr>
        <w:t>社会保障和就业（208）行政事业单位养老支出（05）其他行政事业单位养老支出（99）</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20.18</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Style w:val="14"/>
          <w:rFonts w:hint="eastAsia" w:ascii="仿宋" w:hAnsi="仿宋" w:eastAsia="仿宋"/>
          <w:b w:val="0"/>
          <w:bCs/>
          <w:sz w:val="32"/>
          <w:szCs w:val="32"/>
        </w:rPr>
      </w:pPr>
      <w:r>
        <w:rPr>
          <w:rStyle w:val="14"/>
          <w:rFonts w:hint="eastAsia" w:ascii="仿宋" w:hAnsi="仿宋" w:eastAsia="仿宋"/>
          <w:bCs/>
          <w:sz w:val="32"/>
          <w:szCs w:val="32"/>
        </w:rPr>
        <w:t>社会保障和就业（208）</w:t>
      </w:r>
      <w:r>
        <w:rPr>
          <w:rStyle w:val="14"/>
          <w:rFonts w:hint="eastAsia" w:ascii="仿宋" w:hAnsi="仿宋" w:eastAsia="仿宋"/>
          <w:bCs/>
          <w:sz w:val="32"/>
          <w:szCs w:val="32"/>
          <w:lang w:eastAsia="zh-CN"/>
        </w:rPr>
        <w:t>抚恤</w:t>
      </w:r>
      <w:r>
        <w:rPr>
          <w:rStyle w:val="14"/>
          <w:rFonts w:hint="eastAsia" w:ascii="仿宋" w:hAnsi="仿宋" w:eastAsia="仿宋"/>
          <w:bCs/>
          <w:sz w:val="32"/>
          <w:szCs w:val="32"/>
        </w:rPr>
        <w:t>（0</w:t>
      </w:r>
      <w:r>
        <w:rPr>
          <w:rStyle w:val="14"/>
          <w:rFonts w:hint="eastAsia" w:ascii="仿宋" w:hAnsi="仿宋" w:eastAsia="仿宋"/>
          <w:bCs/>
          <w:sz w:val="32"/>
          <w:szCs w:val="32"/>
          <w:lang w:val="en-US" w:eastAsia="zh-CN"/>
        </w:rPr>
        <w:t>8</w:t>
      </w:r>
      <w:r>
        <w:rPr>
          <w:rStyle w:val="14"/>
          <w:rFonts w:hint="eastAsia" w:ascii="仿宋" w:hAnsi="仿宋" w:eastAsia="仿宋"/>
          <w:bCs/>
          <w:sz w:val="32"/>
          <w:szCs w:val="32"/>
        </w:rPr>
        <w:t>）</w:t>
      </w:r>
      <w:r>
        <w:rPr>
          <w:rStyle w:val="14"/>
          <w:rFonts w:hint="eastAsia" w:ascii="仿宋" w:hAnsi="仿宋" w:eastAsia="仿宋"/>
          <w:bCs/>
          <w:sz w:val="32"/>
          <w:szCs w:val="32"/>
          <w:lang w:eastAsia="zh-CN"/>
        </w:rPr>
        <w:t>死亡抚恤</w:t>
      </w:r>
      <w:r>
        <w:rPr>
          <w:rStyle w:val="14"/>
          <w:rFonts w:hint="eastAsia" w:ascii="仿宋" w:hAnsi="仿宋" w:eastAsia="仿宋"/>
          <w:bCs/>
          <w:sz w:val="32"/>
          <w:szCs w:val="32"/>
        </w:rPr>
        <w:t>（</w:t>
      </w:r>
      <w:r>
        <w:rPr>
          <w:rStyle w:val="14"/>
          <w:rFonts w:hint="eastAsia" w:ascii="仿宋" w:hAnsi="仿宋" w:eastAsia="仿宋"/>
          <w:bCs/>
          <w:sz w:val="32"/>
          <w:szCs w:val="32"/>
          <w:lang w:val="en-US" w:eastAsia="zh-CN"/>
        </w:rPr>
        <w:t>01</w:t>
      </w:r>
      <w:r>
        <w:rPr>
          <w:rStyle w:val="14"/>
          <w:rFonts w:hint="eastAsia" w:ascii="仿宋" w:hAnsi="仿宋" w:eastAsia="仿宋"/>
          <w:bCs/>
          <w:sz w:val="32"/>
          <w:szCs w:val="32"/>
        </w:rPr>
        <w:t>）</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16.77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Style w:val="14"/>
          <w:rFonts w:hint="eastAsia" w:ascii="仿宋" w:hAnsi="仿宋" w:eastAsia="仿宋"/>
          <w:b w:val="0"/>
          <w:bCs/>
          <w:sz w:val="32"/>
          <w:szCs w:val="32"/>
        </w:rPr>
      </w:pPr>
      <w:r>
        <w:rPr>
          <w:rFonts w:hint="eastAsia" w:ascii="仿宋" w:hAnsi="仿宋" w:eastAsia="仿宋"/>
          <w:b/>
          <w:bCs/>
          <w:sz w:val="32"/>
          <w:szCs w:val="32"/>
        </w:rPr>
        <w:t>卫生健康</w:t>
      </w:r>
      <w:r>
        <w:rPr>
          <w:rStyle w:val="14"/>
          <w:rFonts w:hint="eastAsia" w:ascii="仿宋" w:hAnsi="仿宋" w:eastAsia="仿宋"/>
          <w:bCs/>
          <w:sz w:val="32"/>
          <w:szCs w:val="32"/>
        </w:rPr>
        <w:t>（210）行政事业单位医疗（11）行政单位医疗（01）</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39.84</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Style w:val="14"/>
          <w:rFonts w:hint="eastAsia" w:ascii="仿宋" w:hAnsi="仿宋" w:eastAsia="仿宋"/>
          <w:b w:val="0"/>
          <w:bCs/>
          <w:sz w:val="32"/>
          <w:szCs w:val="32"/>
        </w:rPr>
      </w:pPr>
      <w:r>
        <w:rPr>
          <w:rFonts w:hint="eastAsia" w:ascii="仿宋" w:hAnsi="仿宋" w:eastAsia="仿宋"/>
          <w:b/>
          <w:bCs/>
          <w:sz w:val="32"/>
          <w:szCs w:val="32"/>
        </w:rPr>
        <w:t>卫生健康</w:t>
      </w:r>
      <w:r>
        <w:rPr>
          <w:rStyle w:val="14"/>
          <w:rFonts w:hint="eastAsia" w:ascii="仿宋" w:hAnsi="仿宋" w:eastAsia="仿宋"/>
          <w:bCs/>
          <w:sz w:val="32"/>
          <w:szCs w:val="32"/>
        </w:rPr>
        <w:t>（210）行政事业单位医疗（11）</w:t>
      </w:r>
      <w:r>
        <w:rPr>
          <w:rStyle w:val="14"/>
          <w:rFonts w:hint="eastAsia" w:ascii="仿宋" w:hAnsi="仿宋" w:eastAsia="仿宋"/>
          <w:bCs/>
          <w:sz w:val="32"/>
          <w:szCs w:val="32"/>
          <w:lang w:eastAsia="zh-CN"/>
        </w:rPr>
        <w:t>事业</w:t>
      </w:r>
      <w:r>
        <w:rPr>
          <w:rStyle w:val="14"/>
          <w:rFonts w:hint="eastAsia" w:ascii="仿宋" w:hAnsi="仿宋" w:eastAsia="仿宋"/>
          <w:bCs/>
          <w:sz w:val="32"/>
          <w:szCs w:val="32"/>
        </w:rPr>
        <w:t>单位医疗（0</w:t>
      </w:r>
      <w:r>
        <w:rPr>
          <w:rStyle w:val="14"/>
          <w:rFonts w:hint="eastAsia" w:ascii="仿宋" w:hAnsi="仿宋" w:eastAsia="仿宋"/>
          <w:bCs/>
          <w:sz w:val="32"/>
          <w:szCs w:val="32"/>
          <w:lang w:val="en-US" w:eastAsia="zh-CN"/>
        </w:rPr>
        <w:t>2</w:t>
      </w:r>
      <w:r>
        <w:rPr>
          <w:rStyle w:val="14"/>
          <w:rFonts w:hint="eastAsia" w:ascii="仿宋" w:hAnsi="仿宋" w:eastAsia="仿宋"/>
          <w:bCs/>
          <w:sz w:val="32"/>
          <w:szCs w:val="32"/>
        </w:rPr>
        <w:t>）</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28.59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Style w:val="14"/>
          <w:rFonts w:hint="eastAsia" w:ascii="仿宋" w:hAnsi="仿宋" w:eastAsia="仿宋"/>
          <w:b w:val="0"/>
          <w:bCs/>
          <w:sz w:val="32"/>
          <w:szCs w:val="32"/>
        </w:rPr>
      </w:pPr>
      <w:r>
        <w:rPr>
          <w:rFonts w:hint="eastAsia" w:ascii="仿宋" w:hAnsi="仿宋" w:eastAsia="仿宋"/>
          <w:b/>
          <w:bCs/>
          <w:sz w:val="32"/>
          <w:szCs w:val="32"/>
        </w:rPr>
        <w:t>卫生健康</w:t>
      </w:r>
      <w:r>
        <w:rPr>
          <w:rStyle w:val="14"/>
          <w:rFonts w:hint="eastAsia" w:ascii="仿宋" w:hAnsi="仿宋" w:eastAsia="仿宋"/>
          <w:bCs/>
          <w:sz w:val="32"/>
          <w:szCs w:val="32"/>
        </w:rPr>
        <w:t>（210）行政事业单位医疗（11）</w:t>
      </w:r>
      <w:r>
        <w:rPr>
          <w:rStyle w:val="14"/>
          <w:rFonts w:hint="eastAsia" w:ascii="仿宋" w:hAnsi="仿宋" w:eastAsia="仿宋"/>
          <w:bCs/>
          <w:sz w:val="32"/>
          <w:szCs w:val="32"/>
          <w:lang w:eastAsia="zh-CN"/>
        </w:rPr>
        <w:t>公务员医疗补助</w:t>
      </w:r>
      <w:r>
        <w:rPr>
          <w:rStyle w:val="14"/>
          <w:rFonts w:hint="eastAsia" w:ascii="仿宋" w:hAnsi="仿宋" w:eastAsia="仿宋"/>
          <w:bCs/>
          <w:sz w:val="32"/>
          <w:szCs w:val="32"/>
        </w:rPr>
        <w:t>（0</w:t>
      </w:r>
      <w:r>
        <w:rPr>
          <w:rStyle w:val="14"/>
          <w:rFonts w:hint="eastAsia" w:ascii="仿宋" w:hAnsi="仿宋" w:eastAsia="仿宋"/>
          <w:bCs/>
          <w:sz w:val="32"/>
          <w:szCs w:val="32"/>
          <w:lang w:val="en-US" w:eastAsia="zh-CN"/>
        </w:rPr>
        <w:t>3</w:t>
      </w:r>
      <w:r>
        <w:rPr>
          <w:rStyle w:val="14"/>
          <w:rFonts w:hint="eastAsia" w:ascii="仿宋" w:hAnsi="仿宋" w:eastAsia="仿宋"/>
          <w:bCs/>
          <w:sz w:val="32"/>
          <w:szCs w:val="32"/>
        </w:rPr>
        <w:t>）</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26.92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Style w:val="14"/>
          <w:rFonts w:hint="eastAsia" w:ascii="仿宋" w:hAnsi="仿宋" w:eastAsia="仿宋"/>
          <w:b w:val="0"/>
          <w:bCs/>
          <w:sz w:val="32"/>
          <w:szCs w:val="32"/>
        </w:rPr>
      </w:pPr>
      <w:r>
        <w:rPr>
          <w:rFonts w:hint="eastAsia" w:ascii="仿宋" w:hAnsi="仿宋" w:eastAsia="仿宋"/>
          <w:b/>
          <w:bCs/>
          <w:sz w:val="32"/>
          <w:szCs w:val="32"/>
          <w:lang w:eastAsia="zh-CN"/>
        </w:rPr>
        <w:t>农林水支出（</w:t>
      </w:r>
      <w:r>
        <w:rPr>
          <w:rFonts w:hint="eastAsia" w:ascii="仿宋" w:hAnsi="仿宋" w:eastAsia="仿宋"/>
          <w:b/>
          <w:bCs/>
          <w:sz w:val="32"/>
          <w:szCs w:val="32"/>
          <w:lang w:val="en-US" w:eastAsia="zh-CN"/>
        </w:rPr>
        <w:t>213</w:t>
      </w:r>
      <w:r>
        <w:rPr>
          <w:rFonts w:hint="eastAsia" w:ascii="仿宋" w:hAnsi="仿宋" w:eastAsia="仿宋"/>
          <w:b/>
          <w:bCs/>
          <w:sz w:val="32"/>
          <w:szCs w:val="32"/>
          <w:lang w:eastAsia="zh-CN"/>
        </w:rPr>
        <w:t>）巩固脱贫衔接乡村振兴（</w:t>
      </w:r>
      <w:r>
        <w:rPr>
          <w:rFonts w:hint="eastAsia" w:ascii="仿宋" w:hAnsi="仿宋" w:eastAsia="仿宋"/>
          <w:b/>
          <w:bCs/>
          <w:sz w:val="32"/>
          <w:szCs w:val="32"/>
          <w:lang w:val="en-US" w:eastAsia="zh-CN"/>
        </w:rPr>
        <w:t>05</w:t>
      </w:r>
      <w:r>
        <w:rPr>
          <w:rFonts w:hint="eastAsia" w:ascii="仿宋" w:hAnsi="仿宋" w:eastAsia="仿宋"/>
          <w:b/>
          <w:bCs/>
          <w:sz w:val="32"/>
          <w:szCs w:val="32"/>
          <w:lang w:eastAsia="zh-CN"/>
        </w:rPr>
        <w:t>）其他巩固脱贫衔接乡村振兴支出（</w:t>
      </w:r>
      <w:r>
        <w:rPr>
          <w:rFonts w:hint="eastAsia" w:ascii="仿宋" w:hAnsi="仿宋" w:eastAsia="仿宋"/>
          <w:b/>
          <w:bCs/>
          <w:sz w:val="32"/>
          <w:szCs w:val="32"/>
          <w:lang w:val="en-US" w:eastAsia="zh-CN"/>
        </w:rPr>
        <w:t>99</w:t>
      </w:r>
      <w:r>
        <w:rPr>
          <w:rFonts w:hint="eastAsia" w:ascii="仿宋" w:hAnsi="仿宋" w:eastAsia="仿宋"/>
          <w:b/>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27.2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color w:val="auto"/>
          <w:sz w:val="32"/>
          <w:szCs w:val="32"/>
          <w:highlight w:val="none"/>
        </w:rPr>
      </w:pPr>
      <w:r>
        <w:rPr>
          <w:rStyle w:val="14"/>
          <w:rFonts w:hint="eastAsia" w:ascii="仿宋" w:hAnsi="仿宋" w:eastAsia="仿宋"/>
          <w:bCs/>
          <w:sz w:val="32"/>
          <w:szCs w:val="32"/>
          <w:lang w:val="en-US" w:eastAsia="zh-CN"/>
        </w:rPr>
        <w:t>16.</w:t>
      </w:r>
      <w:r>
        <w:rPr>
          <w:rStyle w:val="14"/>
          <w:rFonts w:hint="eastAsia" w:ascii="仿宋" w:hAnsi="仿宋" w:eastAsia="仿宋"/>
          <w:bCs/>
          <w:sz w:val="32"/>
          <w:szCs w:val="32"/>
        </w:rPr>
        <w:t>住房保障（221）住房改革支出（02）住房公积金（01）</w:t>
      </w:r>
      <w:r>
        <w:rPr>
          <w:rStyle w:val="14"/>
          <w:rFonts w:ascii="仿宋" w:hAnsi="仿宋" w:eastAsia="仿宋"/>
          <w:bCs/>
          <w:sz w:val="32"/>
          <w:szCs w:val="32"/>
        </w:rPr>
        <w:t>:</w:t>
      </w:r>
      <w:r>
        <w:rPr>
          <w:rStyle w:val="14"/>
          <w:rFonts w:hint="eastAsia" w:ascii="仿宋" w:hAnsi="仿宋" w:eastAsia="仿宋"/>
          <w:b w:val="0"/>
          <w:bCs/>
          <w:sz w:val="32"/>
          <w:szCs w:val="32"/>
        </w:rPr>
        <w:t>支出决算为1</w:t>
      </w:r>
      <w:r>
        <w:rPr>
          <w:rStyle w:val="14"/>
          <w:rFonts w:hint="eastAsia" w:ascii="仿宋" w:hAnsi="仿宋" w:eastAsia="仿宋"/>
          <w:b w:val="0"/>
          <w:bCs/>
          <w:sz w:val="32"/>
          <w:szCs w:val="32"/>
          <w:lang w:val="en-US" w:eastAsia="zh-CN"/>
        </w:rPr>
        <w:t>70.21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2649.91</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1798.81</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763.45万元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135万元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26.78万元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98.58万元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153.56万元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54.1万元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lang w:val="en-US" w:eastAsia="zh-CN"/>
        </w:rPr>
        <w:t>68.43万元、公务员医疗补助缴费26.92万元、住房公积金170.21万元、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215.34万元</w:t>
      </w:r>
      <w:r>
        <w:rPr>
          <w:rFonts w:hint="eastAsia" w:ascii="仿宋" w:hAnsi="仿宋" w:eastAsia="仿宋"/>
          <w:color w:val="auto"/>
          <w:sz w:val="32"/>
          <w:szCs w:val="32"/>
          <w:highlight w:val="none"/>
        </w:rPr>
        <w:t>、抚恤金</w:t>
      </w:r>
      <w:r>
        <w:rPr>
          <w:rFonts w:hint="eastAsia" w:ascii="仿宋" w:hAnsi="仿宋" w:eastAsia="仿宋"/>
          <w:color w:val="auto"/>
          <w:sz w:val="32"/>
          <w:szCs w:val="32"/>
          <w:highlight w:val="none"/>
          <w:lang w:val="en-US" w:eastAsia="zh-CN"/>
        </w:rPr>
        <w:t>16.77万元、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42.42万元</w:t>
      </w:r>
      <w:r>
        <w:rPr>
          <w:rFonts w:hint="eastAsia" w:ascii="仿宋" w:hAnsi="仿宋" w:eastAsia="仿宋"/>
          <w:color w:val="auto"/>
          <w:sz w:val="32"/>
          <w:szCs w:val="32"/>
          <w:highlight w:val="none"/>
        </w:rPr>
        <w:t>、奖励金</w:t>
      </w:r>
      <w:r>
        <w:rPr>
          <w:rFonts w:hint="eastAsia" w:ascii="仿宋" w:hAnsi="仿宋" w:eastAsia="仿宋"/>
          <w:color w:val="auto"/>
          <w:sz w:val="32"/>
          <w:szCs w:val="32"/>
          <w:highlight w:val="none"/>
          <w:lang w:val="en-US" w:eastAsia="zh-CN"/>
        </w:rPr>
        <w:t>2.18万元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其他对个人和家庭的补助</w:t>
      </w:r>
      <w:r>
        <w:rPr>
          <w:rFonts w:hint="eastAsia" w:ascii="仿宋" w:hAnsi="仿宋" w:eastAsia="仿宋"/>
          <w:color w:val="auto"/>
          <w:sz w:val="32"/>
          <w:szCs w:val="32"/>
          <w:highlight w:val="none"/>
          <w:lang w:val="en-US" w:eastAsia="zh-CN"/>
        </w:rPr>
        <w:t>25.07万元</w:t>
      </w:r>
      <w:r>
        <w:rPr>
          <w:rFonts w:hint="eastAsia" w:ascii="仿宋" w:hAnsi="仿宋" w:eastAsia="仿宋"/>
          <w:color w:val="auto"/>
          <w:sz w:val="32"/>
          <w:szCs w:val="32"/>
          <w:highlight w:val="none"/>
        </w:rPr>
        <w:t>。</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851.1</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246.31万元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11.2万元</w:t>
      </w:r>
      <w:r>
        <w:rPr>
          <w:rFonts w:hint="eastAsia" w:ascii="仿宋" w:hAnsi="仿宋" w:eastAsia="仿宋"/>
          <w:color w:val="auto"/>
          <w:sz w:val="32"/>
          <w:szCs w:val="32"/>
          <w:highlight w:val="none"/>
        </w:rPr>
        <w:t>、咨询费</w:t>
      </w:r>
      <w:r>
        <w:rPr>
          <w:rFonts w:hint="eastAsia" w:ascii="仿宋" w:hAnsi="仿宋" w:eastAsia="仿宋"/>
          <w:color w:val="auto"/>
          <w:sz w:val="32"/>
          <w:szCs w:val="32"/>
          <w:highlight w:val="none"/>
          <w:lang w:val="en-US" w:eastAsia="zh-CN"/>
        </w:rPr>
        <w:t>2.5万元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7.2万元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34.54万元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29.53万元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59.83万元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55.8万元</w:t>
      </w:r>
      <w:r>
        <w:rPr>
          <w:rFonts w:hint="eastAsia" w:ascii="仿宋" w:hAnsi="仿宋" w:eastAsia="仿宋"/>
          <w:color w:val="auto"/>
          <w:sz w:val="32"/>
          <w:szCs w:val="32"/>
          <w:highlight w:val="none"/>
        </w:rPr>
        <w:t>、租赁费</w:t>
      </w:r>
      <w:r>
        <w:rPr>
          <w:rFonts w:hint="eastAsia" w:ascii="仿宋" w:hAnsi="仿宋" w:eastAsia="仿宋"/>
          <w:color w:val="auto"/>
          <w:sz w:val="32"/>
          <w:szCs w:val="32"/>
          <w:highlight w:val="none"/>
          <w:lang w:val="en-US" w:eastAsia="zh-CN"/>
        </w:rPr>
        <w:t>6.5万元</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val="en-US" w:eastAsia="zh-CN"/>
        </w:rPr>
        <w:t>0.14万元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3万元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1.34万元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23.16万元</w:t>
      </w:r>
      <w:r>
        <w:rPr>
          <w:rFonts w:hint="eastAsia" w:ascii="仿宋" w:hAnsi="仿宋" w:eastAsia="仿宋"/>
          <w:color w:val="auto"/>
          <w:sz w:val="32"/>
          <w:szCs w:val="32"/>
          <w:highlight w:val="none"/>
        </w:rPr>
        <w:t>、委托业务费</w:t>
      </w:r>
      <w:r>
        <w:rPr>
          <w:rFonts w:hint="eastAsia" w:ascii="仿宋" w:hAnsi="仿宋" w:eastAsia="仿宋"/>
          <w:color w:val="auto"/>
          <w:sz w:val="32"/>
          <w:szCs w:val="32"/>
          <w:highlight w:val="none"/>
          <w:lang w:val="en-US" w:eastAsia="zh-CN"/>
        </w:rPr>
        <w:t>4.43万元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4万元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0.37万元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lang w:val="en-US" w:eastAsia="zh-CN"/>
        </w:rPr>
        <w:t>144.79万元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206.8万元</w:t>
      </w:r>
      <w:r>
        <w:rPr>
          <w:rFonts w:hint="eastAsia" w:ascii="仿宋" w:hAnsi="仿宋" w:eastAsia="仿宋"/>
          <w:color w:val="auto"/>
          <w:sz w:val="32"/>
          <w:szCs w:val="32"/>
          <w:highlight w:val="none"/>
        </w:rPr>
        <w:t>、办公设备购置</w:t>
      </w:r>
      <w:r>
        <w:rPr>
          <w:rFonts w:hint="eastAsia" w:ascii="仿宋" w:hAnsi="仿宋" w:eastAsia="仿宋"/>
          <w:color w:val="auto"/>
          <w:sz w:val="32"/>
          <w:szCs w:val="32"/>
          <w:highlight w:val="none"/>
          <w:lang w:val="en-US" w:eastAsia="zh-CN"/>
        </w:rPr>
        <w:t>9.65万元</w:t>
      </w:r>
      <w:r>
        <w:rPr>
          <w:rFonts w:hint="eastAsia" w:ascii="仿宋" w:hAnsi="仿宋" w:eastAsia="仿宋"/>
          <w:color w:val="auto"/>
          <w:sz w:val="32"/>
          <w:szCs w:val="32"/>
          <w:highlight w:val="none"/>
        </w:rPr>
        <w:t>。</w:t>
      </w:r>
    </w:p>
    <w:p>
      <w:pPr>
        <w:spacing w:line="600" w:lineRule="exact"/>
        <w:ind w:firstLine="64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1.34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减少0.46万元，下降25.56%。</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auto"/>
          <w:sz w:val="32"/>
          <w:szCs w:val="32"/>
          <w:highlight w:val="none"/>
        </w:rPr>
      </w:pPr>
      <w:r>
        <w:drawing>
          <wp:inline distT="0" distB="0" distL="114300" distR="114300">
            <wp:extent cx="4309110" cy="2348230"/>
            <wp:effectExtent l="4445" t="4445" r="14605" b="952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1.34</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25.56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三公经费支出总体规模按要求压减</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1.34</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68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1.34</w:t>
      </w:r>
      <w:r>
        <w:rPr>
          <w:rFonts w:hint="eastAsia" w:ascii="仿宋_GB2312" w:eastAsia="仿宋_GB2312"/>
          <w:color w:val="auto"/>
          <w:sz w:val="32"/>
          <w:szCs w:val="32"/>
          <w:highlight w:val="none"/>
        </w:rPr>
        <w:t>万元，具体内容包括：</w:t>
      </w:r>
      <w:r>
        <w:rPr>
          <w:rFonts w:hint="eastAsia" w:ascii="仿宋_GB2312" w:eastAsia="仿宋_GB2312"/>
          <w:sz w:val="32"/>
          <w:szCs w:val="32"/>
          <w:highlight w:val="none"/>
        </w:rPr>
        <w:t>上级专项资金检查0.</w:t>
      </w:r>
      <w:r>
        <w:rPr>
          <w:rFonts w:hint="eastAsia" w:ascii="仿宋_GB2312" w:eastAsia="仿宋_GB2312"/>
          <w:sz w:val="32"/>
          <w:szCs w:val="32"/>
          <w:highlight w:val="none"/>
          <w:lang w:val="en-US" w:eastAsia="zh-CN"/>
        </w:rPr>
        <w:t>49</w:t>
      </w:r>
      <w:r>
        <w:rPr>
          <w:rFonts w:hint="eastAsia" w:ascii="仿宋_GB2312" w:eastAsia="仿宋_GB2312"/>
          <w:sz w:val="32"/>
          <w:szCs w:val="32"/>
          <w:highlight w:val="none"/>
        </w:rPr>
        <w:t>万元、检查</w:t>
      </w:r>
      <w:r>
        <w:rPr>
          <w:rFonts w:hint="eastAsia" w:ascii="仿宋_GB2312" w:eastAsia="仿宋_GB2312"/>
          <w:sz w:val="32"/>
          <w:szCs w:val="32"/>
        </w:rPr>
        <w:t>指导业务0.</w:t>
      </w:r>
      <w:r>
        <w:rPr>
          <w:rFonts w:hint="eastAsia" w:ascii="仿宋_GB2312" w:eastAsia="仿宋_GB2312"/>
          <w:sz w:val="32"/>
          <w:szCs w:val="32"/>
          <w:lang w:val="en-US" w:eastAsia="zh-CN"/>
        </w:rPr>
        <w:t>27</w:t>
      </w:r>
      <w:r>
        <w:rPr>
          <w:rFonts w:hint="eastAsia" w:ascii="仿宋_GB2312" w:eastAsia="仿宋_GB2312"/>
          <w:sz w:val="32"/>
          <w:szCs w:val="32"/>
        </w:rPr>
        <w:t>万元、专题调研0.</w:t>
      </w:r>
      <w:r>
        <w:rPr>
          <w:rFonts w:hint="eastAsia" w:ascii="仿宋_GB2312" w:eastAsia="仿宋_GB2312"/>
          <w:sz w:val="32"/>
          <w:szCs w:val="32"/>
          <w:lang w:val="en-US" w:eastAsia="zh-CN"/>
        </w:rPr>
        <w:t>26</w:t>
      </w:r>
      <w:r>
        <w:rPr>
          <w:rFonts w:hint="eastAsia" w:ascii="仿宋_GB2312" w:eastAsia="仿宋_GB2312"/>
          <w:sz w:val="32"/>
          <w:szCs w:val="32"/>
        </w:rPr>
        <w:t>万元、交叉检查0.</w:t>
      </w:r>
      <w:r>
        <w:rPr>
          <w:rFonts w:hint="eastAsia" w:ascii="仿宋_GB2312" w:eastAsia="仿宋_GB2312"/>
          <w:sz w:val="32"/>
          <w:szCs w:val="32"/>
          <w:lang w:val="en-US" w:eastAsia="zh-CN"/>
        </w:rPr>
        <w:t>32</w:t>
      </w:r>
      <w:r>
        <w:rPr>
          <w:rFonts w:hint="eastAsia" w:ascii="仿宋_GB2312" w:eastAsia="仿宋_GB2312"/>
          <w:sz w:val="32"/>
          <w:szCs w:val="32"/>
        </w:rPr>
        <w:t>万元等</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77218"/>
      <w:bookmarkStart w:id="41" w:name="_Toc15396610"/>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5"/>
          <w:rFonts w:hint="eastAsia" w:ascii="黑体" w:hAnsi="黑体" w:eastAsia="黑体"/>
          <w:b w:val="0"/>
          <w:color w:val="auto"/>
          <w:highlight w:val="none"/>
        </w:rPr>
      </w:pPr>
      <w:bookmarkStart w:id="44" w:name="_Toc15396612"/>
      <w:bookmarkStart w:id="45" w:name="_Toc15377221"/>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大竹</w:t>
      </w:r>
      <w:bookmarkStart w:id="67" w:name="_GoBack"/>
      <w:bookmarkEnd w:id="67"/>
      <w:r>
        <w:rPr>
          <w:rFonts w:hint="eastAsia" w:ascii="仿宋_GB2312" w:eastAsia="仿宋_GB2312"/>
          <w:color w:val="auto"/>
          <w:sz w:val="32"/>
          <w:szCs w:val="32"/>
          <w:highlight w:val="none"/>
          <w:lang w:eastAsia="zh-CN"/>
        </w:rPr>
        <w:t>县财政局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851.1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375.57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78.8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主要原因是增加一体化上线相关支出</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大竹县财政局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大竹县财政局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eastAsia="zh-CN"/>
        </w:rPr>
        <w:t>资产清查</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w:t>
      </w:r>
      <w:r>
        <w:rPr>
          <w:rFonts w:hint="eastAsia" w:hAnsi="仿宋_GB2312" w:cs="仿宋_GB2312"/>
          <w:color w:val="auto"/>
          <w:sz w:val="32"/>
          <w:szCs w:val="32"/>
          <w:highlight w:val="none"/>
          <w:lang w:eastAsia="zh-CN"/>
        </w:rPr>
        <w:t>对</w:t>
      </w:r>
      <w:r>
        <w:rPr>
          <w:rFonts w:hint="eastAsia" w:hAnsi="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rPr>
      </w:pPr>
    </w:p>
    <w:p>
      <w:pPr>
        <w:numPr>
          <w:ilvl w:val="0"/>
          <w:numId w:val="5"/>
        </w:numPr>
        <w:spacing w:line="600" w:lineRule="exact"/>
        <w:ind w:firstLine="660" w:firstLineChars="150"/>
        <w:jc w:val="center"/>
        <w:outlineLvl w:val="0"/>
        <w:rPr>
          <w:rFonts w:ascii="宋体"/>
          <w:b/>
          <w:color w:val="auto"/>
          <w:sz w:val="44"/>
          <w:szCs w:val="44"/>
          <w:highlight w:val="none"/>
        </w:rPr>
      </w:pPr>
      <w:bookmarkStart w:id="49" w:name="_Toc15396613"/>
      <w:bookmarkStart w:id="5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2"/>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w:t>
      </w:r>
      <w:r>
        <w:rPr>
          <w:rFonts w:hint="eastAsia" w:ascii="仿宋_GB2312" w:hAnsi="仿宋_GB2312" w:eastAsia="仿宋_GB2312" w:cs="仿宋_GB2312"/>
          <w:sz w:val="32"/>
          <w:szCs w:val="32"/>
          <w:highlight w:val="none"/>
        </w:rPr>
        <w:t>一般公共服务（</w:t>
      </w:r>
      <w:r>
        <w:rPr>
          <w:rFonts w:hint="eastAsia" w:ascii="仿宋_GB2312" w:hAnsi="仿宋_GB2312" w:eastAsia="仿宋_GB2312" w:cs="仿宋_GB2312"/>
          <w:sz w:val="32"/>
          <w:szCs w:val="32"/>
          <w:highlight w:val="none"/>
          <w:lang w:val="en-US" w:eastAsia="zh-CN"/>
        </w:rPr>
        <w:t>201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政府</w:t>
      </w:r>
      <w:r>
        <w:rPr>
          <w:rFonts w:hint="eastAsia" w:ascii="仿宋_GB2312" w:hAnsi="仿宋_GB2312" w:eastAsia="仿宋_GB2312" w:cs="仿宋_GB2312"/>
          <w:sz w:val="32"/>
          <w:szCs w:val="32"/>
          <w:lang w:eastAsia="zh-CN"/>
        </w:rPr>
        <w:t>办公厅（室）及相关机构事务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反映各级政府办公厅（室）及相关机构的支出。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 指本单位在职职工人员经费、公用经费开支。</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）一般行政管理事务（</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 指本单位发生未单独设置项级科目的其他支出。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highlight w:val="none"/>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反映事业单位的基本支出。</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其他财政事务支出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反映其他财政事务方面的支出。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纪检监察事务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派驻派出机构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纪检监察部门派驻本单位的纪检监察人员的专项业务支出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rPr>
        <w:t>（208）</w:t>
      </w:r>
      <w:r>
        <w:rPr>
          <w:rFonts w:hint="eastAsia" w:ascii="仿宋_GB2312" w:hAnsi="仿宋_GB2312" w:eastAsia="仿宋_GB2312" w:cs="仿宋_GB2312"/>
          <w:sz w:val="32"/>
          <w:szCs w:val="32"/>
          <w:lang w:eastAsia="zh-CN"/>
        </w:rPr>
        <w:t>人力资源和社会保障管理事务</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其他人力资源和社会保障管理事务支出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其他用于人力资源和社会保障管理事务方面的支出。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.社会保障和就业（208）行政事业单位离退休（05）</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机关事业单位实施养老保险制度由单位缴纳的基本养老保险费支出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社会保障和就业（208）行政事业单位离退休（05）</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机关事业单位实施养老保险制度由单位实际缴纳的职业年金支出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社会保障和就业（208）行政事业单位</w:t>
      </w:r>
      <w:r>
        <w:rPr>
          <w:rFonts w:hint="eastAsia" w:ascii="仿宋_GB2312" w:hAnsi="仿宋_GB2312" w:eastAsia="仿宋_GB2312" w:cs="仿宋_GB2312"/>
          <w:sz w:val="32"/>
          <w:szCs w:val="32"/>
          <w:lang w:eastAsia="zh-CN"/>
        </w:rPr>
        <w:t>养老支出</w:t>
      </w:r>
      <w:r>
        <w:rPr>
          <w:rFonts w:hint="eastAsia" w:ascii="仿宋_GB2312" w:hAnsi="仿宋_GB2312" w:eastAsia="仿宋_GB2312" w:cs="仿宋_GB2312"/>
          <w:sz w:val="32"/>
          <w:szCs w:val="32"/>
        </w:rPr>
        <w:t>（05）</w:t>
      </w:r>
      <w:r>
        <w:rPr>
          <w:rFonts w:hint="eastAsia" w:ascii="仿宋_GB2312" w:hAnsi="仿宋_GB2312" w:eastAsia="仿宋_GB2312" w:cs="仿宋_GB2312"/>
          <w:sz w:val="32"/>
          <w:szCs w:val="32"/>
          <w:lang w:eastAsia="zh-CN"/>
        </w:rPr>
        <w:t>其他行政事业单位养老支出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p>
    <w:p>
      <w:pPr>
        <w:spacing w:line="60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社会保障和就业（208）</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死亡抚恤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按规定用于牺牲、病故人员家属的一次性和定期抚恤金以及丧葬补助费</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财政部门集中安排的行政单位基本医疗保险缴费经费。</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财政部门集中安排的事业单位基本医疗保险缴费经费。</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公务员医疗补助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财政部门集中安排的公务员医疗补助经费。</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highlight w:val="none"/>
          <w:lang w:eastAsia="zh-CN"/>
        </w:rPr>
        <w:t>农林水支出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巩固脱贫衔接乡村振兴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其他巩固脱贫衔接乡村振兴支出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反映其他用于巩固拓展脱贫攻坚成果同乡村振兴有效衔接方面的支出。</w:t>
      </w:r>
    </w:p>
    <w:p>
      <w:pPr>
        <w:spacing w:line="600" w:lineRule="exact"/>
        <w:ind w:firstLine="640"/>
        <w:rPr>
          <w:rFonts w:ascii="仿宋" w:hAnsi="仿宋" w:eastAsia="仿宋"/>
          <w:b/>
          <w:color w:val="auto"/>
          <w:sz w:val="32"/>
          <w:szCs w:val="32"/>
          <w:highlight w:val="none"/>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）住房改革支出（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）：指本单位在职职工的住房公积金缴费。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tbl>
      <w:tblPr>
        <w:tblStyle w:val="12"/>
        <w:tblW w:w="92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1"/>
        <w:gridCol w:w="103"/>
        <w:gridCol w:w="1293"/>
        <w:gridCol w:w="1205"/>
        <w:gridCol w:w="1446"/>
        <w:gridCol w:w="364"/>
        <w:gridCol w:w="1183"/>
        <w:gridCol w:w="397"/>
        <w:gridCol w:w="172"/>
        <w:gridCol w:w="695"/>
        <w:gridCol w:w="166"/>
        <w:gridCol w:w="188"/>
        <w:gridCol w:w="207"/>
        <w:gridCol w:w="351"/>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rPr>
        <w:tc>
          <w:tcPr>
            <w:tcW w:w="1160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51172422T000005479614-网络平台建设及维护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82"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保证机关网络及各系统正常运转</w:t>
            </w:r>
          </w:p>
        </w:tc>
        <w:tc>
          <w:tcPr>
            <w:tcW w:w="30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保障了局机关网络安全；2022年度债务数据系统、金财网、农村三资系统、资产管理系统等日常维护及正常使用。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77.90</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77.90</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77.90</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77.90</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1"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系统验收合格率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系统故障率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系统使用率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办公效率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系统使用人员满意度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98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98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98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923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51172422T000005489568-票据购置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1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65"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保障全年非税收入管理及票据购置等相关工作</w:t>
            </w:r>
          </w:p>
        </w:tc>
        <w:tc>
          <w:tcPr>
            <w:tcW w:w="2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保障了全年非税收入管理平台的正常使用。购买医疗票据、一般缴款书等票据。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系统数量</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全年票据购置数</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完成工作时间</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2022.12</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票据购置单价</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财政工作正常运行</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票据使用机构满意度</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系统使用工作人员满意度</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7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7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7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5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pStyle w:val="5"/>
        <w:rPr>
          <w:rFonts w:hint="eastAsia" w:ascii="仿宋_GB2312" w:hAnsi="Calibri" w:eastAsia="仿宋_GB2312" w:cs="仿宋"/>
          <w:color w:val="auto"/>
          <w:kern w:val="0"/>
          <w:sz w:val="32"/>
          <w:szCs w:val="32"/>
          <w:highlight w:val="none"/>
          <w:lang w:val="en-US" w:eastAsia="zh-CN" w:bidi="ar-SA"/>
        </w:rPr>
      </w:pPr>
    </w:p>
    <w:tbl>
      <w:tblPr>
        <w:tblStyle w:val="12"/>
        <w:tblW w:w="9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390"/>
        <w:gridCol w:w="1074"/>
        <w:gridCol w:w="1428"/>
        <w:gridCol w:w="437"/>
        <w:gridCol w:w="1054"/>
        <w:gridCol w:w="437"/>
        <w:gridCol w:w="922"/>
        <w:gridCol w:w="486"/>
        <w:gridCol w:w="404"/>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51172422T000005489597-派驻纪检组工作经费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2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纪检工作经费保障</w:t>
            </w:r>
          </w:p>
        </w:tc>
        <w:tc>
          <w:tcPr>
            <w:tcW w:w="2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保障了2022年驻局纪检组日常工作经费。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19.96</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 w:lineRule="exact"/>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19.96</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相关会议调研次数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审查调查次数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信访举报办结率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立案案件办结率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案件办理时限达标率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办案人员被投诉次数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pStyle w:val="5"/>
        <w:rPr>
          <w:rFonts w:hint="eastAsia" w:ascii="仿宋_GB2312" w:hAnsi="Calibri" w:eastAsia="仿宋_GB2312" w:cs="仿宋"/>
          <w:color w:val="auto"/>
          <w:kern w:val="0"/>
          <w:sz w:val="32"/>
          <w:szCs w:val="32"/>
          <w:highlight w:val="none"/>
          <w:lang w:val="en-US" w:eastAsia="zh-CN" w:bidi="ar-SA"/>
        </w:rPr>
      </w:pPr>
    </w:p>
    <w:tbl>
      <w:tblPr>
        <w:tblStyle w:val="12"/>
        <w:tblW w:w="9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270"/>
        <w:gridCol w:w="1175"/>
        <w:gridCol w:w="1416"/>
        <w:gridCol w:w="436"/>
        <w:gridCol w:w="1045"/>
        <w:gridCol w:w="436"/>
        <w:gridCol w:w="920"/>
        <w:gridCol w:w="486"/>
        <w:gridCol w:w="40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6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51172422T000005489901-财政预算一体化系统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一体化系统日常运维及保障系统全年正常运行</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保障了全县各单位（部门）预算一体化系统的正常使用及日常运维。为财政工作提质增效发挥重要作用。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系统验收合格率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系统故障修复处理时间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系统运行维护响应时间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分钟</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系统正常使用年限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一体化系统使用人员满意度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pStyle w:val="5"/>
        <w:rPr>
          <w:rFonts w:hint="eastAsia" w:ascii="仿宋_GB2312" w:hAnsi="Calibri" w:eastAsia="仿宋_GB2312" w:cs="仿宋"/>
          <w:color w:val="auto"/>
          <w:kern w:val="0"/>
          <w:sz w:val="32"/>
          <w:szCs w:val="32"/>
          <w:highlight w:val="none"/>
          <w:lang w:val="en-US" w:eastAsia="zh-CN" w:bidi="ar-SA"/>
        </w:rPr>
      </w:pPr>
    </w:p>
    <w:tbl>
      <w:tblPr>
        <w:tblStyle w:val="12"/>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
        <w:gridCol w:w="489"/>
        <w:gridCol w:w="50"/>
        <w:gridCol w:w="1191"/>
        <w:gridCol w:w="197"/>
        <w:gridCol w:w="957"/>
        <w:gridCol w:w="260"/>
        <w:gridCol w:w="1124"/>
        <w:gridCol w:w="434"/>
        <w:gridCol w:w="18"/>
        <w:gridCol w:w="382"/>
        <w:gridCol w:w="793"/>
        <w:gridCol w:w="334"/>
        <w:gridCol w:w="100"/>
        <w:gridCol w:w="158"/>
        <w:gridCol w:w="759"/>
        <w:gridCol w:w="241"/>
        <w:gridCol w:w="245"/>
        <w:gridCol w:w="156"/>
        <w:gridCol w:w="247"/>
        <w:gridCol w:w="95"/>
        <w:gridCol w:w="892"/>
        <w:gridCol w:w="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904" w:hRule="atLeast"/>
        </w:trPr>
        <w:tc>
          <w:tcPr>
            <w:tcW w:w="923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286" w:hRule="atLeast"/>
        </w:trPr>
        <w:tc>
          <w:tcPr>
            <w:tcW w:w="1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51172422T000005490060-办公设备购置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512" w:hRule="atLeast"/>
        </w:trPr>
        <w:tc>
          <w:tcPr>
            <w:tcW w:w="1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17"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286" w:hRule="atLeast"/>
        </w:trPr>
        <w:tc>
          <w:tcPr>
            <w:tcW w:w="5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566"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45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保障一体化系统正常运行</w:t>
            </w:r>
          </w:p>
        </w:tc>
        <w:tc>
          <w:tcPr>
            <w:tcW w:w="27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2022年对一体化系统所需设备进行购置，保障了财政工作的正常开展。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599"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361" w:hRule="atLeast"/>
        </w:trPr>
        <w:tc>
          <w:tcPr>
            <w:tcW w:w="5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387"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32.89</w:t>
            </w:r>
          </w:p>
        </w:tc>
        <w:tc>
          <w:tcPr>
            <w:tcW w:w="2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32.89</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432"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32.89</w:t>
            </w:r>
          </w:p>
        </w:tc>
        <w:tc>
          <w:tcPr>
            <w:tcW w:w="2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32.89</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447"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402"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601"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2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452" w:hRule="atLeast"/>
        </w:trPr>
        <w:tc>
          <w:tcPr>
            <w:tcW w:w="5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452"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购置一体化所需办公设备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339"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设备质量合格率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339"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设备故障率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339"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2022.12</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339"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452" w:hRule="atLeast"/>
        </w:trPr>
        <w:tc>
          <w:tcPr>
            <w:tcW w:w="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使用人员满意度</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286" w:hRule="atLeast"/>
        </w:trPr>
        <w:tc>
          <w:tcPr>
            <w:tcW w:w="735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603" w:hRule="atLeast"/>
        </w:trPr>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3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572" w:hRule="atLeast"/>
        </w:trPr>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3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633" w:hRule="atLeast"/>
        </w:trPr>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33"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286" w:hRule="atLeast"/>
        </w:trPr>
        <w:tc>
          <w:tcPr>
            <w:tcW w:w="48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2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726" w:hRule="atLeast"/>
        </w:trPr>
        <w:tc>
          <w:tcPr>
            <w:tcW w:w="923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266" w:hRule="atLeast"/>
        </w:trPr>
        <w:tc>
          <w:tcPr>
            <w:tcW w:w="1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0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51172422T000006517499-项目预算控制价评审经费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512" w:hRule="atLeast"/>
        </w:trPr>
        <w:tc>
          <w:tcPr>
            <w:tcW w:w="1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100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286" w:hRule="atLeast"/>
        </w:trPr>
        <w:tc>
          <w:tcPr>
            <w:tcW w:w="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720"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按照业务股室送审要求及资料完成预算评审及结算审核项目。</w:t>
            </w:r>
          </w:p>
        </w:tc>
        <w:tc>
          <w:tcPr>
            <w:tcW w:w="2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中介机构完成预算评审工作共计64个项目，送审金额为41077.31万元，审定金额为38449.31万元，审减金额为2631.17万元，审减率为6.40%；中介机构完成竣工结算审核项目共计147个项目，送审总金额24315.60万元，审定总金额22851.51万元。审减率为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395"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0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361" w:hRule="atLeast"/>
        </w:trPr>
        <w:tc>
          <w:tcPr>
            <w:tcW w:w="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387"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288.17</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288.17</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3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288.17</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288.17</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47"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0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379"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52" w:hRule="atLeast"/>
        </w:trPr>
        <w:tc>
          <w:tcPr>
            <w:tcW w:w="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5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每年完成项目评审报告</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5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项目评审报告报送时限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5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评审报告质量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5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办公效率</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452"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提升项目资金利用率</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339" w:hRule="atLeast"/>
        </w:trPr>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财政工作人员满意度</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286" w:hRule="atLeast"/>
        </w:trPr>
        <w:tc>
          <w:tcPr>
            <w:tcW w:w="748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341" w:hRule="atLeast"/>
        </w:trPr>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502" w:hRule="atLeast"/>
        </w:trPr>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633" w:hRule="atLeast"/>
        </w:trPr>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108" w:type="dxa"/>
          <w:trHeight w:val="286" w:hRule="atLeast"/>
        </w:trPr>
        <w:tc>
          <w:tcPr>
            <w:tcW w:w="51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pStyle w:val="5"/>
        <w:rPr>
          <w:rFonts w:hint="eastAsia" w:ascii="仿宋_GB2312" w:hAnsi="Calibri" w:eastAsia="仿宋_GB2312" w:cs="仿宋"/>
          <w:color w:val="auto"/>
          <w:kern w:val="0"/>
          <w:sz w:val="32"/>
          <w:szCs w:val="32"/>
          <w:highlight w:val="none"/>
          <w:lang w:val="en-US" w:eastAsia="zh-CN" w:bidi="ar-SA"/>
        </w:rPr>
      </w:pPr>
    </w:p>
    <w:tbl>
      <w:tblPr>
        <w:tblStyle w:val="12"/>
        <w:tblW w:w="9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7"/>
        <w:gridCol w:w="1376"/>
        <w:gridCol w:w="1207"/>
        <w:gridCol w:w="1535"/>
        <w:gridCol w:w="380"/>
        <w:gridCol w:w="1175"/>
        <w:gridCol w:w="380"/>
        <w:gridCol w:w="873"/>
        <w:gridCol w:w="399"/>
        <w:gridCol w:w="340"/>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116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51172422T000006622344-资产清查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加强我县行政事业单位资产管理，全面摸清“家底”，完整反映全县行政事业单位资产状况和财务状况，根据《大竹县行政事业单位、县属国有及国有控股企业及村集体经济组织资产清查工作方案》，对全县行政事业单位资产开展清查核实工作，向第三方购买服务，以提高资产清查质量。</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2022年9月，我局正式牵头启动行政事业单位资产清查工作，该项工作涉及全县292家单位，资产清查工作基准日为2021年12月31日，采取单位自查与第三方公司复核相结合的方式进行了资产清查核实。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教科系统核查数量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乡镇核查数量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对卫生系统所属单位第三方资产核查服务单价</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对教科系统所属单位第三方资产核查服务单价</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建设资产清查信息系统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对其他县级部门第三方资产核查服务单价</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对乡镇第三方资产核查服务成本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卫生系统核查数量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其他县级部门（含派驻机构）核查数量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掌握全县行政事业单位资产状况和财务状况</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p>
      <w:pPr>
        <w:pStyle w:val="5"/>
        <w:rPr>
          <w:rFonts w:hint="eastAsia" w:ascii="仿宋_GB2312" w:hAnsi="Calibri" w:eastAsia="仿宋_GB2312" w:cs="仿宋"/>
          <w:color w:val="auto"/>
          <w:kern w:val="0"/>
          <w:sz w:val="32"/>
          <w:szCs w:val="32"/>
          <w:highlight w:val="none"/>
          <w:lang w:val="en-US" w:eastAsia="zh-CN" w:bidi="ar-SA"/>
        </w:rPr>
      </w:pPr>
    </w:p>
    <w:tbl>
      <w:tblPr>
        <w:tblStyle w:val="12"/>
        <w:tblW w:w="9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9"/>
        <w:gridCol w:w="1388"/>
        <w:gridCol w:w="1217"/>
        <w:gridCol w:w="1548"/>
        <w:gridCol w:w="382"/>
        <w:gridCol w:w="1155"/>
        <w:gridCol w:w="382"/>
        <w:gridCol w:w="876"/>
        <w:gridCol w:w="401"/>
        <w:gridCol w:w="342"/>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4" w:hRule="atLeast"/>
        </w:trPr>
        <w:tc>
          <w:tcPr>
            <w:tcW w:w="116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51172422T000006953095-编制大竹月华田园综合体建设方案经费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根据四川省财政厅《关于做好2022年“三项试点”相关工作的通知》（川财农【2022】36号），按照省、市要求我县为抓好田园综合体建设试点工作，聘请第三方专业团队编制高效、合理、可操作性强的实施方案。</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根据相关要求为月华田园综合体建设试点项目提供了实施方案。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w:t>
            </w:r>
            <w:r>
              <w:rPr>
                <w:rFonts w:hint="eastAsia" w:ascii="黑体" w:hAnsi="黑体" w:eastAsia="黑体" w:cs="黑体"/>
                <w:i/>
                <w:iCs/>
                <w:color w:val="000000"/>
                <w:kern w:val="0"/>
                <w:sz w:val="15"/>
                <w:szCs w:val="15"/>
                <w:u w:val="none"/>
                <w:lang w:val="en-US" w:eastAsia="zh-CN" w:bidi="ar"/>
              </w:rPr>
              <w:t>.预算执行率=预算执行数/调整后预算数，预算执行率未达到90%的需说明原因（100字以内）;2.年中发生预算调整的（追加或调减）,应单独说明理由；3.其他资金包括：社会投入资金、银行贷款.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符合编制方案中相关要求</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编制方案数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推动田园综合体建设有序发展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为田园综合体建设试点项目提供实施方案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spacing w:line="600" w:lineRule="exact"/>
        <w:jc w:val="left"/>
        <w:outlineLvl w:val="0"/>
        <w:rPr>
          <w:rFonts w:hint="eastAsia" w:ascii="黑体" w:hAnsi="黑体" w:eastAsia="黑体"/>
          <w:color w:val="auto"/>
          <w:sz w:val="44"/>
          <w:szCs w:val="44"/>
          <w:highlight w:val="none"/>
        </w:rPr>
      </w:pPr>
    </w:p>
    <w:tbl>
      <w:tblPr>
        <w:tblStyle w:val="12"/>
        <w:tblW w:w="9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8"/>
        <w:gridCol w:w="11"/>
        <w:gridCol w:w="1365"/>
        <w:gridCol w:w="80"/>
        <w:gridCol w:w="1155"/>
        <w:gridCol w:w="109"/>
        <w:gridCol w:w="1426"/>
        <w:gridCol w:w="158"/>
        <w:gridCol w:w="222"/>
        <w:gridCol w:w="171"/>
        <w:gridCol w:w="975"/>
        <w:gridCol w:w="249"/>
        <w:gridCol w:w="131"/>
        <w:gridCol w:w="262"/>
        <w:gridCol w:w="611"/>
        <w:gridCol w:w="278"/>
        <w:gridCol w:w="121"/>
        <w:gridCol w:w="286"/>
        <w:gridCol w:w="54"/>
        <w:gridCol w:w="296"/>
        <w:gridCol w:w="732"/>
        <w:gridCol w:w="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952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3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51172422T000007111300-社保公共服务能力建设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88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确保职工基本养老保险、工伤保险统筹顺利推进，参保覆盖人数持续增长，待遇水平稳步提高。</w:t>
            </w:r>
          </w:p>
        </w:tc>
        <w:tc>
          <w:tcPr>
            <w:tcW w:w="2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保障2022年度职工基本养老保险、工伤保险统筹顺利推进，参保覆盖人数持续增长，待遇水平稳步提高。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3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职工基本养老保险参保在职人数</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职工基本养老保险待遇按时足额发放</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业务经办人员培训人次</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参保职工获得感、幸福感</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不断增强</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参保人员满意度</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公共服务能力建设成本</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74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52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904" w:hRule="atLeast"/>
        </w:trPr>
        <w:tc>
          <w:tcPr>
            <w:tcW w:w="923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286" w:hRule="atLeast"/>
        </w:trPr>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31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51172423T000008779016-绩效评价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512" w:hRule="atLeast"/>
        </w:trPr>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46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大竹县财政局部门</w:t>
            </w:r>
          </w:p>
        </w:tc>
        <w:tc>
          <w:tcPr>
            <w:tcW w:w="87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17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286" w:hRule="atLeast"/>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46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2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shd w:val="clear" w:color="auto" w:fill="auto"/>
              </w:rPr>
            </w:pPr>
            <w:r>
              <w:rPr>
                <w:rFonts w:hint="eastAsia" w:ascii="黑体" w:hAnsi="黑体" w:eastAsia="黑体" w:cs="黑体"/>
                <w:i w:val="0"/>
                <w:iCs w:val="0"/>
                <w:color w:val="auto"/>
                <w:kern w:val="0"/>
                <w:sz w:val="18"/>
                <w:szCs w:val="18"/>
                <w:highlight w:val="none"/>
                <w:u w:val="none"/>
                <w:shd w:val="clear" w:color="auto" w:fill="auto"/>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08"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6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通过购买第三方服务进行相关绩效评价管理工作，提高财政资源优化配置。</w:t>
            </w:r>
          </w:p>
        </w:tc>
        <w:tc>
          <w:tcPr>
            <w:tcW w:w="2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auto"/>
                <w:sz w:val="18"/>
                <w:szCs w:val="18"/>
                <w:highlight w:val="none"/>
                <w:u w:val="none"/>
                <w:shd w:val="clear" w:color="auto" w:fill="auto"/>
                <w:lang w:val="en-US"/>
              </w:rPr>
            </w:pPr>
            <w:r>
              <w:rPr>
                <w:rFonts w:hint="eastAsia" w:ascii="黑体" w:hAnsi="黑体" w:eastAsia="黑体" w:cs="黑体"/>
                <w:i w:val="0"/>
                <w:iCs w:val="0"/>
                <w:color w:val="auto"/>
                <w:kern w:val="0"/>
                <w:sz w:val="18"/>
                <w:szCs w:val="18"/>
                <w:highlight w:val="none"/>
                <w:u w:val="none"/>
                <w:shd w:val="clear" w:color="auto" w:fill="auto"/>
                <w:lang w:val="en-US" w:eastAsia="zh-CN" w:bidi="ar"/>
              </w:rPr>
              <w:t>2</w:t>
            </w:r>
            <w:r>
              <w:rPr>
                <w:rFonts w:hint="eastAsia" w:ascii="宋体" w:hAnsi="宋体" w:eastAsia="宋体" w:cs="宋体"/>
                <w:i w:val="0"/>
                <w:iCs w:val="0"/>
                <w:color w:val="auto"/>
                <w:kern w:val="0"/>
                <w:sz w:val="18"/>
                <w:szCs w:val="18"/>
                <w:highlight w:val="none"/>
                <w:u w:val="none"/>
                <w:shd w:val="clear" w:color="auto" w:fill="auto"/>
                <w:lang w:val="en-US" w:eastAsia="zh-CN" w:bidi="ar"/>
              </w:rPr>
              <w:t>022年第三方公司对</w:t>
            </w:r>
            <w:r>
              <w:rPr>
                <w:rFonts w:hint="eastAsia" w:ascii="宋体" w:hAnsi="宋体" w:cs="宋体"/>
                <w:i w:val="0"/>
                <w:iCs w:val="0"/>
                <w:color w:val="auto"/>
                <w:kern w:val="0"/>
                <w:sz w:val="18"/>
                <w:szCs w:val="18"/>
                <w:highlight w:val="none"/>
                <w:u w:val="none"/>
                <w:shd w:val="clear" w:color="auto" w:fill="auto"/>
                <w:lang w:val="en-US" w:eastAsia="zh-CN" w:bidi="ar"/>
              </w:rPr>
              <w:t>7</w:t>
            </w:r>
            <w:r>
              <w:rPr>
                <w:rFonts w:hint="eastAsia" w:ascii="宋体" w:hAnsi="宋体" w:eastAsia="宋体" w:cs="宋体"/>
                <w:i w:val="0"/>
                <w:iCs w:val="0"/>
                <w:color w:val="auto"/>
                <w:kern w:val="0"/>
                <w:sz w:val="18"/>
                <w:szCs w:val="18"/>
                <w:highlight w:val="none"/>
                <w:u w:val="none"/>
                <w:shd w:val="clear" w:color="auto" w:fill="auto"/>
                <w:lang w:val="en-US" w:eastAsia="zh-CN" w:bidi="ar"/>
              </w:rPr>
              <w:t>个重点项目进行了绩效评价</w:t>
            </w:r>
            <w:r>
              <w:rPr>
                <w:rFonts w:hint="eastAsia" w:ascii="宋体" w:hAnsi="宋体" w:cs="宋体"/>
                <w:i w:val="0"/>
                <w:iCs w:val="0"/>
                <w:color w:val="auto"/>
                <w:kern w:val="0"/>
                <w:sz w:val="18"/>
                <w:szCs w:val="18"/>
                <w:highlight w:val="none"/>
                <w:u w:val="none"/>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693"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731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361" w:hRule="atLeast"/>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13"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87.60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59.57</w:t>
            </w:r>
          </w:p>
        </w:tc>
        <w:tc>
          <w:tcPr>
            <w:tcW w:w="1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59.57</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0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674"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59.57</w:t>
            </w:r>
          </w:p>
        </w:tc>
        <w:tc>
          <w:tcPr>
            <w:tcW w:w="1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59.57</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8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76"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379"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项目报告的规范性</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每个项目评价/评估点位</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绩效评价项目总金额</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事前绩效评估项目数</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绩效评价项目数量</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最终报告提交时间</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单个项目评价周期</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项目报告的完整性</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项目报告的准确性</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为项目、政策的决策提供参考</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参照性高</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提高报告质量</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明显提高</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采用报告对象满意度</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100万＜项目金额＜500万</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5000万＜项目金额＜10000万</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1000万＜项目金额＜5000万</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452"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500万＜项目金额＜1000万</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339"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项目金额≤100万</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286" w:hRule="atLeast"/>
        </w:trPr>
        <w:tc>
          <w:tcPr>
            <w:tcW w:w="746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8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9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5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9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793"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9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4" w:type="dxa"/>
          <w:trHeight w:val="286" w:hRule="atLeast"/>
        </w:trPr>
        <w:tc>
          <w:tcPr>
            <w:tcW w:w="50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1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spacing w:line="600" w:lineRule="exact"/>
        <w:jc w:val="left"/>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tbl>
      <w:tblPr>
        <w:tblStyle w:val="12"/>
        <w:tblW w:w="9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2"/>
        <w:gridCol w:w="1404"/>
        <w:gridCol w:w="1230"/>
        <w:gridCol w:w="1592"/>
        <w:gridCol w:w="385"/>
        <w:gridCol w:w="1113"/>
        <w:gridCol w:w="385"/>
        <w:gridCol w:w="825"/>
        <w:gridCol w:w="403"/>
        <w:gridCol w:w="344"/>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116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51172423T000008781296-财政管理工作经费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该项目资金主要用于财政日常工作管理，包括：财政干部教育培训、财政监督事业经费、债务管理工作经费、综合管理事业工作经费、预算管理工作经费、国库事业经费等。</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保障了2022年全年财政日常管理工作运行。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1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146.99</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146.99</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全年监督检查单位（部门）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财政干部培训次数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保障全年财政工作顺利运行</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财政工作人员专业能力提升度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财政工作人员系统使用满意度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9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财务负责人：李小东</w:t>
            </w:r>
          </w:p>
        </w:tc>
      </w:tr>
    </w:tbl>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3"/>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3"/>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3"/>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3"/>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3"/>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3"/>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3"/>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3"/>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3"/>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bookmarkEnd w:id="65"/>
      <w:r>
        <w:rPr>
          <w:rStyle w:val="25"/>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66" w:name="_Toc15396631"/>
      <w:r>
        <w:rPr>
          <w:rStyle w:val="25"/>
          <w:rFonts w:hint="eastAsia" w:ascii="仿宋" w:hAnsi="仿宋" w:eastAsia="仿宋"/>
          <w:b w:val="0"/>
          <w:bCs w:val="0"/>
          <w:color w:val="auto"/>
          <w:highlight w:val="none"/>
        </w:rPr>
        <w:t>十三、</w:t>
      </w:r>
      <w:bookmarkEnd w:id="66"/>
      <w:r>
        <w:rPr>
          <w:rStyle w:val="25"/>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47E5F323"/>
    <w:multiLevelType w:val="singleLevel"/>
    <w:tmpl w:val="47E5F323"/>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ZmZTI5ZGU4ZGFkMGZhMzZmYTA0MTRmOGNiO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0EE"/>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12408"/>
    <w:rsid w:val="02820C0A"/>
    <w:rsid w:val="053A62B5"/>
    <w:rsid w:val="09702A84"/>
    <w:rsid w:val="0A2032A3"/>
    <w:rsid w:val="0A36352C"/>
    <w:rsid w:val="0ACF2BD1"/>
    <w:rsid w:val="0B270EBC"/>
    <w:rsid w:val="0B8A37D8"/>
    <w:rsid w:val="0F1038DB"/>
    <w:rsid w:val="10C055FF"/>
    <w:rsid w:val="118107EC"/>
    <w:rsid w:val="11DD6519"/>
    <w:rsid w:val="133E5F0D"/>
    <w:rsid w:val="161435FF"/>
    <w:rsid w:val="16BB723D"/>
    <w:rsid w:val="18015F3F"/>
    <w:rsid w:val="19F53B66"/>
    <w:rsid w:val="1BE8440E"/>
    <w:rsid w:val="1D155CEE"/>
    <w:rsid w:val="1DE81C06"/>
    <w:rsid w:val="1EB32A5C"/>
    <w:rsid w:val="20F57F95"/>
    <w:rsid w:val="227D5534"/>
    <w:rsid w:val="240371BF"/>
    <w:rsid w:val="25711CC6"/>
    <w:rsid w:val="25C741E6"/>
    <w:rsid w:val="26DD144B"/>
    <w:rsid w:val="27842671"/>
    <w:rsid w:val="29FD04D3"/>
    <w:rsid w:val="2ABE7A3E"/>
    <w:rsid w:val="2CA234A8"/>
    <w:rsid w:val="2D4025BE"/>
    <w:rsid w:val="2DA92FD8"/>
    <w:rsid w:val="2EFA178C"/>
    <w:rsid w:val="30215448"/>
    <w:rsid w:val="306429C2"/>
    <w:rsid w:val="30B46D73"/>
    <w:rsid w:val="319F7F4E"/>
    <w:rsid w:val="330735DE"/>
    <w:rsid w:val="353164EF"/>
    <w:rsid w:val="383D272C"/>
    <w:rsid w:val="39AE70AB"/>
    <w:rsid w:val="3B451618"/>
    <w:rsid w:val="3C0C0783"/>
    <w:rsid w:val="3DB1427D"/>
    <w:rsid w:val="3E3B7B31"/>
    <w:rsid w:val="3E9739EC"/>
    <w:rsid w:val="3F2969DF"/>
    <w:rsid w:val="3F9F3A96"/>
    <w:rsid w:val="429D4E61"/>
    <w:rsid w:val="43C80459"/>
    <w:rsid w:val="46CB53EF"/>
    <w:rsid w:val="47CA057A"/>
    <w:rsid w:val="48BF60AB"/>
    <w:rsid w:val="493C27E9"/>
    <w:rsid w:val="496F39ED"/>
    <w:rsid w:val="49FF41D3"/>
    <w:rsid w:val="4A6C3396"/>
    <w:rsid w:val="4BE068DB"/>
    <w:rsid w:val="4BF6002B"/>
    <w:rsid w:val="4ECE2238"/>
    <w:rsid w:val="51352AE9"/>
    <w:rsid w:val="51DB4B86"/>
    <w:rsid w:val="54041F40"/>
    <w:rsid w:val="55333C3E"/>
    <w:rsid w:val="5713002F"/>
    <w:rsid w:val="601F4D31"/>
    <w:rsid w:val="607E39E0"/>
    <w:rsid w:val="64CA39A1"/>
    <w:rsid w:val="65633D3E"/>
    <w:rsid w:val="69630ADE"/>
    <w:rsid w:val="6C4A05C8"/>
    <w:rsid w:val="6D3B1A89"/>
    <w:rsid w:val="6ED53E5D"/>
    <w:rsid w:val="6FE77305"/>
    <w:rsid w:val="71BF4EC2"/>
    <w:rsid w:val="720C4209"/>
    <w:rsid w:val="72734D90"/>
    <w:rsid w:val="7412278C"/>
    <w:rsid w:val="764E7A4C"/>
    <w:rsid w:val="77602A1E"/>
    <w:rsid w:val="79E7B28D"/>
    <w:rsid w:val="7D294C6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2791;&#24536;&#2440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2791;&#24536;&#2440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2791;&#24536;&#2440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2791;&#24536;&#2440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2791;&#24536;&#2440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2791;&#24536;&#2440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2791;&#24536;&#244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收、支决算总计变动情况表（单位：万元）</a:t>
            </a:r>
            <a:endParaRPr b="1"/>
          </a:p>
        </c:rich>
      </c:tx>
      <c:layout/>
      <c:overlay val="0"/>
      <c:spPr>
        <a:noFill/>
        <a:ln>
          <a:noFill/>
        </a:ln>
        <a:effectLst/>
      </c:spPr>
    </c:title>
    <c:autoTitleDeleted val="0"/>
    <c:plotArea>
      <c:layout/>
      <c:barChart>
        <c:barDir val="col"/>
        <c:grouping val="clustered"/>
        <c:varyColors val="0"/>
        <c:ser>
          <c:idx val="0"/>
          <c:order val="0"/>
          <c:tx>
            <c:strRef>
              <c:f>[备忘录.xlsx]Sheet2!$I$62</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[备忘录.xlsx]Sheet2!$J$61:$K$61</c:f>
              <c:strCache>
                <c:ptCount val="2"/>
                <c:pt idx="0">
                  <c:v>收入总计</c:v>
                </c:pt>
                <c:pt idx="1">
                  <c:v>支出总计</c:v>
                </c:pt>
              </c:strCache>
            </c:strRef>
          </c:cat>
          <c:val>
            <c:numRef>
              <c:f>[备忘录.xlsx]Sheet2!$J$62:$K$62</c:f>
              <c:numCache>
                <c:formatCode>General</c:formatCode>
                <c:ptCount val="2"/>
                <c:pt idx="0">
                  <c:v>3081.22</c:v>
                </c:pt>
                <c:pt idx="1">
                  <c:v>3081.22</c:v>
                </c:pt>
              </c:numCache>
            </c:numRef>
          </c:val>
        </c:ser>
        <c:ser>
          <c:idx val="1"/>
          <c:order val="1"/>
          <c:tx>
            <c:strRef>
              <c:f>[备忘录.xlsx]Sheet2!$I$63</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[备忘录.xlsx]Sheet2!$J$61:$K$61</c:f>
              <c:strCache>
                <c:ptCount val="2"/>
                <c:pt idx="0">
                  <c:v>收入总计</c:v>
                </c:pt>
                <c:pt idx="1">
                  <c:v>支出总计</c:v>
                </c:pt>
              </c:strCache>
            </c:strRef>
          </c:cat>
          <c:val>
            <c:numRef>
              <c:f>[备忘录.xlsx]Sheet2!$J$63:$K$63</c:f>
              <c:numCache>
                <c:formatCode>General</c:formatCode>
                <c:ptCount val="2"/>
                <c:pt idx="0">
                  <c:v>2819.34</c:v>
                </c:pt>
                <c:pt idx="1">
                  <c:v>2879.25</c:v>
                </c:pt>
              </c:numCache>
            </c:numRef>
          </c:val>
        </c:ser>
        <c:dLbls>
          <c:showLegendKey val="0"/>
          <c:showVal val="1"/>
          <c:showCatName val="0"/>
          <c:showSerName val="0"/>
          <c:showPercent val="0"/>
          <c:showBubbleSize val="0"/>
        </c:dLbls>
        <c:gapWidth val="219"/>
        <c:overlap val="-27"/>
        <c:axId val="480010652"/>
        <c:axId val="644781753"/>
      </c:barChart>
      <c:catAx>
        <c:axId val="4800106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44781753"/>
        <c:crosses val="autoZero"/>
        <c:auto val="1"/>
        <c:lblAlgn val="ctr"/>
        <c:lblOffset val="100"/>
        <c:noMultiLvlLbl val="0"/>
      </c:catAx>
      <c:valAx>
        <c:axId val="6447817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8001065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收入决算结构图（单位：万元）</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541666666666667"/>
                  <c:y val="-0.26041666666666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24358036915291"/>
                  <c:y val="0.07144305385914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[备忘录.xlsx]Sheet2!$O$61:$P$61</c:f>
              <c:strCache>
                <c:ptCount val="2"/>
                <c:pt idx="0">
                  <c:v>一般公共预算财政拨款收入</c:v>
                </c:pt>
                <c:pt idx="1">
                  <c:v>年初财政拨款结转结余收入</c:v>
                </c:pt>
              </c:strCache>
            </c:strRef>
          </c:cat>
          <c:val>
            <c:numRef>
              <c:f>[备忘录.xlsx]Sheet2!$O$62:$P$62</c:f>
              <c:numCache>
                <c:formatCode>General</c:formatCode>
                <c:ptCount val="2"/>
                <c:pt idx="0">
                  <c:v>2846.65</c:v>
                </c:pt>
                <c:pt idx="1">
                  <c:v>234.57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63263888888889"/>
          <c:y val="0.891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支出决算结构图（单位：万元）</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35337029471841"/>
                  <c:y val="-0.18622379526272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[备忘录.xlsx]Sheet2!$A$81:$B$81</c:f>
              <c:strCache>
                <c:ptCount val="2"/>
                <c:pt idx="0">
                  <c:v>基本支出</c:v>
                </c:pt>
                <c:pt idx="1">
                  <c:v>项目支出</c:v>
                </c:pt>
              </c:strCache>
            </c:strRef>
          </c:cat>
          <c:val>
            <c:numRef>
              <c:f>[备忘录.xlsx]Sheet2!$A$82:$B$82</c:f>
              <c:numCache>
                <c:formatCode>General</c:formatCode>
                <c:ptCount val="2"/>
                <c:pt idx="0">
                  <c:v>2649.91</c:v>
                </c:pt>
                <c:pt idx="1">
                  <c:v>431.31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sz="1200" b="1"/>
              <a:t>财政拨款收、支决算总计变动情况图（单位：万元）</a:t>
            </a:r>
            <a:endParaRPr sz="1200" b="1"/>
          </a:p>
        </c:rich>
      </c:tx>
      <c:layout/>
      <c:overlay val="0"/>
      <c:spPr>
        <a:noFill/>
        <a:ln>
          <a:noFill/>
        </a:ln>
        <a:effectLst/>
      </c:spPr>
    </c:title>
    <c:autoTitleDeleted val="0"/>
    <c:plotArea>
      <c:layout/>
      <c:barChart>
        <c:barDir val="col"/>
        <c:grouping val="clustered"/>
        <c:varyColors val="0"/>
        <c:ser>
          <c:idx val="0"/>
          <c:order val="0"/>
          <c:tx>
            <c:strRef>
              <c:f>[备忘录.xlsx]Sheet2!$H$82</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[备忘录.xlsx]Sheet2!$I$81:$J$81</c:f>
              <c:strCache>
                <c:ptCount val="2"/>
                <c:pt idx="0">
                  <c:v>财政拨款收入</c:v>
                </c:pt>
                <c:pt idx="1">
                  <c:v>财政拨款支出</c:v>
                </c:pt>
              </c:strCache>
            </c:strRef>
          </c:cat>
          <c:val>
            <c:numRef>
              <c:f>[备忘录.xlsx]Sheet2!$I$82:$J$82</c:f>
              <c:numCache>
                <c:formatCode>General</c:formatCode>
                <c:ptCount val="2"/>
                <c:pt idx="0">
                  <c:v>3081.22</c:v>
                </c:pt>
                <c:pt idx="1">
                  <c:v>3081.22</c:v>
                </c:pt>
              </c:numCache>
            </c:numRef>
          </c:val>
        </c:ser>
        <c:ser>
          <c:idx val="1"/>
          <c:order val="1"/>
          <c:tx>
            <c:strRef>
              <c:f>[备忘录.xlsx]Sheet2!$H$83</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[备忘录.xlsx]Sheet2!$I$81:$J$81</c:f>
              <c:strCache>
                <c:ptCount val="2"/>
                <c:pt idx="0">
                  <c:v>财政拨款收入</c:v>
                </c:pt>
                <c:pt idx="1">
                  <c:v>财政拨款支出</c:v>
                </c:pt>
              </c:strCache>
            </c:strRef>
          </c:cat>
          <c:val>
            <c:numRef>
              <c:f>[备忘录.xlsx]Sheet2!$I$83:$J$83</c:f>
              <c:numCache>
                <c:formatCode>General</c:formatCode>
                <c:ptCount val="2"/>
                <c:pt idx="0">
                  <c:v>2819.34</c:v>
                </c:pt>
                <c:pt idx="1">
                  <c:v>2879.25</c:v>
                </c:pt>
              </c:numCache>
            </c:numRef>
          </c:val>
        </c:ser>
        <c:dLbls>
          <c:showLegendKey val="0"/>
          <c:showVal val="1"/>
          <c:showCatName val="0"/>
          <c:showSerName val="0"/>
          <c:showPercent val="0"/>
          <c:showBubbleSize val="0"/>
        </c:dLbls>
        <c:gapWidth val="219"/>
        <c:overlap val="-27"/>
        <c:axId val="899359065"/>
        <c:axId val="595797754"/>
      </c:barChart>
      <c:catAx>
        <c:axId val="8993590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797754"/>
        <c:crosses val="autoZero"/>
        <c:auto val="1"/>
        <c:lblAlgn val="ctr"/>
        <c:lblOffset val="100"/>
        <c:noMultiLvlLbl val="0"/>
      </c:catAx>
      <c:valAx>
        <c:axId val="5957977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3590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1" i="0" u="none" strike="noStrike" kern="1200" spc="0" baseline="0">
                <a:solidFill>
                  <a:schemeClr val="tx1">
                    <a:lumMod val="65000"/>
                    <a:lumOff val="35000"/>
                  </a:schemeClr>
                </a:solidFill>
                <a:latin typeface="+mn-lt"/>
                <a:ea typeface="+mn-ea"/>
                <a:cs typeface="+mn-cs"/>
              </a:defRPr>
            </a:pPr>
            <a:r>
              <a:rPr sz="1000" b="1"/>
              <a:t>一般公共预算财政拨款支出决算变动情况图（单位：万元）</a:t>
            </a:r>
            <a:endParaRPr sz="1000" b="1"/>
          </a:p>
        </c:rich>
      </c:tx>
      <c:layout/>
      <c:overlay val="0"/>
      <c:spPr>
        <a:noFill/>
        <a:ln>
          <a:noFill/>
        </a:ln>
        <a:effectLst/>
      </c:spPr>
    </c:title>
    <c:autoTitleDeleted val="0"/>
    <c:plotArea>
      <c:layout/>
      <c:barChart>
        <c:barDir val="col"/>
        <c:grouping val="clustered"/>
        <c:varyColors val="0"/>
        <c:ser>
          <c:idx val="0"/>
          <c:order val="0"/>
          <c:tx>
            <c:strRef>
              <c:f>[备忘录.xlsx]Sheet2!$P$81</c:f>
              <c:strCache>
                <c:ptCount val="1"/>
                <c:pt idx="0">
                  <c:v>一般公共预算财政拨款支出</c:v>
                </c:pt>
              </c:strCache>
            </c:strRef>
          </c:tx>
          <c:spPr>
            <a:solidFill>
              <a:schemeClr val="accent1"/>
            </a:solidFill>
            <a:ln>
              <a:noFill/>
            </a:ln>
            <a:effectLst/>
          </c:spPr>
          <c:invertIfNegative val="0"/>
          <c:dLbls>
            <c:dLbl>
              <c:idx val="0"/>
              <c:layout>
                <c:manualLayout>
                  <c:x val="-0.00161377084454008"/>
                  <c:y val="0.089037817137386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一般公共预算财政拨款支出, 3081.22万元</a:t>
                    </a:r>
                  </a:p>
                </c:rich>
              </c:tx>
              <c:dLblPos val="outEnd"/>
              <c:showLegendKey val="0"/>
              <c:showVal val="1"/>
              <c:showCatName val="0"/>
              <c:showSerName val="1"/>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一般公共预算财政拨款支出, 2879.25万元</a:t>
                    </a:r>
                  </a:p>
                </c:rich>
              </c:tx>
              <c:dLblPos val="outEnd"/>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[备忘录.xlsx]Sheet2!$O$82:$O$83</c:f>
              <c:strCache>
                <c:ptCount val="2"/>
                <c:pt idx="0">
                  <c:v>2022年</c:v>
                </c:pt>
                <c:pt idx="1">
                  <c:v>2021年</c:v>
                </c:pt>
              </c:strCache>
            </c:strRef>
          </c:cat>
          <c:val>
            <c:numRef>
              <c:f>[备忘录.xlsx]Sheet2!$P$82:$P$83</c:f>
              <c:numCache>
                <c:formatCode>General</c:formatCode>
                <c:ptCount val="2"/>
                <c:pt idx="0">
                  <c:v>3081.22</c:v>
                </c:pt>
                <c:pt idx="1">
                  <c:v>2879.25</c:v>
                </c:pt>
              </c:numCache>
            </c:numRef>
          </c:val>
        </c:ser>
        <c:dLbls>
          <c:showLegendKey val="0"/>
          <c:showVal val="1"/>
          <c:showCatName val="0"/>
          <c:showSerName val="0"/>
          <c:showPercent val="0"/>
          <c:showBubbleSize val="0"/>
        </c:dLbls>
        <c:gapWidth val="219"/>
        <c:overlap val="-27"/>
        <c:axId val="280768055"/>
        <c:axId val="417464362"/>
      </c:barChart>
      <c:catAx>
        <c:axId val="2807680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417464362"/>
        <c:crosses val="autoZero"/>
        <c:auto val="1"/>
        <c:lblAlgn val="ctr"/>
        <c:lblOffset val="100"/>
        <c:noMultiLvlLbl val="0"/>
      </c:catAx>
      <c:valAx>
        <c:axId val="4174643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80768055"/>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880000" scaled="0"/>
    </a:gra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1" i="0" u="none" strike="noStrike" kern="1200" spc="0" baseline="0">
                <a:solidFill>
                  <a:schemeClr val="tx1">
                    <a:lumMod val="65000"/>
                    <a:lumOff val="35000"/>
                  </a:schemeClr>
                </a:solidFill>
                <a:latin typeface="+mn-lt"/>
                <a:ea typeface="+mn-ea"/>
                <a:cs typeface="+mn-cs"/>
              </a:defRPr>
            </a:pPr>
            <a:r>
              <a:rPr sz="1000" b="1"/>
              <a:t>一般公共预算财政拨款支出决算结构图（单位：万元）</a:t>
            </a:r>
            <a:endParaRPr sz="1000"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8348381719683"/>
                  <c:y val="-0.1770833333333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一般公共服务, 2540.84万元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992399084445455"/>
                  <c:y val="0.073233837571116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 247.61万元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40272183157471"/>
                  <c:y val="0.039490067139529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卫生健康支出, 95.36万元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110723720547165"/>
                  <c:y val="-0.0019384724995024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农林水支出, 27.2万元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8476904428217"/>
                  <c:y val="0.026084275491097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住房保障支出, 170.21万元</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[备忘录.xlsx]Sheet2!$A$101:$E$101</c:f>
              <c:strCache>
                <c:ptCount val="5"/>
                <c:pt idx="0">
                  <c:v>一般公共服务</c:v>
                </c:pt>
                <c:pt idx="1">
                  <c:v>社会保障和就业</c:v>
                </c:pt>
                <c:pt idx="2">
                  <c:v>卫生健康支出</c:v>
                </c:pt>
                <c:pt idx="3">
                  <c:v>农林水支出</c:v>
                </c:pt>
                <c:pt idx="4">
                  <c:v>住房保障支出</c:v>
                </c:pt>
              </c:strCache>
            </c:strRef>
          </c:cat>
          <c:val>
            <c:numRef>
              <c:f>[备忘录.xlsx]Sheet2!$A$102:$E$102</c:f>
              <c:numCache>
                <c:formatCode>General</c:formatCode>
                <c:ptCount val="5"/>
                <c:pt idx="0">
                  <c:v>2540.84</c:v>
                </c:pt>
                <c:pt idx="1">
                  <c:v>247.61</c:v>
                </c:pt>
                <c:pt idx="2">
                  <c:v>95.36</c:v>
                </c:pt>
                <c:pt idx="3">
                  <c:v>27.2</c:v>
                </c:pt>
                <c:pt idx="4">
                  <c:v>170.21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a:t>“</a:t>
            </a:r>
            <a:r>
              <a:rPr altLang="en-US" sz="1400"/>
              <a:t>三公</a:t>
            </a:r>
            <a:r>
              <a:rPr lang="en-US" altLang="zh-CN" sz="1400"/>
              <a:t>”</a:t>
            </a:r>
            <a:r>
              <a:rPr altLang="en-US" sz="1400"/>
              <a:t>经费财政拨款支出结构图（单位：万元）</a:t>
            </a:r>
            <a:endParaRPr altLang="en-US" sz="1400"/>
          </a:p>
        </c:rich>
      </c:tx>
      <c:layout/>
      <c:overlay val="0"/>
      <c:spPr>
        <a:noFill/>
        <a:ln>
          <a:noFill/>
        </a:ln>
        <a:effectLst/>
      </c:spPr>
    </c:title>
    <c:autoTitleDeleted val="0"/>
    <c:plotArea>
      <c:layout/>
      <c:pieChart>
        <c:varyColors val="1"/>
        <c:ser>
          <c:idx val="0"/>
          <c:order val="0"/>
          <c:tx>
            <c:strRef>
              <c:f>[备忘录.xlsx]Sheet2!$H$101</c:f>
              <c:strCache>
                <c:ptCount val="1"/>
                <c:pt idx="0">
                  <c:v>公务接待费</c:v>
                </c:pt>
              </c:strCache>
            </c:strRef>
          </c:tx>
          <c:spPr/>
          <c:explosion val="0"/>
          <c:dPt>
            <c:idx val="0"/>
            <c:bubble3D val="0"/>
            <c:spPr>
              <a:solidFill>
                <a:schemeClr val="accent1"/>
              </a:solidFill>
              <a:ln w="19050">
                <a:solidFill>
                  <a:schemeClr val="lt1"/>
                </a:solidFill>
              </a:ln>
              <a:effectLst/>
            </c:spPr>
          </c:dPt>
          <c:dLbls>
            <c:dLbl>
              <c:idx val="0"/>
              <c:layout>
                <c:manualLayout>
                  <c:x val="0.0112288797440878"/>
                  <c:y val="-0.15178619331882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a:t>公务接待费1.34万元,占 100%</a:t>
                    </a:r>
                    <a:endParaRPr sz="900"/>
                  </a:p>
                </c:rich>
              </c:tx>
              <c:numFmt formatCode="General" sourceLinked="1"/>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[备忘录.xlsx]Sheet2!$I$101</c:f>
              <c:numCache>
                <c:formatCode>General</c:formatCode>
                <c:ptCount val="1"/>
                <c:pt idx="0">
                  <c:v>1.34</c:v>
                </c:pt>
              </c:numCache>
            </c:numRef>
          </c:val>
        </c:ser>
        <c:dLbls>
          <c:showLegendKey val="0"/>
          <c:showVal val="1"/>
          <c:showCatName val="0"/>
          <c:showSerName val="0"/>
          <c:showPercent val="1"/>
          <c:showBubbleSize val="0"/>
          <c:showLeaderLines val="1"/>
        </c:dLbls>
        <c:firstSliceAng val="0"/>
      </c:pieChart>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14</TotalTime>
  <ScaleCrop>false</ScaleCrop>
  <LinksUpToDate>false</LinksUpToDate>
  <CharactersWithSpaces>8692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不一样的烟火</cp:lastModifiedBy>
  <cp:lastPrinted>2023-10-11T07:51:00Z</cp:lastPrinted>
  <dcterms:modified xsi:type="dcterms:W3CDTF">2023-10-13T08:10:57Z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D6DC58CDA17A444A82D0BCC1476333C5_12</vt:lpwstr>
  </property>
</Properties>
</file>