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425"/>
      <w:bookmarkStart w:id="3" w:name="_Toc15377193"/>
      <w:bookmarkStart w:id="4" w:name="_Toc15396475"/>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476"/>
      <w:bookmarkStart w:id="7" w:name="_Toc15378442"/>
      <w:bookmarkStart w:id="8" w:name="_Toc15396598"/>
      <w:bookmarkStart w:id="9" w:name="_Toc15377194"/>
      <w:bookmarkStart w:id="10" w:name="_Toc15377426"/>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商务局</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方正小标宋简体" w:hAnsi="宋体" w:eastAsia="方正小标宋简体"/>
          <w:color w:val="auto"/>
          <w:sz w:val="36"/>
          <w:szCs w:val="36"/>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w:t>
      </w:r>
      <w:r>
        <w:rPr>
          <w:rFonts w:hint="eastAsia"/>
          <w:color w:val="auto"/>
          <w:highlight w:val="none"/>
        </w:rPr>
        <w:t>月</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w:t>
      </w:r>
      <w:r>
        <w:rPr>
          <w:rFonts w:hint="eastAsia"/>
          <w:color w:val="auto"/>
          <w:sz w:val="24"/>
          <w:highlight w:val="none"/>
          <w:lang w:eastAsia="zh-CN"/>
        </w:rPr>
        <w:t>主要职责</w:t>
      </w:r>
    </w:p>
    <w:p>
      <w:pPr>
        <w:pStyle w:val="11"/>
        <w:adjustRightInd w:val="0"/>
        <w:snapToGrid w:val="0"/>
        <w:spacing w:line="440" w:lineRule="exact"/>
        <w:jc w:val="left"/>
        <w:rPr>
          <w:rFonts w:hint="eastAsia" w:eastAsia="宋体"/>
          <w:color w:val="auto"/>
          <w:lang w:eastAsia="zh-CN"/>
        </w:rPr>
      </w:pPr>
      <w:r>
        <w:rPr>
          <w:rFonts w:hint="eastAsia"/>
          <w:color w:val="auto"/>
          <w:sz w:val="24"/>
          <w:highlight w:val="none"/>
          <w:lang w:eastAsia="zh-CN"/>
        </w:rPr>
        <w:t>二</w:t>
      </w:r>
      <w:r>
        <w:rPr>
          <w:rFonts w:hint="eastAsia"/>
          <w:color w:val="auto"/>
          <w:sz w:val="24"/>
          <w:highlight w:val="none"/>
        </w:rPr>
        <w:t>、</w:t>
      </w:r>
      <w:r>
        <w:rPr>
          <w:rFonts w:hint="eastAsia"/>
          <w:color w:val="auto"/>
          <w:sz w:val="24"/>
          <w:highlight w:val="none"/>
          <w:lang w:eastAsia="zh-CN"/>
        </w:rPr>
        <w:t>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14" w:name="_Toc15377197"/>
      <w:bookmarkStart w:id="15" w:name="_Toc15396600"/>
      <w:r>
        <w:rPr>
          <w:rStyle w:val="25"/>
          <w:rFonts w:hint="eastAsia" w:ascii="黑体" w:hAnsi="黑体" w:eastAsia="黑体"/>
          <w:b w:val="0"/>
          <w:bCs w:val="0"/>
          <w:color w:val="auto"/>
          <w:highlight w:val="none"/>
          <w:lang w:eastAsia="zh-CN"/>
        </w:rPr>
        <w:t>主要职责</w:t>
      </w:r>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16" w:name="_Toc16497"/>
      <w:r>
        <w:rPr>
          <w:rFonts w:hint="eastAsia" w:ascii="Times New Roman" w:hAnsi="Times New Roman" w:eastAsia="仿宋" w:cs="Times New Roman"/>
          <w:bCs/>
          <w:color w:val="auto"/>
          <w:sz w:val="32"/>
          <w:szCs w:val="32"/>
          <w:lang w:val="en-US" w:eastAsia="zh-CN"/>
        </w:rPr>
        <w:t>1.</w:t>
      </w:r>
      <w:r>
        <w:rPr>
          <w:rFonts w:hint="default" w:ascii="Times New Roman" w:hAnsi="Times New Roman" w:eastAsia="仿宋" w:cs="Times New Roman"/>
          <w:bCs/>
          <w:color w:val="auto"/>
          <w:sz w:val="32"/>
          <w:szCs w:val="32"/>
        </w:rPr>
        <w:t>贯彻国家内外贸易、利用外资和国际经济合作的发展战略、方针和政策，研究拟订全县内外贸易、利用外资和国际经济合作的规范性文件及组织、指导、协调、监督、服务工作，拟订全县商务发展规划、年度计划并组织实施。</w:t>
      </w:r>
      <w:bookmarkEnd w:id="16"/>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17" w:name="_Toc8696"/>
      <w:bookmarkStart w:id="18" w:name="_Toc1824"/>
      <w:r>
        <w:rPr>
          <w:rFonts w:hint="eastAsia" w:ascii="Times New Roman" w:hAnsi="Times New Roman" w:eastAsia="仿宋" w:cs="Times New Roman"/>
          <w:bCs/>
          <w:color w:val="auto"/>
          <w:sz w:val="32"/>
          <w:szCs w:val="32"/>
          <w:lang w:val="en-US" w:eastAsia="zh-CN"/>
        </w:rPr>
        <w:t>2.</w:t>
      </w:r>
      <w:r>
        <w:rPr>
          <w:rFonts w:hint="default" w:ascii="Times New Roman" w:hAnsi="Times New Roman" w:eastAsia="仿宋" w:cs="Times New Roman"/>
          <w:bCs/>
          <w:color w:val="auto"/>
          <w:sz w:val="32"/>
          <w:szCs w:val="32"/>
        </w:rPr>
        <w:t>贯彻落实国家流通体制改革的方针政策，培育发展城乡市场，推进流通产业结构调整和连锁经营、物流配送、电子商务等现代流通方式。负责全县市场建设和商业网点建设，组织、规划、论证、审批全县市场建设和商业网点建设项目，研究制定市场建设的综合性措施，牵头协调依法管理，解决市场建设和运行中的问题。</w:t>
      </w:r>
      <w:bookmarkEnd w:id="17"/>
      <w:bookmarkEnd w:id="18"/>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19" w:name="_Toc31405"/>
      <w:bookmarkStart w:id="20" w:name="_Toc17052"/>
      <w:r>
        <w:rPr>
          <w:rFonts w:hint="eastAsia" w:ascii="Times New Roman" w:hAnsi="Times New Roman" w:eastAsia="仿宋" w:cs="Times New Roman"/>
          <w:bCs/>
          <w:color w:val="auto"/>
          <w:sz w:val="32"/>
          <w:szCs w:val="32"/>
          <w:lang w:val="en-US" w:eastAsia="zh-CN"/>
        </w:rPr>
        <w:t>3.</w:t>
      </w:r>
      <w:r>
        <w:rPr>
          <w:rFonts w:hint="default" w:ascii="Times New Roman" w:hAnsi="Times New Roman" w:eastAsia="仿宋" w:cs="Times New Roman"/>
          <w:bCs/>
          <w:color w:val="auto"/>
          <w:sz w:val="32"/>
          <w:szCs w:val="32"/>
        </w:rPr>
        <w:t>贯彻落实国家规范市场运行、流通秩序和打破市场垄断、地区封锁的政策措施，建立健全统一、开放、竞争、有序的市场体系；监测市场运行和商品供求状况，负责重要消费品市场的监控和重要生产资料的流通管理；承担县整顿市场经济秩序领导小组各项日常工作。</w:t>
      </w:r>
      <w:bookmarkEnd w:id="19"/>
      <w:bookmarkEnd w:id="20"/>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1" w:name="_Toc4594"/>
      <w:bookmarkStart w:id="22" w:name="_Toc2540"/>
      <w:r>
        <w:rPr>
          <w:rFonts w:hint="eastAsia" w:ascii="Times New Roman" w:hAnsi="Times New Roman" w:eastAsia="仿宋" w:cs="Times New Roman"/>
          <w:bCs/>
          <w:color w:val="auto"/>
          <w:sz w:val="32"/>
          <w:szCs w:val="32"/>
          <w:lang w:val="en-US" w:eastAsia="zh-CN"/>
        </w:rPr>
        <w:t>4.</w:t>
      </w:r>
      <w:r>
        <w:rPr>
          <w:rFonts w:hint="default" w:ascii="Times New Roman" w:hAnsi="Times New Roman" w:eastAsia="仿宋" w:cs="Times New Roman"/>
          <w:bCs/>
          <w:color w:val="auto"/>
          <w:sz w:val="32"/>
          <w:szCs w:val="32"/>
        </w:rPr>
        <w:t>研究起草全县商品流通和餐饮、美容、美发等服务行业的规范性文件，调查研究流通行业重大问题，提出政策建议；负责成品油经营的综合协调与监督管理工作；负责民爆器材、小汽车经营、报废汽车、旧机动车交易等特种行业的监督管理；制定调整运用县储备商品和风险基金方案；负责副食品价格调控基金的征收管理。</w:t>
      </w:r>
      <w:bookmarkEnd w:id="21"/>
      <w:bookmarkEnd w:id="22"/>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3" w:name="_Toc7276"/>
      <w:bookmarkStart w:id="24" w:name="_Toc26909"/>
      <w:r>
        <w:rPr>
          <w:rFonts w:hint="eastAsia" w:ascii="Times New Roman" w:hAnsi="Times New Roman" w:eastAsia="仿宋" w:cs="Times New Roman"/>
          <w:bCs/>
          <w:color w:val="auto"/>
          <w:sz w:val="32"/>
          <w:szCs w:val="32"/>
          <w:lang w:val="en-US" w:eastAsia="zh-CN"/>
        </w:rPr>
        <w:t>5.</w:t>
      </w:r>
      <w:r>
        <w:rPr>
          <w:rFonts w:hint="default" w:ascii="Times New Roman" w:hAnsi="Times New Roman" w:eastAsia="仿宋" w:cs="Times New Roman"/>
          <w:bCs/>
          <w:color w:val="auto"/>
          <w:sz w:val="32"/>
          <w:szCs w:val="32"/>
        </w:rPr>
        <w:t>执行国家制定的进出口商品管理办法、进出口商品目录和进出口商品配额招标政策，负责编制和呈报全县进出口配额计划并组织实施。</w:t>
      </w:r>
      <w:bookmarkEnd w:id="23"/>
      <w:bookmarkEnd w:id="24"/>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5" w:name="_Toc27239"/>
      <w:bookmarkStart w:id="26" w:name="_Toc18760"/>
      <w:r>
        <w:rPr>
          <w:rFonts w:hint="eastAsia" w:ascii="Times New Roman" w:hAnsi="Times New Roman" w:eastAsia="仿宋" w:cs="Times New Roman"/>
          <w:bCs/>
          <w:color w:val="auto"/>
          <w:sz w:val="32"/>
          <w:szCs w:val="32"/>
          <w:lang w:val="en-US" w:eastAsia="zh-CN"/>
        </w:rPr>
        <w:t>6.</w:t>
      </w:r>
      <w:r>
        <w:rPr>
          <w:rFonts w:hint="default" w:ascii="Times New Roman" w:hAnsi="Times New Roman" w:eastAsia="仿宋" w:cs="Times New Roman"/>
          <w:bCs/>
          <w:color w:val="auto"/>
          <w:sz w:val="32"/>
          <w:szCs w:val="32"/>
        </w:rPr>
        <w:t>贯彻执行国家对外技术贸易、进出口管理以及鼓励技术成套设备出口的政策；推进进出口贸易标准化体系建设；依法监督技术引进、设备进口、国家限制出口的技术和引进技术的出口与再出口；负责与防扩散相关的出口许可证的申报管理工作。</w:t>
      </w:r>
      <w:bookmarkEnd w:id="25"/>
      <w:bookmarkEnd w:id="26"/>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7" w:name="_Toc6191"/>
      <w:bookmarkStart w:id="28" w:name="_Toc23921"/>
      <w:r>
        <w:rPr>
          <w:rFonts w:hint="eastAsia" w:ascii="Times New Roman" w:hAnsi="Times New Roman" w:eastAsia="仿宋" w:cs="Times New Roman"/>
          <w:bCs/>
          <w:color w:val="auto"/>
          <w:sz w:val="32"/>
          <w:szCs w:val="32"/>
          <w:lang w:val="en-US" w:eastAsia="zh-CN"/>
        </w:rPr>
        <w:t>7.</w:t>
      </w:r>
      <w:r>
        <w:rPr>
          <w:rFonts w:hint="default" w:ascii="Times New Roman" w:hAnsi="Times New Roman" w:eastAsia="仿宋" w:cs="Times New Roman"/>
          <w:bCs/>
          <w:color w:val="auto"/>
          <w:sz w:val="32"/>
          <w:szCs w:val="32"/>
        </w:rPr>
        <w:t>组织协调反倾销、反补贴、保障措施及其他与进出口公平贸易相关的工作，建立进出口公平贸易预警机制；组织产业损害调查；指导协调国外对我县出口商品反倾销、反补贴、保障措施的应诉及相关工作。</w:t>
      </w:r>
      <w:bookmarkEnd w:id="27"/>
      <w:bookmarkEnd w:id="28"/>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29" w:name="_Toc25877"/>
      <w:bookmarkStart w:id="30" w:name="_Toc15347"/>
      <w:r>
        <w:rPr>
          <w:rFonts w:hint="eastAsia" w:ascii="Times New Roman" w:hAnsi="Times New Roman" w:eastAsia="仿宋" w:cs="Times New Roman"/>
          <w:bCs/>
          <w:color w:val="auto"/>
          <w:sz w:val="32"/>
          <w:szCs w:val="32"/>
          <w:lang w:val="en-US" w:eastAsia="zh-CN"/>
        </w:rPr>
        <w:t>8.</w:t>
      </w:r>
      <w:r>
        <w:rPr>
          <w:rFonts w:hint="default" w:ascii="Times New Roman" w:hAnsi="Times New Roman" w:eastAsia="仿宋" w:cs="Times New Roman"/>
          <w:bCs/>
          <w:color w:val="auto"/>
          <w:sz w:val="32"/>
          <w:szCs w:val="32"/>
        </w:rPr>
        <w:t>贯彻国家外商投资政策，指导全县外商投资工作；研究分析全县外商投资情况，定期向县政府报告有关动态和建议，拟订和执行外商投资的管理办法，参与拟订利用外资的中长期发展规划；依法核准全县外商投资项目的合同、章程及法律特别规定的重大变更事项；监督外商投资企业执行有关法律法规、规章及合同、章程的情况；指导和管理全县投资促进及权限内外商投资企业的审批和进出口工作；负责全县外商投资和外商投资企业生产经营情况统计。</w:t>
      </w:r>
      <w:bookmarkEnd w:id="29"/>
      <w:bookmarkEnd w:id="30"/>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31" w:name="_Toc17199"/>
      <w:bookmarkStart w:id="32" w:name="_Toc1237"/>
      <w:r>
        <w:rPr>
          <w:rFonts w:hint="eastAsia" w:ascii="Times New Roman" w:hAnsi="Times New Roman" w:eastAsia="仿宋" w:cs="Times New Roman"/>
          <w:bCs/>
          <w:color w:val="auto"/>
          <w:sz w:val="32"/>
          <w:szCs w:val="32"/>
          <w:lang w:val="en-US" w:eastAsia="zh-CN"/>
        </w:rPr>
        <w:t>9.</w:t>
      </w:r>
      <w:r>
        <w:rPr>
          <w:rFonts w:hint="default" w:ascii="Times New Roman" w:hAnsi="Times New Roman" w:eastAsia="仿宋" w:cs="Times New Roman"/>
          <w:bCs/>
          <w:color w:val="auto"/>
          <w:sz w:val="32"/>
          <w:szCs w:val="32"/>
        </w:rPr>
        <w:t>负责全县对外经济合作工作；拟订并执行对外经济合作政策，指导和监督对外承包工程、劳务合作、设计咨询等业务的管理；拟订我县境外投资管理办法和具体政策；依法审核县内企业对外投资开办企业（金融企业除外）和境外带料加工贸易项目并实施监督管理；执行国家对外援助任务；管理国际组织和外国政府对我县经济技术合作方面的无偿援助及赠款工作。</w:t>
      </w:r>
      <w:bookmarkEnd w:id="31"/>
      <w:bookmarkEnd w:id="32"/>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33" w:name="_Toc10771"/>
      <w:bookmarkStart w:id="34" w:name="_Toc14017"/>
      <w:r>
        <w:rPr>
          <w:rFonts w:hint="eastAsia" w:ascii="Times New Roman" w:hAnsi="Times New Roman" w:eastAsia="仿宋" w:cs="Times New Roman"/>
          <w:bCs/>
          <w:color w:val="auto"/>
          <w:sz w:val="32"/>
          <w:szCs w:val="32"/>
          <w:lang w:val="en-US" w:eastAsia="zh-CN"/>
        </w:rPr>
        <w:t>10.</w:t>
      </w:r>
      <w:r>
        <w:rPr>
          <w:rFonts w:hint="default" w:ascii="Times New Roman" w:hAnsi="Times New Roman" w:eastAsia="仿宋" w:cs="Times New Roman"/>
          <w:bCs/>
          <w:color w:val="auto"/>
          <w:sz w:val="32"/>
          <w:szCs w:val="32"/>
        </w:rPr>
        <w:t>贯彻执行对港、澳、台地区的经贸政策、贸易中长期规划及管理规章；指导全县的经贸机构与港澳台地区经贸机构开展经贸合作。</w:t>
      </w:r>
      <w:bookmarkEnd w:id="33"/>
      <w:bookmarkEnd w:id="34"/>
    </w:p>
    <w:p>
      <w:pPr>
        <w:pStyle w:val="2"/>
        <w:adjustRightInd w:val="0"/>
        <w:snapToGrid w:val="0"/>
        <w:spacing w:before="93" w:line="600" w:lineRule="exact"/>
        <w:ind w:firstLine="672" w:firstLineChars="210"/>
        <w:outlineLvl w:val="2"/>
        <w:rPr>
          <w:rFonts w:hint="default" w:ascii="Times New Roman" w:hAnsi="Times New Roman" w:eastAsia="仿宋" w:cs="Times New Roman"/>
          <w:bCs/>
          <w:color w:val="auto"/>
          <w:sz w:val="32"/>
          <w:szCs w:val="32"/>
        </w:rPr>
      </w:pPr>
      <w:bookmarkStart w:id="35" w:name="_Toc17162"/>
      <w:bookmarkStart w:id="36" w:name="_Toc3556"/>
      <w:r>
        <w:rPr>
          <w:rFonts w:hint="eastAsia" w:ascii="Times New Roman" w:hAnsi="Times New Roman" w:eastAsia="仿宋" w:cs="Times New Roman"/>
          <w:bCs/>
          <w:color w:val="auto"/>
          <w:sz w:val="32"/>
          <w:szCs w:val="32"/>
          <w:lang w:val="en-US" w:eastAsia="zh-CN"/>
        </w:rPr>
        <w:t>11.</w:t>
      </w:r>
      <w:r>
        <w:rPr>
          <w:rFonts w:hint="default" w:ascii="Times New Roman" w:hAnsi="Times New Roman" w:eastAsia="仿宋" w:cs="Times New Roman"/>
          <w:bCs/>
          <w:color w:val="auto"/>
          <w:sz w:val="32"/>
          <w:szCs w:val="32"/>
        </w:rPr>
        <w:t>拟订赴境外举办各种商贸交易会、展览会、展销会等活动的管理办法并实施监督；指导管理监督在县境内举办的各种商贸交易会、展览会、展销会等活动。</w:t>
      </w:r>
      <w:bookmarkEnd w:id="35"/>
      <w:bookmarkEnd w:id="36"/>
    </w:p>
    <w:p>
      <w:pPr>
        <w:pStyle w:val="2"/>
        <w:adjustRightInd w:val="0"/>
        <w:snapToGrid w:val="0"/>
        <w:spacing w:before="93" w:line="600" w:lineRule="exact"/>
        <w:ind w:firstLine="672" w:firstLineChars="210"/>
        <w:outlineLvl w:val="2"/>
        <w:rPr>
          <w:rFonts w:hint="eastAsia"/>
          <w:lang w:eastAsia="zh-CN"/>
        </w:rPr>
      </w:pPr>
      <w:bookmarkStart w:id="37" w:name="_Toc1265"/>
      <w:bookmarkStart w:id="38" w:name="_Toc8308"/>
      <w:r>
        <w:rPr>
          <w:rFonts w:hint="eastAsia" w:ascii="Times New Roman" w:hAnsi="Times New Roman" w:eastAsia="仿宋" w:cs="Times New Roman"/>
          <w:bCs/>
          <w:color w:val="auto"/>
          <w:sz w:val="32"/>
          <w:szCs w:val="32"/>
          <w:lang w:val="en-US" w:eastAsia="zh-CN"/>
        </w:rPr>
        <w:t>12.</w:t>
      </w:r>
      <w:r>
        <w:rPr>
          <w:rFonts w:hint="default" w:ascii="Times New Roman" w:hAnsi="Times New Roman" w:eastAsia="仿宋" w:cs="Times New Roman"/>
          <w:bCs/>
          <w:color w:val="auto"/>
          <w:sz w:val="32"/>
          <w:szCs w:val="32"/>
        </w:rPr>
        <w:t>负责全县内外贸易、利用外资和国际经济合作新闻发布、宣传工作并提供信息咨询服务；指导全县商务领域信息网络和电子商务建设；指导全县商务行业协会、学会等社团组织工作。</w:t>
      </w:r>
      <w:bookmarkEnd w:id="37"/>
      <w:bookmarkEnd w:id="38"/>
    </w:p>
    <w:p>
      <w:pPr>
        <w:pStyle w:val="4"/>
        <w:numPr>
          <w:ilvl w:val="0"/>
          <w:numId w:val="0"/>
        </w:numPr>
        <w:rPr>
          <w:rFonts w:hint="eastAsia" w:ascii="黑体" w:hAnsi="黑体" w:eastAsia="黑体"/>
          <w:b w:val="0"/>
          <w:color w:val="auto"/>
          <w:highlight w:val="none"/>
          <w:lang w:val="en-US" w:eastAsia="zh-CN"/>
        </w:rPr>
      </w:pPr>
      <w:r>
        <w:rPr>
          <w:rFonts w:hint="eastAsia" w:ascii="黑体" w:hAnsi="黑体" w:eastAsia="黑体"/>
          <w:b w:val="0"/>
          <w:color w:val="auto"/>
          <w:highlight w:val="none"/>
          <w:lang w:val="en-US" w:eastAsia="zh-CN"/>
        </w:rPr>
        <w:t>二、机构设置</w:t>
      </w:r>
    </w:p>
    <w:bookmarkEnd w:id="14"/>
    <w:bookmarkEnd w:id="15"/>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大竹县商务局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39" w:name="_Toc15396602"/>
      <w:bookmarkStart w:id="40"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39"/>
      <w:bookmarkEnd w:id="40"/>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1" w:name="_Toc15377205"/>
      <w:bookmarkStart w:id="42"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41"/>
      <w:bookmarkEnd w:id="42"/>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年度收、支总计1123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25万元。与20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986.91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项目收入支出减少。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30480</wp:posOffset>
            </wp:positionH>
            <wp:positionV relativeFrom="paragraph">
              <wp:posOffset>175260</wp:posOffset>
            </wp:positionV>
            <wp:extent cx="5094605" cy="2731770"/>
            <wp:effectExtent l="4445" t="4445" r="6350" b="698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3" w:name="_Toc15396604"/>
      <w:bookmarkStart w:id="44"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43"/>
      <w:bookmarkEnd w:id="44"/>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902.39</w:t>
      </w:r>
      <w:r>
        <w:rPr>
          <w:rFonts w:hint="eastAsia" w:ascii="仿宋" w:hAnsi="仿宋" w:eastAsia="仿宋"/>
          <w:color w:val="auto"/>
          <w:sz w:val="32"/>
          <w:szCs w:val="32"/>
          <w:highlight w:val="none"/>
        </w:rPr>
        <w:t>万元，其中：一般公共预算财政拨款收入773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49万元，占</w:t>
      </w:r>
      <w:r>
        <w:rPr>
          <w:rFonts w:hint="eastAsia" w:ascii="仿宋" w:hAnsi="仿宋" w:eastAsia="仿宋"/>
          <w:color w:val="auto"/>
          <w:sz w:val="32"/>
          <w:szCs w:val="32"/>
          <w:highlight w:val="none"/>
          <w:lang w:val="en-US" w:eastAsia="zh-CN"/>
        </w:rPr>
        <w:t>85.72</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；政府性基金预算财政拨款收入128</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9</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14.28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268605</wp:posOffset>
            </wp:positionH>
            <wp:positionV relativeFrom="paragraph">
              <wp:posOffset>318770</wp:posOffset>
            </wp:positionV>
            <wp:extent cx="5256530" cy="2988310"/>
            <wp:effectExtent l="5080" t="4445" r="15240" b="1714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45" w:name="_Toc15377207"/>
      <w:bookmarkStart w:id="46"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45"/>
      <w:bookmarkEnd w:id="46"/>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年本年支出合计1123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25万元，其中：基本支出516</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04万元，占</w:t>
      </w:r>
      <w:r>
        <w:rPr>
          <w:rFonts w:hint="eastAsia" w:ascii="仿宋" w:hAnsi="仿宋" w:eastAsia="仿宋"/>
          <w:color w:val="auto"/>
          <w:sz w:val="32"/>
          <w:szCs w:val="32"/>
          <w:highlight w:val="none"/>
          <w:lang w:val="en-US" w:eastAsia="zh-CN"/>
        </w:rPr>
        <w:t>45.94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；项目支出607</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20万元，占</w:t>
      </w:r>
      <w:r>
        <w:rPr>
          <w:rFonts w:hint="eastAsia" w:ascii="仿宋" w:hAnsi="仿宋" w:eastAsia="仿宋"/>
          <w:color w:val="auto"/>
          <w:sz w:val="32"/>
          <w:szCs w:val="32"/>
          <w:highlight w:val="none"/>
          <w:lang w:val="en-US" w:eastAsia="zh-CN"/>
        </w:rPr>
        <w:t>54.06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color w:val="auto"/>
          <w:sz w:val="32"/>
          <w:szCs w:val="32"/>
          <w:highlight w:val="none"/>
          <w:shd w:val="pct10" w:color="auto" w:fill="FFFFFF"/>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anchor distT="0" distB="0" distL="114300" distR="114300" simplePos="0" relativeHeight="251661312" behindDoc="0" locked="0" layoutInCell="1" allowOverlap="1">
            <wp:simplePos x="0" y="0"/>
            <wp:positionH relativeFrom="column">
              <wp:posOffset>78105</wp:posOffset>
            </wp:positionH>
            <wp:positionV relativeFrom="paragraph">
              <wp:posOffset>175260</wp:posOffset>
            </wp:positionV>
            <wp:extent cx="4534535" cy="2607310"/>
            <wp:effectExtent l="4445" t="4445" r="13970" b="1714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47" w:name="_Toc15396606"/>
      <w:bookmarkStart w:id="48"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47"/>
      <w:bookmarkEnd w:id="4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1123.25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986.91</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项目收入支出减少。</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56530" cy="2988310"/>
            <wp:effectExtent l="5080" t="4445" r="15240" b="1714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49" w:name="_Toc15377209"/>
      <w:bookmarkStart w:id="50"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9"/>
      <w:bookmarkEnd w:id="50"/>
    </w:p>
    <w:p>
      <w:pPr>
        <w:spacing w:line="600" w:lineRule="exact"/>
        <w:ind w:firstLine="643" w:firstLineChars="200"/>
        <w:outlineLvl w:val="2"/>
        <w:rPr>
          <w:rFonts w:ascii="仿宋" w:hAnsi="仿宋" w:eastAsia="仿宋"/>
          <w:b/>
          <w:color w:val="auto"/>
          <w:sz w:val="32"/>
          <w:szCs w:val="32"/>
          <w:highlight w:val="none"/>
        </w:rPr>
      </w:pPr>
      <w:bookmarkStart w:id="51" w:name="_Toc15377210"/>
      <w:r>
        <w:rPr>
          <w:rFonts w:hint="eastAsia" w:ascii="仿宋" w:hAnsi="仿宋" w:eastAsia="仿宋"/>
          <w:b/>
          <w:color w:val="auto"/>
          <w:sz w:val="32"/>
          <w:szCs w:val="32"/>
          <w:highlight w:val="none"/>
        </w:rPr>
        <w:t>（一）一般公共预算财政拨款支出决算总体情况</w:t>
      </w:r>
      <w:bookmarkEnd w:id="51"/>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994.35</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88.52</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1027.35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50.82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项目支出减少。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97155</wp:posOffset>
            </wp:positionH>
            <wp:positionV relativeFrom="paragraph">
              <wp:posOffset>156845</wp:posOffset>
            </wp:positionV>
            <wp:extent cx="5256530" cy="2988310"/>
            <wp:effectExtent l="5080" t="4445" r="15240" b="1714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2" w:name="_Toc15377211"/>
      <w:r>
        <w:rPr>
          <w:rFonts w:hint="eastAsia" w:ascii="仿宋" w:hAnsi="仿宋" w:eastAsia="仿宋"/>
          <w:b/>
          <w:color w:val="auto"/>
          <w:sz w:val="32"/>
          <w:szCs w:val="32"/>
          <w:highlight w:val="none"/>
        </w:rPr>
        <w:t>（二）一般公共预算财政拨款支出决算结构情况</w:t>
      </w:r>
      <w:bookmarkEnd w:id="52"/>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994.35</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社会保障和就业支出</w:t>
      </w:r>
      <w:r>
        <w:rPr>
          <w:rFonts w:hint="eastAsia" w:ascii="仿宋" w:hAnsi="仿宋" w:eastAsia="仿宋"/>
          <w:color w:val="auto"/>
          <w:sz w:val="32"/>
          <w:szCs w:val="32"/>
          <w:highlight w:val="none"/>
        </w:rPr>
        <w:t>115</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30万元，占</w:t>
      </w:r>
      <w:r>
        <w:rPr>
          <w:rFonts w:hint="eastAsia" w:ascii="仿宋" w:hAnsi="仿宋" w:eastAsia="仿宋"/>
          <w:color w:val="auto"/>
          <w:sz w:val="32"/>
          <w:szCs w:val="32"/>
          <w:highlight w:val="none"/>
          <w:lang w:val="en-US" w:eastAsia="zh-CN"/>
        </w:rPr>
        <w:t>11.60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卫生健康支出</w:t>
      </w:r>
      <w:r>
        <w:rPr>
          <w:rFonts w:hint="eastAsia" w:ascii="仿宋" w:hAnsi="仿宋" w:eastAsia="仿宋"/>
          <w:color w:val="auto"/>
          <w:sz w:val="32"/>
          <w:szCs w:val="32"/>
          <w:highlight w:val="none"/>
          <w:lang w:val="en-US" w:eastAsia="zh-CN"/>
        </w:rPr>
        <w:t>17.06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资源勘探工业信息等支出</w:t>
      </w:r>
      <w:r>
        <w:rPr>
          <w:rFonts w:hint="eastAsia" w:ascii="仿宋" w:hAnsi="仿宋" w:eastAsia="仿宋"/>
          <w:color w:val="auto"/>
          <w:sz w:val="32"/>
          <w:szCs w:val="32"/>
          <w:highlight w:val="none"/>
          <w:lang w:val="en-US" w:eastAsia="zh-CN"/>
        </w:rPr>
        <w:t>35.23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3.54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商业服务业等支出</w:t>
      </w:r>
      <w:r>
        <w:rPr>
          <w:rFonts w:hint="eastAsia" w:ascii="仿宋" w:hAnsi="仿宋" w:eastAsia="仿宋"/>
          <w:b/>
          <w:bCs/>
          <w:color w:val="auto"/>
          <w:sz w:val="32"/>
          <w:szCs w:val="32"/>
          <w:highlight w:val="none"/>
          <w:lang w:val="en-US" w:eastAsia="zh-CN"/>
        </w:rPr>
        <w:t>776.12</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78.05</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住房保障支出</w:t>
      </w:r>
      <w:r>
        <w:rPr>
          <w:rFonts w:hint="eastAsia" w:ascii="仿宋" w:hAnsi="仿宋" w:eastAsia="仿宋"/>
          <w:color w:val="auto"/>
          <w:sz w:val="32"/>
          <w:szCs w:val="32"/>
          <w:highlight w:val="none"/>
          <w:lang w:val="en-US" w:eastAsia="zh-CN"/>
        </w:rPr>
        <w:t>27.64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灾害防治及应急管理支出</w:t>
      </w:r>
      <w:r>
        <w:rPr>
          <w:rFonts w:hint="eastAsia" w:ascii="仿宋" w:hAnsi="仿宋" w:eastAsia="仿宋"/>
          <w:color w:val="auto"/>
          <w:sz w:val="32"/>
          <w:szCs w:val="32"/>
          <w:highlight w:val="none"/>
          <w:lang w:val="en-US" w:eastAsia="zh-CN"/>
        </w:rPr>
        <w:t>23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2.31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5080</wp:posOffset>
            </wp:positionH>
            <wp:positionV relativeFrom="paragraph">
              <wp:posOffset>84455</wp:posOffset>
            </wp:positionV>
            <wp:extent cx="5256530" cy="2988310"/>
            <wp:effectExtent l="5080" t="4445" r="15240" b="1714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53" w:name="_Toc15377212"/>
      <w:r>
        <w:rPr>
          <w:rFonts w:hint="eastAsia" w:ascii="仿宋" w:hAnsi="仿宋" w:eastAsia="仿宋"/>
          <w:b/>
          <w:color w:val="auto"/>
          <w:sz w:val="32"/>
          <w:szCs w:val="32"/>
          <w:highlight w:val="none"/>
        </w:rPr>
        <w:t>（三）一般公共预算财政拨款支出决算具体情况</w:t>
      </w:r>
      <w:bookmarkEnd w:id="53"/>
    </w:p>
    <w:p>
      <w:pPr>
        <w:spacing w:line="600" w:lineRule="exact"/>
        <w:ind w:firstLine="643" w:firstLineChars="200"/>
        <w:outlineLvl w:val="2"/>
        <w:rPr>
          <w:rFonts w:ascii="仿宋" w:hAnsi="仿宋" w:eastAsia="仿宋"/>
          <w:color w:val="auto"/>
          <w:sz w:val="32"/>
          <w:szCs w:val="32"/>
          <w:highlight w:val="none"/>
        </w:rPr>
      </w:pPr>
      <w:bookmarkStart w:id="54" w:name="_Toc15377213"/>
      <w:bookmarkStart w:id="55" w:name="_Toc15377444"/>
      <w:bookmarkStart w:id="56"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994.35</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54"/>
      <w:bookmarkEnd w:id="55"/>
      <w:bookmarkEnd w:id="56"/>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社会保障和就业支出（类）行政事业单位养老支出（款）  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21.69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机关事业单位职业年金缴费支出（项）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10.62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其他行政事业单位养老支出（项）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43.94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抚恤（款）死亡抚恤（项）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39.05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卫生健康支出（类）行政事业单位医疗（款）行政单位医疗（项）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事业单位医疗（项）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4.03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公务员医疗补助（项）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3.91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资源勘探工业信息等支出（类）支持中小企业发展和管理支出（款）其他支持中小企业发展和管理支出（项）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35.23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auto"/>
          <w:sz w:val="32"/>
          <w:szCs w:val="32"/>
          <w:highlight w:val="none"/>
        </w:rPr>
        <w:t>商业服务业等支出（类）商业流通事务（款）行政运行（项）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237.08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事业运行（项）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71.23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其他商业流通事务支出（项）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311.51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Cs/>
          <w:color w:val="auto"/>
          <w:sz w:val="32"/>
          <w:szCs w:val="32"/>
          <w:highlight w:val="none"/>
        </w:rPr>
        <w:t>其他商业服务业等支出（款）其他商业服务业等支出（项）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156.29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住房保障支出（类）住房改革支出（款）住房公积金（项）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27.64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rPr>
        <w:t>灾害防治及应急管理支出</w:t>
      </w:r>
      <w:r>
        <w:rPr>
          <w:rStyle w:val="14"/>
          <w:rFonts w:hint="eastAsia" w:ascii="仿宋" w:hAnsi="仿宋" w:eastAsia="仿宋"/>
          <w:bCs/>
          <w:color w:val="auto"/>
          <w:sz w:val="32"/>
          <w:szCs w:val="32"/>
          <w:highlight w:val="none"/>
        </w:rPr>
        <w:t>（类）其他灾害防治及应急管理支出（款）其他灾害防治及应急管理支出（项）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57" w:name="_Toc15396608"/>
      <w:bookmarkStart w:id="58"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7"/>
      <w:bookmarkEnd w:id="58"/>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516.04</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434.76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81.28</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59" w:name="_Toc15396609"/>
      <w:bookmarkStart w:id="60" w:name="_Toc15377215"/>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59"/>
      <w:bookmarkEnd w:id="60"/>
    </w:p>
    <w:p>
      <w:pPr>
        <w:spacing w:line="600" w:lineRule="exact"/>
        <w:ind w:firstLine="640"/>
        <w:outlineLvl w:val="2"/>
        <w:rPr>
          <w:rFonts w:ascii="仿宋" w:hAnsi="仿宋" w:eastAsia="仿宋"/>
          <w:b/>
          <w:color w:val="auto"/>
          <w:sz w:val="32"/>
          <w:szCs w:val="32"/>
          <w:highlight w:val="none"/>
        </w:rPr>
      </w:pPr>
      <w:bookmarkStart w:id="61" w:name="_Toc15377216"/>
      <w:r>
        <w:rPr>
          <w:rFonts w:hint="eastAsia" w:ascii="仿宋" w:hAnsi="仿宋" w:eastAsia="仿宋"/>
          <w:b/>
          <w:color w:val="auto"/>
          <w:sz w:val="32"/>
          <w:szCs w:val="32"/>
          <w:highlight w:val="none"/>
        </w:rPr>
        <w:t>（一）“三公”经费财政拨款支出决算总体情况说明</w:t>
      </w:r>
      <w:bookmarkEnd w:id="61"/>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3.21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减少0.64万元，下降16.62%。</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62" w:name="_Toc15377217"/>
      <w:r>
        <w:rPr>
          <w:rFonts w:hint="eastAsia" w:ascii="仿宋" w:hAnsi="仿宋" w:eastAsia="仿宋"/>
          <w:b/>
          <w:color w:val="auto"/>
          <w:sz w:val="32"/>
          <w:szCs w:val="32"/>
          <w:highlight w:val="none"/>
        </w:rPr>
        <w:t>（二）“三公”经费财政拨款支出决算具体情况说明</w:t>
      </w:r>
      <w:bookmarkEnd w:id="62"/>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pStyle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56530" cy="2988310"/>
            <wp:effectExtent l="5080" t="4445" r="15240" b="1714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3.21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0.64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16.62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厉行节约</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3.21</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hAnsi="Calibri" w:eastAsia="仿宋_GB2312" w:cs="Calibri"/>
          <w:color w:val="000000"/>
          <w:kern w:val="0"/>
          <w:sz w:val="32"/>
          <w:szCs w:val="32"/>
          <w:lang w:val="en-US" w:eastAsia="zh-CN"/>
        </w:rPr>
        <w:t>19</w:t>
      </w:r>
      <w:r>
        <w:rPr>
          <w:rFonts w:hint="eastAsia" w:ascii="仿宋_GB2312" w:eastAsia="仿宋_GB2312"/>
          <w:color w:val="auto"/>
          <w:sz w:val="32"/>
          <w:szCs w:val="32"/>
          <w:highlight w:val="none"/>
        </w:rPr>
        <w:t>批次，</w:t>
      </w:r>
      <w:r>
        <w:rPr>
          <w:rFonts w:hint="eastAsia" w:ascii="仿宋_GB2312" w:hAnsi="Calibri" w:eastAsia="仿宋_GB2312" w:cs="Calibri"/>
          <w:color w:val="000000"/>
          <w:kern w:val="0"/>
          <w:sz w:val="32"/>
          <w:szCs w:val="32"/>
          <w:lang w:val="en-US" w:eastAsia="zh-CN"/>
        </w:rPr>
        <w:t>222</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3.21</w:t>
      </w:r>
      <w:r>
        <w:rPr>
          <w:rFonts w:hint="eastAsia" w:ascii="仿宋_GB2312" w:eastAsia="仿宋_GB2312"/>
          <w:color w:val="auto"/>
          <w:sz w:val="32"/>
          <w:szCs w:val="32"/>
          <w:highlight w:val="none"/>
        </w:rPr>
        <w:t>万元。</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outlineLvl w:val="1"/>
        <w:rPr>
          <w:rFonts w:ascii="黑体" w:eastAsia="黑体"/>
          <w:color w:val="auto"/>
          <w:sz w:val="32"/>
          <w:szCs w:val="32"/>
          <w:highlight w:val="none"/>
        </w:rPr>
      </w:pPr>
      <w:bookmarkStart w:id="63" w:name="_Toc15377218"/>
      <w:bookmarkStart w:id="64"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3"/>
      <w:bookmarkEnd w:id="6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128.90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65" w:name="_Toc15396611"/>
      <w:bookmarkStart w:id="66" w:name="_Toc15377219"/>
      <w:r>
        <w:rPr>
          <w:rStyle w:val="25"/>
          <w:rFonts w:hint="eastAsia" w:ascii="黑体" w:hAnsi="黑体" w:eastAsia="黑体"/>
          <w:b w:val="0"/>
          <w:color w:val="auto"/>
          <w:highlight w:val="none"/>
        </w:rPr>
        <w:t>国有资本经营预算支出决算情况说明</w:t>
      </w:r>
      <w:bookmarkEnd w:id="65"/>
      <w:bookmarkEnd w:id="66"/>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7" w:name="_Toc15396612"/>
      <w:bookmarkStart w:id="68" w:name="_Toc15377221"/>
      <w:r>
        <w:rPr>
          <w:rStyle w:val="25"/>
          <w:rFonts w:hint="eastAsia" w:ascii="黑体" w:hAnsi="黑体" w:eastAsia="黑体"/>
          <w:b w:val="0"/>
          <w:color w:val="auto"/>
          <w:highlight w:val="none"/>
        </w:rPr>
        <w:t>其他重要事项的情况说明</w:t>
      </w:r>
      <w:bookmarkEnd w:id="67"/>
      <w:bookmarkEnd w:id="68"/>
    </w:p>
    <w:p>
      <w:pPr>
        <w:spacing w:line="600" w:lineRule="exact"/>
        <w:ind w:firstLine="643" w:firstLineChars="200"/>
        <w:outlineLvl w:val="2"/>
        <w:rPr>
          <w:rFonts w:ascii="仿宋" w:hAnsi="仿宋" w:eastAsia="仿宋"/>
          <w:color w:val="auto"/>
          <w:sz w:val="32"/>
          <w:szCs w:val="32"/>
          <w:highlight w:val="none"/>
        </w:rPr>
      </w:pPr>
      <w:bookmarkStart w:id="69" w:name="_Toc15377222"/>
      <w:r>
        <w:rPr>
          <w:rFonts w:hint="eastAsia" w:ascii="仿宋" w:hAnsi="仿宋" w:eastAsia="仿宋"/>
          <w:b/>
          <w:color w:val="auto"/>
          <w:sz w:val="32"/>
          <w:szCs w:val="32"/>
          <w:highlight w:val="none"/>
        </w:rPr>
        <w:t>（一）机关运行经费支出情况</w:t>
      </w:r>
      <w:bookmarkEnd w:id="69"/>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大竹县商务局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195.50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68.55</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人员增加。</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0" w:name="_Toc15377223"/>
      <w:r>
        <w:rPr>
          <w:rFonts w:hint="eastAsia" w:ascii="仿宋" w:hAnsi="仿宋" w:eastAsia="仿宋"/>
          <w:b/>
          <w:color w:val="auto"/>
          <w:sz w:val="32"/>
          <w:szCs w:val="32"/>
          <w:highlight w:val="none"/>
        </w:rPr>
        <w:t>（二）政府采购支出情况</w:t>
      </w:r>
      <w:bookmarkEnd w:id="70"/>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大竹县商务局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1" w:name="_Toc15377224"/>
      <w:r>
        <w:rPr>
          <w:rFonts w:hint="eastAsia" w:ascii="仿宋" w:hAnsi="仿宋" w:eastAsia="仿宋"/>
          <w:b/>
          <w:color w:val="auto"/>
          <w:sz w:val="32"/>
          <w:szCs w:val="32"/>
          <w:highlight w:val="none"/>
        </w:rPr>
        <w:t>（三）国有资产占有使用情况</w:t>
      </w:r>
      <w:bookmarkEnd w:id="71"/>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大竹县商务局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2"/>
        <w:ind w:firstLine="640" w:firstLineChars="200"/>
        <w:rPr>
          <w:color w:val="auto"/>
          <w:highlight w:val="yellow"/>
        </w:rPr>
      </w:pPr>
      <w:r>
        <w:rPr>
          <w:rFonts w:hint="eastAsia" w:ascii="仿宋_GB2312" w:hAnsi="仿宋_GB2312" w:eastAsia="仿宋_GB2312" w:cs="仿宋_GB2312"/>
          <w:color w:val="auto"/>
          <w:sz w:val="32"/>
          <w:szCs w:val="32"/>
          <w:highlight w:val="none"/>
        </w:rPr>
        <w:t>根据预算绩效管理要求，本单位在202</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年度预算编制阶段，组织对糖酒公司改制工作组经费</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商务统计工作经费</w:t>
      </w:r>
      <w:r>
        <w:rPr>
          <w:rFonts w:hint="eastAsia"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参加博览会、展会经费项目等</w:t>
      </w:r>
      <w:r>
        <w:rPr>
          <w:rFonts w:hint="eastAsia"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个项目开展了预算事前绩效评估，对</w:t>
      </w:r>
      <w:r>
        <w:rPr>
          <w:rFonts w:hint="eastAsia"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widowControl/>
        <w:jc w:val="left"/>
        <w:rPr>
          <w:rFonts w:ascii="仿宋_GB2312" w:eastAsia="仿宋_GB2312"/>
          <w:b/>
          <w:color w:val="auto"/>
          <w:sz w:val="32"/>
          <w:szCs w:val="32"/>
          <w:highlight w:val="none"/>
        </w:rPr>
      </w:pP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2" w:name="_Toc15377225"/>
      <w:bookmarkStart w:id="73"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2"/>
      <w:bookmarkEnd w:id="73"/>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ascii="黑体" w:hAnsi="黑体" w:eastAsia="黑体"/>
          <w:b w:val="0"/>
          <w:color w:val="auto"/>
          <w:highlight w:val="none"/>
        </w:rPr>
      </w:pPr>
      <w:bookmarkStart w:id="74" w:name="_Toc15377226"/>
      <w:r>
        <w:rPr>
          <w:rFonts w:ascii="宋体"/>
          <w:b/>
          <w:color w:val="auto"/>
          <w:sz w:val="44"/>
          <w:szCs w:val="44"/>
          <w:highlight w:val="none"/>
        </w:rPr>
        <w:br w:type="page"/>
      </w:r>
      <w:bookmarkStart w:id="75"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5"/>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p>
      <w:pPr>
        <w:spacing w:line="600" w:lineRule="exact"/>
        <w:jc w:val="center"/>
        <w:outlineLvl w:val="0"/>
        <w:rPr>
          <w:rFonts w:hint="eastAsia" w:ascii="宋体" w:hAnsi="宋体" w:eastAsia="宋体" w:cs="宋体"/>
          <w:color w:val="auto"/>
          <w:kern w:val="0"/>
          <w:sz w:val="32"/>
          <w:szCs w:val="32"/>
          <w:highlight w:val="none"/>
          <w:lang w:val="en-US" w:eastAsia="zh-CN" w:bidi="ar-SA"/>
        </w:rPr>
      </w:pPr>
      <w:bookmarkStart w:id="76" w:name="_Toc15396618"/>
      <w:r>
        <w:rPr>
          <w:rFonts w:hint="eastAsia" w:ascii="宋体" w:hAnsi="宋体" w:eastAsia="宋体" w:cs="宋体"/>
          <w:color w:val="auto"/>
          <w:kern w:val="0"/>
          <w:sz w:val="32"/>
          <w:szCs w:val="32"/>
          <w:highlight w:val="none"/>
          <w:lang w:val="en-US" w:eastAsia="zh-CN" w:bidi="ar-SA"/>
        </w:rPr>
        <w:t>部门预算项目支出绩效自评表（2022年度）</w:t>
      </w:r>
    </w:p>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tbl>
      <w:tblPr>
        <w:tblStyle w:val="12"/>
        <w:tblW w:w="88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3"/>
        <w:gridCol w:w="825"/>
        <w:gridCol w:w="1830"/>
        <w:gridCol w:w="660"/>
        <w:gridCol w:w="810"/>
        <w:gridCol w:w="690"/>
        <w:gridCol w:w="690"/>
        <w:gridCol w:w="765"/>
        <w:gridCol w:w="360"/>
        <w:gridCol w:w="525"/>
        <w:gridCol w:w="300"/>
        <w:gridCol w:w="240"/>
        <w:gridCol w:w="240"/>
        <w:gridCol w:w="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818"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default" w:ascii="等线" w:hAnsi="等线" w:eastAsia="等线" w:cs="等线"/>
                <w:b/>
                <w:bCs/>
                <w:i w:val="0"/>
                <w:iCs w:val="0"/>
                <w:color w:val="000000"/>
                <w:kern w:val="0"/>
                <w:sz w:val="24"/>
                <w:szCs w:val="24"/>
                <w:u w:val="none"/>
                <w:lang w:val="en-US" w:eastAsia="zh-CN" w:bidi="ar"/>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单位信息：</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604001-大竹县商务局</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项目名称：</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参加博览会、展会经费</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职能职责与活动：</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10-商务招商管理/02-招商展会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主管部门：</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604-大竹县商务局部门</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项目经办人：</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张小兵、吕祖茂、陈奚黎</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项目总额：</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预算执行率权重(%)：</w:t>
            </w:r>
          </w:p>
        </w:tc>
        <w:tc>
          <w:tcPr>
            <w:tcW w:w="26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项目经办人电话：</w:t>
            </w:r>
          </w:p>
        </w:tc>
        <w:tc>
          <w:tcPr>
            <w:tcW w:w="295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13558558550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其中：</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财政资金：</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整体目标：</w:t>
            </w:r>
          </w:p>
        </w:tc>
        <w:tc>
          <w:tcPr>
            <w:tcW w:w="627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主动融入国内省内市场，组织企业参加进博会、秦巴交易会、西博会、渝洽会等展会和促销活动，将大竹优质产品推出去。</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财政专户管理资金：</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b/>
                <w:bCs/>
                <w:i w:val="0"/>
                <w:iCs w:val="0"/>
                <w:color w:val="000000"/>
                <w:sz w:val="18"/>
                <w:szCs w:val="18"/>
                <w:u w:val="none"/>
              </w:rPr>
            </w:pPr>
          </w:p>
        </w:tc>
        <w:tc>
          <w:tcPr>
            <w:tcW w:w="62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i w:val="0"/>
                <w:iCs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单位资金：</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b/>
                <w:bCs/>
                <w:i w:val="0"/>
                <w:iCs w:val="0"/>
                <w:color w:val="000000"/>
                <w:sz w:val="18"/>
                <w:szCs w:val="18"/>
                <w:u w:val="none"/>
              </w:rPr>
            </w:pPr>
          </w:p>
        </w:tc>
        <w:tc>
          <w:tcPr>
            <w:tcW w:w="62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i w:val="0"/>
                <w:iCs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社会投入资金：</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b/>
                <w:bCs/>
                <w:i w:val="0"/>
                <w:iCs w:val="0"/>
                <w:color w:val="000000"/>
                <w:sz w:val="18"/>
                <w:szCs w:val="18"/>
                <w:u w:val="none"/>
              </w:rPr>
            </w:pPr>
          </w:p>
        </w:tc>
        <w:tc>
          <w:tcPr>
            <w:tcW w:w="627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等线" w:hAnsi="等线" w:eastAsia="等线" w:cs="等线"/>
                <w:i w:val="0"/>
                <w:iCs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银行贷款：</w:t>
            </w:r>
          </w:p>
        </w:tc>
        <w:tc>
          <w:tcPr>
            <w:tcW w:w="1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二级指标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三级指标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指标性质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历史参考值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指标值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度量单位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lang w:val="en-US" w:eastAsia="zh-CN" w:bidi="ar"/>
              </w:rPr>
              <w:t>权重（%）</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b/>
                <w:bCs/>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数量指标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开展博览会、展会次数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3</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质量指标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参展企业现场签订意向合同金额</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2200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万元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时效指标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规定任务按规定时效完成率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98</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成本指标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参加博览会、展会大竹代表团支出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20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万元</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经济效益指标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外贸进出口增长率</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效益指标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可持续发展指标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企业发展带动就业岗位增加</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个</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服务对象满意度指标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服务对象满意度</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95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lang w:val="en-US" w:eastAsia="zh-CN" w:bidi="ar"/>
              </w:rPr>
              <w:t>10</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c>
          <w:tcPr>
            <w:tcW w:w="2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18"/>
                <w:szCs w:val="18"/>
                <w:u w:val="none"/>
              </w:rPr>
            </w:pPr>
          </w:p>
        </w:tc>
      </w:tr>
    </w:tbl>
    <w:p>
      <w:pPr>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br w:type="page"/>
      </w:r>
    </w:p>
    <w:tbl>
      <w:tblPr>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48"/>
        <w:gridCol w:w="813"/>
        <w:gridCol w:w="1213"/>
        <w:gridCol w:w="786"/>
        <w:gridCol w:w="572"/>
        <w:gridCol w:w="430"/>
        <w:gridCol w:w="501"/>
        <w:gridCol w:w="567"/>
        <w:gridCol w:w="359"/>
        <w:gridCol w:w="430"/>
        <w:gridCol w:w="572"/>
        <w:gridCol w:w="359"/>
        <w:gridCol w:w="359"/>
        <w:gridCol w:w="360"/>
        <w:gridCol w:w="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8" w:hRule="atLeast"/>
        </w:trPr>
        <w:tc>
          <w:tcPr>
            <w:tcW w:w="8429" w:type="dxa"/>
            <w:gridSpan w:val="1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default" w:ascii="等线" w:hAnsi="等线" w:eastAsia="等线" w:cs="等线"/>
                <w:b/>
                <w:bCs/>
                <w:i w:val="0"/>
                <w:iCs w:val="0"/>
                <w:color w:val="000000"/>
                <w:kern w:val="0"/>
                <w:sz w:val="24"/>
                <w:szCs w:val="24"/>
                <w:u w:val="none"/>
                <w:bdr w:val="none" w:color="auto" w:sz="0" w:space="0"/>
                <w:lang w:val="en-US" w:eastAsia="zh-CN" w:bidi="ar"/>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单位信息：</w:t>
            </w:r>
          </w:p>
        </w:tc>
        <w:tc>
          <w:tcPr>
            <w:tcW w:w="2026"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604001-大竹县商务局</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项目名称：</w:t>
            </w:r>
          </w:p>
        </w:tc>
        <w:tc>
          <w:tcPr>
            <w:tcW w:w="2429"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商务统计工作经费</w:t>
            </w: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职能职责与活动：</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12-其他/01-其他商务活动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主管部门：</w:t>
            </w:r>
          </w:p>
        </w:tc>
        <w:tc>
          <w:tcPr>
            <w:tcW w:w="2026"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604-大竹县商务局部门</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项目经办人：</w:t>
            </w:r>
          </w:p>
        </w:tc>
        <w:tc>
          <w:tcPr>
            <w:tcW w:w="2429"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张明娅、陈奚黎</w:t>
            </w: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项目总额：</w:t>
            </w:r>
          </w:p>
        </w:tc>
        <w:tc>
          <w:tcPr>
            <w:tcW w:w="1438"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预算执行率权重(%)：</w:t>
            </w:r>
          </w:p>
        </w:tc>
        <w:tc>
          <w:tcPr>
            <w:tcW w:w="2026"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项目经办人电话：</w:t>
            </w:r>
          </w:p>
        </w:tc>
        <w:tc>
          <w:tcPr>
            <w:tcW w:w="2429" w:type="dxa"/>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13659067599</w:t>
            </w: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其中：</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财政资金：</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整体目标：</w:t>
            </w:r>
          </w:p>
        </w:tc>
        <w:tc>
          <w:tcPr>
            <w:tcW w:w="5241" w:type="dxa"/>
            <w:gridSpan w:val="8"/>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加强对社会消费品零售额和服务业增加值两个指标的预判，以及服务业分项指标（公路运输周转量，房地产销售面积、房地产从业人员、房地产从业人员报酬，金融机构存贷款余额，财政八项支出）的研判，按照行业部门归口，加强调度指导企业落实，确保各项指标全面、客观、准确反映服务发展水平。</w:t>
            </w: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财政专户管理资金：</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5241"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单位资金：</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5241"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社会投入资金：</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5241"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1002" w:type="dxa"/>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银行贷款：</w:t>
            </w:r>
          </w:p>
        </w:tc>
        <w:tc>
          <w:tcPr>
            <w:tcW w:w="1438" w:type="dxa"/>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一级指标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二级指标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三级指标</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指标性质</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历史参考值</w:t>
            </w: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指标值</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度量单位</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权重（%）</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备注</w:t>
            </w: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b/>
                <w:bCs/>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数量指标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监测限上商贸企业</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136</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家</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成本指标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企业统计工作经费</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500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元/月</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15</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时效指标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定期调度服务业、社消零企业</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4</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次/年</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质量指标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社消零企业入库成功率</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70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数量指标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监测服务业企业</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家</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质量指标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服务业企业入库成功率</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80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效益指标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经济效益指标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新增限上商贸企业</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家</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效益指标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社会效益指标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带动企业发展从而增加就业岗位</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20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个</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效益指标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经济效益指标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新增服务业企业</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家</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4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满意度指标</w:t>
            </w:r>
          </w:p>
        </w:tc>
        <w:tc>
          <w:tcPr>
            <w:tcW w:w="8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服务对象满意度指标</w:t>
            </w:r>
          </w:p>
        </w:tc>
        <w:tc>
          <w:tcPr>
            <w:tcW w:w="121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服务对象满意度</w:t>
            </w:r>
          </w:p>
        </w:tc>
        <w:tc>
          <w:tcPr>
            <w:tcW w:w="78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90</w:t>
            </w:r>
          </w:p>
        </w:tc>
        <w:tc>
          <w:tcPr>
            <w:tcW w:w="501"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56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572"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59"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360" w:type="dxa"/>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bl>
    <w:p>
      <w:pPr>
        <w:rPr>
          <w:rFonts w:hint="eastAsia"/>
          <w:lang w:val="en-US" w:eastAsia="zh-CN"/>
        </w:rPr>
      </w:pPr>
      <w:r>
        <w:rPr>
          <w:rFonts w:hint="eastAsia"/>
          <w:lang w:val="en-US" w:eastAsia="zh-CN"/>
        </w:rPr>
        <w:br w:type="page"/>
      </w:r>
    </w:p>
    <w:tbl>
      <w:tblPr>
        <w:tblW w:w="7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65"/>
        <w:gridCol w:w="817"/>
        <w:gridCol w:w="1285"/>
        <w:gridCol w:w="750"/>
        <w:gridCol w:w="550"/>
        <w:gridCol w:w="416"/>
        <w:gridCol w:w="483"/>
        <w:gridCol w:w="546"/>
        <w:gridCol w:w="350"/>
        <w:gridCol w:w="416"/>
        <w:gridCol w:w="550"/>
        <w:gridCol w:w="350"/>
        <w:gridCol w:w="350"/>
        <w:gridCol w:w="350"/>
        <w:gridCol w:w="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58" w:hRule="atLeast"/>
        </w:trPr>
        <w:tc>
          <w:tcPr>
            <w:tcW w:w="7905" w:type="dxa"/>
            <w:gridSpan w:val="1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等线" w:hAnsi="等线" w:eastAsia="等线" w:cs="等线"/>
                <w:b/>
                <w:bCs/>
                <w:i w:val="0"/>
                <w:iCs w:val="0"/>
                <w:color w:val="000000"/>
                <w:sz w:val="24"/>
                <w:szCs w:val="24"/>
                <w:u w:val="none"/>
              </w:rPr>
            </w:pPr>
            <w:r>
              <w:rPr>
                <w:rFonts w:hint="default" w:ascii="等线" w:hAnsi="等线" w:eastAsia="等线" w:cs="等线"/>
                <w:b/>
                <w:bCs/>
                <w:i w:val="0"/>
                <w:iCs w:val="0"/>
                <w:color w:val="000000"/>
                <w:kern w:val="0"/>
                <w:sz w:val="24"/>
                <w:szCs w:val="24"/>
                <w:u w:val="none"/>
                <w:bdr w:val="none" w:color="auto" w:sz="0" w:space="0"/>
                <w:lang w:val="en-US" w:eastAsia="zh-CN" w:bidi="ar"/>
              </w:rPr>
              <w:t>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单位信息：</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604001-大竹县商务局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项目名称：</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糖酒公司改制工作组经费</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职能职责与活动：</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12-其他/01-其他商务活动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604-大竹县商务局部门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项目经办人：</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张天福</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项目总额：</w:t>
            </w:r>
          </w:p>
        </w:tc>
        <w:tc>
          <w:tcPr>
            <w:tcW w:w="114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预算执行率权重(%)：</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项目经办人电话：</w:t>
            </w:r>
          </w:p>
        </w:tc>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13558527342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其中：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财政资金：</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top"/>
          </w:tcPr>
          <w:p>
            <w:pPr>
              <w:keepNext w:val="0"/>
              <w:keepLines w:val="0"/>
              <w:widowControl/>
              <w:suppressLineNumbers w:val="0"/>
              <w:jc w:val="left"/>
              <w:textAlignment w:val="top"/>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整体目标：</w:t>
            </w:r>
          </w:p>
        </w:tc>
        <w:tc>
          <w:tcPr>
            <w:tcW w:w="4770" w:type="dxa"/>
            <w:gridSpan w:val="8"/>
            <w:vMerge w:val="restart"/>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left"/>
              <w:textAlignment w:val="top"/>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处理原糖酒公司的遗留问题</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财政专户管理资金：</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4770"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单位资金：</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4770"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社会投入资金：</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top"/>
          </w:tcPr>
          <w:p>
            <w:pPr>
              <w:jc w:val="left"/>
              <w:rPr>
                <w:rFonts w:hint="default" w:ascii="等线" w:hAnsi="等线" w:eastAsia="等线" w:cs="等线"/>
                <w:b/>
                <w:bCs/>
                <w:i w:val="0"/>
                <w:iCs w:val="0"/>
                <w:color w:val="000000"/>
                <w:sz w:val="18"/>
                <w:szCs w:val="18"/>
                <w:u w:val="none"/>
              </w:rPr>
            </w:pPr>
          </w:p>
        </w:tc>
        <w:tc>
          <w:tcPr>
            <w:tcW w:w="4770" w:type="dxa"/>
            <w:gridSpan w:val="8"/>
            <w:vMerge w:val="continue"/>
            <w:tcBorders>
              <w:top w:val="single" w:color="000000" w:sz="4" w:space="0"/>
              <w:left w:val="single" w:color="000000" w:sz="4" w:space="0"/>
              <w:bottom w:val="single" w:color="000000" w:sz="4" w:space="0"/>
              <w:right w:val="single" w:color="000000" w:sz="4" w:space="0"/>
            </w:tcBorders>
            <w:shd w:val="clear"/>
            <w:vAlign w:val="top"/>
          </w:tcPr>
          <w:p>
            <w:pPr>
              <w:jc w:val="left"/>
              <w:rPr>
                <w:rFonts w:hint="default" w:ascii="等线" w:hAnsi="等线" w:eastAsia="等线" w:cs="等线"/>
                <w:i w:val="0"/>
                <w:iCs w:val="0"/>
                <w:color w:val="000000"/>
                <w:sz w:val="18"/>
                <w:szCs w:val="18"/>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银行贷款：</w:t>
            </w:r>
          </w:p>
        </w:tc>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历史参考值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b/>
                <w:bCs/>
                <w:i w:val="0"/>
                <w:iCs w:val="0"/>
                <w:color w:val="000000"/>
                <w:sz w:val="18"/>
                <w:szCs w:val="18"/>
                <w:u w:val="none"/>
              </w:rPr>
            </w:pPr>
            <w:r>
              <w:rPr>
                <w:rFonts w:hint="default" w:ascii="等线" w:hAnsi="等线" w:eastAsia="等线" w:cs="等线"/>
                <w:b/>
                <w:bCs/>
                <w:i w:val="0"/>
                <w:iCs w:val="0"/>
                <w:color w:val="000000"/>
                <w:kern w:val="0"/>
                <w:sz w:val="18"/>
                <w:szCs w:val="18"/>
                <w:u w:val="none"/>
                <w:bdr w:val="none" w:color="auto" w:sz="0" w:space="0"/>
                <w:lang w:val="en-US" w:eastAsia="zh-CN" w:bidi="ar"/>
              </w:rPr>
              <w:t>备注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破产未安置职工</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改制组管理人员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离休干部遗属人员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改制组管理人员工资</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1650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元/月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糖酒公司信访事项及时受理率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糖酒公司职工问题诉求办结率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离休干部遗属人员生活补助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元/月</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糖酒公司破产未安置职工问题处理率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减少信访率，维护社会和谐稳定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保护原糖酒公司职工利益率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公众满意度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default" w:ascii="等线" w:hAnsi="等线" w:eastAsia="等线" w:cs="等线"/>
                <w:i w:val="0"/>
                <w:iCs w:val="0"/>
                <w:color w:val="000000"/>
                <w:sz w:val="18"/>
                <w:szCs w:val="18"/>
                <w:u w:val="none"/>
              </w:rPr>
            </w:pPr>
            <w:r>
              <w:rPr>
                <w:rFonts w:hint="default" w:ascii="等线" w:hAnsi="等线" w:eastAsia="等线" w:cs="等线"/>
                <w:i w:val="0"/>
                <w:iCs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default" w:ascii="等线" w:hAnsi="等线" w:eastAsia="等线" w:cs="等线"/>
                <w:i w:val="0"/>
                <w:iCs w:val="0"/>
                <w:color w:val="000000"/>
                <w:sz w:val="18"/>
                <w:szCs w:val="18"/>
                <w:u w:val="none"/>
              </w:rPr>
            </w:pPr>
          </w:p>
        </w:tc>
      </w:tr>
    </w:tbl>
    <w:p>
      <w:pPr>
        <w:rPr>
          <w:rFonts w:hint="eastAsia"/>
          <w:lang w:val="en-US" w:eastAsia="zh-CN"/>
        </w:rPr>
      </w:pPr>
      <w:bookmarkStart w:id="90" w:name="_GoBack"/>
      <w:bookmarkEnd w:id="90"/>
      <w:r>
        <w:rPr>
          <w:rFonts w:hint="eastAsia"/>
          <w:lang w:val="en-US" w:eastAsia="zh-CN"/>
        </w:rPr>
        <w:br w:type="page"/>
      </w:r>
    </w:p>
    <w:p>
      <w:pPr>
        <w:pStyle w:val="2"/>
        <w:rPr>
          <w:rFonts w:hint="eastAsia"/>
          <w:lang w:val="en-US" w:eastAsia="zh-CN"/>
        </w:rPr>
      </w:pPr>
    </w:p>
    <w:p>
      <w:pPr>
        <w:pStyle w:val="2"/>
        <w:rPr>
          <w:rFonts w:hint="eastAsia"/>
          <w:lang w:val="en-US" w:eastAsia="zh-CN"/>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4"/>
      <w:bookmarkEnd w:id="76"/>
      <w:bookmarkStart w:id="77"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77"/>
    </w:p>
    <w:p>
      <w:pPr>
        <w:pStyle w:val="4"/>
        <w:rPr>
          <w:rFonts w:ascii="仿宋" w:hAnsi="仿宋" w:eastAsia="仿宋"/>
          <w:color w:val="auto"/>
          <w:highlight w:val="none"/>
        </w:rPr>
      </w:pPr>
      <w:bookmarkStart w:id="78"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78"/>
    </w:p>
    <w:p>
      <w:pPr>
        <w:pStyle w:val="4"/>
        <w:rPr>
          <w:rFonts w:ascii="仿宋" w:hAnsi="仿宋" w:eastAsia="仿宋"/>
          <w:color w:val="auto"/>
          <w:highlight w:val="none"/>
        </w:rPr>
      </w:pPr>
      <w:bookmarkStart w:id="79"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79"/>
    </w:p>
    <w:p>
      <w:pPr>
        <w:pStyle w:val="4"/>
        <w:rPr>
          <w:rFonts w:ascii="仿宋" w:hAnsi="仿宋" w:eastAsia="仿宋"/>
          <w:b w:val="0"/>
          <w:color w:val="auto"/>
          <w:highlight w:val="none"/>
        </w:rPr>
      </w:pPr>
      <w:bookmarkStart w:id="80"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0"/>
    </w:p>
    <w:p>
      <w:pPr>
        <w:pStyle w:val="4"/>
        <w:rPr>
          <w:rStyle w:val="25"/>
          <w:rFonts w:ascii="仿宋" w:hAnsi="仿宋" w:eastAsia="仿宋"/>
          <w:b w:val="0"/>
          <w:bCs w:val="0"/>
          <w:color w:val="auto"/>
          <w:highlight w:val="none"/>
        </w:rPr>
      </w:pPr>
      <w:bookmarkStart w:id="81"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81"/>
      <w:bookmarkStart w:id="82"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82"/>
    </w:p>
    <w:p>
      <w:pPr>
        <w:pStyle w:val="4"/>
        <w:rPr>
          <w:rFonts w:ascii="仿宋" w:hAnsi="仿宋" w:eastAsia="仿宋"/>
          <w:color w:val="auto"/>
          <w:highlight w:val="none"/>
        </w:rPr>
      </w:pPr>
      <w:bookmarkStart w:id="83"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83"/>
    </w:p>
    <w:p>
      <w:pPr>
        <w:pStyle w:val="4"/>
        <w:rPr>
          <w:rFonts w:ascii="仿宋" w:hAnsi="仿宋" w:eastAsia="仿宋"/>
          <w:color w:val="auto"/>
          <w:highlight w:val="none"/>
        </w:rPr>
      </w:pPr>
      <w:bookmarkStart w:id="84"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84"/>
    </w:p>
    <w:p>
      <w:pPr>
        <w:pStyle w:val="4"/>
        <w:rPr>
          <w:rFonts w:ascii="仿宋" w:hAnsi="仿宋" w:eastAsia="仿宋"/>
          <w:color w:val="auto"/>
          <w:highlight w:val="none"/>
        </w:rPr>
      </w:pPr>
      <w:bookmarkStart w:id="85"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85"/>
    </w:p>
    <w:p>
      <w:pPr>
        <w:pStyle w:val="4"/>
        <w:rPr>
          <w:rFonts w:ascii="仿宋" w:hAnsi="仿宋" w:eastAsia="仿宋"/>
          <w:color w:val="auto"/>
          <w:highlight w:val="none"/>
        </w:rPr>
      </w:pPr>
      <w:bookmarkStart w:id="86" w:name="_Toc15396628"/>
      <w:r>
        <w:rPr>
          <w:rStyle w:val="25"/>
          <w:rFonts w:hint="eastAsia" w:ascii="仿宋" w:hAnsi="仿宋" w:eastAsia="仿宋"/>
          <w:b w:val="0"/>
          <w:bCs w:val="0"/>
          <w:color w:val="auto"/>
          <w:highlight w:val="none"/>
        </w:rPr>
        <w:t>十、</w:t>
      </w:r>
      <w:bookmarkEnd w:id="86"/>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87" w:name="_Toc15396629"/>
      <w:r>
        <w:rPr>
          <w:rStyle w:val="25"/>
          <w:rFonts w:hint="eastAsia" w:ascii="仿宋" w:hAnsi="仿宋" w:eastAsia="仿宋"/>
          <w:b w:val="0"/>
          <w:bCs w:val="0"/>
          <w:color w:val="auto"/>
          <w:highlight w:val="none"/>
        </w:rPr>
        <w:t>十一、</w:t>
      </w:r>
      <w:bookmarkEnd w:id="87"/>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88" w:name="_Toc15396630"/>
      <w:r>
        <w:rPr>
          <w:rStyle w:val="25"/>
          <w:rFonts w:hint="eastAsia" w:ascii="仿宋" w:hAnsi="仿宋" w:eastAsia="仿宋"/>
          <w:b w:val="0"/>
          <w:bCs w:val="0"/>
          <w:color w:val="auto"/>
          <w:highlight w:val="none"/>
        </w:rPr>
        <w:t>十二、</w:t>
      </w:r>
      <w:bookmarkEnd w:id="88"/>
      <w:r>
        <w:rPr>
          <w:rStyle w:val="25"/>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89" w:name="_Toc15396631"/>
      <w:r>
        <w:rPr>
          <w:rStyle w:val="25"/>
          <w:rFonts w:hint="eastAsia" w:ascii="仿宋" w:hAnsi="仿宋" w:eastAsia="仿宋"/>
          <w:b w:val="0"/>
          <w:bCs w:val="0"/>
          <w:color w:val="auto"/>
          <w:highlight w:val="none"/>
        </w:rPr>
        <w:t>十三、</w:t>
      </w:r>
      <w:bookmarkEnd w:id="89"/>
      <w:r>
        <w:rPr>
          <w:rStyle w:val="25"/>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YTQxOTI5MTc5OWRmNWFiOTAyZTk1NTBmOTRhNDQ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F12408"/>
    <w:rsid w:val="053A62B5"/>
    <w:rsid w:val="0A2032A3"/>
    <w:rsid w:val="0B8A37D8"/>
    <w:rsid w:val="0E1704E7"/>
    <w:rsid w:val="0E477955"/>
    <w:rsid w:val="0E923EB5"/>
    <w:rsid w:val="10C055FF"/>
    <w:rsid w:val="118107EC"/>
    <w:rsid w:val="11DD6519"/>
    <w:rsid w:val="15695ACC"/>
    <w:rsid w:val="16BB723D"/>
    <w:rsid w:val="18015F3F"/>
    <w:rsid w:val="1BE8440E"/>
    <w:rsid w:val="1D155CEE"/>
    <w:rsid w:val="1E9B30E7"/>
    <w:rsid w:val="20F57F95"/>
    <w:rsid w:val="240371BF"/>
    <w:rsid w:val="25711CC6"/>
    <w:rsid w:val="25C741E6"/>
    <w:rsid w:val="27842671"/>
    <w:rsid w:val="29FD04D3"/>
    <w:rsid w:val="2ABE7A3E"/>
    <w:rsid w:val="2CA234A8"/>
    <w:rsid w:val="2EFA178C"/>
    <w:rsid w:val="2FC76C53"/>
    <w:rsid w:val="30B46D73"/>
    <w:rsid w:val="319F7F4E"/>
    <w:rsid w:val="35AD488B"/>
    <w:rsid w:val="383D272C"/>
    <w:rsid w:val="39AE70AB"/>
    <w:rsid w:val="3C0C0783"/>
    <w:rsid w:val="3E28257C"/>
    <w:rsid w:val="3F9F3A96"/>
    <w:rsid w:val="450962F4"/>
    <w:rsid w:val="452C7D05"/>
    <w:rsid w:val="48BF60AB"/>
    <w:rsid w:val="493C27E9"/>
    <w:rsid w:val="496F39ED"/>
    <w:rsid w:val="49FF41D3"/>
    <w:rsid w:val="4BE068DB"/>
    <w:rsid w:val="4BF6002B"/>
    <w:rsid w:val="4ECE2238"/>
    <w:rsid w:val="5131293B"/>
    <w:rsid w:val="51DB4B86"/>
    <w:rsid w:val="53DD324A"/>
    <w:rsid w:val="55333C3E"/>
    <w:rsid w:val="64CA39A1"/>
    <w:rsid w:val="69630ADE"/>
    <w:rsid w:val="6C4A05C8"/>
    <w:rsid w:val="6D3B1A89"/>
    <w:rsid w:val="6DB76382"/>
    <w:rsid w:val="712F03C0"/>
    <w:rsid w:val="71BF4EC2"/>
    <w:rsid w:val="72734D90"/>
    <w:rsid w:val="7412278C"/>
    <w:rsid w:val="79E7B28D"/>
    <w:rsid w:val="7AD76D7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标4"/>
    <w:basedOn w:val="1"/>
    <w:qFormat/>
    <w:uiPriority w:val="0"/>
    <w:pPr>
      <w:adjustRightInd w:val="0"/>
      <w:spacing w:line="240" w:lineRule="exact"/>
      <w:outlineLvl w:val="3"/>
    </w:pPr>
    <w:rPr>
      <w:rFonts w:ascii="Arial" w:hAnsi="Arial" w:cs="Arial"/>
      <w:b/>
      <w:bCs/>
      <w:kern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收入支出决算总体情况</a:t>
            </a:r>
          </a:p>
        </c:rich>
      </c:tx>
      <c:layout>
        <c:manualLayout>
          <c:xMode val="edge"/>
          <c:yMode val="edge"/>
          <c:x val="0.336719431634052"/>
          <c:y val="0.045327754532775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2110.16</c:v>
                </c:pt>
                <c:pt idx="1">
                  <c:v>1123.25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strRef>
              <c:f>Sheet1!$A$2:$A$3</c:f>
              <c:strCache>
                <c:ptCount val="2"/>
                <c:pt idx="0">
                  <c:v>2021年</c:v>
                </c:pt>
                <c:pt idx="1">
                  <c:v>2022年</c:v>
                </c:pt>
              </c:strCache>
            </c:strRef>
          </c:cat>
          <c:val>
            <c:numRef>
              <c:f>Sheet1!$C$2:$C$3</c:f>
              <c:numCache>
                <c:formatCode>General</c:formatCode>
                <c:ptCount val="2"/>
                <c:pt idx="0">
                  <c:v>2110.16</c:v>
                </c:pt>
                <c:pt idx="1">
                  <c:v>1123.25</c:v>
                </c:pt>
              </c:numCache>
            </c:numRef>
          </c:val>
        </c:ser>
        <c:dLbls>
          <c:showLegendKey val="0"/>
          <c:showVal val="0"/>
          <c:showCatName val="0"/>
          <c:showSerName val="0"/>
          <c:showPercent val="0"/>
          <c:showBubbleSize val="0"/>
        </c:dLbls>
        <c:gapWidth val="246"/>
        <c:overlap val="-28"/>
        <c:axId val="621285162"/>
        <c:axId val="254030174"/>
      </c:barChart>
      <c:catAx>
        <c:axId val="62128516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030174"/>
        <c:crosses val="autoZero"/>
        <c:auto val="1"/>
        <c:lblAlgn val="ctr"/>
        <c:lblOffset val="100"/>
        <c:noMultiLvlLbl val="0"/>
      </c:catAx>
      <c:valAx>
        <c:axId val="254030174"/>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128516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收入决算情况</a:t>
            </a:r>
          </a:p>
        </c:rich>
      </c:tx>
      <c:layout/>
      <c:overlay val="0"/>
      <c:spPr>
        <a:noFill/>
        <a:ln>
          <a:noFill/>
        </a:ln>
        <a:effectLst/>
      </c:spPr>
    </c:title>
    <c:autoTitleDeleted val="0"/>
    <c:plotArea>
      <c:layout/>
      <c:pieChart>
        <c:varyColors val="1"/>
        <c:ser>
          <c:idx val="0"/>
          <c:order val="0"/>
          <c:tx>
            <c:strRef>
              <c:f>Sheet1!$B$1</c:f>
              <c:strCache>
                <c:ptCount val="1"/>
                <c:pt idx="0">
                  <c:v>收入</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773.49</c:v>
                </c:pt>
                <c:pt idx="1">
                  <c:v>128.9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支出决算情况</a:t>
            </a:r>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516.04</c:v>
                </c:pt>
                <c:pt idx="1">
                  <c:v>607.2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财政拨款收入支出决算总体情况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2110.16</c:v>
                </c:pt>
                <c:pt idx="1">
                  <c:v>1123.25</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Sheet1!$C$2:$C$3</c:f>
              <c:numCache>
                <c:formatCode>General</c:formatCode>
                <c:ptCount val="2"/>
                <c:pt idx="0">
                  <c:v>2110.16</c:v>
                </c:pt>
                <c:pt idx="1">
                  <c:v>1123.25</c:v>
                </c:pt>
              </c:numCache>
            </c:numRef>
          </c:val>
        </c:ser>
        <c:dLbls>
          <c:showLegendKey val="0"/>
          <c:showVal val="1"/>
          <c:showCatName val="0"/>
          <c:showSerName val="0"/>
          <c:showPercent val="0"/>
          <c:showBubbleSize val="0"/>
        </c:dLbls>
        <c:gapWidth val="246"/>
        <c:overlap val="-28"/>
        <c:axId val="349621745"/>
        <c:axId val="303618056"/>
      </c:barChart>
      <c:catAx>
        <c:axId val="34962174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3618056"/>
        <c:crosses val="autoZero"/>
        <c:auto val="1"/>
        <c:lblAlgn val="ctr"/>
        <c:lblOffset val="100"/>
        <c:noMultiLvlLbl val="0"/>
      </c:catAx>
      <c:valAx>
        <c:axId val="303618056"/>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962174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2021.7</c:v>
                </c:pt>
                <c:pt idx="1">
                  <c:v>994.35</c:v>
                </c:pt>
              </c:numCache>
            </c:numRef>
          </c:val>
        </c:ser>
        <c:dLbls>
          <c:showLegendKey val="0"/>
          <c:showVal val="1"/>
          <c:showCatName val="0"/>
          <c:showSerName val="0"/>
          <c:showPercent val="0"/>
          <c:showBubbleSize val="0"/>
        </c:dLbls>
        <c:gapWidth val="246"/>
        <c:overlap val="-28"/>
        <c:axId val="563457396"/>
        <c:axId val="387102575"/>
      </c:barChart>
      <c:catAx>
        <c:axId val="56345739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7102575"/>
        <c:crosses val="autoZero"/>
        <c:auto val="1"/>
        <c:lblAlgn val="ctr"/>
        <c:lblOffset val="100"/>
        <c:noMultiLvlLbl val="0"/>
      </c:catAx>
      <c:valAx>
        <c:axId val="38710257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345739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一般公共预算财政拨款支出决算情况</a:t>
            </a:r>
          </a:p>
        </c:rich>
      </c:tx>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Lbls>
            <c:dLbl>
              <c:idx val="5"/>
              <c:layout>
                <c:manualLayout>
                  <c:x val="0.0269383323265761"/>
                  <c:y val="0.0081140816101645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社会保障和就业支出</c:v>
                </c:pt>
                <c:pt idx="1">
                  <c:v>卫生健康支出</c:v>
                </c:pt>
                <c:pt idx="2">
                  <c:v>资源勘探工业信息等支出</c:v>
                </c:pt>
                <c:pt idx="3">
                  <c:v>商业服务业等支出</c:v>
                </c:pt>
                <c:pt idx="4">
                  <c:v>住房保障支出</c:v>
                </c:pt>
                <c:pt idx="5">
                  <c:v>灾害防治及应急管理支出</c:v>
                </c:pt>
              </c:strCache>
            </c:strRef>
          </c:cat>
          <c:val>
            <c:numRef>
              <c:f>Sheet1!$B$2:$B$7</c:f>
              <c:numCache>
                <c:formatCode>General</c:formatCode>
                <c:ptCount val="6"/>
                <c:pt idx="0">
                  <c:v>115.3</c:v>
                </c:pt>
                <c:pt idx="1">
                  <c:v>17.06</c:v>
                </c:pt>
                <c:pt idx="2">
                  <c:v>35.23</c:v>
                </c:pt>
                <c:pt idx="3">
                  <c:v>776.12</c:v>
                </c:pt>
                <c:pt idx="4">
                  <c:v>27.64</c:v>
                </c:pt>
                <c:pt idx="5">
                  <c:v>23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a:t>
            </a:r>
            <a:r>
              <a:rPr altLang="en-US"/>
              <a:t>三公</a:t>
            </a:r>
            <a:r>
              <a:rPr lang="en-US" altLang="zh-CN"/>
              <a:t>”</a:t>
            </a:r>
            <a:r>
              <a:rPr altLang="en-US"/>
              <a:t>经费财政拨款支出决算情况</a:t>
            </a:r>
            <a:endParaRPr altLang="en-US"/>
          </a:p>
        </c:rich>
      </c:tx>
      <c:layout>
        <c:manualLayout>
          <c:xMode val="edge"/>
          <c:yMode val="edge"/>
          <c:x val="0.233752114037207"/>
          <c:y val="0.0382490437739057"/>
        </c:manualLayout>
      </c:layout>
      <c:overlay val="0"/>
      <c:spPr>
        <a:noFill/>
        <a:ln>
          <a:noFill/>
        </a:ln>
        <a:effectLst/>
      </c:sp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因公出国（境）费支出决算</c:v>
                </c:pt>
                <c:pt idx="1">
                  <c:v>公务用车购置及运行维护费</c:v>
                </c:pt>
                <c:pt idx="2">
                  <c:v>公务接待费</c:v>
                </c:pt>
              </c:strCache>
            </c:strRef>
          </c:cat>
          <c:val>
            <c:numRef>
              <c:f>Sheet1!$B$2:$B$4</c:f>
              <c:numCache>
                <c:formatCode>General</c:formatCode>
                <c:ptCount val="3"/>
                <c:pt idx="0">
                  <c:v>0</c:v>
                </c:pt>
                <c:pt idx="1">
                  <c:v>0</c:v>
                </c:pt>
                <c:pt idx="2">
                  <c:v>3.21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2023-10-08T07:44:46Z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3A936036D7DD4DCD8CB0498E6DA9846C_13</vt:lpwstr>
  </property>
</Properties>
</file>