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Theme="majorEastAsia" w:hAnsiTheme="majorEastAsia" w:eastAsiaTheme="majorEastAsia" w:cstheme="majorEastAsia"/>
          <w:sz w:val="72"/>
          <w:szCs w:val="72"/>
        </w:rPr>
      </w:pPr>
      <w:bookmarkStart w:id="1" w:name="_Toc15377425"/>
      <w:bookmarkStart w:id="2" w:name="_Toc26098"/>
      <w:bookmarkStart w:id="3" w:name="_Toc15377193"/>
      <w:bookmarkStart w:id="4" w:name="_Toc13550"/>
      <w:bookmarkStart w:id="5" w:name="_Toc15378441"/>
      <w:bookmarkStart w:id="6" w:name="_Toc15396597"/>
      <w:bookmarkStart w:id="7" w:name="_Toc15396475"/>
      <w:bookmarkStart w:id="8" w:name="_Toc30986"/>
      <w:bookmarkStart w:id="9" w:name="_Toc11959"/>
      <w:r>
        <w:rPr>
          <w:rFonts w:hint="eastAsia" w:asciiTheme="majorEastAsia" w:hAnsiTheme="majorEastAsia" w:eastAsiaTheme="majorEastAsia" w:cstheme="majorEastAsia"/>
          <w:sz w:val="72"/>
          <w:szCs w:val="72"/>
        </w:rPr>
        <w:t>2022年度</w:t>
      </w:r>
      <w:bookmarkEnd w:id="1"/>
      <w:bookmarkEnd w:id="2"/>
      <w:bookmarkEnd w:id="3"/>
      <w:bookmarkEnd w:id="4"/>
      <w:bookmarkEnd w:id="5"/>
      <w:bookmarkEnd w:id="6"/>
      <w:bookmarkEnd w:id="7"/>
      <w:bookmarkEnd w:id="8"/>
      <w:bookmarkEnd w:id="9"/>
    </w:p>
    <w:bookmarkEnd w:id="0"/>
    <w:p>
      <w:pPr>
        <w:adjustRightInd w:val="0"/>
        <w:snapToGrid w:val="0"/>
        <w:spacing w:line="360" w:lineRule="auto"/>
        <w:jc w:val="center"/>
        <w:outlineLvl w:val="0"/>
        <w:rPr>
          <w:rFonts w:asciiTheme="majorEastAsia" w:hAnsiTheme="majorEastAsia" w:eastAsiaTheme="majorEastAsia" w:cstheme="majorEastAsia"/>
          <w:sz w:val="72"/>
          <w:szCs w:val="72"/>
        </w:rPr>
      </w:pPr>
      <w:bookmarkStart w:id="10" w:name="_Toc30445"/>
      <w:bookmarkStart w:id="11" w:name="_Toc2381"/>
      <w:bookmarkStart w:id="12" w:name="_Toc11800"/>
      <w:bookmarkStart w:id="13" w:name="_Toc4274"/>
      <w:bookmarkStart w:id="14" w:name="_Toc15396598"/>
      <w:bookmarkStart w:id="15" w:name="_Toc15377426"/>
      <w:bookmarkStart w:id="16" w:name="_Toc15306268"/>
      <w:bookmarkStart w:id="17" w:name="_Toc15396476"/>
      <w:bookmarkStart w:id="18" w:name="_Toc15378442"/>
      <w:bookmarkStart w:id="19" w:name="_Toc15377194"/>
      <w:r>
        <w:rPr>
          <w:rFonts w:hint="eastAsia" w:asciiTheme="majorEastAsia" w:hAnsiTheme="majorEastAsia" w:eastAsiaTheme="majorEastAsia" w:cstheme="majorEastAsia"/>
          <w:sz w:val="72"/>
          <w:szCs w:val="72"/>
        </w:rPr>
        <w:t>大竹县</w:t>
      </w:r>
      <w:bookmarkEnd w:id="10"/>
      <w:bookmarkEnd w:id="11"/>
      <w:bookmarkEnd w:id="12"/>
      <w:bookmarkEnd w:id="13"/>
      <w:bookmarkStart w:id="20" w:name="_Toc10496"/>
      <w:bookmarkStart w:id="21" w:name="_Toc9725"/>
      <w:bookmarkStart w:id="22" w:name="_Toc18845"/>
      <w:bookmarkStart w:id="23" w:name="_Toc252"/>
      <w:r>
        <w:rPr>
          <w:rFonts w:hint="eastAsia" w:asciiTheme="majorEastAsia" w:hAnsiTheme="majorEastAsia" w:eastAsiaTheme="majorEastAsia" w:cstheme="majorEastAsia"/>
          <w:sz w:val="72"/>
          <w:szCs w:val="72"/>
        </w:rPr>
        <w:t>特殊教育学校</w:t>
      </w:r>
    </w:p>
    <w:p>
      <w:pPr>
        <w:adjustRightInd w:val="0"/>
        <w:snapToGrid w:val="0"/>
        <w:spacing w:line="360" w:lineRule="auto"/>
        <w:jc w:val="center"/>
        <w:outlineLvl w:val="0"/>
        <w:rPr>
          <w:rFonts w:asciiTheme="majorEastAsia" w:hAnsiTheme="majorEastAsia" w:eastAsiaTheme="majorEastAsia" w:cstheme="majorEastAsia"/>
          <w:sz w:val="72"/>
          <w:szCs w:val="72"/>
        </w:rPr>
      </w:pPr>
      <w:r>
        <w:rPr>
          <w:rFonts w:hint="eastAsia" w:asciiTheme="majorEastAsia" w:hAnsiTheme="majorEastAsia" w:eastAsiaTheme="majorEastAsia" w:cstheme="majorEastAsia"/>
          <w:sz w:val="72"/>
          <w:szCs w:val="72"/>
        </w:rPr>
        <w:t>单位决算</w:t>
      </w:r>
      <w:bookmarkEnd w:id="14"/>
      <w:bookmarkEnd w:id="15"/>
      <w:bookmarkEnd w:id="16"/>
      <w:bookmarkEnd w:id="17"/>
      <w:bookmarkEnd w:id="18"/>
      <w:bookmarkEnd w:id="19"/>
      <w:bookmarkEnd w:id="20"/>
      <w:bookmarkEnd w:id="21"/>
      <w:bookmarkEnd w:id="22"/>
      <w:bookmarkEnd w:id="23"/>
    </w:p>
    <w:p>
      <w:pPr>
        <w:pStyle w:val="2"/>
        <w:spacing w:before="93"/>
      </w:pPr>
    </w:p>
    <w:p>
      <w:pPr>
        <w:widowControl/>
        <w:jc w:val="center"/>
        <w:rPr>
          <w:rFonts w:ascii="黑体" w:hAnsi="黑体" w:eastAsia="黑体"/>
          <w:sz w:val="48"/>
          <w:szCs w:val="48"/>
        </w:rPr>
        <w:sectPr>
          <w:footerReference r:id="rId5" w:type="first"/>
          <w:headerReference r:id="rId3" w:type="default"/>
          <w:footerReference r:id="rId4" w:type="default"/>
          <w:pgSz w:w="11906" w:h="16838"/>
          <w:pgMar w:top="1440" w:right="1800" w:bottom="1440" w:left="1800" w:header="851" w:footer="992" w:gutter="0"/>
          <w:pgNumType w:start="1"/>
          <w:cols w:space="0" w:num="1"/>
          <w:titlePg/>
          <w:docGrid w:type="lines" w:linePitch="312" w:charSpace="0"/>
        </w:sectPr>
      </w:pPr>
    </w:p>
    <w:p>
      <w:pPr>
        <w:widowControl/>
        <w:jc w:val="center"/>
        <w:rPr>
          <w:rFonts w:ascii="黑体" w:hAnsi="黑体" w:eastAsia="黑体" w:cstheme="minorBidi"/>
          <w:sz w:val="28"/>
          <w:szCs w:val="28"/>
        </w:rPr>
      </w:pPr>
      <w:r>
        <w:rPr>
          <w:rFonts w:hint="eastAsia" w:ascii="黑体" w:hAnsi="黑体" w:eastAsia="黑体"/>
          <w:sz w:val="48"/>
          <w:szCs w:val="48"/>
        </w:rPr>
        <w:t>目录</w:t>
      </w:r>
      <w:bookmarkStart w:id="113" w:name="_GoBack"/>
      <w:bookmarkEnd w:id="113"/>
    </w:p>
    <w:p>
      <w:pPr>
        <w:pStyle w:val="10"/>
      </w:pPr>
      <w:r>
        <w:rPr>
          <w:rFonts w:hint="eastAsia"/>
        </w:rPr>
        <w:t>公开时间：2023年10月8日</w:t>
      </w:r>
    </w:p>
    <w:sdt>
      <w:sdtPr>
        <w:rPr>
          <w:rFonts w:ascii="宋体" w:hAnsi="宋体"/>
        </w:rPr>
        <w:id w:val="147470668"/>
        <w:docPartObj>
          <w:docPartGallery w:val="Table of Contents"/>
          <w:docPartUnique/>
        </w:docPartObj>
      </w:sdtPr>
      <w:sdtEndPr>
        <w:rPr>
          <w:rFonts w:ascii="宋体" w:hAnsi="宋体"/>
          <w:b/>
        </w:rPr>
      </w:sdtEndPr>
      <w:sdtContent>
        <w:p>
          <w:pPr>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"1-2" \h \u </w:instrText>
          </w:r>
          <w:r>
            <w:rPr>
              <w:rFonts w:hint="eastAsia" w:ascii="仿宋_GB2312" w:hAnsi="仿宋_GB2312" w:eastAsia="仿宋_GB2312" w:cs="仿宋_GB2312"/>
              <w:sz w:val="28"/>
              <w:szCs w:val="28"/>
            </w:rPr>
            <w:fldChar w:fldCharType="separate"/>
          </w:r>
        </w:p>
        <w:p>
          <w:pPr>
            <w:pStyle w:val="10"/>
            <w:tabs>
              <w:tab w:val="right" w:leader="dot" w:pos="8306"/>
              <w:tab w:val="clear" w:pos="8296"/>
            </w:tabs>
            <w:spacing w:line="440" w:lineRule="exact"/>
            <w:rPr>
              <w:rFonts w:ascii="宋体" w:hAnsi="宋体" w:eastAsia="宋体" w:cs="宋体"/>
              <w:sz w:val="24"/>
              <w:szCs w:val="24"/>
            </w:rPr>
          </w:pPr>
          <w:r>
            <w:fldChar w:fldCharType="begin"/>
          </w:r>
          <w:r>
            <w:instrText xml:space="preserve"> HYPERLINK \l "_Toc13859" </w:instrText>
          </w:r>
          <w:r>
            <w:fldChar w:fldCharType="separate"/>
          </w:r>
          <w:r>
            <w:rPr>
              <w:rFonts w:hint="eastAsia" w:ascii="仿宋_GB2312" w:hAnsi="仿宋_GB2312" w:eastAsia="仿宋_GB2312" w:cs="仿宋_GB2312"/>
              <w:sz w:val="24"/>
              <w:szCs w:val="24"/>
            </w:rPr>
            <w:t>第一部分 单位概况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_Toc13859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"_Toc28917" </w:instrText>
          </w:r>
          <w:r>
            <w:fldChar w:fldCharType="separate"/>
          </w:r>
          <w:r>
            <w:rPr>
              <w:rFonts w:hint="eastAsia" w:ascii="宋体" w:hAnsi="宋体" w:cs="宋体"/>
              <w:sz w:val="24"/>
            </w:rPr>
            <w:t xml:space="preserve">一、 </w:t>
          </w:r>
          <w:r>
            <w:rPr>
              <w:rFonts w:hint="eastAsia" w:ascii="宋体" w:hAnsi="宋体" w:cs="宋体"/>
              <w:sz w:val="24"/>
              <w:lang w:val="en-US" w:eastAsia="zh-CN"/>
            </w:rPr>
            <w:t>主要职责</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_Toc28917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"_Toc25859" </w:instrText>
          </w:r>
          <w:r>
            <w:fldChar w:fldCharType="separate"/>
          </w:r>
          <w:r>
            <w:rPr>
              <w:rFonts w:hint="eastAsia" w:ascii="宋体" w:hAnsi="宋体" w:cs="宋体"/>
              <w:sz w:val="24"/>
            </w:rPr>
            <w:t>二、机构设置</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_Toc25859 \h </w:instrText>
          </w:r>
          <w:r>
            <w:rPr>
              <w:rFonts w:hint="eastAsia" w:ascii="宋体" w:hAnsi="宋体" w:cs="宋体"/>
              <w:sz w:val="24"/>
            </w:rPr>
            <w:fldChar w:fldCharType="separate"/>
          </w:r>
          <w:r>
            <w:rPr>
              <w:rFonts w:hint="eastAsia" w:ascii="宋体" w:hAnsi="宋体" w:cs="宋体"/>
              <w:sz w:val="24"/>
            </w:rPr>
            <w:t>4</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06"/>
              <w:tab w:val="clear" w:pos="8296"/>
            </w:tabs>
            <w:spacing w:line="440" w:lineRule="exact"/>
            <w:rPr>
              <w:rFonts w:ascii="宋体" w:hAnsi="宋体" w:eastAsia="宋体" w:cs="宋体"/>
              <w:sz w:val="24"/>
              <w:szCs w:val="24"/>
            </w:rPr>
          </w:pPr>
          <w:r>
            <w:fldChar w:fldCharType="begin"/>
          </w:r>
          <w:r>
            <w:instrText xml:space="preserve"> HYPERLINK \l "_Toc31162" </w:instrText>
          </w:r>
          <w:r>
            <w:fldChar w:fldCharType="separate"/>
          </w:r>
          <w:r>
            <w:rPr>
              <w:rFonts w:hint="eastAsia" w:ascii="仿宋_GB2312" w:hAnsi="仿宋_GB2312" w:eastAsia="仿宋_GB2312" w:cs="仿宋_GB2312"/>
              <w:bCs/>
              <w:sz w:val="24"/>
              <w:szCs w:val="24"/>
            </w:rPr>
            <w:t>第二部分 2022年度单位决算情况说明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_Toc31162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"_Toc3488" </w:instrText>
          </w:r>
          <w:r>
            <w:fldChar w:fldCharType="separate"/>
          </w:r>
          <w:r>
            <w:rPr>
              <w:rFonts w:hint="eastAsia" w:ascii="宋体" w:hAnsi="宋体" w:cs="宋体"/>
              <w:sz w:val="24"/>
            </w:rPr>
            <w:t>一、 收入支出决算总体情况说明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_Toc3488 \h </w:instrText>
          </w:r>
          <w:r>
            <w:rPr>
              <w:rFonts w:hint="eastAsia" w:ascii="宋体" w:hAnsi="宋体" w:cs="宋体"/>
              <w:sz w:val="24"/>
            </w:rPr>
            <w:fldChar w:fldCharType="separate"/>
          </w:r>
          <w:r>
            <w:rPr>
              <w:rFonts w:hint="eastAsia" w:ascii="宋体" w:hAnsi="宋体" w:cs="宋体"/>
              <w:sz w:val="24"/>
            </w:rPr>
            <w:t>5</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"_Toc11707" </w:instrText>
          </w:r>
          <w:r>
            <w:fldChar w:fldCharType="separate"/>
          </w:r>
          <w:r>
            <w:rPr>
              <w:rFonts w:hint="eastAsia" w:ascii="宋体" w:hAnsi="宋体" w:cs="宋体"/>
              <w:sz w:val="24"/>
            </w:rPr>
            <w:t>二、 收入决算情况说明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_Toc11707 \h </w:instrText>
          </w:r>
          <w:r>
            <w:rPr>
              <w:rFonts w:hint="eastAsia" w:ascii="宋体" w:hAnsi="宋体" w:cs="宋体"/>
              <w:sz w:val="24"/>
            </w:rPr>
            <w:fldChar w:fldCharType="separate"/>
          </w:r>
          <w:r>
            <w:rPr>
              <w:rFonts w:hint="eastAsia" w:ascii="宋体" w:hAnsi="宋体" w:cs="宋体"/>
              <w:sz w:val="24"/>
            </w:rPr>
            <w:t>5</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"_Toc15834" </w:instrText>
          </w:r>
          <w:r>
            <w:fldChar w:fldCharType="separate"/>
          </w:r>
          <w:r>
            <w:rPr>
              <w:rFonts w:hint="eastAsia" w:ascii="宋体" w:hAnsi="宋体" w:cs="宋体"/>
              <w:sz w:val="24"/>
            </w:rPr>
            <w:t>三、 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_Toc15834 \h </w:instrText>
          </w:r>
          <w:r>
            <w:rPr>
              <w:rFonts w:hint="eastAsia" w:ascii="宋体" w:hAnsi="宋体" w:cs="宋体"/>
              <w:sz w:val="24"/>
            </w:rPr>
            <w:fldChar w:fldCharType="separate"/>
          </w:r>
          <w:r>
            <w:rPr>
              <w:rFonts w:hint="eastAsia" w:ascii="宋体" w:hAnsi="宋体" w:cs="宋体"/>
              <w:sz w:val="24"/>
            </w:rPr>
            <w:t>6</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"_Toc3674" </w:instrText>
          </w:r>
          <w:r>
            <w:fldChar w:fldCharType="separate"/>
          </w:r>
          <w:r>
            <w:rPr>
              <w:rFonts w:hint="eastAsia" w:ascii="宋体" w:hAnsi="宋体" w:cs="宋体"/>
              <w:sz w:val="24"/>
            </w:rPr>
            <w:t>四、财政拨款收入支出决算总体情况说明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_Toc3674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"_Toc32249" </w:instrText>
          </w:r>
          <w:r>
            <w:fldChar w:fldCharType="separate"/>
          </w:r>
          <w:r>
            <w:rPr>
              <w:rFonts w:hint="eastAsia" w:ascii="宋体" w:hAnsi="宋体" w:cs="宋体"/>
              <w:sz w:val="24"/>
            </w:rPr>
            <w:t>五、一般公共预算财政拨款支出决算情况说明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_Toc32249 \h </w:instrText>
          </w:r>
          <w:r>
            <w:rPr>
              <w:rFonts w:hint="eastAsia" w:ascii="宋体" w:hAnsi="宋体" w:cs="宋体"/>
              <w:sz w:val="24"/>
            </w:rPr>
            <w:fldChar w:fldCharType="separate"/>
          </w:r>
          <w:r>
            <w:rPr>
              <w:rFonts w:hint="eastAsia" w:ascii="宋体" w:hAnsi="宋体" w:cs="宋体"/>
              <w:sz w:val="24"/>
            </w:rPr>
            <w:t>7</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"_Toc21484" </w:instrText>
          </w:r>
          <w:r>
            <w:fldChar w:fldCharType="separate"/>
          </w:r>
          <w:r>
            <w:rPr>
              <w:rFonts w:hint="eastAsia" w:ascii="宋体" w:hAnsi="宋体" w:cs="宋体"/>
              <w:sz w:val="24"/>
            </w:rPr>
            <w:t>六、一般公共预算财政拨款基本支出决算情况说明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_Toc21484 \h </w:instrText>
          </w:r>
          <w:r>
            <w:rPr>
              <w:rFonts w:hint="eastAsia" w:ascii="宋体" w:hAnsi="宋体" w:cs="宋体"/>
              <w:sz w:val="24"/>
            </w:rPr>
            <w:fldChar w:fldCharType="separate"/>
          </w:r>
          <w:r>
            <w:rPr>
              <w:rFonts w:hint="eastAsia" w:ascii="宋体" w:hAnsi="宋体" w:cs="宋体"/>
              <w:sz w:val="24"/>
            </w:rPr>
            <w:t>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"_Toc9808" </w:instrText>
          </w:r>
          <w:r>
            <w:fldChar w:fldCharType="separate"/>
          </w:r>
          <w:r>
            <w:rPr>
              <w:rFonts w:hint="eastAsia" w:ascii="宋体" w:hAnsi="宋体" w:cs="宋体"/>
              <w:sz w:val="24"/>
            </w:rPr>
            <w:t>七、“三公”经费财政拨款支出决算情况说明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_Toc9808 \h </w:instrText>
          </w:r>
          <w:r>
            <w:rPr>
              <w:rFonts w:hint="eastAsia" w:ascii="宋体" w:hAnsi="宋体" w:cs="宋体"/>
              <w:sz w:val="24"/>
            </w:rPr>
            <w:fldChar w:fldCharType="separate"/>
          </w:r>
          <w:r>
            <w:rPr>
              <w:rFonts w:hint="eastAsia" w:ascii="宋体" w:hAnsi="宋体" w:cs="宋体"/>
              <w:sz w:val="24"/>
            </w:rPr>
            <w:t>10</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"_Toc10844" </w:instrText>
          </w:r>
          <w:r>
            <w:fldChar w:fldCharType="separate"/>
          </w:r>
          <w:r>
            <w:rPr>
              <w:rFonts w:hint="eastAsia" w:ascii="宋体" w:hAnsi="宋体" w:cs="宋体"/>
              <w:sz w:val="24"/>
            </w:rPr>
            <w:t>八、政府性基金预算支出决算情况说明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_Toc10844 \h </w:instrText>
          </w:r>
          <w:r>
            <w:rPr>
              <w:rFonts w:hint="eastAsia" w:ascii="宋体" w:hAnsi="宋体" w:cs="宋体"/>
              <w:sz w:val="24"/>
            </w:rPr>
            <w:fldChar w:fldCharType="separate"/>
          </w:r>
          <w:r>
            <w:rPr>
              <w:rFonts w:hint="eastAsia" w:ascii="宋体" w:hAnsi="宋体" w:cs="宋体"/>
              <w:sz w:val="24"/>
            </w:rPr>
            <w:t>11</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"_Toc1214" </w:instrText>
          </w:r>
          <w:r>
            <w:fldChar w:fldCharType="separate"/>
          </w:r>
          <w:r>
            <w:rPr>
              <w:rFonts w:hint="eastAsia" w:ascii="宋体" w:hAnsi="宋体" w:cs="宋体"/>
              <w:sz w:val="24"/>
            </w:rPr>
            <w:t>九、 国有资本经营预算支出决算情况说明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_Toc1214 \h </w:instrText>
          </w:r>
          <w:r>
            <w:rPr>
              <w:rFonts w:hint="eastAsia" w:ascii="宋体" w:hAnsi="宋体" w:cs="宋体"/>
              <w:sz w:val="24"/>
            </w:rPr>
            <w:fldChar w:fldCharType="separate"/>
          </w:r>
          <w:r>
            <w:rPr>
              <w:rFonts w:hint="eastAsia" w:ascii="宋体" w:hAnsi="宋体" w:cs="宋体"/>
              <w:sz w:val="24"/>
            </w:rPr>
            <w:t>11</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"_Toc31091" </w:instrText>
          </w:r>
          <w:r>
            <w:fldChar w:fldCharType="separate"/>
          </w:r>
          <w:r>
            <w:rPr>
              <w:rFonts w:hint="eastAsia" w:ascii="宋体" w:hAnsi="宋体" w:cs="宋体"/>
              <w:sz w:val="24"/>
            </w:rPr>
            <w:t>十、 其他重要事项的情况说明</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_Toc31091 \h </w:instrText>
          </w:r>
          <w:r>
            <w:rPr>
              <w:rFonts w:hint="eastAsia" w:ascii="宋体" w:hAnsi="宋体" w:cs="宋体"/>
              <w:sz w:val="24"/>
            </w:rPr>
            <w:fldChar w:fldCharType="separate"/>
          </w:r>
          <w:r>
            <w:rPr>
              <w:rFonts w:hint="eastAsia" w:ascii="宋体" w:hAnsi="宋体" w:cs="宋体"/>
              <w:sz w:val="24"/>
            </w:rPr>
            <w:t>11</w:t>
          </w:r>
          <w:r>
            <w:rPr>
              <w:rFonts w:hint="eastAsia" w:ascii="宋体" w:hAnsi="宋体" w:cs="宋体"/>
              <w:sz w:val="24"/>
            </w:rPr>
            <w:fldChar w:fldCharType="end"/>
          </w:r>
          <w:r>
            <w:rPr>
              <w:rFonts w:hint="eastAsia" w:ascii="宋体" w:hAnsi="宋体" w:cs="宋体"/>
              <w:sz w:val="24"/>
            </w:rPr>
            <w:fldChar w:fldCharType="end"/>
          </w:r>
        </w:p>
        <w:p>
          <w:pPr>
            <w:pStyle w:val="10"/>
            <w:tabs>
              <w:tab w:val="right" w:leader="dot" w:pos="8306"/>
              <w:tab w:val="clear" w:pos="8296"/>
            </w:tabs>
            <w:spacing w:line="440" w:lineRule="exact"/>
            <w:rPr>
              <w:rFonts w:ascii="宋体" w:hAnsi="宋体" w:eastAsia="宋体" w:cs="宋体"/>
              <w:sz w:val="24"/>
              <w:szCs w:val="24"/>
            </w:rPr>
          </w:pPr>
          <w:r>
            <w:fldChar w:fldCharType="begin"/>
          </w:r>
          <w:r>
            <w:instrText xml:space="preserve"> HYPERLINK \l "_Toc10613" </w:instrText>
          </w:r>
          <w:r>
            <w:fldChar w:fldCharType="separate"/>
          </w:r>
          <w:r>
            <w:rPr>
              <w:rFonts w:hint="eastAsia" w:ascii="仿宋_GB2312" w:hAnsi="仿宋_GB2312" w:eastAsia="仿宋_GB2312" w:cs="仿宋_GB2312"/>
              <w:sz w:val="24"/>
              <w:szCs w:val="24"/>
            </w:rPr>
            <w:t>第三部分 名词解释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_Toc10613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8306"/>
              <w:tab w:val="clear" w:pos="8296"/>
            </w:tabs>
            <w:spacing w:line="440" w:lineRule="exact"/>
            <w:rPr>
              <w:rFonts w:ascii="宋体" w:hAnsi="宋体" w:eastAsia="宋体" w:cs="宋体"/>
              <w:sz w:val="24"/>
              <w:szCs w:val="24"/>
            </w:rPr>
          </w:pPr>
          <w:r>
            <w:fldChar w:fldCharType="begin"/>
          </w:r>
          <w:r>
            <w:instrText xml:space="preserve"> HYPERLINK \l "_Toc25087" </w:instrText>
          </w:r>
          <w:r>
            <w:fldChar w:fldCharType="separate"/>
          </w:r>
          <w:r>
            <w:rPr>
              <w:rFonts w:hint="eastAsia" w:ascii="仿宋_GB2312" w:hAnsi="仿宋_GB2312" w:eastAsia="仿宋_GB2312" w:cs="仿宋_GB2312"/>
              <w:sz w:val="24"/>
              <w:szCs w:val="24"/>
            </w:rPr>
            <w:t>第四部分 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_Toc25087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0"/>
            <w:tabs>
              <w:tab w:val="right" w:leader="dot" w:pos="8306"/>
              <w:tab w:val="clear" w:pos="8296"/>
            </w:tabs>
            <w:spacing w:line="440" w:lineRule="exact"/>
            <w:rPr>
              <w:rFonts w:ascii="宋体" w:hAnsi="宋体" w:eastAsia="宋体" w:cs="宋体"/>
              <w:sz w:val="24"/>
              <w:szCs w:val="24"/>
            </w:rPr>
          </w:pPr>
          <w:r>
            <w:fldChar w:fldCharType="begin"/>
          </w:r>
          <w:r>
            <w:instrText xml:space="preserve"> HYPERLINK \l "_Toc31790" </w:instrText>
          </w:r>
          <w:r>
            <w:fldChar w:fldCharType="separate"/>
          </w:r>
          <w:r>
            <w:rPr>
              <w:rFonts w:hint="eastAsia" w:ascii="仿宋_GB2312" w:hAnsi="仿宋_GB2312" w:eastAsia="仿宋_GB2312" w:cs="仿宋_GB2312"/>
              <w:sz w:val="24"/>
              <w:szCs w:val="24"/>
            </w:rPr>
            <w:t>第五部分 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_Toc31790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"_Toc21540" </w:instrText>
          </w:r>
          <w:r>
            <w:fldChar w:fldCharType="separate"/>
          </w:r>
          <w:r>
            <w:rPr>
              <w:rFonts w:hint="eastAsia" w:ascii="宋体" w:hAnsi="宋体" w:cs="宋体"/>
              <w:sz w:val="24"/>
            </w:rPr>
            <w:t>一、收入支出决算总表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_Toc21540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"_Toc14740" </w:instrText>
          </w:r>
          <w:r>
            <w:fldChar w:fldCharType="separate"/>
          </w:r>
          <w:r>
            <w:rPr>
              <w:rFonts w:hint="eastAsia" w:ascii="宋体" w:hAnsi="宋体" w:cs="宋体"/>
              <w:sz w:val="24"/>
            </w:rPr>
            <w:t>二、收入决算表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_Toc14740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"_Toc26490" </w:instrText>
          </w:r>
          <w:r>
            <w:fldChar w:fldCharType="separate"/>
          </w:r>
          <w:r>
            <w:rPr>
              <w:rFonts w:hint="eastAsia" w:ascii="宋体" w:hAnsi="宋体" w:cs="宋体"/>
              <w:sz w:val="24"/>
            </w:rPr>
            <w:t>三、支出决算表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_Toc26490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"_Toc4249" </w:instrText>
          </w:r>
          <w:r>
            <w:fldChar w:fldCharType="separate"/>
          </w:r>
          <w:r>
            <w:rPr>
              <w:rFonts w:hint="eastAsia" w:ascii="宋体" w:hAnsi="宋体" w:cs="宋体"/>
              <w:sz w:val="24"/>
            </w:rPr>
            <w:t>四、财政拨款收入支出决算总表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_Toc4249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"_Toc21621" </w:instrText>
          </w:r>
          <w:r>
            <w:fldChar w:fldCharType="separate"/>
          </w:r>
          <w:r>
            <w:rPr>
              <w:rFonts w:hint="eastAsia" w:ascii="宋体" w:hAnsi="宋体" w:cs="宋体"/>
              <w:sz w:val="24"/>
            </w:rPr>
            <w:t>五、财政拨款支出决算明细表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_Toc21621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"_Toc1061" </w:instrText>
          </w:r>
          <w:r>
            <w:fldChar w:fldCharType="separate"/>
          </w:r>
          <w:r>
            <w:rPr>
              <w:rFonts w:hint="eastAsia" w:ascii="宋体" w:hAnsi="宋体" w:cs="宋体"/>
              <w:sz w:val="24"/>
            </w:rPr>
            <w:t>六、一般公共预算财政拨款支出决算表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_Toc1061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"_Toc6268" </w:instrText>
          </w:r>
          <w:r>
            <w:fldChar w:fldCharType="separate"/>
          </w:r>
          <w:r>
            <w:rPr>
              <w:rFonts w:hint="eastAsia" w:ascii="宋体" w:hAnsi="宋体" w:cs="宋体"/>
              <w:sz w:val="24"/>
            </w:rPr>
            <w:t>七、一般公共预算财政拨款支出决算明细表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_Toc6268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"_Toc29111" </w:instrText>
          </w:r>
          <w:r>
            <w:fldChar w:fldCharType="separate"/>
          </w:r>
          <w:r>
            <w:rPr>
              <w:rFonts w:hint="eastAsia" w:ascii="宋体" w:hAnsi="宋体" w:cs="宋体"/>
              <w:sz w:val="24"/>
            </w:rPr>
            <w:t>八、一般公共预算财政拨款基本支出决算表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_Toc29111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"_Toc25077" </w:instrText>
          </w:r>
          <w:r>
            <w:fldChar w:fldCharType="separate"/>
          </w:r>
          <w:r>
            <w:rPr>
              <w:rFonts w:hint="eastAsia" w:ascii="宋体" w:hAnsi="宋体" w:cs="宋体"/>
              <w:sz w:val="24"/>
            </w:rPr>
            <w:t>九、一般公共预算财政拨款项目支出决算表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_Toc25077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"_Toc8538" </w:instrText>
          </w:r>
          <w:r>
            <w:fldChar w:fldCharType="separate"/>
          </w:r>
          <w:r>
            <w:rPr>
              <w:rFonts w:hint="eastAsia" w:ascii="宋体" w:hAnsi="宋体" w:cs="宋体"/>
              <w:sz w:val="24"/>
            </w:rPr>
            <w:t>十、政府性基金预算财政拨款收入支出决算表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_Toc8538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"_Toc26365" </w:instrText>
          </w:r>
          <w:r>
            <w:fldChar w:fldCharType="separate"/>
          </w:r>
          <w:r>
            <w:rPr>
              <w:rFonts w:hint="eastAsia" w:ascii="宋体" w:hAnsi="宋体" w:cs="宋体"/>
              <w:sz w:val="24"/>
            </w:rPr>
            <w:t>十一、国有资本经营预算财政拨款收入支出决算表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_Toc26365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rPr>
              <w:rFonts w:ascii="宋体" w:hAnsi="宋体" w:cs="宋体"/>
              <w:sz w:val="24"/>
            </w:rPr>
          </w:pPr>
          <w:r>
            <w:fldChar w:fldCharType="begin"/>
          </w:r>
          <w:r>
            <w:instrText xml:space="preserve"> HYPERLINK \l "_Toc11791" </w:instrText>
          </w:r>
          <w:r>
            <w:fldChar w:fldCharType="separate"/>
          </w:r>
          <w:r>
            <w:rPr>
              <w:rFonts w:hint="eastAsia" w:ascii="宋体" w:hAnsi="宋体" w:cs="宋体"/>
              <w:sz w:val="24"/>
            </w:rPr>
            <w:t>十二、国有资本经营预算财政拨款支出决算表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_Toc11791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11"/>
            <w:tabs>
              <w:tab w:val="right" w:leader="dot" w:pos="8306"/>
              <w:tab w:val="clear" w:pos="8296"/>
            </w:tabs>
            <w:spacing w:line="440" w:lineRule="exact"/>
          </w:pPr>
          <w:r>
            <w:fldChar w:fldCharType="begin"/>
          </w:r>
          <w:r>
            <w:instrText xml:space="preserve"> HYPERLINK \l "_Toc26267" </w:instrText>
          </w:r>
          <w:r>
            <w:fldChar w:fldCharType="separate"/>
          </w:r>
          <w:r>
            <w:rPr>
              <w:rFonts w:hint="eastAsia" w:ascii="宋体" w:hAnsi="宋体" w:cs="宋体"/>
              <w:sz w:val="24"/>
            </w:rPr>
            <w:t>十三、财政拨款“三公”经费支出决算表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_Toc26267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r>
            <w:rPr>
              <w:rFonts w:hint="eastAsia" w:ascii="仿宋_GB2312" w:hAnsi="仿宋_GB2312" w:eastAsia="仿宋_GB2312" w:cs="仿宋_GB2312"/>
              <w:szCs w:val="28"/>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4"/>
          <w:rFonts w:ascii="黑体" w:hAnsi="黑体" w:eastAsia="黑体"/>
          <w:b/>
          <w:bCs w:val="0"/>
        </w:rPr>
      </w:pPr>
      <w:bookmarkStart w:id="24" w:name="_Toc13859"/>
      <w:r>
        <w:rPr>
          <w:rFonts w:hint="eastAsia" w:ascii="黑体" w:hAnsi="黑体" w:eastAsia="黑体"/>
          <w:b w:val="0"/>
        </w:rPr>
        <w:t>第一部分 单位</w:t>
      </w:r>
      <w:r>
        <w:rPr>
          <w:rStyle w:val="24"/>
          <w:rFonts w:hint="eastAsia" w:ascii="黑体" w:hAnsi="黑体" w:eastAsia="黑体"/>
          <w:b w:val="0"/>
          <w:bCs w:val="0"/>
        </w:rPr>
        <w:t>概况</w:t>
      </w:r>
      <w:bookmarkEnd w:id="24"/>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25" w:name="_Toc28917"/>
      <w:bookmarkStart w:id="26" w:name="_Toc15396600"/>
      <w:bookmarkStart w:id="27" w:name="_Toc15377197"/>
      <w:r>
        <w:rPr>
          <w:rStyle w:val="25"/>
          <w:rFonts w:hint="eastAsia" w:ascii="黑体" w:hAnsi="黑体" w:eastAsia="黑体"/>
          <w:b w:val="0"/>
          <w:bCs w:val="0"/>
          <w:lang w:val="en-US" w:eastAsia="zh-CN"/>
        </w:rPr>
        <w:t>主要</w:t>
      </w:r>
      <w:r>
        <w:rPr>
          <w:rStyle w:val="25"/>
          <w:rFonts w:hint="eastAsia" w:ascii="黑体" w:hAnsi="黑体" w:eastAsia="黑体"/>
          <w:b w:val="0"/>
          <w:bCs w:val="0"/>
        </w:rPr>
        <w:t>职</w:t>
      </w:r>
      <w:bookmarkEnd w:id="25"/>
      <w:r>
        <w:rPr>
          <w:rStyle w:val="25"/>
          <w:rFonts w:hint="eastAsia" w:ascii="黑体" w:hAnsi="黑体" w:eastAsia="黑体"/>
          <w:b w:val="0"/>
          <w:bCs w:val="0"/>
          <w:lang w:val="en-US" w:eastAsia="zh-CN"/>
        </w:rPr>
        <w:t>责</w:t>
      </w:r>
    </w:p>
    <w:p>
      <w:pPr>
        <w:pStyle w:val="4"/>
        <w:ind w:firstLine="640" w:firstLineChars="200"/>
        <w:rPr>
          <w:rFonts w:ascii="仿宋" w:hAnsi="仿宋" w:eastAsia="仿宋" w:cs="Times New Roman"/>
          <w:b w:val="0"/>
          <w:kern w:val="0"/>
        </w:rPr>
      </w:pPr>
      <w:bookmarkStart w:id="28" w:name="_Toc25859"/>
      <w:r>
        <w:rPr>
          <w:rFonts w:hint="eastAsia" w:ascii="仿宋" w:hAnsi="仿宋" w:eastAsia="仿宋" w:cs="Times New Roman"/>
          <w:b w:val="0"/>
          <w:kern w:val="0"/>
        </w:rPr>
        <w:t>大竹县特殊教育学校是贯彻执行党的路线、方针和政策，对大竹县辖区内视力、听力、智力残疾儿童少年实施义务教育，培养学生“德、智、体、美、劳”全面发展，积极进行教育思想、教学内容、教学方法和教育手段的改革，最大限度地满足社会需求和特殊儿童的教育需要。</w:t>
      </w:r>
    </w:p>
    <w:p>
      <w:pPr>
        <w:pStyle w:val="4"/>
        <w:rPr>
          <w:rFonts w:ascii="黑体" w:hAnsi="黑体" w:eastAsia="黑体"/>
          <w:b w:val="0"/>
        </w:rPr>
      </w:pPr>
      <w:r>
        <w:rPr>
          <w:rFonts w:hint="eastAsia" w:ascii="黑体" w:hAnsi="黑体" w:eastAsia="黑体"/>
          <w:b w:val="0"/>
        </w:rPr>
        <w:t>二、</w:t>
      </w:r>
      <w:bookmarkEnd w:id="26"/>
      <w:bookmarkEnd w:id="27"/>
      <w:r>
        <w:rPr>
          <w:rFonts w:hint="eastAsia" w:ascii="黑体" w:hAnsi="黑体" w:eastAsia="黑体"/>
          <w:b w:val="0"/>
        </w:rPr>
        <w:t>机构设置</w:t>
      </w:r>
      <w:bookmarkEnd w:id="28"/>
    </w:p>
    <w:p>
      <w:pPr>
        <w:ind w:firstLine="640" w:firstLineChars="200"/>
        <w:rPr>
          <w:rFonts w:ascii="仿宋" w:hAnsi="仿宋" w:eastAsia="仿宋"/>
          <w:color w:val="000000"/>
          <w:sz w:val="32"/>
          <w:szCs w:val="32"/>
        </w:rPr>
      </w:pPr>
      <w:r>
        <w:rPr>
          <w:rFonts w:hint="eastAsia" w:ascii="仿宋" w:hAnsi="仿宋" w:eastAsia="仿宋"/>
          <w:bCs/>
          <w:kern w:val="0"/>
          <w:sz w:val="32"/>
          <w:szCs w:val="32"/>
        </w:rPr>
        <w:t>大竹县特殊教育学校</w:t>
      </w:r>
      <w:r>
        <w:rPr>
          <w:rFonts w:hint="eastAsia" w:ascii="仿宋" w:hAnsi="仿宋" w:eastAsia="仿宋"/>
          <w:color w:val="000000"/>
          <w:sz w:val="32"/>
          <w:szCs w:val="32"/>
        </w:rPr>
        <w:t>下属二级单位0个，其中行政单位0个，参照公务员法管理的事业单位0个，其他事业单位0个。</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bCs/>
          <w:kern w:val="0"/>
          <w:sz w:val="32"/>
          <w:szCs w:val="32"/>
        </w:rPr>
        <w:t>大竹县特殊教育学校</w:t>
      </w:r>
      <w:r>
        <w:rPr>
          <w:rFonts w:hint="eastAsia" w:ascii="仿宋" w:hAnsi="仿宋" w:eastAsia="仿宋"/>
          <w:color w:val="000000"/>
          <w:sz w:val="32"/>
          <w:szCs w:val="32"/>
        </w:rPr>
        <w:t>2022年度部门决算编制范围的二级预算单位包括：</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无。</w:t>
      </w:r>
    </w:p>
    <w:p>
      <w:pPr>
        <w:ind w:firstLine="420" w:firstLineChars="200"/>
      </w:pP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29" w:name="_Toc15396602"/>
      <w:bookmarkStart w:id="30" w:name="_Toc15377204"/>
      <w:bookmarkStart w:id="31" w:name="_Toc31162"/>
      <w:r>
        <w:rPr>
          <w:rFonts w:hint="eastAsia" w:ascii="黑体" w:hAnsi="黑体" w:eastAsia="黑体"/>
          <w:b w:val="0"/>
        </w:rPr>
        <w:t>第二部分 2022年度</w:t>
      </w:r>
      <w:r>
        <w:rPr>
          <w:rStyle w:val="24"/>
          <w:rFonts w:hint="eastAsia" w:ascii="黑体" w:hAnsi="黑体" w:eastAsia="黑体"/>
          <w:b w:val="0"/>
          <w:bCs/>
        </w:rPr>
        <w:t>单位决算情况说明</w:t>
      </w:r>
      <w:bookmarkEnd w:id="29"/>
      <w:bookmarkEnd w:id="30"/>
      <w:bookmarkEnd w:id="31"/>
    </w:p>
    <w:p/>
    <w:p>
      <w:pPr>
        <w:pStyle w:val="23"/>
        <w:numPr>
          <w:ilvl w:val="0"/>
          <w:numId w:val="2"/>
        </w:numPr>
        <w:spacing w:line="600" w:lineRule="exact"/>
        <w:ind w:firstLineChars="0"/>
        <w:outlineLvl w:val="1"/>
        <w:rPr>
          <w:rStyle w:val="25"/>
          <w:rFonts w:ascii="黑体" w:hAnsi="黑体" w:eastAsia="黑体"/>
          <w:b w:val="0"/>
        </w:rPr>
      </w:pPr>
      <w:bookmarkStart w:id="32" w:name="_Toc15396603"/>
      <w:bookmarkStart w:id="33" w:name="_Toc3488"/>
      <w:bookmarkStart w:id="34"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2022年度收、支总计316.37万元。与2021年相比，收、支总计各减少99.56万元，</w:t>
      </w:r>
      <w:r>
        <w:rPr>
          <w:rFonts w:hint="eastAsia" w:ascii="仿宋" w:hAnsi="仿宋" w:eastAsia="仿宋"/>
          <w:sz w:val="32"/>
          <w:szCs w:val="32"/>
          <w:lang w:val="en-US" w:eastAsia="zh-CN"/>
        </w:rPr>
        <w:t>减少</w:t>
      </w:r>
      <w:r>
        <w:rPr>
          <w:rFonts w:hint="eastAsia" w:ascii="仿宋" w:hAnsi="仿宋" w:eastAsia="仿宋"/>
          <w:sz w:val="32"/>
          <w:szCs w:val="32"/>
        </w:rPr>
        <w:t>23.94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2022年年初因归集上缴调整了年初结转结余为0</w:t>
      </w:r>
      <w:r>
        <w:rPr>
          <w:rFonts w:hint="eastAsia" w:ascii="仿宋" w:hAnsi="仿宋" w:eastAsia="仿宋"/>
          <w:sz w:val="32"/>
          <w:szCs w:val="32"/>
        </w:rPr>
        <w:t>。</w:t>
      </w:r>
    </w:p>
    <w:p>
      <w:pPr>
        <w:pStyle w:val="2"/>
        <w:spacing w:before="93"/>
        <w:jc w:val="center"/>
        <w:rPr>
          <w:rFonts w:ascii="仿宋" w:hAnsi="仿宋" w:eastAsia="仿宋"/>
          <w:sz w:val="32"/>
          <w:szCs w:val="32"/>
        </w:rPr>
      </w:pPr>
      <w:r>
        <w:rPr>
          <w:rFonts w:hint="eastAsia" w:ascii="仿宋" w:hAnsi="仿宋" w:eastAsia="仿宋"/>
          <w:sz w:val="32"/>
          <w:szCs w:val="32"/>
        </w:rPr>
        <w:drawing>
          <wp:inline distT="0" distB="0" distL="114300" distR="114300">
            <wp:extent cx="4109085" cy="2743200"/>
            <wp:effectExtent l="19050" t="0" r="2476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jc w:val="center"/>
        <w:rPr>
          <w:rFonts w:hint="eastAsia" w:ascii="仿宋" w:hAnsi="仿宋" w:eastAsia="仿宋"/>
          <w:sz w:val="32"/>
          <w:szCs w:val="32"/>
        </w:rPr>
      </w:pPr>
      <w:r>
        <w:rPr>
          <w:rFonts w:hint="eastAsia" w:ascii="仿宋" w:hAnsi="仿宋" w:eastAsia="仿宋"/>
          <w:sz w:val="32"/>
          <w:szCs w:val="32"/>
        </w:rPr>
        <w:t>（图1：收、支决算总计变动情况图）</w:t>
      </w:r>
    </w:p>
    <w:p>
      <w:pPr>
        <w:pStyle w:val="2"/>
        <w:spacing w:before="93"/>
        <w:jc w:val="center"/>
        <w:rPr>
          <w:rFonts w:hint="eastAsia" w:ascii="仿宋" w:hAnsi="仿宋" w:eastAsia="仿宋"/>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35" w:name="_Toc15396604"/>
      <w:bookmarkStart w:id="36" w:name="_Toc15377206"/>
      <w:bookmarkStart w:id="37" w:name="_Toc11707"/>
      <w:r>
        <w:rPr>
          <w:rFonts w:hint="eastAsia" w:ascii="黑体" w:hAnsi="黑体" w:eastAsia="黑体"/>
          <w:sz w:val="32"/>
          <w:szCs w:val="32"/>
        </w:rPr>
        <w:t>收</w:t>
      </w:r>
      <w:r>
        <w:rPr>
          <w:rStyle w:val="25"/>
          <w:rFonts w:hint="eastAsia" w:ascii="黑体" w:hAnsi="黑体" w:eastAsia="黑体"/>
          <w:b w:val="0"/>
        </w:rPr>
        <w:t>入决算情况说明</w:t>
      </w:r>
      <w:bookmarkEnd w:id="35"/>
      <w:bookmarkEnd w:id="36"/>
      <w:bookmarkEnd w:id="37"/>
    </w:p>
    <w:p>
      <w:pPr>
        <w:ind w:firstLine="640" w:firstLineChars="200"/>
        <w:outlineLvl w:val="1"/>
        <w:rPr>
          <w:rFonts w:ascii="仿宋" w:hAnsi="仿宋" w:eastAsia="仿宋"/>
          <w:sz w:val="32"/>
          <w:szCs w:val="32"/>
        </w:rPr>
      </w:pPr>
      <w:bookmarkStart w:id="38" w:name="_Toc27653"/>
      <w:bookmarkStart w:id="39" w:name="_Toc1077"/>
      <w:bookmarkStart w:id="40" w:name="_Toc8417"/>
      <w:r>
        <w:rPr>
          <w:rFonts w:ascii="仿宋" w:hAnsi="仿宋" w:eastAsia="仿宋"/>
          <w:sz w:val="32"/>
          <w:szCs w:val="32"/>
        </w:rPr>
        <w:t>20</w:t>
      </w:r>
      <w:r>
        <w:rPr>
          <w:rFonts w:hint="eastAsia" w:ascii="仿宋" w:hAnsi="仿宋" w:eastAsia="仿宋"/>
          <w:sz w:val="32"/>
          <w:szCs w:val="32"/>
        </w:rPr>
        <w:t>22年本年收入合计316.37万元，其中：一般公共预算财政拨款收入316.37万元，占100</w:t>
      </w:r>
      <w:r>
        <w:rPr>
          <w:rFonts w:ascii="仿宋" w:hAnsi="仿宋" w:eastAsia="仿宋"/>
          <w:sz w:val="32"/>
          <w:szCs w:val="32"/>
        </w:rPr>
        <w:t>%</w:t>
      </w:r>
      <w:r>
        <w:rPr>
          <w:rFonts w:hint="eastAsia" w:ascii="仿宋" w:hAnsi="仿宋" w:eastAsia="仿宋"/>
          <w:sz w:val="32"/>
          <w:szCs w:val="32"/>
        </w:rPr>
        <w:t>。</w:t>
      </w:r>
      <w:bookmarkEnd w:id="38"/>
      <w:bookmarkEnd w:id="39"/>
      <w:bookmarkEnd w:id="40"/>
    </w:p>
    <w:p>
      <w:pPr>
        <w:pStyle w:val="2"/>
        <w:spacing w:before="93"/>
      </w:pPr>
    </w:p>
    <w:p>
      <w:pPr>
        <w:ind w:firstLine="640" w:firstLineChars="200"/>
        <w:jc w:val="center"/>
        <w:rPr>
          <w:rFonts w:ascii="仿宋" w:hAnsi="仿宋" w:eastAsia="仿宋"/>
          <w:sz w:val="32"/>
          <w:szCs w:val="32"/>
        </w:rPr>
      </w:pPr>
      <w:r>
        <w:rPr>
          <w:rFonts w:hint="eastAsia" w:ascii="仿宋" w:hAnsi="仿宋" w:eastAsia="仿宋"/>
          <w:sz w:val="32"/>
          <w:szCs w:val="32"/>
        </w:rPr>
        <w:drawing>
          <wp:inline distT="0" distB="0" distL="114300" distR="114300">
            <wp:extent cx="3890010" cy="2734310"/>
            <wp:effectExtent l="19050" t="0" r="15240" b="88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jc w:val="center"/>
        <w:rPr>
          <w:rFonts w:hint="eastAsia" w:ascii="仿宋_GB2312" w:eastAsia="仿宋_GB2312"/>
          <w:sz w:val="32"/>
          <w:szCs w:val="32"/>
        </w:rPr>
      </w:pPr>
      <w:r>
        <w:rPr>
          <w:rFonts w:hint="eastAsia" w:ascii="仿宋_GB2312" w:eastAsia="仿宋_GB2312"/>
          <w:sz w:val="32"/>
          <w:szCs w:val="32"/>
        </w:rPr>
        <w:t>（图2：收入决算结构图）</w:t>
      </w:r>
    </w:p>
    <w:p>
      <w:pPr>
        <w:pStyle w:val="2"/>
      </w:pPr>
    </w:p>
    <w:p>
      <w:pPr>
        <w:pStyle w:val="23"/>
        <w:numPr>
          <w:ilvl w:val="0"/>
          <w:numId w:val="2"/>
        </w:numPr>
        <w:spacing w:line="600" w:lineRule="exact"/>
        <w:ind w:firstLineChars="0"/>
        <w:outlineLvl w:val="1"/>
        <w:rPr>
          <w:rStyle w:val="25"/>
          <w:rFonts w:ascii="黑体" w:hAnsi="黑体" w:eastAsia="黑体"/>
          <w:b w:val="0"/>
        </w:rPr>
      </w:pPr>
      <w:bookmarkStart w:id="41" w:name="_Toc15377207"/>
      <w:bookmarkStart w:id="42" w:name="_Toc15834"/>
      <w:bookmarkStart w:id="43" w:name="_Toc15396605"/>
      <w:r>
        <w:rPr>
          <w:rFonts w:hint="eastAsia" w:ascii="黑体" w:hAnsi="黑体" w:eastAsia="黑体"/>
          <w:sz w:val="32"/>
          <w:szCs w:val="32"/>
        </w:rPr>
        <w:t>支</w:t>
      </w:r>
      <w:r>
        <w:rPr>
          <w:rStyle w:val="25"/>
          <w:rFonts w:hint="eastAsia" w:ascii="黑体" w:hAnsi="黑体" w:eastAsia="黑体"/>
          <w:b w:val="0"/>
        </w:rPr>
        <w:t>出决算情况说明</w:t>
      </w:r>
      <w:bookmarkEnd w:id="41"/>
      <w:bookmarkEnd w:id="42"/>
      <w:bookmarkEnd w:id="43"/>
    </w:p>
    <w:p>
      <w:pPr>
        <w:spacing w:line="600" w:lineRule="exact"/>
        <w:ind w:firstLine="640" w:firstLineChars="200"/>
        <w:outlineLvl w:val="1"/>
      </w:pPr>
      <w:bookmarkStart w:id="44" w:name="_Toc10252"/>
      <w:bookmarkStart w:id="45" w:name="_Toc7571"/>
      <w:bookmarkStart w:id="46" w:name="_Toc30049"/>
      <w:r>
        <w:rPr>
          <w:rFonts w:ascii="仿宋" w:hAnsi="仿宋" w:eastAsia="仿宋"/>
          <w:sz w:val="32"/>
          <w:szCs w:val="32"/>
        </w:rPr>
        <w:t>20</w:t>
      </w:r>
      <w:r>
        <w:rPr>
          <w:rFonts w:hint="eastAsia" w:ascii="仿宋" w:hAnsi="仿宋" w:eastAsia="仿宋"/>
          <w:sz w:val="32"/>
          <w:szCs w:val="32"/>
        </w:rPr>
        <w:t>22年本年支出合计316.37万元，其中：基本支出307.09万元，占97.07</w:t>
      </w:r>
      <w:r>
        <w:rPr>
          <w:rFonts w:ascii="仿宋" w:hAnsi="仿宋" w:eastAsia="仿宋"/>
          <w:sz w:val="32"/>
          <w:szCs w:val="32"/>
        </w:rPr>
        <w:t>%</w:t>
      </w:r>
      <w:r>
        <w:rPr>
          <w:rFonts w:hint="eastAsia" w:ascii="仿宋" w:hAnsi="仿宋" w:eastAsia="仿宋"/>
          <w:sz w:val="32"/>
          <w:szCs w:val="32"/>
        </w:rPr>
        <w:t>；项目支出9.28万元，占2.93</w:t>
      </w:r>
      <w:r>
        <w:rPr>
          <w:rFonts w:ascii="仿宋" w:hAnsi="仿宋" w:eastAsia="仿宋"/>
          <w:sz w:val="32"/>
          <w:szCs w:val="32"/>
        </w:rPr>
        <w:t>%</w:t>
      </w:r>
      <w:r>
        <w:rPr>
          <w:rFonts w:hint="eastAsia" w:ascii="仿宋" w:hAnsi="仿宋" w:eastAsia="仿宋"/>
          <w:sz w:val="32"/>
          <w:szCs w:val="32"/>
        </w:rPr>
        <w:t>。</w:t>
      </w:r>
      <w:bookmarkEnd w:id="44"/>
      <w:bookmarkEnd w:id="45"/>
      <w:bookmarkEnd w:id="46"/>
    </w:p>
    <w:p>
      <w:pPr>
        <w:ind w:firstLine="640" w:firstLineChars="200"/>
        <w:jc w:val="center"/>
        <w:rPr>
          <w:rFonts w:ascii="仿宋_GB2312" w:eastAsia="仿宋_GB2312"/>
          <w:sz w:val="32"/>
          <w:szCs w:val="32"/>
        </w:rPr>
      </w:pPr>
      <w:r>
        <w:rPr>
          <w:rFonts w:hint="eastAsia" w:ascii="仿宋_GB2312" w:eastAsia="仿宋_GB2312"/>
          <w:sz w:val="32"/>
          <w:szCs w:val="32"/>
        </w:rPr>
        <w:drawing>
          <wp:inline distT="0" distB="0" distL="114300" distR="114300">
            <wp:extent cx="3832225" cy="2905760"/>
            <wp:effectExtent l="19050" t="0" r="15875" b="889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spacing w:before="93"/>
        <w:jc w:val="center"/>
        <w:rPr>
          <w:rFonts w:hint="eastAsia"/>
        </w:rPr>
      </w:pPr>
      <w:r>
        <w:rPr>
          <w:rFonts w:hint="eastAsia"/>
        </w:rPr>
        <w:t>（图3：支出决算结构图）</w:t>
      </w:r>
    </w:p>
    <w:p>
      <w:pPr>
        <w:pStyle w:val="2"/>
        <w:spacing w:before="93"/>
        <w:jc w:val="center"/>
        <w:rPr>
          <w:rFonts w:hint="eastAsia"/>
        </w:rPr>
      </w:pPr>
    </w:p>
    <w:p>
      <w:pPr>
        <w:pStyle w:val="2"/>
        <w:spacing w:before="93"/>
        <w:jc w:val="center"/>
        <w:rPr>
          <w:rFonts w:hint="eastAsia"/>
        </w:rPr>
      </w:pPr>
    </w:p>
    <w:p>
      <w:pPr>
        <w:spacing w:line="600" w:lineRule="exact"/>
        <w:ind w:firstLine="640" w:firstLineChars="200"/>
        <w:outlineLvl w:val="1"/>
        <w:rPr>
          <w:rStyle w:val="25"/>
          <w:rFonts w:ascii="黑体" w:hAnsi="黑体" w:eastAsia="黑体"/>
          <w:b w:val="0"/>
        </w:rPr>
      </w:pPr>
      <w:bookmarkStart w:id="47" w:name="_Toc3674"/>
      <w:bookmarkStart w:id="48" w:name="_Toc15396606"/>
      <w:bookmarkStart w:id="49"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47"/>
      <w:bookmarkEnd w:id="48"/>
      <w:bookmarkEnd w:id="4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2022年度收、支总计316.37万元。与2021年相比，收、支总计各减少99.56万元，</w:t>
      </w:r>
      <w:r>
        <w:rPr>
          <w:rFonts w:hint="eastAsia" w:ascii="仿宋" w:hAnsi="仿宋" w:eastAsia="仿宋"/>
          <w:sz w:val="32"/>
          <w:szCs w:val="32"/>
          <w:lang w:val="en-US" w:eastAsia="zh-CN"/>
        </w:rPr>
        <w:t>减少</w:t>
      </w:r>
      <w:r>
        <w:rPr>
          <w:rFonts w:hint="eastAsia" w:ascii="仿宋" w:hAnsi="仿宋" w:eastAsia="仿宋"/>
          <w:sz w:val="32"/>
          <w:szCs w:val="32"/>
        </w:rPr>
        <w:t>23.94%。主要变动原因是</w:t>
      </w:r>
      <w:r>
        <w:rPr>
          <w:rFonts w:hint="eastAsia" w:ascii="仿宋" w:hAnsi="仿宋" w:eastAsia="仿宋"/>
          <w:sz w:val="32"/>
          <w:szCs w:val="32"/>
          <w:lang w:val="en-US" w:eastAsia="zh-CN"/>
        </w:rPr>
        <w:t>2022年年初因归集上缴调整了年初结转结余为0。</w:t>
      </w:r>
    </w:p>
    <w:p>
      <w:pPr>
        <w:ind w:firstLine="640"/>
        <w:jc w:val="center"/>
        <w:rPr>
          <w:rFonts w:ascii="仿宋" w:hAnsi="仿宋" w:eastAsia="仿宋"/>
          <w:sz w:val="32"/>
          <w:szCs w:val="32"/>
        </w:rPr>
      </w:pPr>
      <w:r>
        <w:rPr>
          <w:rFonts w:hint="eastAsia" w:ascii="仿宋" w:hAnsi="仿宋" w:eastAsia="仿宋"/>
          <w:sz w:val="32"/>
          <w:szCs w:val="32"/>
        </w:rPr>
        <w:drawing>
          <wp:inline distT="0" distB="0" distL="114300" distR="114300">
            <wp:extent cx="4109085" cy="2743200"/>
            <wp:effectExtent l="19050" t="0" r="2476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before="93"/>
        <w:jc w:val="center"/>
        <w:rPr>
          <w:rFonts w:hint="eastAsia"/>
        </w:rPr>
      </w:pPr>
      <w:r>
        <w:rPr>
          <w:rFonts w:hint="eastAsia"/>
        </w:rPr>
        <w:t>（图4：财政拨款收、支决算总计变动情况）</w:t>
      </w:r>
    </w:p>
    <w:p>
      <w:pPr>
        <w:pStyle w:val="2"/>
        <w:spacing w:before="93"/>
        <w:jc w:val="center"/>
        <w:rPr>
          <w:rFonts w:hint="eastAsia"/>
        </w:rPr>
      </w:pPr>
    </w:p>
    <w:p>
      <w:pPr>
        <w:ind w:firstLine="640" w:firstLineChars="200"/>
        <w:outlineLvl w:val="1"/>
        <w:rPr>
          <w:rStyle w:val="25"/>
          <w:rFonts w:ascii="黑体" w:hAnsi="黑体" w:eastAsia="黑体"/>
          <w:b w:val="0"/>
        </w:rPr>
      </w:pPr>
      <w:bookmarkStart w:id="50" w:name="_Toc15396607"/>
      <w:bookmarkStart w:id="51" w:name="_Toc32249"/>
      <w:bookmarkStart w:id="52"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50"/>
      <w:bookmarkEnd w:id="51"/>
      <w:bookmarkEnd w:id="52"/>
    </w:p>
    <w:p>
      <w:pPr>
        <w:spacing w:line="600" w:lineRule="exact"/>
        <w:ind w:firstLine="643" w:firstLineChars="200"/>
        <w:outlineLvl w:val="2"/>
        <w:rPr>
          <w:rFonts w:ascii="仿宋" w:hAnsi="仿宋" w:eastAsia="仿宋"/>
          <w:b/>
          <w:sz w:val="32"/>
          <w:szCs w:val="32"/>
        </w:rPr>
      </w:pPr>
      <w:bookmarkStart w:id="53" w:name="_Toc15377210"/>
      <w:r>
        <w:rPr>
          <w:rFonts w:hint="eastAsia" w:ascii="仿宋" w:hAnsi="仿宋" w:eastAsia="仿宋"/>
          <w:b/>
          <w:sz w:val="32"/>
          <w:szCs w:val="32"/>
        </w:rPr>
        <w:t>（一）一般公共预算财政拨款支出决算总体情况</w:t>
      </w:r>
      <w:bookmarkEnd w:id="5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22年一般公共预算财政拨款支出316.37万元，占本年支出合计的100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21年相比，一般公共预算财政拨款支出增加41.96万元，增</w:t>
      </w:r>
      <w:r>
        <w:rPr>
          <w:rFonts w:hint="eastAsia" w:ascii="仿宋" w:hAnsi="仿宋" w:eastAsia="仿宋"/>
          <w:sz w:val="32"/>
          <w:szCs w:val="32"/>
          <w:lang w:val="en-US" w:eastAsia="zh-CN"/>
        </w:rPr>
        <w:t>加</w:t>
      </w:r>
      <w:r>
        <w:rPr>
          <w:rFonts w:hint="eastAsia" w:ascii="仿宋" w:hAnsi="仿宋" w:eastAsia="仿宋"/>
          <w:sz w:val="32"/>
          <w:szCs w:val="32"/>
        </w:rPr>
        <w:t>15.29%。主要变动原因是人员增加，财政加大投入。</w:t>
      </w:r>
    </w:p>
    <w:p>
      <w:pPr>
        <w:pStyle w:val="2"/>
        <w:spacing w:before="93"/>
        <w:jc w:val="center"/>
        <w:rPr>
          <w:rFonts w:ascii="仿宋" w:hAnsi="仿宋" w:eastAsia="仿宋"/>
          <w:sz w:val="32"/>
          <w:szCs w:val="32"/>
        </w:rPr>
      </w:pPr>
      <w:r>
        <w:rPr>
          <w:rFonts w:hint="eastAsia" w:ascii="仿宋" w:hAnsi="仿宋" w:eastAsia="仿宋"/>
          <w:sz w:val="32"/>
          <w:szCs w:val="32"/>
        </w:rPr>
        <w:drawing>
          <wp:inline distT="0" distB="0" distL="114300" distR="114300">
            <wp:extent cx="3562350" cy="256032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spacing w:before="93"/>
        <w:jc w:val="center"/>
        <w:rPr>
          <w:rFonts w:hint="eastAsia" w:ascii="仿宋" w:hAnsi="仿宋" w:eastAsia="仿宋"/>
          <w:sz w:val="32"/>
          <w:szCs w:val="32"/>
        </w:rPr>
      </w:pPr>
      <w:r>
        <w:rPr>
          <w:rFonts w:hint="eastAsia" w:ascii="仿宋" w:hAnsi="仿宋" w:eastAsia="仿宋"/>
          <w:sz w:val="32"/>
          <w:szCs w:val="32"/>
        </w:rPr>
        <w:t>（图5：一般公共预算财政拨款支出决算变动情况）</w:t>
      </w:r>
    </w:p>
    <w:p>
      <w:pPr>
        <w:pStyle w:val="2"/>
        <w:spacing w:before="93"/>
        <w:jc w:val="center"/>
        <w:rPr>
          <w:rFonts w:hint="eastAsia"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4" w:name="_Toc15377211"/>
      <w:r>
        <w:rPr>
          <w:rFonts w:hint="eastAsia" w:ascii="仿宋" w:hAnsi="仿宋" w:eastAsia="仿宋"/>
          <w:b/>
          <w:sz w:val="32"/>
          <w:szCs w:val="32"/>
        </w:rPr>
        <w:t>（二）一般公共预算财政拨款支出决算结构情况</w:t>
      </w:r>
      <w:bookmarkEnd w:id="54"/>
    </w:p>
    <w:p>
      <w:pPr>
        <w:spacing w:line="600" w:lineRule="exact"/>
        <w:ind w:firstLine="640"/>
        <w:rPr>
          <w:rFonts w:ascii="仿宋" w:hAnsi="仿宋" w:eastAsia="仿宋"/>
          <w:bCs/>
          <w:sz w:val="32"/>
          <w:szCs w:val="32"/>
        </w:rPr>
      </w:pPr>
      <w:r>
        <w:rPr>
          <w:rFonts w:ascii="仿宋" w:hAnsi="仿宋" w:eastAsia="仿宋"/>
          <w:sz w:val="32"/>
          <w:szCs w:val="32"/>
        </w:rPr>
        <w:t>20</w:t>
      </w:r>
      <w:r>
        <w:rPr>
          <w:rFonts w:hint="eastAsia" w:ascii="仿宋" w:hAnsi="仿宋" w:eastAsia="仿宋"/>
          <w:sz w:val="32"/>
          <w:szCs w:val="32"/>
        </w:rPr>
        <w:t>22年一般公共预算财政拨款支出316.37万元，主要用于以下方面</w:t>
      </w:r>
      <w:r>
        <w:rPr>
          <w:rFonts w:ascii="仿宋" w:hAnsi="仿宋" w:eastAsia="仿宋"/>
          <w:sz w:val="32"/>
          <w:szCs w:val="32"/>
        </w:rPr>
        <w:t>:</w:t>
      </w:r>
      <w:r>
        <w:rPr>
          <w:rFonts w:hint="eastAsia" w:ascii="仿宋" w:hAnsi="仿宋" w:eastAsia="仿宋"/>
          <w:bCs/>
          <w:sz w:val="32"/>
          <w:szCs w:val="32"/>
        </w:rPr>
        <w:t>教育支出274.05万元，占86.62</w:t>
      </w:r>
      <w:r>
        <w:rPr>
          <w:rFonts w:ascii="仿宋" w:hAnsi="仿宋" w:eastAsia="仿宋"/>
          <w:bCs/>
          <w:sz w:val="32"/>
          <w:szCs w:val="32"/>
        </w:rPr>
        <w:t>%</w:t>
      </w:r>
      <w:r>
        <w:rPr>
          <w:rFonts w:hint="eastAsia" w:ascii="仿宋" w:hAnsi="仿宋" w:eastAsia="仿宋"/>
          <w:bCs/>
          <w:sz w:val="32"/>
          <w:szCs w:val="32"/>
        </w:rPr>
        <w:t>；社会保障和就业支出15.62万元，占4.94</w:t>
      </w:r>
      <w:r>
        <w:rPr>
          <w:rFonts w:ascii="仿宋" w:hAnsi="仿宋" w:eastAsia="仿宋"/>
          <w:bCs/>
          <w:sz w:val="32"/>
          <w:szCs w:val="32"/>
        </w:rPr>
        <w:t>%</w:t>
      </w:r>
      <w:r>
        <w:rPr>
          <w:rFonts w:hint="eastAsia" w:ascii="仿宋" w:hAnsi="仿宋" w:eastAsia="仿宋"/>
          <w:bCs/>
          <w:sz w:val="32"/>
          <w:szCs w:val="32"/>
        </w:rPr>
        <w:t>；卫生健康支出10.27万元，占3.25</w:t>
      </w:r>
      <w:r>
        <w:rPr>
          <w:rFonts w:ascii="仿宋" w:hAnsi="仿宋" w:eastAsia="仿宋"/>
          <w:bCs/>
          <w:sz w:val="32"/>
          <w:szCs w:val="32"/>
        </w:rPr>
        <w:t>%</w:t>
      </w:r>
      <w:r>
        <w:rPr>
          <w:rFonts w:hint="eastAsia" w:ascii="仿宋" w:hAnsi="仿宋" w:eastAsia="仿宋"/>
          <w:bCs/>
          <w:sz w:val="32"/>
          <w:szCs w:val="32"/>
        </w:rPr>
        <w:t>；住房保障支出16.43万元，占5.19</w:t>
      </w:r>
      <w:r>
        <w:rPr>
          <w:rFonts w:ascii="仿宋" w:hAnsi="仿宋" w:eastAsia="仿宋"/>
          <w:bCs/>
          <w:sz w:val="32"/>
          <w:szCs w:val="32"/>
        </w:rPr>
        <w:t>%</w:t>
      </w:r>
      <w:r>
        <w:rPr>
          <w:rFonts w:hint="eastAsia" w:ascii="仿宋" w:hAnsi="仿宋" w:eastAsia="仿宋"/>
          <w:bCs/>
          <w:sz w:val="32"/>
          <w:szCs w:val="32"/>
        </w:rPr>
        <w:t>。</w:t>
      </w:r>
    </w:p>
    <w:p>
      <w:pPr>
        <w:ind w:firstLine="640" w:firstLineChars="200"/>
        <w:jc w:val="center"/>
        <w:rPr>
          <w:rFonts w:ascii="仿宋" w:hAnsi="仿宋" w:eastAsia="仿宋"/>
          <w:sz w:val="32"/>
          <w:szCs w:val="32"/>
        </w:rPr>
      </w:pPr>
      <w:r>
        <w:rPr>
          <w:rFonts w:hint="eastAsia" w:ascii="仿宋" w:hAnsi="仿宋" w:eastAsia="仿宋"/>
          <w:sz w:val="32"/>
          <w:szCs w:val="32"/>
        </w:rPr>
        <w:drawing>
          <wp:inline distT="0" distB="0" distL="114300" distR="114300">
            <wp:extent cx="3938270" cy="2753360"/>
            <wp:effectExtent l="19050" t="0" r="24130" b="88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640" w:firstLineChars="20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55" w:name="_Toc15377212"/>
      <w:r>
        <w:rPr>
          <w:rFonts w:hint="eastAsia" w:ascii="仿宋" w:hAnsi="仿宋" w:eastAsia="仿宋"/>
          <w:b/>
          <w:sz w:val="32"/>
          <w:szCs w:val="32"/>
        </w:rPr>
        <w:t>（三）一般公共预算财政拨款支出决算具体情况</w:t>
      </w:r>
      <w:bookmarkEnd w:id="55"/>
    </w:p>
    <w:p>
      <w:pPr>
        <w:spacing w:line="600" w:lineRule="exact"/>
        <w:ind w:firstLine="640" w:firstLineChars="200"/>
        <w:rPr>
          <w:rStyle w:val="14"/>
          <w:rFonts w:ascii="仿宋" w:hAnsi="仿宋" w:eastAsia="仿宋"/>
          <w:b w:val="0"/>
          <w:bCs/>
          <w:sz w:val="32"/>
          <w:szCs w:val="32"/>
        </w:rPr>
      </w:pPr>
      <w:bookmarkStart w:id="56" w:name="_Toc15378460"/>
      <w:bookmarkStart w:id="57" w:name="_Toc15377213"/>
      <w:bookmarkStart w:id="58" w:name="_Toc15377444"/>
      <w:r>
        <w:rPr>
          <w:rStyle w:val="14"/>
          <w:rFonts w:hint="eastAsia" w:ascii="仿宋" w:hAnsi="仿宋" w:eastAsia="仿宋"/>
          <w:b w:val="0"/>
          <w:bCs/>
          <w:sz w:val="32"/>
          <w:szCs w:val="32"/>
        </w:rPr>
        <w:t>2022年一般公共预算支出决算数为316.37万元，完成预算100%。其中：</w:t>
      </w:r>
      <w:bookmarkEnd w:id="56"/>
      <w:bookmarkEnd w:id="57"/>
      <w:bookmarkEnd w:id="58"/>
    </w:p>
    <w:p>
      <w:pPr>
        <w:spacing w:line="600" w:lineRule="exact"/>
        <w:ind w:firstLine="640" w:firstLineChars="200"/>
        <w:rPr>
          <w:rStyle w:val="14"/>
          <w:rFonts w:ascii="仿宋" w:hAnsi="仿宋" w:eastAsia="仿宋"/>
          <w:b w:val="0"/>
          <w:sz w:val="32"/>
          <w:szCs w:val="32"/>
        </w:rPr>
      </w:pPr>
      <w:r>
        <w:rPr>
          <w:rStyle w:val="14"/>
          <w:rFonts w:ascii="仿宋" w:hAnsi="仿宋" w:eastAsia="仿宋"/>
          <w:b w:val="0"/>
          <w:sz w:val="32"/>
          <w:szCs w:val="32"/>
        </w:rPr>
        <w:t>1.</w:t>
      </w:r>
      <w:r>
        <w:rPr>
          <w:rStyle w:val="14"/>
          <w:rFonts w:hint="eastAsia" w:ascii="仿宋" w:hAnsi="仿宋" w:eastAsia="仿宋"/>
          <w:b w:val="0"/>
          <w:sz w:val="32"/>
          <w:szCs w:val="32"/>
        </w:rPr>
        <w:t>教育支出（205）特殊教育（07）特殊学校教育（01）</w:t>
      </w:r>
      <w:r>
        <w:rPr>
          <w:rStyle w:val="14"/>
          <w:rFonts w:ascii="仿宋" w:hAnsi="仿宋" w:eastAsia="仿宋"/>
          <w:b w:val="0"/>
          <w:sz w:val="32"/>
          <w:szCs w:val="32"/>
        </w:rPr>
        <w:t>:</w:t>
      </w:r>
      <w:r>
        <w:rPr>
          <w:rStyle w:val="14"/>
          <w:rFonts w:hint="eastAsia" w:ascii="仿宋" w:hAnsi="仿宋" w:eastAsia="仿宋"/>
          <w:b w:val="0"/>
          <w:sz w:val="32"/>
          <w:szCs w:val="32"/>
        </w:rPr>
        <w:t>支出决算为274.05万元，完成预算100</w:t>
      </w:r>
      <w:r>
        <w:rPr>
          <w:rStyle w:val="14"/>
          <w:rFonts w:ascii="仿宋" w:hAnsi="仿宋" w:eastAsia="仿宋"/>
          <w:b w:val="0"/>
          <w:sz w:val="32"/>
          <w:szCs w:val="32"/>
        </w:rPr>
        <w:t>%</w:t>
      </w:r>
      <w:r>
        <w:rPr>
          <w:rStyle w:val="14"/>
          <w:rFonts w:hint="eastAsia" w:ascii="仿宋" w:hAnsi="仿宋" w:eastAsia="仿宋"/>
          <w:b w:val="0"/>
          <w:sz w:val="32"/>
          <w:szCs w:val="32"/>
        </w:rPr>
        <w:t>。</w:t>
      </w:r>
    </w:p>
    <w:p>
      <w:pPr>
        <w:spacing w:line="600" w:lineRule="exact"/>
        <w:ind w:firstLine="640" w:firstLineChars="200"/>
      </w:pPr>
      <w:r>
        <w:rPr>
          <w:rStyle w:val="14"/>
          <w:rFonts w:hint="eastAsia" w:ascii="仿宋" w:hAnsi="仿宋" w:eastAsia="仿宋"/>
          <w:b w:val="0"/>
          <w:sz w:val="32"/>
          <w:szCs w:val="32"/>
        </w:rPr>
        <w:t>2.社会保障和就业（208）行政事业单位养老支出（05）事业单位离退休（02）:支出决算为0.77万元，完成预算100</w:t>
      </w:r>
      <w:r>
        <w:rPr>
          <w:rStyle w:val="14"/>
          <w:rFonts w:ascii="仿宋" w:hAnsi="仿宋" w:eastAsia="仿宋"/>
          <w:b w:val="0"/>
          <w:sz w:val="32"/>
          <w:szCs w:val="32"/>
        </w:rPr>
        <w:t>%</w:t>
      </w:r>
      <w:r>
        <w:rPr>
          <w:rStyle w:val="14"/>
          <w:rFonts w:hint="eastAsia" w:ascii="仿宋" w:hAnsi="仿宋" w:eastAsia="仿宋"/>
          <w:b w:val="0"/>
          <w:sz w:val="32"/>
          <w:szCs w:val="32"/>
        </w:rPr>
        <w:t>。</w:t>
      </w:r>
    </w:p>
    <w:p>
      <w:pPr>
        <w:spacing w:line="600" w:lineRule="exact"/>
        <w:ind w:firstLine="640" w:firstLineChars="200"/>
        <w:rPr>
          <w:rStyle w:val="14"/>
          <w:rFonts w:ascii="仿宋" w:hAnsi="仿宋" w:eastAsia="仿宋"/>
          <w:b w:val="0"/>
          <w:sz w:val="32"/>
          <w:szCs w:val="32"/>
        </w:rPr>
      </w:pPr>
      <w:r>
        <w:rPr>
          <w:rStyle w:val="14"/>
          <w:rFonts w:hint="eastAsia" w:ascii="仿宋" w:hAnsi="仿宋" w:eastAsia="仿宋"/>
          <w:b w:val="0"/>
          <w:sz w:val="32"/>
          <w:szCs w:val="32"/>
        </w:rPr>
        <w:t>3</w:t>
      </w:r>
      <w:r>
        <w:rPr>
          <w:rStyle w:val="14"/>
          <w:rFonts w:ascii="仿宋" w:hAnsi="仿宋" w:eastAsia="仿宋"/>
          <w:b w:val="0"/>
          <w:sz w:val="32"/>
          <w:szCs w:val="32"/>
        </w:rPr>
        <w:t>.</w:t>
      </w:r>
      <w:r>
        <w:rPr>
          <w:rStyle w:val="14"/>
          <w:rFonts w:hint="eastAsia" w:ascii="仿宋" w:hAnsi="仿宋" w:eastAsia="仿宋"/>
          <w:b w:val="0"/>
          <w:sz w:val="32"/>
          <w:szCs w:val="32"/>
        </w:rPr>
        <w:t>社会保障和就业（208）行政事业单位养老支出（05）机关事业单位基本养老保险缴费支出（05）:支出决算为14.85万元，完成预算100</w:t>
      </w:r>
      <w:r>
        <w:rPr>
          <w:rStyle w:val="14"/>
          <w:rFonts w:ascii="仿宋" w:hAnsi="仿宋" w:eastAsia="仿宋"/>
          <w:b w:val="0"/>
          <w:sz w:val="32"/>
          <w:szCs w:val="32"/>
        </w:rPr>
        <w:t>%</w:t>
      </w:r>
      <w:r>
        <w:rPr>
          <w:rStyle w:val="14"/>
          <w:rFonts w:hint="eastAsia" w:ascii="仿宋" w:hAnsi="仿宋" w:eastAsia="仿宋"/>
          <w:b w:val="0"/>
          <w:sz w:val="32"/>
          <w:szCs w:val="32"/>
        </w:rPr>
        <w:t>。</w:t>
      </w:r>
    </w:p>
    <w:p>
      <w:pPr>
        <w:pStyle w:val="2"/>
        <w:spacing w:before="93"/>
        <w:ind w:firstLine="640" w:firstLineChars="200"/>
        <w:rPr>
          <w:rStyle w:val="14"/>
          <w:rFonts w:ascii="仿宋" w:hAnsi="仿宋" w:eastAsia="仿宋"/>
          <w:b w:val="0"/>
          <w:sz w:val="32"/>
          <w:szCs w:val="32"/>
        </w:rPr>
      </w:pPr>
      <w:r>
        <w:rPr>
          <w:rStyle w:val="14"/>
          <w:rFonts w:hint="eastAsia" w:ascii="仿宋" w:hAnsi="仿宋" w:eastAsia="仿宋"/>
          <w:b w:val="0"/>
          <w:sz w:val="32"/>
          <w:szCs w:val="32"/>
        </w:rPr>
        <w:t>4</w:t>
      </w:r>
      <w:r>
        <w:rPr>
          <w:rStyle w:val="14"/>
          <w:rFonts w:ascii="仿宋" w:hAnsi="仿宋" w:eastAsia="仿宋"/>
          <w:b w:val="0"/>
          <w:sz w:val="32"/>
          <w:szCs w:val="32"/>
        </w:rPr>
        <w:t>.</w:t>
      </w:r>
      <w:r>
        <w:rPr>
          <w:rFonts w:hint="eastAsia" w:ascii="仿宋" w:hAnsi="仿宋" w:eastAsia="仿宋"/>
          <w:sz w:val="32"/>
          <w:szCs w:val="32"/>
        </w:rPr>
        <w:t>卫生健康支出</w:t>
      </w:r>
      <w:r>
        <w:rPr>
          <w:rStyle w:val="14"/>
          <w:rFonts w:hint="eastAsia" w:ascii="仿宋" w:hAnsi="仿宋" w:eastAsia="仿宋"/>
          <w:b w:val="0"/>
          <w:sz w:val="32"/>
          <w:szCs w:val="32"/>
        </w:rPr>
        <w:t>（2</w:t>
      </w:r>
      <w:r>
        <w:rPr>
          <w:rStyle w:val="14"/>
          <w:rFonts w:ascii="仿宋" w:hAnsi="仿宋" w:eastAsia="仿宋"/>
          <w:b w:val="0"/>
          <w:sz w:val="32"/>
          <w:szCs w:val="32"/>
        </w:rPr>
        <w:t>10</w:t>
      </w:r>
      <w:r>
        <w:rPr>
          <w:rStyle w:val="14"/>
          <w:rFonts w:hint="eastAsia" w:ascii="仿宋" w:hAnsi="仿宋" w:eastAsia="仿宋"/>
          <w:b w:val="0"/>
          <w:sz w:val="32"/>
          <w:szCs w:val="32"/>
        </w:rPr>
        <w:t>）行政事业单位医疗（1</w:t>
      </w:r>
      <w:r>
        <w:rPr>
          <w:rStyle w:val="14"/>
          <w:rFonts w:ascii="仿宋" w:hAnsi="仿宋" w:eastAsia="仿宋"/>
          <w:b w:val="0"/>
          <w:sz w:val="32"/>
          <w:szCs w:val="32"/>
        </w:rPr>
        <w:t>1</w:t>
      </w:r>
      <w:r>
        <w:rPr>
          <w:rStyle w:val="14"/>
          <w:rFonts w:hint="eastAsia" w:ascii="仿宋" w:hAnsi="仿宋" w:eastAsia="仿宋"/>
          <w:b w:val="0"/>
          <w:sz w:val="32"/>
          <w:szCs w:val="32"/>
        </w:rPr>
        <w:t>）事业单位医疗（0</w:t>
      </w:r>
      <w:r>
        <w:rPr>
          <w:rStyle w:val="14"/>
          <w:rFonts w:ascii="仿宋" w:hAnsi="仿宋" w:eastAsia="仿宋"/>
          <w:b w:val="0"/>
          <w:sz w:val="32"/>
          <w:szCs w:val="32"/>
        </w:rPr>
        <w:t>2</w:t>
      </w:r>
      <w:r>
        <w:rPr>
          <w:rStyle w:val="14"/>
          <w:rFonts w:hint="eastAsia" w:ascii="仿宋" w:hAnsi="仿宋" w:eastAsia="仿宋"/>
          <w:b w:val="0"/>
          <w:sz w:val="32"/>
          <w:szCs w:val="32"/>
        </w:rPr>
        <w:t>）</w:t>
      </w:r>
      <w:r>
        <w:rPr>
          <w:rStyle w:val="14"/>
          <w:rFonts w:ascii="仿宋" w:hAnsi="仿宋" w:eastAsia="仿宋"/>
          <w:b w:val="0"/>
          <w:sz w:val="32"/>
          <w:szCs w:val="32"/>
        </w:rPr>
        <w:t>:</w:t>
      </w:r>
      <w:r>
        <w:rPr>
          <w:rStyle w:val="14"/>
          <w:rFonts w:hint="eastAsia" w:ascii="仿宋" w:hAnsi="仿宋" w:eastAsia="仿宋"/>
          <w:b w:val="0"/>
          <w:sz w:val="32"/>
          <w:szCs w:val="32"/>
        </w:rPr>
        <w:t>支出决算为10.27万元，完成预算100</w:t>
      </w:r>
      <w:r>
        <w:rPr>
          <w:rStyle w:val="14"/>
          <w:rFonts w:ascii="仿宋" w:hAnsi="仿宋" w:eastAsia="仿宋"/>
          <w:b w:val="0"/>
          <w:sz w:val="32"/>
          <w:szCs w:val="32"/>
        </w:rPr>
        <w:t>%</w:t>
      </w:r>
      <w:r>
        <w:rPr>
          <w:rStyle w:val="14"/>
          <w:rFonts w:hint="eastAsia" w:ascii="仿宋" w:hAnsi="仿宋" w:eastAsia="仿宋"/>
          <w:b w:val="0"/>
          <w:sz w:val="32"/>
          <w:szCs w:val="32"/>
        </w:rPr>
        <w:t>。</w:t>
      </w:r>
    </w:p>
    <w:p>
      <w:pPr>
        <w:spacing w:line="600" w:lineRule="exact"/>
        <w:ind w:firstLine="640" w:firstLineChars="200"/>
        <w:rPr>
          <w:rFonts w:ascii="仿宋" w:hAnsi="仿宋" w:eastAsia="仿宋"/>
          <w:sz w:val="32"/>
          <w:szCs w:val="32"/>
        </w:rPr>
      </w:pPr>
      <w:r>
        <w:rPr>
          <w:rStyle w:val="14"/>
          <w:rFonts w:hint="eastAsia" w:ascii="仿宋" w:hAnsi="仿宋" w:eastAsia="仿宋"/>
          <w:b w:val="0"/>
          <w:sz w:val="32"/>
          <w:szCs w:val="40"/>
        </w:rPr>
        <w:t>5</w:t>
      </w:r>
      <w:r>
        <w:rPr>
          <w:rStyle w:val="14"/>
          <w:rFonts w:ascii="仿宋" w:hAnsi="仿宋" w:eastAsia="仿宋"/>
          <w:b w:val="0"/>
          <w:sz w:val="32"/>
          <w:szCs w:val="40"/>
        </w:rPr>
        <w:t>.</w:t>
      </w:r>
      <w:r>
        <w:rPr>
          <w:rStyle w:val="14"/>
          <w:rFonts w:hint="eastAsia" w:ascii="仿宋" w:hAnsi="仿宋" w:eastAsia="仿宋"/>
          <w:b w:val="0"/>
          <w:sz w:val="32"/>
          <w:szCs w:val="40"/>
        </w:rPr>
        <w:t>住房保障支出（221）住房改革支出（02）住房公积金（01）:</w:t>
      </w:r>
      <w:r>
        <w:rPr>
          <w:rFonts w:hint="eastAsia" w:ascii="仿宋" w:hAnsi="仿宋" w:eastAsia="仿宋"/>
          <w:sz w:val="32"/>
          <w:szCs w:val="32"/>
        </w:rPr>
        <w:t>支出决算为16.43万元，完成预算100%。</w:t>
      </w:r>
    </w:p>
    <w:p>
      <w:pPr>
        <w:tabs>
          <w:tab w:val="right" w:pos="8306"/>
        </w:tabs>
        <w:spacing w:line="600" w:lineRule="exact"/>
        <w:ind w:firstLine="640"/>
        <w:outlineLvl w:val="1"/>
        <w:rPr>
          <w:rStyle w:val="25"/>
        </w:rPr>
      </w:pPr>
      <w:bookmarkStart w:id="59" w:name="_Toc15377214"/>
      <w:bookmarkStart w:id="60" w:name="_Toc15396608"/>
      <w:bookmarkStart w:id="61" w:name="_Toc2148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9"/>
      <w:bookmarkEnd w:id="60"/>
      <w:bookmarkEnd w:id="61"/>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22年一般公共预算财政拨款基本支出307.09万元，其中：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225.60万元，主要包括：基本工资79.62万元、津贴补贴13.48万元、绩效工资79.04万元、机关事业单位基本养老保险缴费14.85万元、职工基本医疗保险缴费10.27万元、其他工资福利支出11.11万元、生活补助0.77万元、奖励金0.02万元、住房公积金16.43万元。</w:t>
      </w:r>
    </w:p>
    <w:p>
      <w:pPr>
        <w:spacing w:line="600" w:lineRule="exact"/>
        <w:ind w:firstLine="645"/>
        <w:rPr>
          <w:rFonts w:ascii="仿宋" w:hAnsi="仿宋" w:eastAsia="仿宋"/>
          <w:b/>
          <w:sz w:val="32"/>
          <w:szCs w:val="32"/>
        </w:rPr>
      </w:pPr>
      <w:r>
        <w:rPr>
          <w:rFonts w:hint="eastAsia" w:ascii="仿宋" w:hAnsi="仿宋" w:eastAsia="仿宋"/>
          <w:sz w:val="32"/>
          <w:szCs w:val="32"/>
        </w:rPr>
        <w:t>公用经费81.49万元，主要包括：办公费6.63万元、水费4.00万元、电费5.94万元、邮电费0.57万元、物业管理费8.7</w:t>
      </w:r>
      <w:r>
        <w:rPr>
          <w:rFonts w:hint="eastAsia" w:ascii="仿宋" w:hAnsi="仿宋" w:eastAsia="仿宋"/>
          <w:sz w:val="32"/>
          <w:szCs w:val="32"/>
          <w:lang w:val="en-US" w:eastAsia="zh-CN"/>
        </w:rPr>
        <w:t>0</w:t>
      </w:r>
      <w:r>
        <w:rPr>
          <w:rFonts w:hint="eastAsia" w:ascii="仿宋" w:hAnsi="仿宋" w:eastAsia="仿宋"/>
          <w:sz w:val="32"/>
          <w:szCs w:val="32"/>
        </w:rPr>
        <w:t>万元、差旅费7.24万元、维修（护）费11.18万元、会议费1.00万元、培训费0.13万元、劳务费8.18万元、工会经费2.36万元、福利费2.04万元、其他商品和服务支出23.52万元。</w:t>
      </w:r>
    </w:p>
    <w:p>
      <w:pPr>
        <w:spacing w:line="600" w:lineRule="exact"/>
        <w:ind w:firstLine="640"/>
        <w:outlineLvl w:val="1"/>
        <w:rPr>
          <w:rStyle w:val="25"/>
          <w:rFonts w:ascii="黑体" w:hAnsi="黑体" w:eastAsia="黑体"/>
          <w:b w:val="0"/>
        </w:rPr>
      </w:pPr>
      <w:bookmarkStart w:id="62" w:name="_Toc15377215"/>
      <w:bookmarkStart w:id="63" w:name="_Toc9808"/>
      <w:bookmarkStart w:id="64" w:name="_Toc15396609"/>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62"/>
      <w:bookmarkEnd w:id="63"/>
      <w:bookmarkEnd w:id="64"/>
    </w:p>
    <w:p>
      <w:pPr>
        <w:spacing w:line="600" w:lineRule="exact"/>
        <w:ind w:firstLine="640"/>
        <w:outlineLvl w:val="2"/>
        <w:rPr>
          <w:rFonts w:ascii="仿宋" w:hAnsi="仿宋" w:eastAsia="仿宋"/>
          <w:b/>
          <w:sz w:val="32"/>
          <w:szCs w:val="32"/>
        </w:rPr>
      </w:pPr>
      <w:bookmarkStart w:id="65" w:name="_Toc15377216"/>
      <w:r>
        <w:rPr>
          <w:rFonts w:hint="eastAsia" w:ascii="仿宋" w:hAnsi="仿宋" w:eastAsia="仿宋"/>
          <w:b/>
          <w:sz w:val="32"/>
          <w:szCs w:val="32"/>
        </w:rPr>
        <w:t>（一）“三公”经费财政拨款支出决算总体情况说明</w:t>
      </w:r>
      <w:bookmarkEnd w:id="6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22年“三公”经费财政拨款支出决算为0万元。</w:t>
      </w:r>
    </w:p>
    <w:p>
      <w:pPr>
        <w:spacing w:line="600" w:lineRule="exact"/>
        <w:ind w:firstLine="640"/>
        <w:outlineLvl w:val="2"/>
        <w:rPr>
          <w:rFonts w:ascii="仿宋" w:hAnsi="仿宋" w:eastAsia="仿宋"/>
          <w:b/>
          <w:sz w:val="32"/>
          <w:szCs w:val="32"/>
        </w:rPr>
      </w:pPr>
      <w:bookmarkStart w:id="66" w:name="_Toc15377217"/>
      <w:r>
        <w:rPr>
          <w:rFonts w:hint="eastAsia" w:ascii="仿宋" w:hAnsi="仿宋" w:eastAsia="仿宋"/>
          <w:b/>
          <w:sz w:val="32"/>
          <w:szCs w:val="32"/>
        </w:rPr>
        <w:t>（二）“三公”经费财政拨款支出决算具体情况说明</w:t>
      </w:r>
      <w:bookmarkEnd w:id="6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ind w:firstLine="641"/>
        <w:jc w:val="center"/>
        <w:rPr>
          <w:rFonts w:ascii="仿宋_GB2312" w:eastAsia="仿宋_GB2312"/>
          <w:b/>
          <w:sz w:val="32"/>
          <w:szCs w:val="32"/>
        </w:rPr>
      </w:pPr>
      <w:r>
        <w:rPr>
          <w:rFonts w:hint="eastAsia" w:ascii="仿宋" w:hAnsi="仿宋" w:eastAsia="仿宋"/>
          <w:sz w:val="32"/>
          <w:szCs w:val="32"/>
        </w:rPr>
        <w:drawing>
          <wp:inline distT="0" distB="0" distL="114300" distR="114300">
            <wp:extent cx="3938270" cy="2753360"/>
            <wp:effectExtent l="4445" t="4445" r="19685" b="234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641"/>
        <w:jc w:val="center"/>
        <w:rPr>
          <w:rFonts w:hint="eastAsia" w:ascii="仿宋" w:hAnsi="仿宋" w:eastAsia="仿宋"/>
          <w:sz w:val="32"/>
          <w:szCs w:val="32"/>
        </w:rPr>
      </w:pPr>
      <w:r>
        <w:rPr>
          <w:rFonts w:hint="eastAsia" w:ascii="仿宋" w:hAnsi="仿宋" w:eastAsia="仿宋"/>
          <w:sz w:val="32"/>
          <w:szCs w:val="32"/>
        </w:rPr>
        <w:t>（图7：“三公”经费财政拨款支出结构）</w:t>
      </w:r>
    </w:p>
    <w:p>
      <w:pPr>
        <w:pStyle w:val="2"/>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21年持平。其中：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5"/>
          <w:rFonts w:ascii="黑体" w:hAnsi="黑体" w:eastAsia="黑体"/>
        </w:rPr>
      </w:pPr>
      <w:bookmarkStart w:id="67" w:name="_Toc10844"/>
      <w:bookmarkStart w:id="68" w:name="_Toc15396610"/>
      <w:bookmarkStart w:id="69" w:name="_Toc15377218"/>
      <w:r>
        <w:rPr>
          <w:rFonts w:hint="eastAsia" w:ascii="黑体" w:eastAsia="黑体"/>
          <w:sz w:val="32"/>
          <w:szCs w:val="32"/>
        </w:rPr>
        <w:t>八、</w:t>
      </w:r>
      <w:r>
        <w:rPr>
          <w:rStyle w:val="25"/>
          <w:rFonts w:hint="eastAsia" w:ascii="黑体" w:hAnsi="黑体" w:eastAsia="黑体"/>
          <w:b w:val="0"/>
        </w:rPr>
        <w:t>政府性基金预算支出决算情况说明</w:t>
      </w:r>
      <w:bookmarkEnd w:id="67"/>
      <w:bookmarkEnd w:id="68"/>
      <w:bookmarkEnd w:id="6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5"/>
          <w:rFonts w:ascii="黑体" w:hAnsi="黑体" w:eastAsia="黑体"/>
          <w:b w:val="0"/>
        </w:rPr>
      </w:pPr>
      <w:bookmarkStart w:id="70" w:name="_Toc15377219"/>
      <w:bookmarkStart w:id="71" w:name="_Toc1214"/>
      <w:bookmarkStart w:id="72" w:name="_Toc15396611"/>
      <w:r>
        <w:rPr>
          <w:rStyle w:val="25"/>
          <w:rFonts w:hint="eastAsia" w:ascii="黑体" w:hAnsi="黑体" w:eastAsia="黑体"/>
          <w:b w:val="0"/>
        </w:rPr>
        <w:t>国有资本经营预算支出决算情况说明</w:t>
      </w:r>
      <w:bookmarkEnd w:id="70"/>
      <w:bookmarkEnd w:id="71"/>
      <w:bookmarkEnd w:id="7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5"/>
          <w:rFonts w:ascii="黑体" w:hAnsi="黑体" w:eastAsia="黑体"/>
          <w:b w:val="0"/>
        </w:rPr>
      </w:pPr>
      <w:bookmarkStart w:id="73" w:name="_Toc15377221"/>
      <w:bookmarkStart w:id="74" w:name="_Toc31091"/>
      <w:bookmarkStart w:id="75" w:name="_Toc15396612"/>
      <w:r>
        <w:rPr>
          <w:rStyle w:val="25"/>
          <w:rFonts w:hint="eastAsia" w:ascii="黑体" w:hAnsi="黑体" w:eastAsia="黑体"/>
          <w:b w:val="0"/>
        </w:rPr>
        <w:t>其他重要事项的情况说明</w:t>
      </w:r>
      <w:bookmarkEnd w:id="73"/>
      <w:bookmarkEnd w:id="74"/>
      <w:bookmarkEnd w:id="75"/>
    </w:p>
    <w:p>
      <w:pPr>
        <w:spacing w:line="600" w:lineRule="exact"/>
        <w:ind w:firstLine="643" w:firstLineChars="200"/>
        <w:outlineLvl w:val="2"/>
        <w:rPr>
          <w:rFonts w:ascii="仿宋" w:hAnsi="仿宋" w:eastAsia="仿宋"/>
          <w:sz w:val="32"/>
          <w:szCs w:val="32"/>
        </w:rPr>
      </w:pPr>
      <w:bookmarkStart w:id="76" w:name="_Toc15377222"/>
      <w:r>
        <w:rPr>
          <w:rFonts w:hint="eastAsia" w:ascii="仿宋" w:hAnsi="仿宋" w:eastAsia="仿宋"/>
          <w:b/>
          <w:sz w:val="32"/>
          <w:szCs w:val="32"/>
        </w:rPr>
        <w:t>（一）机关运行经费支出情况</w:t>
      </w:r>
      <w:bookmarkEnd w:id="76"/>
    </w:p>
    <w:p>
      <w:pPr>
        <w:spacing w:line="600" w:lineRule="exact"/>
        <w:ind w:firstLine="640" w:firstLineChars="200"/>
        <w:rPr>
          <w:rFonts w:ascii="仿宋" w:hAnsi="仿宋" w:eastAsia="仿宋"/>
          <w:b/>
          <w:sz w:val="32"/>
          <w:szCs w:val="32"/>
        </w:rPr>
      </w:pPr>
      <w:r>
        <w:rPr>
          <w:rFonts w:hint="eastAsia" w:ascii="仿宋_GB2312" w:eastAsia="仿宋_GB2312"/>
          <w:sz w:val="32"/>
          <w:szCs w:val="32"/>
        </w:rPr>
        <w:t>我单位为事业单位（学校），执行政府会计制度，无机关运行经费。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7" w:name="_Toc15377223"/>
      <w:r>
        <w:rPr>
          <w:rFonts w:hint="eastAsia" w:ascii="仿宋" w:hAnsi="仿宋" w:eastAsia="仿宋"/>
          <w:b/>
          <w:sz w:val="32"/>
          <w:szCs w:val="32"/>
        </w:rPr>
        <w:t>（二）政府采购支出情况</w:t>
      </w:r>
      <w:bookmarkEnd w:id="7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22年，大竹县特殊教育学校政府采购支出总额</w:t>
      </w:r>
      <w:r>
        <w:rPr>
          <w:rFonts w:ascii="仿宋_GB2312" w:eastAsia="仿宋_GB2312"/>
          <w:sz w:val="32"/>
          <w:szCs w:val="32"/>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8" w:name="_Toc15377224"/>
      <w:r>
        <w:rPr>
          <w:rFonts w:hint="eastAsia" w:ascii="仿宋" w:hAnsi="仿宋" w:eastAsia="仿宋"/>
          <w:b/>
          <w:sz w:val="32"/>
          <w:szCs w:val="32"/>
        </w:rPr>
        <w:t>（三）国有资产占有使用情况</w:t>
      </w:r>
      <w:bookmarkEnd w:id="7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日，大竹县特殊教育学校共有车辆</w:t>
      </w:r>
      <w:r>
        <w:rPr>
          <w:rFonts w:ascii="仿宋_GB2312" w:eastAsia="仿宋_GB2312"/>
          <w:sz w:val="32"/>
          <w:szCs w:val="32"/>
        </w:rPr>
        <w:t>0</w:t>
      </w:r>
      <w:r>
        <w:rPr>
          <w:rFonts w:hint="eastAsia" w:ascii="仿宋_GB2312" w:eastAsia="仿宋_GB2312"/>
          <w:sz w:val="32"/>
          <w:szCs w:val="32"/>
        </w:rPr>
        <w:t>辆，其中：主要领导干部用车</w:t>
      </w:r>
      <w:r>
        <w:rPr>
          <w:rFonts w:ascii="仿宋_GB2312" w:eastAsia="仿宋_GB2312"/>
          <w:sz w:val="32"/>
          <w:szCs w:val="32"/>
        </w:rPr>
        <w:t>0</w:t>
      </w:r>
      <w:r>
        <w:rPr>
          <w:rFonts w:hint="eastAsia" w:ascii="仿宋_GB2312" w:eastAsia="仿宋_GB2312"/>
          <w:sz w:val="32"/>
          <w:szCs w:val="32"/>
        </w:rPr>
        <w:t>辆、机要通信用车</w:t>
      </w:r>
      <w:r>
        <w:rPr>
          <w:rFonts w:ascii="仿宋_GB2312" w:eastAsia="仿宋_GB2312"/>
          <w:sz w:val="32"/>
          <w:szCs w:val="32"/>
        </w:rPr>
        <w:t>0</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0</w:t>
      </w:r>
      <w:r>
        <w:rPr>
          <w:rFonts w:hint="eastAsia" w:ascii="仿宋_GB2312" w:eastAsia="仿宋_GB2312"/>
          <w:sz w:val="32"/>
          <w:szCs w:val="32"/>
        </w:rPr>
        <w:t>辆.单价</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ascii="仿宋_GB2312" w:eastAsia="仿宋_GB2312"/>
          <w:sz w:val="32"/>
          <w:szCs w:val="32"/>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根据预算绩效管理要求，本单位在2022年度预算编制阶段，组织对0个预算项目开展了预算事前绩效评估，对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个项目开展绩效监控，组织对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个预算项目开展绩效自评，绩效自评表详见第四部分附件。</w:t>
      </w:r>
    </w:p>
    <w:p>
      <w:pPr>
        <w:pStyle w:val="2"/>
        <w:spacing w:before="93"/>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9" w:name="_Toc15396613"/>
      <w:bookmarkStart w:id="80" w:name="_Toc15377225"/>
      <w:bookmarkStart w:id="81" w:name="_Toc10613"/>
      <w:r>
        <w:rPr>
          <w:rFonts w:hint="eastAsia" w:ascii="黑体" w:hAnsi="黑体" w:eastAsia="黑体"/>
          <w:sz w:val="44"/>
          <w:szCs w:val="44"/>
        </w:rPr>
        <w:t>名</w:t>
      </w:r>
      <w:r>
        <w:rPr>
          <w:rStyle w:val="24"/>
          <w:rFonts w:hint="eastAsia" w:ascii="黑体" w:hAnsi="黑体" w:eastAsia="黑体"/>
          <w:b w:val="0"/>
        </w:rPr>
        <w:t>词解释</w:t>
      </w:r>
      <w:bookmarkEnd w:id="79"/>
      <w:bookmarkEnd w:id="80"/>
      <w:bookmarkEnd w:id="81"/>
    </w:p>
    <w:p>
      <w:pPr>
        <w:spacing w:line="600" w:lineRule="exact"/>
        <w:jc w:val="left"/>
        <w:rPr>
          <w:rFonts w:ascii="宋体"/>
          <w:b/>
          <w:sz w:val="44"/>
          <w:szCs w:val="44"/>
        </w:rPr>
      </w:pP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1.财政拨款收入：指单位从同级财政部门取得的财政预算资金。</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2.事业收入：指事业单位开展专业业务活动及辅助活动取得的收入。</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 xml:space="preserve">3.年初结转和结余：指以前年度尚未完成、结转到本年按有关规定继续使用的资金。 </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4.结余分配：指事业单位按照事业单位会计制度的规定从非财政补助结余中分配的事业基金和职工福利基金等。</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5、年末结转和结余：指单位按有关规定结转到下年或以后年度继续使用的资金。</w:t>
      </w:r>
    </w:p>
    <w:p>
      <w:pPr>
        <w:ind w:firstLine="640" w:firstLineChars="200"/>
      </w:pPr>
      <w:r>
        <w:rPr>
          <w:rFonts w:hint="eastAsia" w:ascii="仿宋_GB2312" w:hAnsi="Calibri" w:eastAsia="仿宋_GB2312" w:cs="仿宋"/>
          <w:kern w:val="0"/>
          <w:sz w:val="32"/>
          <w:szCs w:val="32"/>
        </w:rPr>
        <w:t>6.教育（205）特殊教育（07）特殊学校教育（01）:指特殊学校教育取得的财政资金。</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7. 社会保障和就业（208）行政事业单位养老支出（05）事业单位离退休（02）：反映事业单位的离退休经费。</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8. 社会保障和就业（208）行政事业单位养老支出（05）机关事业单位基本养老保险缴费支出（05）：反映机关事业单位实施养老保险制度由单位缴纳的基本养老保险费支出。</w:t>
      </w:r>
    </w:p>
    <w:p>
      <w:pPr>
        <w:ind w:firstLine="640" w:firstLineChars="200"/>
      </w:pPr>
      <w:r>
        <w:rPr>
          <w:rFonts w:hint="eastAsia" w:ascii="仿宋_GB2312" w:hAnsi="Calibri" w:eastAsia="仿宋_GB2312" w:cs="仿宋"/>
          <w:kern w:val="0"/>
          <w:sz w:val="32"/>
          <w:szCs w:val="32"/>
        </w:rPr>
        <w:t xml:space="preserve">9. </w:t>
      </w:r>
      <w:r>
        <w:rPr>
          <w:rFonts w:hint="eastAsia" w:ascii="仿宋" w:hAnsi="仿宋" w:eastAsia="仿宋"/>
          <w:sz w:val="32"/>
          <w:szCs w:val="32"/>
        </w:rPr>
        <w:t>卫生健康支出（210）行政事业单位医疗（11）事业单位医疗（02）</w:t>
      </w:r>
      <w:r>
        <w:rPr>
          <w:rFonts w:hint="eastAsia" w:ascii="仿宋_GB2312" w:hAnsi="Calibri" w:eastAsia="仿宋_GB2312" w:cs="仿宋"/>
          <w:kern w:val="0"/>
          <w:sz w:val="32"/>
          <w:szCs w:val="32"/>
        </w:rPr>
        <w:t>：反映财政部门安排的事业单位基本医疗保险缴费经费，未参加医疗保险的事业单位的公费医疗经费，按国家规定享受离休人员待遇的医疗经费。</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10. 住房保障支出（221）住房改革支出（02）住房公积金（01）：反正行政事业单位按人力资源和社会保障部、财政部规定的基本工资和津贴补贴以及规定比例为职工缴纳的住房公积金。</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11.基本支出：指为保障机构正常运转、完成日常工作任务而发生的人员支出和公用支出。</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 xml:space="preserve">12.项目支出：指在基本支出之外为完成特定行政任务和事业发展目标所发生的支出。 </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13.经营支出：指事业单位在专业业务活动及其辅助活动之外开展非独立核算经营活动发生的支出。</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hAnsi="Calibri" w:eastAsia="仿宋_GB2312" w:cs="仿宋"/>
          <w:kern w:val="0"/>
          <w:sz w:val="32"/>
          <w:szCs w:val="32"/>
        </w:rPr>
      </w:pPr>
      <w:r>
        <w:rPr>
          <w:rFonts w:hint="eastAsia" w:ascii="仿宋_GB2312" w:hAnsi="Calibri" w:eastAsia="仿宋_GB2312" w:cs="仿宋"/>
          <w:kern w:val="0"/>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82" w:name="_Toc15396614"/>
      <w:bookmarkStart w:id="83" w:name="_Toc15377226"/>
    </w:p>
    <w:bookmarkEnd w:id="82"/>
    <w:p>
      <w:pPr>
        <w:spacing w:line="600" w:lineRule="exact"/>
        <w:jc w:val="center"/>
        <w:outlineLvl w:val="0"/>
        <w:rPr>
          <w:rFonts w:ascii="黑体" w:hAnsi="黑体" w:eastAsia="黑体"/>
          <w:sz w:val="44"/>
          <w:szCs w:val="44"/>
        </w:rPr>
        <w:sectPr>
          <w:footerReference r:id="rId7" w:type="first"/>
          <w:footerReference r:id="rId6" w:type="default"/>
          <w:pgSz w:w="11906" w:h="16838"/>
          <w:pgMar w:top="1440" w:right="1800" w:bottom="1440" w:left="1800" w:header="851" w:footer="992" w:gutter="0"/>
          <w:pgNumType w:start="2"/>
          <w:cols w:space="0" w:num="1"/>
          <w:docGrid w:type="lines" w:linePitch="312" w:charSpace="0"/>
        </w:sectPr>
      </w:pPr>
      <w:bookmarkStart w:id="84" w:name="_Toc25087"/>
      <w:bookmarkStart w:id="85" w:name="_Toc15396618"/>
    </w:p>
    <w:p>
      <w:pPr>
        <w:spacing w:line="600" w:lineRule="exact"/>
        <w:jc w:val="center"/>
        <w:outlineLvl w:val="0"/>
        <w:rPr>
          <w:rStyle w:val="24"/>
          <w:rFonts w:ascii="黑体" w:hAnsi="黑体" w:eastAsia="黑体"/>
          <w:b w:val="0"/>
        </w:rPr>
      </w:pPr>
      <w:r>
        <w:rPr>
          <w:rFonts w:hint="eastAsia" w:ascii="黑体" w:hAnsi="黑体" w:eastAsia="黑体"/>
          <w:sz w:val="44"/>
          <w:szCs w:val="44"/>
        </w:rPr>
        <w:t>第</w:t>
      </w:r>
      <w:r>
        <w:rPr>
          <w:rStyle w:val="24"/>
          <w:rFonts w:hint="eastAsia" w:ascii="黑体" w:hAnsi="黑体" w:eastAsia="黑体"/>
          <w:b w:val="0"/>
        </w:rPr>
        <w:t>四部分 附件</w:t>
      </w:r>
      <w:bookmarkEnd w:id="84"/>
    </w:p>
    <w:tbl>
      <w:tblPr>
        <w:tblStyle w:val="12"/>
        <w:tblW w:w="14100" w:type="dxa"/>
        <w:tblInd w:w="0" w:type="dxa"/>
        <w:tblLayout w:type="autofit"/>
        <w:tblCellMar>
          <w:top w:w="0" w:type="dxa"/>
          <w:left w:w="0" w:type="dxa"/>
          <w:bottom w:w="0" w:type="dxa"/>
          <w:right w:w="0" w:type="dxa"/>
        </w:tblCellMar>
      </w:tblPr>
      <w:tblGrid>
        <w:gridCol w:w="683"/>
        <w:gridCol w:w="2051"/>
        <w:gridCol w:w="1775"/>
        <w:gridCol w:w="2264"/>
        <w:gridCol w:w="521"/>
        <w:gridCol w:w="1677"/>
        <w:gridCol w:w="521"/>
        <w:gridCol w:w="1091"/>
        <w:gridCol w:w="505"/>
        <w:gridCol w:w="456"/>
        <w:gridCol w:w="2556"/>
      </w:tblGrid>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30"/>
                <w:szCs w:val="30"/>
              </w:rPr>
            </w:pPr>
            <w:r>
              <w:rPr>
                <w:rFonts w:hint="eastAsia" w:ascii="黑体" w:hAnsi="宋体" w:eastAsia="黑体" w:cs="黑体"/>
                <w:b/>
                <w:color w:val="000000"/>
                <w:kern w:val="0"/>
                <w:sz w:val="30"/>
                <w:szCs w:val="30"/>
              </w:rPr>
              <w:t>部门预算项目支出绩效自评表（2022年度）</w:t>
            </w:r>
          </w:p>
        </w:tc>
      </w:tr>
      <w:tr>
        <w:tblPrEx>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51172422T000005781355-营养餐</w:t>
            </w:r>
          </w:p>
        </w:tc>
      </w:tr>
      <w:tr>
        <w:tblPrEx>
          <w:tblCellMar>
            <w:top w:w="0" w:type="dxa"/>
            <w:left w:w="0" w:type="dxa"/>
            <w:bottom w:w="0" w:type="dxa"/>
            <w:right w:w="0" w:type="dxa"/>
          </w:tblCellMar>
        </w:tblPrEx>
        <w:trPr>
          <w:trHeight w:val="512"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大竹县特殊教育学校部门</w:t>
            </w:r>
          </w:p>
        </w:tc>
        <w:tc>
          <w:tcPr>
            <w:tcW w:w="109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大竹县特殊教育学校</w:t>
            </w:r>
          </w:p>
        </w:tc>
      </w:tr>
      <w:tr>
        <w:tblPrEx>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0" w:type="dxa"/>
            <w:bottom w:w="0" w:type="dxa"/>
            <w:right w:w="0"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让义务教育阶段学生享受营养餐，加强学生生活营养。</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让义务教育阶段学生享受营养餐，加强学生生活营养。</w:t>
            </w:r>
          </w:p>
        </w:tc>
      </w:tr>
      <w:tr>
        <w:tblPrEx>
          <w:tblCellMar>
            <w:top w:w="0" w:type="dxa"/>
            <w:left w:w="0" w:type="dxa"/>
            <w:bottom w:w="0" w:type="dxa"/>
            <w:right w:w="0"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让义务教育阶段学生享受营养餐，加强学生生活营养。</w:t>
            </w:r>
          </w:p>
        </w:tc>
      </w:tr>
      <w:tr>
        <w:tblPrEx>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8.73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5.67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65.02%</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Cs/>
                <w:color w:val="000000"/>
                <w:sz w:val="18"/>
                <w:szCs w:val="18"/>
              </w:rPr>
            </w:pPr>
            <w:r>
              <w:rPr>
                <w:rFonts w:ascii="黑体" w:hAnsi="黑体" w:eastAsia="黑体" w:cs="黑体"/>
                <w:iCs/>
                <w:color w:val="000000"/>
                <w:sz w:val="18"/>
                <w:szCs w:val="18"/>
              </w:rPr>
              <w:t>年初无此预算，追加预算</w:t>
            </w:r>
          </w:p>
        </w:tc>
      </w:tr>
      <w:tr>
        <w:tblPrEx>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8.73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5.67</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65.02%</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项目自评总分达到100分。通过实施，项目达到了预期目标，解决了实际问题，取得了显著成果。</w:t>
            </w:r>
          </w:p>
        </w:tc>
      </w:tr>
      <w:tr>
        <w:tblPrEx>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无</w:t>
            </w:r>
          </w:p>
        </w:tc>
      </w:tr>
      <w:tr>
        <w:tblPrEx>
          <w:tblCellMar>
            <w:top w:w="0" w:type="dxa"/>
            <w:left w:w="0" w:type="dxa"/>
            <w:bottom w:w="0" w:type="dxa"/>
            <w:right w:w="0"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无</w:t>
            </w:r>
          </w:p>
        </w:tc>
      </w:tr>
      <w:tr>
        <w:tblPrEx>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项目负责人：王景胜</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财务负责人：杨红梅</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30"/>
                <w:szCs w:val="30"/>
              </w:rPr>
            </w:pPr>
            <w:r>
              <w:rPr>
                <w:rFonts w:hint="eastAsia" w:ascii="黑体" w:hAnsi="宋体" w:eastAsia="黑体" w:cs="黑体"/>
                <w:b/>
                <w:color w:val="000000"/>
                <w:kern w:val="0"/>
                <w:sz w:val="30"/>
                <w:szCs w:val="30"/>
              </w:rPr>
              <w:t>部门预算项目支出绩效自评表（2022年度）</w:t>
            </w:r>
          </w:p>
        </w:tc>
      </w:tr>
      <w:tr>
        <w:tblPrEx>
          <w:tblCellMar>
            <w:top w:w="0" w:type="dxa"/>
            <w:left w:w="0" w:type="dxa"/>
            <w:bottom w:w="0" w:type="dxa"/>
            <w:right w:w="0" w:type="dxa"/>
          </w:tblCellMar>
        </w:tblPrEx>
        <w:trPr>
          <w:trHeight w:val="286"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51172422T000005781584-特教营养餐</w:t>
            </w:r>
          </w:p>
        </w:tc>
      </w:tr>
      <w:tr>
        <w:tblPrEx>
          <w:tblCellMar>
            <w:top w:w="0" w:type="dxa"/>
            <w:left w:w="0" w:type="dxa"/>
            <w:bottom w:w="0" w:type="dxa"/>
            <w:right w:w="0" w:type="dxa"/>
          </w:tblCellMar>
        </w:tblPrEx>
        <w:trPr>
          <w:trHeight w:val="512"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大竹县特殊教育学校部门</w:t>
            </w:r>
          </w:p>
        </w:tc>
        <w:tc>
          <w:tcPr>
            <w:tcW w:w="109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35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大竹县特殊教育学校</w:t>
            </w:r>
          </w:p>
        </w:tc>
      </w:tr>
      <w:tr>
        <w:tblPrEx>
          <w:tblCellMar>
            <w:top w:w="0" w:type="dxa"/>
            <w:left w:w="0" w:type="dxa"/>
            <w:bottom w:w="0" w:type="dxa"/>
            <w:right w:w="0"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0" w:type="dxa"/>
            <w:bottom w:w="0" w:type="dxa"/>
            <w:right w:w="0"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为在校残疾学生提供更加健康合理的午餐，保障在校残疾学生伙食的营养。</w:t>
            </w:r>
          </w:p>
        </w:tc>
        <w:tc>
          <w:tcPr>
            <w:tcW w:w="46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为在校残疾学生提供更加健康合理的午餐，保障在校残疾学生伙食的营养。</w:t>
            </w:r>
          </w:p>
        </w:tc>
      </w:tr>
      <w:tr>
        <w:tblPrEx>
          <w:tblCellMar>
            <w:top w:w="0" w:type="dxa"/>
            <w:left w:w="0" w:type="dxa"/>
            <w:bottom w:w="0" w:type="dxa"/>
            <w:right w:w="0"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1136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为在校残疾学生提供更加健康合理的午餐，保障在校残疾学生伙食的营养。</w:t>
            </w:r>
          </w:p>
        </w:tc>
      </w:tr>
      <w:tr>
        <w:tblPrEx>
          <w:tblCellMar>
            <w:top w:w="0" w:type="dxa"/>
            <w:left w:w="0" w:type="dxa"/>
            <w:bottom w:w="0" w:type="dxa"/>
            <w:right w:w="0"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0" w:type="dxa"/>
            <w:bottom w:w="0" w:type="dxa"/>
            <w:right w:w="0"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3.61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3.61</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Cs/>
                <w:color w:val="000000"/>
                <w:sz w:val="18"/>
                <w:szCs w:val="18"/>
              </w:rPr>
            </w:pPr>
            <w:r>
              <w:rPr>
                <w:rFonts w:ascii="黑体" w:hAnsi="黑体" w:eastAsia="黑体" w:cs="黑体"/>
                <w:iCs/>
                <w:color w:val="000000"/>
                <w:sz w:val="18"/>
                <w:szCs w:val="18"/>
              </w:rPr>
              <w:t>实际支出减少，财政追减预算</w:t>
            </w:r>
          </w:p>
        </w:tc>
      </w:tr>
      <w:tr>
        <w:tblPrEx>
          <w:tblCellMar>
            <w:top w:w="0" w:type="dxa"/>
            <w:left w:w="0" w:type="dxa"/>
            <w:bottom w:w="0" w:type="dxa"/>
            <w:right w:w="0"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3.61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3.61</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黑体" w:eastAsia="黑体" w:cs="黑体"/>
                <w:i/>
                <w:color w:val="000000"/>
                <w:sz w:val="18"/>
                <w:szCs w:val="18"/>
              </w:rPr>
            </w:pPr>
          </w:p>
        </w:tc>
      </w:tr>
      <w:tr>
        <w:tblPrEx>
          <w:tblCellMar>
            <w:top w:w="0" w:type="dxa"/>
            <w:left w:w="0" w:type="dxa"/>
            <w:bottom w:w="0" w:type="dxa"/>
            <w:right w:w="0"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享受营养餐人数。</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享受营养餐的学生覆盖率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膳食结构合理度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食品安全达标率</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学生身体素质</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家长满意度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学生满意度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eastAsia="微软雅黑" w:cs="微软雅黑"/>
                <w:i/>
                <w:color w:val="000000"/>
                <w:sz w:val="16"/>
                <w:szCs w:val="16"/>
              </w:rPr>
            </w:pPr>
          </w:p>
        </w:tc>
      </w:tr>
      <w:tr>
        <w:tblPrEx>
          <w:tblCellMar>
            <w:top w:w="0" w:type="dxa"/>
            <w:left w:w="0" w:type="dxa"/>
            <w:bottom w:w="0" w:type="dxa"/>
            <w:right w:w="0" w:type="dxa"/>
          </w:tblCellMar>
        </w:tblPrEx>
        <w:trPr>
          <w:trHeight w:val="286" w:hRule="atLeast"/>
        </w:trPr>
        <w:tc>
          <w:tcPr>
            <w:tcW w:w="105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项目自评总分达到100分。通过实施，项目达到了预期目标，解决了实际问题，取得了显著成果。</w:t>
            </w:r>
          </w:p>
        </w:tc>
      </w:tr>
      <w:tr>
        <w:tblPrEx>
          <w:tblCellMar>
            <w:top w:w="0" w:type="dxa"/>
            <w:left w:w="0" w:type="dxa"/>
            <w:bottom w:w="0" w:type="dxa"/>
            <w:right w:w="0"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无</w:t>
            </w:r>
          </w:p>
        </w:tc>
      </w:tr>
      <w:tr>
        <w:tblPrEx>
          <w:tblCellMar>
            <w:top w:w="0" w:type="dxa"/>
            <w:left w:w="0" w:type="dxa"/>
            <w:bottom w:w="0" w:type="dxa"/>
            <w:right w:w="0"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13417"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color w:val="000000"/>
                <w:sz w:val="16"/>
                <w:szCs w:val="16"/>
              </w:rPr>
            </w:pPr>
            <w:r>
              <w:rPr>
                <w:rFonts w:hint="eastAsia" w:ascii="微软雅黑" w:hAnsi="微软雅黑" w:eastAsia="微软雅黑" w:cs="微软雅黑"/>
                <w:color w:val="000000"/>
                <w:kern w:val="0"/>
                <w:sz w:val="16"/>
                <w:szCs w:val="16"/>
              </w:rPr>
              <w:t>无</w:t>
            </w:r>
          </w:p>
        </w:tc>
      </w:tr>
      <w:tr>
        <w:tblPrEx>
          <w:tblCellMar>
            <w:top w:w="0" w:type="dxa"/>
            <w:left w:w="0" w:type="dxa"/>
            <w:bottom w:w="0" w:type="dxa"/>
            <w:right w:w="0" w:type="dxa"/>
          </w:tblCellMar>
        </w:tblPrEx>
        <w:trPr>
          <w:trHeight w:val="286" w:hRule="atLeast"/>
        </w:trPr>
        <w:tc>
          <w:tcPr>
            <w:tcW w:w="729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项目负责人：王景胜</w:t>
            </w:r>
          </w:p>
        </w:tc>
        <w:tc>
          <w:tcPr>
            <w:tcW w:w="680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财务负责人：杨红梅</w:t>
            </w:r>
          </w:p>
        </w:tc>
      </w:tr>
      <w:tr>
        <w:tblPrEx>
          <w:tblCellMar>
            <w:top w:w="0" w:type="dxa"/>
            <w:left w:w="0" w:type="dxa"/>
            <w:bottom w:w="0" w:type="dxa"/>
            <w:right w:w="0" w:type="dxa"/>
          </w:tblCellMar>
        </w:tblPrEx>
        <w:trPr>
          <w:trHeight w:val="286" w:hRule="atLeast"/>
        </w:trPr>
        <w:tc>
          <w:tcPr>
            <w:tcW w:w="683"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05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77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264"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677"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2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09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50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4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25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r>
    </w:tbl>
    <w:p>
      <w:pPr>
        <w:spacing w:line="572" w:lineRule="exact"/>
        <w:jc w:val="left"/>
        <w:outlineLvl w:val="0"/>
        <w:rPr>
          <w:rFonts w:ascii="仿宋_GB2312" w:hAnsi="仿宋_GB2312" w:eastAsia="仿宋_GB2312" w:cs="仿宋_GB2312"/>
          <w:sz w:val="32"/>
          <w:szCs w:val="32"/>
        </w:rPr>
      </w:pPr>
    </w:p>
    <w:p>
      <w:pPr>
        <w:rPr>
          <w:rFonts w:ascii="宋体" w:hAnsi="宋体" w:cs="宋体"/>
          <w:kern w:val="0"/>
          <w:sz w:val="32"/>
          <w:szCs w:val="32"/>
        </w:rPr>
        <w:sectPr>
          <w:footerReference r:id="rId9" w:type="first"/>
          <w:footerReference r:id="rId8" w:type="default"/>
          <w:pgSz w:w="16838" w:h="11906" w:orient="landscape"/>
          <w:pgMar w:top="1803" w:right="1440" w:bottom="1803" w:left="1440" w:header="851" w:footer="992" w:gutter="0"/>
          <w:cols w:space="0" w:num="1"/>
          <w:titlePg/>
          <w:docGrid w:type="lines" w:linePitch="319" w:charSpace="0"/>
        </w:sectPr>
      </w:pPr>
    </w:p>
    <w:bookmarkEnd w:id="83"/>
    <w:bookmarkEnd w:id="85"/>
    <w:p>
      <w:pPr>
        <w:jc w:val="center"/>
        <w:rPr>
          <w:rFonts w:ascii="黑体" w:hAnsi="黑体" w:eastAsia="黑体"/>
          <w:sz w:val="44"/>
          <w:szCs w:val="44"/>
        </w:rPr>
      </w:pPr>
      <w:bookmarkStart w:id="86" w:name="_Toc31790"/>
    </w:p>
    <w:p>
      <w:pPr>
        <w:jc w:val="center"/>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86"/>
      <w:bookmarkStart w:id="87" w:name="_Toc15396619"/>
    </w:p>
    <w:p>
      <w:pPr>
        <w:pStyle w:val="4"/>
        <w:rPr>
          <w:rFonts w:ascii="仿宋" w:hAnsi="仿宋" w:eastAsia="仿宋"/>
        </w:rPr>
      </w:pPr>
      <w:bookmarkStart w:id="88" w:name="_Toc21540"/>
      <w:r>
        <w:rPr>
          <w:rFonts w:hint="eastAsia" w:ascii="仿宋" w:hAnsi="仿宋" w:eastAsia="仿宋"/>
          <w:b w:val="0"/>
        </w:rPr>
        <w:t>一、收</w:t>
      </w:r>
      <w:r>
        <w:rPr>
          <w:rStyle w:val="25"/>
          <w:rFonts w:hint="eastAsia" w:ascii="仿宋" w:hAnsi="仿宋" w:eastAsia="仿宋"/>
          <w:b w:val="0"/>
          <w:bCs w:val="0"/>
        </w:rPr>
        <w:t>入支出决算总表</w:t>
      </w:r>
      <w:bookmarkEnd w:id="87"/>
      <w:bookmarkEnd w:id="88"/>
    </w:p>
    <w:p>
      <w:pPr>
        <w:pStyle w:val="4"/>
        <w:rPr>
          <w:rFonts w:ascii="仿宋" w:hAnsi="仿宋" w:eastAsia="仿宋"/>
        </w:rPr>
      </w:pPr>
      <w:bookmarkStart w:id="89" w:name="_Toc14740"/>
      <w:bookmarkStart w:id="90" w:name="_Toc15396620"/>
      <w:r>
        <w:rPr>
          <w:rFonts w:hint="eastAsia" w:ascii="仿宋" w:hAnsi="仿宋" w:eastAsia="仿宋"/>
          <w:b w:val="0"/>
        </w:rPr>
        <w:t>二、收</w:t>
      </w:r>
      <w:r>
        <w:rPr>
          <w:rStyle w:val="25"/>
          <w:rFonts w:hint="eastAsia" w:ascii="仿宋" w:hAnsi="仿宋" w:eastAsia="仿宋"/>
          <w:b w:val="0"/>
          <w:bCs w:val="0"/>
        </w:rPr>
        <w:t>入决算表</w:t>
      </w:r>
      <w:bookmarkEnd w:id="89"/>
      <w:bookmarkEnd w:id="90"/>
    </w:p>
    <w:p>
      <w:pPr>
        <w:pStyle w:val="4"/>
        <w:rPr>
          <w:rFonts w:ascii="仿宋" w:hAnsi="仿宋" w:eastAsia="仿宋"/>
        </w:rPr>
      </w:pPr>
      <w:bookmarkStart w:id="91" w:name="_Toc15396621"/>
      <w:bookmarkStart w:id="92" w:name="_Toc26490"/>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91"/>
      <w:bookmarkEnd w:id="92"/>
    </w:p>
    <w:p>
      <w:pPr>
        <w:pStyle w:val="4"/>
        <w:rPr>
          <w:rFonts w:ascii="仿宋" w:hAnsi="仿宋" w:eastAsia="仿宋"/>
          <w:b w:val="0"/>
        </w:rPr>
      </w:pPr>
      <w:bookmarkStart w:id="93" w:name="_Toc4249"/>
      <w:bookmarkStart w:id="94"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93"/>
      <w:bookmarkEnd w:id="94"/>
    </w:p>
    <w:p>
      <w:pPr>
        <w:pStyle w:val="4"/>
        <w:rPr>
          <w:rStyle w:val="25"/>
          <w:rFonts w:ascii="仿宋" w:hAnsi="仿宋" w:eastAsia="仿宋"/>
          <w:b w:val="0"/>
          <w:bCs w:val="0"/>
        </w:rPr>
      </w:pPr>
      <w:bookmarkStart w:id="95" w:name="_Toc15396623"/>
      <w:bookmarkStart w:id="96" w:name="_Toc21621"/>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95"/>
      <w:bookmarkEnd w:id="96"/>
      <w:bookmarkStart w:id="97" w:name="_Toc15396624"/>
    </w:p>
    <w:p>
      <w:pPr>
        <w:pStyle w:val="4"/>
        <w:rPr>
          <w:rFonts w:ascii="仿宋" w:hAnsi="仿宋" w:eastAsia="仿宋"/>
        </w:rPr>
      </w:pPr>
      <w:bookmarkStart w:id="98" w:name="_Toc1061"/>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97"/>
      <w:bookmarkEnd w:id="98"/>
    </w:p>
    <w:p>
      <w:pPr>
        <w:pStyle w:val="4"/>
        <w:rPr>
          <w:rFonts w:ascii="仿宋" w:hAnsi="仿宋" w:eastAsia="仿宋"/>
        </w:rPr>
      </w:pPr>
      <w:bookmarkStart w:id="99" w:name="_Toc6268"/>
      <w:bookmarkStart w:id="10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9"/>
      <w:bookmarkEnd w:id="100"/>
    </w:p>
    <w:p>
      <w:pPr>
        <w:pStyle w:val="4"/>
        <w:rPr>
          <w:rFonts w:ascii="仿宋" w:hAnsi="仿宋" w:eastAsia="仿宋"/>
        </w:rPr>
      </w:pPr>
      <w:bookmarkStart w:id="101" w:name="_Toc15396626"/>
      <w:bookmarkStart w:id="102" w:name="_Toc29111"/>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101"/>
      <w:bookmarkEnd w:id="102"/>
    </w:p>
    <w:p>
      <w:pPr>
        <w:pStyle w:val="4"/>
        <w:rPr>
          <w:rFonts w:ascii="仿宋" w:hAnsi="仿宋" w:eastAsia="仿宋"/>
        </w:rPr>
      </w:pPr>
      <w:bookmarkStart w:id="103" w:name="_Toc15396627"/>
      <w:bookmarkStart w:id="104" w:name="_Toc2507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103"/>
      <w:bookmarkEnd w:id="104"/>
    </w:p>
    <w:p>
      <w:pPr>
        <w:pStyle w:val="4"/>
        <w:rPr>
          <w:rFonts w:ascii="仿宋" w:hAnsi="仿宋" w:eastAsia="仿宋"/>
        </w:rPr>
      </w:pPr>
      <w:bookmarkStart w:id="105" w:name="_Toc15396628"/>
      <w:bookmarkStart w:id="106" w:name="_Toc8538"/>
      <w:r>
        <w:rPr>
          <w:rStyle w:val="25"/>
          <w:rFonts w:hint="eastAsia" w:ascii="仿宋" w:hAnsi="仿宋" w:eastAsia="仿宋"/>
          <w:b w:val="0"/>
          <w:bCs w:val="0"/>
        </w:rPr>
        <w:t>十、</w:t>
      </w:r>
      <w:bookmarkEnd w:id="105"/>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106"/>
    </w:p>
    <w:p>
      <w:pPr>
        <w:pStyle w:val="4"/>
        <w:rPr>
          <w:rFonts w:ascii="仿宋" w:hAnsi="仿宋" w:eastAsia="仿宋"/>
        </w:rPr>
      </w:pPr>
      <w:bookmarkStart w:id="107" w:name="_Toc15396629"/>
      <w:bookmarkStart w:id="108" w:name="_Toc26365"/>
      <w:r>
        <w:rPr>
          <w:rStyle w:val="25"/>
          <w:rFonts w:hint="eastAsia" w:ascii="仿宋" w:hAnsi="仿宋" w:eastAsia="仿宋"/>
          <w:b w:val="0"/>
          <w:bCs w:val="0"/>
        </w:rPr>
        <w:t>十一、</w:t>
      </w:r>
      <w:bookmarkEnd w:id="107"/>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08"/>
    </w:p>
    <w:p>
      <w:pPr>
        <w:pStyle w:val="4"/>
        <w:rPr>
          <w:rFonts w:ascii="仿宋" w:hAnsi="仿宋" w:eastAsia="仿宋"/>
        </w:rPr>
      </w:pPr>
      <w:bookmarkStart w:id="109" w:name="_Toc15396630"/>
      <w:bookmarkStart w:id="110" w:name="_Toc11791"/>
      <w:r>
        <w:rPr>
          <w:rStyle w:val="25"/>
          <w:rFonts w:hint="eastAsia" w:ascii="仿宋" w:hAnsi="仿宋" w:eastAsia="仿宋"/>
          <w:b w:val="0"/>
          <w:bCs w:val="0"/>
        </w:rPr>
        <w:t>十二、</w:t>
      </w:r>
      <w:bookmarkEnd w:id="109"/>
      <w:r>
        <w:rPr>
          <w:rStyle w:val="25"/>
          <w:rFonts w:hint="eastAsia" w:ascii="仿宋" w:hAnsi="仿宋" w:eastAsia="仿宋"/>
          <w:b w:val="0"/>
          <w:bCs w:val="0"/>
        </w:rPr>
        <w:t>国有资本经营预算财政拨款支出决算表</w:t>
      </w:r>
      <w:bookmarkEnd w:id="110"/>
    </w:p>
    <w:p>
      <w:pPr>
        <w:pStyle w:val="4"/>
        <w:rPr>
          <w:rFonts w:eastAsia="仿宋"/>
        </w:rPr>
      </w:pPr>
      <w:bookmarkStart w:id="111" w:name="_Toc15396631"/>
      <w:bookmarkStart w:id="112" w:name="_Toc26267"/>
      <w:r>
        <w:rPr>
          <w:rStyle w:val="25"/>
          <w:rFonts w:hint="eastAsia" w:ascii="仿宋" w:hAnsi="仿宋" w:eastAsia="仿宋"/>
          <w:b w:val="0"/>
          <w:bCs w:val="0"/>
        </w:rPr>
        <w:t>十三、</w:t>
      </w:r>
      <w:bookmarkEnd w:id="111"/>
      <w:r>
        <w:rPr>
          <w:rStyle w:val="25"/>
          <w:rFonts w:hint="eastAsia" w:ascii="仿宋" w:hAnsi="仿宋" w:eastAsia="仿宋"/>
          <w:b w:val="0"/>
          <w:bCs w:val="0"/>
        </w:rPr>
        <w:t>财政拨款“三公”经费支出决算表</w:t>
      </w:r>
      <w:bookmarkEnd w:id="112"/>
    </w:p>
    <w:p>
      <w:pPr>
        <w:rPr>
          <w:rFonts w:eastAsia="仿宋"/>
        </w:rPr>
      </w:pPr>
    </w:p>
    <w:sectPr>
      <w:pgSz w:w="11906" w:h="16838"/>
      <w:pgMar w:top="1440" w:right="1803" w:bottom="1440" w:left="1803" w:header="851" w:footer="992" w:gutter="0"/>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path/>
          <v:fill on="f" focussize="0,0"/>
          <v:stroke on="f" weight="0.5pt" joinstyle="miter"/>
          <v:imagedata o:title=""/>
          <o:lock v:ext="edit"/>
          <v:textbox inset="0mm,0mm,0mm,0mm" style="mso-fit-shape-to-text:t;">
            <w:txbxContent>
              <w:p>
                <w:pPr>
                  <w:pStyle w:val="8"/>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31" o:spid="_x0000_s103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r>
      <w:pict>
        <v:shape id="_x0000_s1030" o:spid="_x0000_s103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path/>
          <v:fill on="f" focussize="0,0"/>
          <v:stroke on="f" weight="0.5pt" joinstyle="miter"/>
          <v:imagedata o:title=""/>
          <o:lock v:ext="edit"/>
          <v:textbox inset="0mm,0mm,0mm,0mm" style="mso-fit-shape-to-text:t;">
            <w:txbxContent>
              <w:p>
                <w:pPr>
                  <w:pStyle w:val="8"/>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E49C5"/>
    <w:multiLevelType w:val="singleLevel"/>
    <w:tmpl w:val="C42E49C5"/>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EwYTM5MGVlNmY1ZTRkZTY4YWIzZjBhNDM0YTJjYjgifQ=="/>
  </w:docVars>
  <w:rsids>
    <w:rsidRoot w:val="00F1361C"/>
    <w:rsid w:val="000222C6"/>
    <w:rsid w:val="0002549F"/>
    <w:rsid w:val="000468DB"/>
    <w:rsid w:val="0006487A"/>
    <w:rsid w:val="00065F8F"/>
    <w:rsid w:val="00070A43"/>
    <w:rsid w:val="000768F2"/>
    <w:rsid w:val="00090B87"/>
    <w:rsid w:val="0009184B"/>
    <w:rsid w:val="00094236"/>
    <w:rsid w:val="0009593C"/>
    <w:rsid w:val="00097322"/>
    <w:rsid w:val="000A6A92"/>
    <w:rsid w:val="000B047F"/>
    <w:rsid w:val="000B5923"/>
    <w:rsid w:val="000B5A48"/>
    <w:rsid w:val="000B6FF3"/>
    <w:rsid w:val="000C3467"/>
    <w:rsid w:val="000C3CA6"/>
    <w:rsid w:val="000D1267"/>
    <w:rsid w:val="000D1D50"/>
    <w:rsid w:val="000D4792"/>
    <w:rsid w:val="000D5782"/>
    <w:rsid w:val="000E6613"/>
    <w:rsid w:val="000E7119"/>
    <w:rsid w:val="000F7962"/>
    <w:rsid w:val="00111F15"/>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E01C1"/>
    <w:rsid w:val="002F1818"/>
    <w:rsid w:val="002F567B"/>
    <w:rsid w:val="003004E2"/>
    <w:rsid w:val="003216A9"/>
    <w:rsid w:val="00335A74"/>
    <w:rsid w:val="003423E4"/>
    <w:rsid w:val="003630C0"/>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16F0"/>
    <w:rsid w:val="004223DE"/>
    <w:rsid w:val="00434489"/>
    <w:rsid w:val="00437085"/>
    <w:rsid w:val="00443880"/>
    <w:rsid w:val="004464F4"/>
    <w:rsid w:val="00471401"/>
    <w:rsid w:val="00473F31"/>
    <w:rsid w:val="0048263A"/>
    <w:rsid w:val="00487E5D"/>
    <w:rsid w:val="004A711F"/>
    <w:rsid w:val="004B199D"/>
    <w:rsid w:val="004B3E46"/>
    <w:rsid w:val="004B4690"/>
    <w:rsid w:val="004E0A2D"/>
    <w:rsid w:val="004E206B"/>
    <w:rsid w:val="004E5219"/>
    <w:rsid w:val="004E6DF7"/>
    <w:rsid w:val="004F0FBD"/>
    <w:rsid w:val="004F6E67"/>
    <w:rsid w:val="00505A47"/>
    <w:rsid w:val="00507E1C"/>
    <w:rsid w:val="00512FDA"/>
    <w:rsid w:val="0051700F"/>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13B"/>
    <w:rsid w:val="006325F8"/>
    <w:rsid w:val="00633463"/>
    <w:rsid w:val="00634C9A"/>
    <w:rsid w:val="006440E4"/>
    <w:rsid w:val="0066343B"/>
    <w:rsid w:val="00664777"/>
    <w:rsid w:val="006748A4"/>
    <w:rsid w:val="00681A31"/>
    <w:rsid w:val="00683E73"/>
    <w:rsid w:val="006A3141"/>
    <w:rsid w:val="006A5E34"/>
    <w:rsid w:val="006B2422"/>
    <w:rsid w:val="006B2B9A"/>
    <w:rsid w:val="006C1125"/>
    <w:rsid w:val="006C1937"/>
    <w:rsid w:val="006F020C"/>
    <w:rsid w:val="006F73CB"/>
    <w:rsid w:val="007127B7"/>
    <w:rsid w:val="0071798E"/>
    <w:rsid w:val="00720146"/>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3760"/>
    <w:rsid w:val="00850625"/>
    <w:rsid w:val="00853718"/>
    <w:rsid w:val="00855221"/>
    <w:rsid w:val="00860645"/>
    <w:rsid w:val="00871F71"/>
    <w:rsid w:val="00872FD8"/>
    <w:rsid w:val="00885AF4"/>
    <w:rsid w:val="00893649"/>
    <w:rsid w:val="008939CD"/>
    <w:rsid w:val="008B768C"/>
    <w:rsid w:val="008C4DB1"/>
    <w:rsid w:val="008C4EAF"/>
    <w:rsid w:val="008C5176"/>
    <w:rsid w:val="008C7FD0"/>
    <w:rsid w:val="008E1DE7"/>
    <w:rsid w:val="008E707C"/>
    <w:rsid w:val="00900B08"/>
    <w:rsid w:val="00902155"/>
    <w:rsid w:val="00902FA3"/>
    <w:rsid w:val="00923564"/>
    <w:rsid w:val="0092392E"/>
    <w:rsid w:val="00927227"/>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1768"/>
    <w:rsid w:val="00A331C8"/>
    <w:rsid w:val="00A40A00"/>
    <w:rsid w:val="00A4142F"/>
    <w:rsid w:val="00A422EB"/>
    <w:rsid w:val="00A45BB7"/>
    <w:rsid w:val="00A45D82"/>
    <w:rsid w:val="00A56DF2"/>
    <w:rsid w:val="00A56E6E"/>
    <w:rsid w:val="00A61551"/>
    <w:rsid w:val="00A67AB5"/>
    <w:rsid w:val="00A733B2"/>
    <w:rsid w:val="00A741C2"/>
    <w:rsid w:val="00A91760"/>
    <w:rsid w:val="00A93B00"/>
    <w:rsid w:val="00A93C21"/>
    <w:rsid w:val="00AB64C9"/>
    <w:rsid w:val="00AC3C6A"/>
    <w:rsid w:val="00AD119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B73ED"/>
    <w:rsid w:val="00BC289F"/>
    <w:rsid w:val="00BC2D50"/>
    <w:rsid w:val="00BC5361"/>
    <w:rsid w:val="00BC5460"/>
    <w:rsid w:val="00BC6B50"/>
    <w:rsid w:val="00BD0E25"/>
    <w:rsid w:val="00BF5BD6"/>
    <w:rsid w:val="00C01115"/>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6BBA"/>
    <w:rsid w:val="00D7035F"/>
    <w:rsid w:val="00D7270E"/>
    <w:rsid w:val="00D73275"/>
    <w:rsid w:val="00D91A3D"/>
    <w:rsid w:val="00DA634F"/>
    <w:rsid w:val="00DA65AC"/>
    <w:rsid w:val="00DB1913"/>
    <w:rsid w:val="00DC2C9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06E8"/>
    <w:rsid w:val="00E64269"/>
    <w:rsid w:val="00E82267"/>
    <w:rsid w:val="00E853CE"/>
    <w:rsid w:val="00E867B6"/>
    <w:rsid w:val="00EA010F"/>
    <w:rsid w:val="00EC7E89"/>
    <w:rsid w:val="00ED1B63"/>
    <w:rsid w:val="00ED3C1F"/>
    <w:rsid w:val="00ED4085"/>
    <w:rsid w:val="00ED420E"/>
    <w:rsid w:val="00ED6FBE"/>
    <w:rsid w:val="00EE2F57"/>
    <w:rsid w:val="00EF4C34"/>
    <w:rsid w:val="00EF77C6"/>
    <w:rsid w:val="00F00125"/>
    <w:rsid w:val="00F05438"/>
    <w:rsid w:val="00F1361C"/>
    <w:rsid w:val="00F156F0"/>
    <w:rsid w:val="00F160C7"/>
    <w:rsid w:val="00F2408F"/>
    <w:rsid w:val="00F240E9"/>
    <w:rsid w:val="00F33683"/>
    <w:rsid w:val="00F36D8F"/>
    <w:rsid w:val="00F417B1"/>
    <w:rsid w:val="00F45853"/>
    <w:rsid w:val="00F602DF"/>
    <w:rsid w:val="00F754A1"/>
    <w:rsid w:val="00F81FD9"/>
    <w:rsid w:val="00F841AA"/>
    <w:rsid w:val="00F84A94"/>
    <w:rsid w:val="00F87E96"/>
    <w:rsid w:val="00FA23E8"/>
    <w:rsid w:val="00FD3CC1"/>
    <w:rsid w:val="00FF1E02"/>
    <w:rsid w:val="00FF30B4"/>
    <w:rsid w:val="01254BA9"/>
    <w:rsid w:val="01E50D53"/>
    <w:rsid w:val="01F44A7E"/>
    <w:rsid w:val="02A31045"/>
    <w:rsid w:val="0313035C"/>
    <w:rsid w:val="058C2E9F"/>
    <w:rsid w:val="05F01F2C"/>
    <w:rsid w:val="06902E7C"/>
    <w:rsid w:val="07E35D35"/>
    <w:rsid w:val="08626C5A"/>
    <w:rsid w:val="086A485C"/>
    <w:rsid w:val="09EC6DBC"/>
    <w:rsid w:val="0A2032A3"/>
    <w:rsid w:val="0B8A37D8"/>
    <w:rsid w:val="0BB87E33"/>
    <w:rsid w:val="0C434FF4"/>
    <w:rsid w:val="0C6E02C3"/>
    <w:rsid w:val="0DC219FF"/>
    <w:rsid w:val="0F643988"/>
    <w:rsid w:val="0FB029A1"/>
    <w:rsid w:val="0FC85B1E"/>
    <w:rsid w:val="100E362F"/>
    <w:rsid w:val="10923E54"/>
    <w:rsid w:val="10A03C51"/>
    <w:rsid w:val="10AE101B"/>
    <w:rsid w:val="10C055FF"/>
    <w:rsid w:val="10F863AD"/>
    <w:rsid w:val="11765FEF"/>
    <w:rsid w:val="118107EC"/>
    <w:rsid w:val="11DD6519"/>
    <w:rsid w:val="120C7C36"/>
    <w:rsid w:val="121A6898"/>
    <w:rsid w:val="12865731"/>
    <w:rsid w:val="12C0114D"/>
    <w:rsid w:val="136151FC"/>
    <w:rsid w:val="138A52B7"/>
    <w:rsid w:val="13EC25FF"/>
    <w:rsid w:val="149C1746"/>
    <w:rsid w:val="15D867AD"/>
    <w:rsid w:val="160F7CF5"/>
    <w:rsid w:val="165C4B9F"/>
    <w:rsid w:val="1675334D"/>
    <w:rsid w:val="16BB723D"/>
    <w:rsid w:val="172422A9"/>
    <w:rsid w:val="18015F3F"/>
    <w:rsid w:val="183D6D9C"/>
    <w:rsid w:val="1A9F0C1B"/>
    <w:rsid w:val="1BE8440E"/>
    <w:rsid w:val="1C057BD0"/>
    <w:rsid w:val="1CAC44F0"/>
    <w:rsid w:val="1D155CEE"/>
    <w:rsid w:val="1D334A43"/>
    <w:rsid w:val="1DE102A8"/>
    <w:rsid w:val="1DFA6CCA"/>
    <w:rsid w:val="1E2E5180"/>
    <w:rsid w:val="1E3429EF"/>
    <w:rsid w:val="1E391DB3"/>
    <w:rsid w:val="1E403142"/>
    <w:rsid w:val="1EE44415"/>
    <w:rsid w:val="1F274302"/>
    <w:rsid w:val="1F494278"/>
    <w:rsid w:val="20E53DA9"/>
    <w:rsid w:val="20F57F95"/>
    <w:rsid w:val="21CD2F3E"/>
    <w:rsid w:val="226C35C9"/>
    <w:rsid w:val="23306668"/>
    <w:rsid w:val="23E74179"/>
    <w:rsid w:val="240371BF"/>
    <w:rsid w:val="24CA1DDF"/>
    <w:rsid w:val="25501A97"/>
    <w:rsid w:val="25C741E6"/>
    <w:rsid w:val="275D6B12"/>
    <w:rsid w:val="27842671"/>
    <w:rsid w:val="28534B6C"/>
    <w:rsid w:val="28FB4B09"/>
    <w:rsid w:val="29FD04D3"/>
    <w:rsid w:val="2A187C9C"/>
    <w:rsid w:val="2A844797"/>
    <w:rsid w:val="2ABE7A3E"/>
    <w:rsid w:val="2B620E91"/>
    <w:rsid w:val="2C3826C8"/>
    <w:rsid w:val="2D0B0DBF"/>
    <w:rsid w:val="2E6D1430"/>
    <w:rsid w:val="2EFA178C"/>
    <w:rsid w:val="2F0265F1"/>
    <w:rsid w:val="2F8B61E7"/>
    <w:rsid w:val="30182170"/>
    <w:rsid w:val="30517430"/>
    <w:rsid w:val="30B46D73"/>
    <w:rsid w:val="319F7F4E"/>
    <w:rsid w:val="32A66287"/>
    <w:rsid w:val="335A484E"/>
    <w:rsid w:val="33765052"/>
    <w:rsid w:val="33BD7F35"/>
    <w:rsid w:val="34441786"/>
    <w:rsid w:val="362D7FF8"/>
    <w:rsid w:val="36687282"/>
    <w:rsid w:val="36C45560"/>
    <w:rsid w:val="38CF6329"/>
    <w:rsid w:val="391F2042"/>
    <w:rsid w:val="39AE70AB"/>
    <w:rsid w:val="39DE6FB4"/>
    <w:rsid w:val="3A640B2C"/>
    <w:rsid w:val="3AF37A62"/>
    <w:rsid w:val="3B4A3072"/>
    <w:rsid w:val="3B702D0A"/>
    <w:rsid w:val="3BA11E27"/>
    <w:rsid w:val="3C0C0783"/>
    <w:rsid w:val="3C237E71"/>
    <w:rsid w:val="3C265C15"/>
    <w:rsid w:val="3C8741E6"/>
    <w:rsid w:val="3E5C76CC"/>
    <w:rsid w:val="3E78202C"/>
    <w:rsid w:val="3F5C7D12"/>
    <w:rsid w:val="3F9F3A96"/>
    <w:rsid w:val="406B6A21"/>
    <w:rsid w:val="414C63C0"/>
    <w:rsid w:val="42666D6B"/>
    <w:rsid w:val="43CC52F4"/>
    <w:rsid w:val="452D47A4"/>
    <w:rsid w:val="47B40579"/>
    <w:rsid w:val="4905782B"/>
    <w:rsid w:val="493C27E9"/>
    <w:rsid w:val="496F39ED"/>
    <w:rsid w:val="49FF41D3"/>
    <w:rsid w:val="4ADD7DE7"/>
    <w:rsid w:val="4B591BA3"/>
    <w:rsid w:val="4B663938"/>
    <w:rsid w:val="4BE068DB"/>
    <w:rsid w:val="4BF6002B"/>
    <w:rsid w:val="4C2D49E9"/>
    <w:rsid w:val="4CFF4044"/>
    <w:rsid w:val="4D472B6E"/>
    <w:rsid w:val="4EB64BD7"/>
    <w:rsid w:val="4EBB21ED"/>
    <w:rsid w:val="4ECE2238"/>
    <w:rsid w:val="4EF23735"/>
    <w:rsid w:val="4F97381A"/>
    <w:rsid w:val="4FB862CC"/>
    <w:rsid w:val="50A767D4"/>
    <w:rsid w:val="51956D25"/>
    <w:rsid w:val="51DB4B86"/>
    <w:rsid w:val="52181704"/>
    <w:rsid w:val="52271947"/>
    <w:rsid w:val="526811C1"/>
    <w:rsid w:val="532E7431"/>
    <w:rsid w:val="537F53E6"/>
    <w:rsid w:val="538D664F"/>
    <w:rsid w:val="539B083F"/>
    <w:rsid w:val="539B0EFA"/>
    <w:rsid w:val="55333C3E"/>
    <w:rsid w:val="55501DDF"/>
    <w:rsid w:val="558772CD"/>
    <w:rsid w:val="58382B00"/>
    <w:rsid w:val="587972E9"/>
    <w:rsid w:val="587C0C3F"/>
    <w:rsid w:val="5B2E1D2D"/>
    <w:rsid w:val="5B372BFB"/>
    <w:rsid w:val="5D286DF7"/>
    <w:rsid w:val="5DE62663"/>
    <w:rsid w:val="5F385194"/>
    <w:rsid w:val="5F585836"/>
    <w:rsid w:val="5FAC19D9"/>
    <w:rsid w:val="60DE794E"/>
    <w:rsid w:val="61765B61"/>
    <w:rsid w:val="63E47698"/>
    <w:rsid w:val="64486CB6"/>
    <w:rsid w:val="64BE01BC"/>
    <w:rsid w:val="64CA39A1"/>
    <w:rsid w:val="65383CB8"/>
    <w:rsid w:val="653D52B2"/>
    <w:rsid w:val="65425D45"/>
    <w:rsid w:val="65BB267B"/>
    <w:rsid w:val="65DF609E"/>
    <w:rsid w:val="66855163"/>
    <w:rsid w:val="66E22CF2"/>
    <w:rsid w:val="67087745"/>
    <w:rsid w:val="67D56C28"/>
    <w:rsid w:val="67F4570A"/>
    <w:rsid w:val="682B7F8C"/>
    <w:rsid w:val="683055A2"/>
    <w:rsid w:val="683C5CF5"/>
    <w:rsid w:val="69E2311E"/>
    <w:rsid w:val="6B3813B8"/>
    <w:rsid w:val="6B9D2F4E"/>
    <w:rsid w:val="6BB26425"/>
    <w:rsid w:val="6C4A05C8"/>
    <w:rsid w:val="6C711CE5"/>
    <w:rsid w:val="6C8E6038"/>
    <w:rsid w:val="6CD75DC0"/>
    <w:rsid w:val="6D1C4347"/>
    <w:rsid w:val="6D2B2243"/>
    <w:rsid w:val="6DDE1239"/>
    <w:rsid w:val="6EF8049C"/>
    <w:rsid w:val="6EF90E68"/>
    <w:rsid w:val="70565111"/>
    <w:rsid w:val="70B53887"/>
    <w:rsid w:val="70CE7706"/>
    <w:rsid w:val="713F6856"/>
    <w:rsid w:val="7270316B"/>
    <w:rsid w:val="72734D90"/>
    <w:rsid w:val="732950C8"/>
    <w:rsid w:val="74235B7E"/>
    <w:rsid w:val="743E4951"/>
    <w:rsid w:val="744C3764"/>
    <w:rsid w:val="756D1BE3"/>
    <w:rsid w:val="75B75ABB"/>
    <w:rsid w:val="763C0C5A"/>
    <w:rsid w:val="76477AE9"/>
    <w:rsid w:val="787828F7"/>
    <w:rsid w:val="7891051A"/>
    <w:rsid w:val="78EF14D3"/>
    <w:rsid w:val="79E7B28D"/>
    <w:rsid w:val="7A21770D"/>
    <w:rsid w:val="7A5B16D3"/>
    <w:rsid w:val="7ACF29F8"/>
    <w:rsid w:val="7B970167"/>
    <w:rsid w:val="7C606577"/>
    <w:rsid w:val="7D0E502D"/>
    <w:rsid w:val="7DAA5057"/>
    <w:rsid w:val="7E455A34"/>
    <w:rsid w:val="7F5F2FD3"/>
    <w:rsid w:val="7F686F78"/>
    <w:rsid w:val="7F9F20EE"/>
    <w:rsid w:val="7FBE4DEA"/>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3399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42558C"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42558C" w:themeColor="accent1" w:themeShade="BF"/>
      <w:kern w:val="0"/>
      <w:sz w:val="28"/>
      <w:szCs w:val="28"/>
    </w:rPr>
  </w:style>
  <w:style w:type="paragraph" w:customStyle="1" w:styleId="30">
    <w:name w:val="WPSOffice手动目录 1"/>
    <w:qFormat/>
    <w:uiPriority w:val="0"/>
    <w:rPr>
      <w:rFonts w:ascii="Calibri" w:hAnsi="Calibri" w:eastAsia="宋体" w:cs="Times New Roman"/>
      <w:lang w:val="en-US" w:eastAsia="zh-CN" w:bidi="ar-SA"/>
    </w:rPr>
  </w:style>
  <w:style w:type="paragraph" w:customStyle="1" w:styleId="31">
    <w:name w:val="WPSOffice手动目录 2"/>
    <w:qFormat/>
    <w:uiPriority w:val="0"/>
    <w:pPr>
      <w:ind w:left="200" w:leftChars="200"/>
    </w:pPr>
    <w:rPr>
      <w:rFonts w:ascii="Calibri" w:hAnsi="Calibri" w:eastAsia="宋体" w:cs="Times New Roman"/>
      <w:lang w:val="en-US" w:eastAsia="zh-CN" w:bidi="ar-SA"/>
    </w:rPr>
  </w:style>
  <w:style w:type="paragraph" w:customStyle="1" w:styleId="32">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400" b="1"/>
              <a:t>2022</a:t>
            </a:r>
            <a:r>
              <a:rPr altLang="en-US" sz="1400" b="1"/>
              <a:t>年收、支决算变动情况表</a:t>
            </a:r>
            <a:endParaRPr lang="en-US" altLang="en-US" sz="1400"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Lbl>
              <c:idx val="0"/>
              <c:layout>
                <c:manualLayout>
                  <c:x val="-0.00231803430690774"/>
                  <c:y val="0"/>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415.93</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5901715345387"/>
                  <c:y val="0.013888888888888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415.93</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415.93</c:v>
                </c:pt>
                <c:pt idx="1">
                  <c:v>415.93</c:v>
                </c:pt>
              </c:numCache>
            </c:numRef>
          </c:val>
        </c:ser>
        <c:ser>
          <c:idx val="1"/>
          <c:order val="1"/>
          <c:tx>
            <c:strRef>
              <c:f>Sheet1!$C$1</c:f>
              <c:strCache>
                <c:ptCount val="1"/>
                <c:pt idx="0">
                  <c:v>2022年</c:v>
                </c:pt>
              </c:strCache>
            </c:strRef>
          </c:tx>
          <c:spPr>
            <a:solidFill>
              <a:schemeClr val="accent2"/>
            </a:solidFill>
            <a:ln>
              <a:noFill/>
            </a:ln>
            <a:effectLst/>
          </c:spPr>
          <c:invertIfNegative val="0"/>
          <c:dLbls>
            <c:dLbl>
              <c:idx val="0"/>
              <c:layout>
                <c:manualLayout>
                  <c:x val="0.0162262401483542"/>
                  <c:y val="0"/>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316.37</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7361111111111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316.37</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316.37</c:v>
                </c:pt>
                <c:pt idx="1">
                  <c:v>316.37</c:v>
                </c:pt>
              </c:numCache>
            </c:numRef>
          </c:val>
        </c:ser>
        <c:dLbls>
          <c:showLegendKey val="0"/>
          <c:showVal val="1"/>
          <c:showCatName val="0"/>
          <c:showSerName val="0"/>
          <c:showPercent val="0"/>
          <c:showBubbleSize val="0"/>
        </c:dLbls>
        <c:gapWidth val="219"/>
        <c:overlap val="-27"/>
        <c:axId val="39707008"/>
        <c:axId val="39710080"/>
      </c:barChart>
      <c:catAx>
        <c:axId val="39707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10080"/>
        <c:crosses val="autoZero"/>
        <c:auto val="1"/>
        <c:lblAlgn val="ctr"/>
        <c:lblOffset val="100"/>
        <c:noMultiLvlLbl val="0"/>
      </c:catAx>
      <c:valAx>
        <c:axId val="39710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07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400" b="1"/>
              <a:t>2022</a:t>
            </a:r>
            <a:r>
              <a:rPr altLang="en-US" sz="1400" b="1"/>
              <a:t>年</a:t>
            </a:r>
            <a:r>
              <a:rPr sz="1400" b="1"/>
              <a:t>收入决算结构图</a:t>
            </a:r>
            <a:endParaRPr lang="en-US" altLang="zh-CN" sz="1400" b="1"/>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explosion val="0"/>
          <c:dPt>
            <c:idx val="0"/>
            <c:bubble3D val="0"/>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316.37</a:t>
                    </a:r>
                    <a:r>
                      <a:t>万元</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c:v>
                </c:pt>
              </c:strCache>
            </c:strRef>
          </c:cat>
          <c:val>
            <c:numRef>
              <c:f>Sheet1!$B$2</c:f>
              <c:numCache>
                <c:formatCode>General</c:formatCode>
                <c:ptCount val="1"/>
                <c:pt idx="0">
                  <c:v>316.37</c:v>
                </c:pt>
              </c:numCache>
            </c:numRef>
          </c:val>
        </c:ser>
        <c:ser>
          <c:idx val="1"/>
          <c:order val="1"/>
          <c:tx>
            <c:strRef>
              <c:f>Sheet1!$C$1</c:f>
              <c:strCache>
                <c:ptCount val="1"/>
                <c:pt idx="0">
                  <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c:v>
                </c:pt>
              </c:strCache>
            </c:strRef>
          </c:cat>
          <c:val>
            <c:numRef>
              <c:f>Sheet1!$C$2</c:f>
              <c:numCache>
                <c:formatCode>General</c:formatCode>
                <c:ptCount val="1"/>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400" b="1"/>
              <a:t>2022</a:t>
            </a:r>
            <a:r>
              <a:rPr altLang="en-US" sz="1400" b="1"/>
              <a:t>年支出决算结构图</a:t>
            </a:r>
            <a:endParaRPr lang="en-US" altLang="zh-CN" sz="1400" b="1"/>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377442839154121"/>
                  <c:y val="-0.12905541613640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307.09</a:t>
                    </a:r>
                    <a:r>
                      <a:t>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9.28</a:t>
                    </a:r>
                    <a:r>
                      <a:t>万元</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307.09</c:v>
                </c:pt>
                <c:pt idx="1">
                  <c:v>9.28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altLang="en-US" sz="1400" b="1"/>
              <a:t>财政拨款收、支出总体变动情况</a:t>
            </a:r>
            <a:endParaRPr lang="en-US" altLang="en-US" sz="1400" b="1"/>
          </a:p>
        </c:rich>
      </c:tx>
      <c:layout>
        <c:manualLayout>
          <c:xMode val="edge"/>
          <c:yMode val="edge"/>
          <c:x val="0.213181888425282"/>
          <c:y val="0.038194444444444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Lbl>
              <c:idx val="0"/>
              <c:layout>
                <c:manualLayout>
                  <c:x val="0.00309071240921032"/>
                  <c:y val="0.018518518518518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415.93</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8518518518518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415.93</a:t>
                    </a:r>
                    <a:r>
                      <a:t>万元</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415.93</c:v>
                </c:pt>
                <c:pt idx="1">
                  <c:v>415.93</c:v>
                </c:pt>
              </c:numCache>
            </c:numRef>
          </c:val>
        </c:ser>
        <c:ser>
          <c:idx val="1"/>
          <c:order val="1"/>
          <c:tx>
            <c:strRef>
              <c:f>Sheet1!$C$1</c:f>
              <c:strCache>
                <c:ptCount val="1"/>
                <c:pt idx="0">
                  <c:v>2022年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316.37</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316.37</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316.37</c:v>
                </c:pt>
                <c:pt idx="1">
                  <c:v>316.37</c:v>
                </c:pt>
              </c:numCache>
            </c:numRef>
          </c:val>
        </c:ser>
        <c:dLbls>
          <c:showLegendKey val="0"/>
          <c:showVal val="1"/>
          <c:showCatName val="0"/>
          <c:showSerName val="0"/>
          <c:showPercent val="0"/>
          <c:showBubbleSize val="0"/>
        </c:dLbls>
        <c:gapWidth val="219"/>
        <c:overlap val="-27"/>
        <c:axId val="217646976"/>
        <c:axId val="217678208"/>
      </c:barChart>
      <c:catAx>
        <c:axId val="2176469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678208"/>
        <c:crosses val="autoZero"/>
        <c:auto val="1"/>
        <c:lblAlgn val="ctr"/>
        <c:lblOffset val="100"/>
        <c:noMultiLvlLbl val="0"/>
      </c:catAx>
      <c:valAx>
        <c:axId val="217678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646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sz="1400" b="1"/>
              <a:t>一般公共预算财政拨款支出</a:t>
            </a:r>
            <a:endParaRPr sz="1400" b="1"/>
          </a:p>
        </c:rich>
      </c:tx>
      <c:layout>
        <c:manualLayout>
          <c:xMode val="edge"/>
          <c:yMode val="edge"/>
          <c:x val="0.214729105808316"/>
          <c:y val="0.029053982173079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274.41</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274.41</c:v>
                </c:pt>
              </c:numCache>
            </c:numRef>
          </c:val>
        </c:ser>
        <c:ser>
          <c:idx val="1"/>
          <c:order val="1"/>
          <c:tx>
            <c:strRef>
              <c:f>Sheet1!$C$1</c:f>
              <c:strCache>
                <c:ptCount val="1"/>
                <c:pt idx="0">
                  <c:v>2022年</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t>316.37</a:t>
                    </a:r>
                    <a:r>
                      <a:t>万元</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316.37</c:v>
                </c:pt>
              </c:numCache>
            </c:numRef>
          </c:val>
        </c:ser>
        <c:dLbls>
          <c:showLegendKey val="0"/>
          <c:showVal val="1"/>
          <c:showCatName val="0"/>
          <c:showSerName val="0"/>
          <c:showPercent val="0"/>
          <c:showBubbleSize val="0"/>
        </c:dLbls>
        <c:gapWidth val="212"/>
        <c:overlap val="-90"/>
        <c:axId val="217861120"/>
        <c:axId val="218061440"/>
      </c:barChart>
      <c:catAx>
        <c:axId val="217861120"/>
        <c:scaling>
          <c:orientation val="minMax"/>
        </c:scaling>
        <c:delete val="1"/>
        <c:axPos val="b"/>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8061440"/>
        <c:crosses val="autoZero"/>
        <c:auto val="1"/>
        <c:lblAlgn val="ctr"/>
        <c:lblOffset val="100"/>
        <c:noMultiLvlLbl val="0"/>
      </c:catAx>
      <c:valAx>
        <c:axId val="2180614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861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sz="1400" b="1"/>
              <a:t>一般公共预算财政拨款支出</a:t>
            </a:r>
            <a:endParaRPr sz="1400"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52736512776687"/>
                  <c:y val="-0.14134536751457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baseline="0">
                        <a:solidFill>
                          <a:schemeClr val="bg1"/>
                        </a:solidFill>
                      </a:rPr>
                      <a:t>274.05</a:t>
                    </a:r>
                    <a:r>
                      <a:rPr>
                        <a:solidFill>
                          <a:schemeClr val="bg1"/>
                        </a:solidFill>
                      </a:rPr>
                      <a:t>万元</a:t>
                    </a:r>
                    <a:endParaRPr>
                      <a:solidFill>
                        <a:schemeClr val="bg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1549462073449"/>
                  <c:y val="0.092228767760118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baseline="0">
                        <a:solidFill>
                          <a:schemeClr val="tx1"/>
                        </a:solidFill>
                      </a:rPr>
                      <a:t>15.62</a:t>
                    </a:r>
                    <a:r>
                      <a:rPr lang="zh-CN" altLang="en-US" baseline="0">
                        <a:solidFill>
                          <a:schemeClr val="tx1"/>
                        </a:solidFill>
                      </a:rPr>
                      <a:t>万元</a:t>
                    </a:r>
                    <a:endParaRPr>
                      <a:solidFill>
                        <a:schemeClr val="bg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4289194349964"/>
                  <c:y val="0.014351543695876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baseline="0">
                        <a:solidFill>
                          <a:schemeClr val="tx1"/>
                        </a:solidFill>
                      </a:rPr>
                      <a:t>1</a:t>
                    </a:r>
                    <a:r>
                      <a:rPr lang="en-US"/>
                      <a:t>0.27</a:t>
                    </a:r>
                    <a:r>
                      <a:t>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31659155311274"/>
                  <c:y val="0.025628856319025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en-US" altLang="zh-CN" baseline="0">
                        <a:solidFill>
                          <a:schemeClr val="tx1"/>
                        </a:solidFill>
                      </a:rPr>
                      <a:t>16.43</a:t>
                    </a:r>
                    <a:r>
                      <a:t>万元</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教育支出</c:v>
                </c:pt>
                <c:pt idx="1">
                  <c:v>社保保障和就业支出</c:v>
                </c:pt>
                <c:pt idx="2">
                  <c:v>卫生健康支出</c:v>
                </c:pt>
                <c:pt idx="3">
                  <c:v>住房保障支出</c:v>
                </c:pt>
              </c:strCache>
            </c:strRef>
          </c:cat>
          <c:val>
            <c:numRef>
              <c:f>Sheet1!$B$2:$B$5</c:f>
              <c:numCache>
                <c:formatCode>General</c:formatCode>
                <c:ptCount val="4"/>
                <c:pt idx="0">
                  <c:v>274.05</c:v>
                </c:pt>
                <c:pt idx="1" c:formatCode="#,##0.00">
                  <c:v>15.62</c:v>
                </c:pt>
                <c:pt idx="2" c:formatCode="#,##0.00">
                  <c:v>10.27</c:v>
                </c:pt>
                <c:pt idx="3" c:formatCode="#,##0.00">
                  <c:v>16.43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sz="1400" b="1"/>
              <a:t>“</a:t>
            </a:r>
            <a:r>
              <a:rPr altLang="en-US" sz="1400" b="1"/>
              <a:t>三公</a:t>
            </a:r>
            <a:r>
              <a:rPr lang="en-US" altLang="zh-CN" sz="1400" b="1"/>
              <a:t>”</a:t>
            </a:r>
            <a:r>
              <a:rPr altLang="en-US" sz="1400" b="1"/>
              <a:t>经费</a:t>
            </a:r>
            <a:r>
              <a:rPr sz="1400" b="1"/>
              <a:t>财政拨款支出决算结构图</a:t>
            </a:r>
            <a:endParaRPr sz="1400" b="1"/>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公务接待费</c:v>
                </c:pt>
                <c:pt idx="1">
                  <c:v>因公出国（境）费</c:v>
                </c:pt>
                <c:pt idx="2">
                  <c:v>公务用车购置及运行维护费</c:v>
                </c:pt>
              </c:strCache>
            </c:strRef>
          </c:cat>
          <c:val>
            <c:numRef>
              <c:f>Sheet1!$B$2:$B$4</c:f>
              <c:numCache>
                <c:formatCode>#,##0.00</c:formatCode>
                <c:ptCount val="3"/>
                <c:pt idx="0">
                  <c:v>0</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9"/>
    <customShpInfo spid="_x0000_s1031"/>
    <customShpInfo spid="_x0000_s1030"/>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2630</Words>
  <Characters>14993</Characters>
  <Lines>124</Lines>
  <Paragraphs>35</Paragraphs>
  <TotalTime>16</TotalTime>
  <ScaleCrop>false</ScaleCrop>
  <LinksUpToDate>false</LinksUpToDate>
  <CharactersWithSpaces>17588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46152</cp:lastModifiedBy>
  <cp:lastPrinted>2022-08-06T02:23:00Z</cp:lastPrinted>
  <dcterms:modified xsi:type="dcterms:W3CDTF">2023-10-08T11:37:43Z</dcterms:modified>
  <dc:title>四川省***</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0EA650C45BA845798B047A48A9DA59CE_13</vt:lpwstr>
  </property>
</Properties>
</file>