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475"/>
      <w:bookmarkStart w:id="1" w:name="_Toc15396597"/>
      <w:bookmarkStart w:id="2" w:name="_Toc15377193"/>
      <w:bookmarkStart w:id="3" w:name="_Toc15377425"/>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96476"/>
      <w:bookmarkStart w:id="8" w:name="_Toc15378442"/>
      <w:bookmarkStart w:id="9" w:name="_Toc15396598"/>
      <w:bookmarkStart w:id="10" w:name="_Toc15377194"/>
      <w:r>
        <w:rPr>
          <w:rFonts w:hint="eastAsia" w:ascii="方正小标宋简体" w:hAnsi="方正小标宋简体" w:eastAsia="方正小标宋简体" w:cs="方正小标宋简体"/>
          <w:color w:val="auto"/>
          <w:sz w:val="72"/>
          <w:szCs w:val="72"/>
          <w:highlight w:val="none"/>
          <w:lang w:eastAsia="zh-CN"/>
        </w:rPr>
        <w:t>大竹县</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环境卫生管理所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10</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仿宋"/>
          <w:color w:val="auto"/>
          <w:sz w:val="24"/>
          <w:highlight w:val="none"/>
          <w:lang w:val="en-US"/>
        </w:rPr>
      </w:pPr>
      <w:r>
        <w:rPr>
          <w:rFonts w:hint="eastAsia"/>
          <w:color w:val="auto"/>
          <w:sz w:val="24"/>
          <w:highlight w:val="none"/>
        </w:rPr>
        <w:t>一、</w:t>
      </w:r>
      <w:r>
        <w:rPr>
          <w:rFonts w:hint="eastAsia"/>
          <w:color w:val="auto"/>
          <w:sz w:val="24"/>
          <w:highlight w:val="none"/>
          <w:lang w:eastAsia="zh-CN"/>
        </w:rPr>
        <w:t>部门职责</w:t>
      </w:r>
      <w:r>
        <w:rPr>
          <w:rFonts w:hint="eastAsia"/>
          <w:color w:val="auto"/>
          <w:sz w:val="24"/>
          <w:highlight w:val="none"/>
          <w:lang w:val="en-US" w:eastAsia="zh-CN"/>
        </w:rPr>
        <w:t xml:space="preserve"> </w:t>
      </w:r>
      <w:r>
        <w:rPr>
          <w:rFonts w:hint="eastAsia"/>
          <w:color w:val="auto"/>
          <w:sz w:val="24"/>
          <w:highlight w:val="none"/>
          <w:lang w:val="en-US" w:eastAsia="zh-CN"/>
        </w:rPr>
        <w:tab/>
        <w:t/>
      </w:r>
      <w:r>
        <w:rPr>
          <w:rFonts w:hint="eastAsia"/>
          <w:color w:val="auto"/>
          <w:sz w:val="24"/>
          <w:highlight w:val="none"/>
          <w:lang w:val="en-US" w:eastAsia="zh-CN"/>
        </w:rPr>
        <w:tab/>
        <w:t xml:space="preserve">3页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二、机构设置</w:t>
      </w:r>
      <w:r>
        <w:rPr>
          <w:rFonts w:hint="eastAsia"/>
          <w:color w:val="auto"/>
          <w:sz w:val="24"/>
          <w:highlight w:val="none"/>
          <w:lang w:val="en-US" w:eastAsia="zh-CN"/>
        </w:rPr>
        <w:tab/>
        <w:t/>
      </w:r>
      <w:r>
        <w:rPr>
          <w:rFonts w:hint="eastAsia"/>
          <w:color w:val="auto"/>
          <w:sz w:val="24"/>
          <w:highlight w:val="none"/>
          <w:lang w:val="en-US" w:eastAsia="zh-CN"/>
        </w:rPr>
        <w:tab/>
        <w:t xml:space="preserve"> 3页                                                                                 </w:t>
      </w:r>
    </w:p>
    <w:p>
      <w:pPr>
        <w:pStyle w:val="11"/>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before="0" w:line="440" w:lineRule="exact"/>
        <w:jc w:val="left"/>
        <w:textAlignment w:val="auto"/>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rPr>
        <w:t>部门决算情况说明</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ab/>
        <w:t/>
      </w:r>
      <w:r>
        <w:rPr>
          <w:rFonts w:hint="eastAsia"/>
          <w:color w:val="auto"/>
          <w:sz w:val="24"/>
          <w:highlight w:val="none"/>
          <w:lang w:val="en-US" w:eastAsia="zh-CN"/>
        </w:rPr>
        <w:tab/>
        <w:t xml:space="preserve">4页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ab/>
        <w:t/>
      </w:r>
      <w:r>
        <w:rPr>
          <w:rFonts w:hint="eastAsia"/>
          <w:color w:val="auto"/>
          <w:sz w:val="24"/>
          <w:highlight w:val="none"/>
          <w:lang w:val="en-US" w:eastAsia="zh-CN"/>
        </w:rPr>
        <w:tab/>
        <w:t xml:space="preserve">5页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ab/>
        <w:t/>
      </w:r>
      <w:r>
        <w:rPr>
          <w:rFonts w:hint="eastAsia"/>
          <w:color w:val="auto"/>
          <w:sz w:val="24"/>
          <w:highlight w:val="none"/>
          <w:lang w:val="en-US" w:eastAsia="zh-CN"/>
        </w:rPr>
        <w:tab/>
        <w:t xml:space="preserve">6页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ab/>
        <w:t/>
      </w:r>
      <w:r>
        <w:rPr>
          <w:rFonts w:hint="eastAsia"/>
          <w:color w:val="auto"/>
          <w:sz w:val="24"/>
          <w:highlight w:val="none"/>
          <w:lang w:val="en-US" w:eastAsia="zh-CN"/>
        </w:rPr>
        <w:tab/>
        <w:t xml:space="preserve">7页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ab/>
        <w:t/>
      </w:r>
      <w:r>
        <w:rPr>
          <w:rFonts w:hint="eastAsia"/>
          <w:color w:val="auto"/>
          <w:sz w:val="24"/>
          <w:highlight w:val="none"/>
          <w:lang w:val="en-US" w:eastAsia="zh-CN"/>
        </w:rPr>
        <w:tab/>
        <w:t xml:space="preserve">8-10页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ab/>
        <w:t/>
      </w:r>
      <w:r>
        <w:rPr>
          <w:rFonts w:hint="eastAsia"/>
          <w:color w:val="auto"/>
          <w:sz w:val="24"/>
          <w:highlight w:val="none"/>
          <w:lang w:val="en-US" w:eastAsia="zh-CN"/>
        </w:rPr>
        <w:tab/>
        <w:t xml:space="preserve">11页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 xml:space="preserve"> </w:t>
      </w:r>
      <w:r>
        <w:rPr>
          <w:rFonts w:hint="eastAsia"/>
          <w:color w:val="auto"/>
          <w:sz w:val="24"/>
          <w:highlight w:val="none"/>
          <w:lang w:val="en-US" w:eastAsia="zh-CN"/>
        </w:rPr>
        <w:tab/>
        <w:t/>
      </w:r>
      <w:r>
        <w:rPr>
          <w:rFonts w:hint="eastAsia"/>
          <w:color w:val="auto"/>
          <w:sz w:val="24"/>
          <w:highlight w:val="none"/>
          <w:lang w:val="en-US" w:eastAsia="zh-CN"/>
        </w:rPr>
        <w:tab/>
        <w:t xml:space="preserve">11-13页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ab/>
        <w:t/>
      </w:r>
      <w:r>
        <w:rPr>
          <w:rFonts w:hint="eastAsia"/>
          <w:color w:val="auto"/>
          <w:sz w:val="24"/>
          <w:highlight w:val="none"/>
          <w:lang w:val="en-US" w:eastAsia="zh-CN"/>
        </w:rPr>
        <w:tab/>
        <w:t xml:space="preserve">13页                    </w:t>
      </w:r>
    </w:p>
    <w:p>
      <w:pPr>
        <w:pStyle w:val="12"/>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line="440" w:lineRule="exact"/>
        <w:ind w:leftChars="0"/>
        <w:jc w:val="left"/>
        <w:textAlignment w:val="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highlight w:val="none"/>
          <w:lang w:val="en-US" w:eastAsia="zh-CN"/>
        </w:rPr>
        <w:tab/>
        <w:t/>
      </w:r>
      <w:r>
        <w:rPr>
          <w:rFonts w:hint="eastAsia" w:asciiTheme="minorEastAsia" w:hAnsiTheme="minorEastAsia" w:eastAsiaTheme="minorEastAsia" w:cstheme="minorEastAsia"/>
          <w:color w:val="auto"/>
          <w:sz w:val="24"/>
          <w:highlight w:val="none"/>
          <w:lang w:val="en-US" w:eastAsia="zh-CN"/>
        </w:rPr>
        <w:tab/>
        <w:t xml:space="preserve">13页                  </w:t>
      </w:r>
    </w:p>
    <w:p>
      <w:pPr>
        <w:keepNext w:val="0"/>
        <w:keepLines w:val="0"/>
        <w:pageBreakBefore w:val="0"/>
        <w:widowControl w:val="0"/>
        <w:tabs>
          <w:tab w:val="right" w:leader="middleDot" w:pos="6720"/>
          <w:tab w:val="right" w:leader="middleDot" w:pos="7360"/>
          <w:tab w:val="right" w:leader="dot" w:pos="8296"/>
        </w:tabs>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asciiTheme="minorEastAsia" w:hAnsiTheme="minorEastAsia" w:eastAsiaTheme="minorEastAsia" w:cstheme="minorEastAsia"/>
          <w:color w:val="auto"/>
          <w:sz w:val="24"/>
          <w:highlight w:val="none"/>
          <w:lang w:val="en-US" w:eastAsia="zh-CN"/>
        </w:rPr>
      </w:pPr>
      <w:r>
        <w:rPr>
          <w:rStyle w:val="17"/>
          <w:rFonts w:hint="eastAsia" w:asciiTheme="minorEastAsia" w:hAnsiTheme="minorEastAsia" w:eastAsiaTheme="minorEastAsia" w:cstheme="minorEastAsia"/>
          <w:color w:val="auto"/>
          <w:sz w:val="24"/>
          <w:highlight w:val="none"/>
          <w:u w:val="none"/>
          <w:lang w:eastAsia="zh-CN"/>
        </w:rPr>
        <w:t>十</w:t>
      </w:r>
      <w:r>
        <w:rPr>
          <w:rStyle w:val="17"/>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ab/>
        <w:t xml:space="preserve">13-16页                         </w:t>
      </w:r>
    </w:p>
    <w:p>
      <w:pPr>
        <w:pStyle w:val="11"/>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 xml:space="preserve"> </w:t>
      </w:r>
      <w:r>
        <w:rPr>
          <w:rFonts w:hint="eastAsia"/>
          <w:color w:val="auto"/>
          <w:sz w:val="24"/>
          <w:highlight w:val="none"/>
          <w:lang w:val="en-US" w:eastAsia="zh-CN"/>
        </w:rPr>
        <w:tab/>
        <w:t/>
      </w:r>
      <w:r>
        <w:rPr>
          <w:rFonts w:hint="eastAsia"/>
          <w:color w:val="auto"/>
          <w:sz w:val="24"/>
          <w:highlight w:val="none"/>
          <w:lang w:val="en-US" w:eastAsia="zh-CN"/>
        </w:rPr>
        <w:tab/>
        <w:t xml:space="preserve">17-19页                                        </w:t>
      </w:r>
    </w:p>
    <w:p>
      <w:pPr>
        <w:pStyle w:val="11"/>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 xml:space="preserve"> </w:t>
      </w:r>
      <w:r>
        <w:rPr>
          <w:rFonts w:hint="eastAsia"/>
          <w:color w:val="auto"/>
          <w:sz w:val="24"/>
          <w:highlight w:val="none"/>
          <w:lang w:val="en-US" w:eastAsia="zh-CN"/>
        </w:rPr>
        <w:tab/>
        <w:t/>
      </w:r>
      <w:r>
        <w:rPr>
          <w:rFonts w:hint="eastAsia"/>
          <w:color w:val="auto"/>
          <w:sz w:val="24"/>
          <w:highlight w:val="none"/>
          <w:lang w:val="en-US" w:eastAsia="zh-CN"/>
        </w:rPr>
        <w:tab/>
        <w:t xml:space="preserve">20-66页                                        </w:t>
      </w:r>
    </w:p>
    <w:p>
      <w:pPr>
        <w:pStyle w:val="11"/>
        <w:keepNext w:val="0"/>
        <w:keepLines w:val="0"/>
        <w:pageBreakBefore w:val="0"/>
        <w:widowControl w:val="0"/>
        <w:tabs>
          <w:tab w:val="right" w:leader="middleDot" w:pos="6720"/>
          <w:tab w:val="right" w:leader="middleDot" w:pos="736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ab/>
        <w:t/>
      </w:r>
      <w:r>
        <w:rPr>
          <w:rFonts w:hint="eastAsia"/>
          <w:color w:val="auto"/>
          <w:sz w:val="24"/>
          <w:highlight w:val="none"/>
          <w:lang w:val="en-US" w:eastAsia="zh-CN"/>
        </w:rPr>
        <w:tab/>
        <w:t>67页</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bookmarkStart w:id="67" w:name="_GoBack"/>
      <w:bookmarkEnd w:id="67"/>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color w:val="auto"/>
          <w:sz w:val="24"/>
          <w:highlight w:val="none"/>
        </w:rPr>
        <w:t>十三、财政拨款“三公”经费支出决算表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numPr>
          <w:ilvl w:val="0"/>
          <w:numId w:val="1"/>
        </w:numPr>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部门职责</w:t>
      </w:r>
    </w:p>
    <w:p>
      <w:pPr>
        <w:pStyle w:val="4"/>
        <w:numPr>
          <w:ilvl w:val="0"/>
          <w:numId w:val="0"/>
        </w:numPr>
        <w:ind w:firstLine="640" w:firstLineChars="200"/>
        <w:rPr>
          <w:rStyle w:val="28"/>
          <w:rFonts w:hint="eastAsia" w:ascii="仿宋" w:hAnsi="仿宋" w:eastAsia="黑体"/>
          <w:b w:val="0"/>
          <w:bCs w:val="0"/>
          <w:color w:val="auto"/>
          <w:highlight w:val="none"/>
          <w:lang w:eastAsia="zh-CN"/>
        </w:rPr>
      </w:pPr>
      <w:r>
        <w:rPr>
          <w:rFonts w:hint="eastAsia" w:ascii="仿宋" w:hAnsi="仿宋" w:eastAsia="仿宋" w:cs="仿宋"/>
          <w:b w:val="0"/>
          <w:bCs w:val="0"/>
          <w:kern w:val="0"/>
          <w:sz w:val="32"/>
          <w:szCs w:val="32"/>
          <w:lang w:val="en-US" w:eastAsia="zh-CN" w:bidi="ar-SA"/>
        </w:rPr>
        <w:t>我单位主要职能是负责城区道路的清扫保洁以及果皮箱、公厕、垃圾箱等环卫设施的清洗和维护；城区生活垃圾的收集、清运和处理。给竹城人民创造清洁、干净的生活、工作、学习环境。</w:t>
      </w:r>
    </w:p>
    <w:p>
      <w:pPr>
        <w:pStyle w:val="4"/>
        <w:rPr>
          <w:rStyle w:val="28"/>
          <w:b w:val="0"/>
          <w:bCs w:val="0"/>
          <w:color w:val="auto"/>
          <w:highlight w:val="none"/>
        </w:rPr>
      </w:pPr>
      <w:bookmarkStart w:id="14" w:name="_Toc15396601"/>
      <w:bookmarkStart w:id="15"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14"/>
      <w:bookmarkEnd w:id="15"/>
    </w:p>
    <w:p>
      <w:pPr>
        <w:ind w:firstLine="800" w:firstLineChars="250"/>
        <w:rPr>
          <w:rFonts w:ascii="仿宋" w:hAnsi="仿宋" w:eastAsia="仿宋"/>
          <w:color w:val="auto"/>
          <w:kern w:val="0"/>
          <w:sz w:val="32"/>
          <w:szCs w:val="32"/>
          <w:highlight w:val="none"/>
        </w:rPr>
      </w:pPr>
      <w:r>
        <w:rPr>
          <w:rFonts w:hint="eastAsia" w:ascii="仿宋" w:hAnsi="仿宋" w:eastAsia="仿宋"/>
          <w:color w:val="auto"/>
          <w:sz w:val="32"/>
          <w:szCs w:val="32"/>
          <w:highlight w:val="none"/>
          <w:lang w:eastAsia="zh-CN"/>
        </w:rPr>
        <w:t>大竹县环境卫生管理所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r>
        <w:rPr>
          <w:rFonts w:ascii="仿宋" w:hAnsi="仿宋" w:eastAsia="仿宋"/>
          <w:color w:val="auto"/>
          <w:sz w:val="32"/>
          <w:szCs w:val="32"/>
          <w:highlight w:val="none"/>
        </w:rPr>
        <w:br w:type="page"/>
      </w:r>
    </w:p>
    <w:p>
      <w:pPr>
        <w:pStyle w:val="3"/>
        <w:ind w:right="440"/>
        <w:jc w:val="center"/>
        <w:rPr>
          <w:rStyle w:val="27"/>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rPr>
        <w:t>部门决算情况说明</w:t>
      </w:r>
      <w:bookmarkEnd w:id="16"/>
      <w:bookmarkEnd w:id="17"/>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5179.47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1289.92</w:t>
      </w:r>
      <w:r>
        <w:rPr>
          <w:rFonts w:hint="eastAsia" w:ascii="仿宋" w:hAnsi="仿宋" w:eastAsia="仿宋"/>
          <w:color w:val="auto"/>
          <w:sz w:val="32"/>
          <w:szCs w:val="32"/>
          <w:highlight w:val="none"/>
        </w:rPr>
        <w:t>万元，增长</w:t>
      </w:r>
      <w:r>
        <w:rPr>
          <w:rFonts w:ascii="仿宋" w:hAnsi="仿宋" w:eastAsia="仿宋"/>
          <w:color w:val="auto"/>
          <w:sz w:val="32"/>
          <w:szCs w:val="32"/>
          <w:highlight w:val="none"/>
        </w:rPr>
        <w:t>/</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19.94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2021年结转结余为1100.79万元，2022年无结转结余</w:t>
      </w:r>
      <w:r>
        <w:rPr>
          <w:rFonts w:hint="eastAsia" w:ascii="仿宋" w:hAnsi="仿宋" w:eastAsia="仿宋"/>
          <w:color w:val="auto"/>
          <w:sz w:val="32"/>
          <w:szCs w:val="32"/>
          <w:highlight w:val="none"/>
          <w:lang w:eastAsia="zh-CN"/>
        </w:rPr>
        <w:t>。</w:t>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anchor distT="0" distB="0" distL="114300" distR="114300" simplePos="0" relativeHeight="251659264" behindDoc="1" locked="0" layoutInCell="1" allowOverlap="1">
            <wp:simplePos x="0" y="0"/>
            <wp:positionH relativeFrom="column">
              <wp:posOffset>4445</wp:posOffset>
            </wp:positionH>
            <wp:positionV relativeFrom="paragraph">
              <wp:posOffset>86995</wp:posOffset>
            </wp:positionV>
            <wp:extent cx="5107940" cy="3096895"/>
            <wp:effectExtent l="4445" t="4445" r="12065" b="22860"/>
            <wp:wrapTight wrapText="bothSides">
              <wp:wrapPolygon>
                <wp:start x="-19" y="-31"/>
                <wp:lineTo x="-19" y="21494"/>
                <wp:lineTo x="21570" y="21494"/>
                <wp:lineTo x="21570" y="-31"/>
                <wp:lineTo x="-19" y="-31"/>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5153.15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828.15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16.07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4325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83.93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080000" cy="3534410"/>
            <wp:effectExtent l="4445" t="4445" r="20955"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5179.47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755.93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4423.54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85.4</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5179.47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1289.92</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19.94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2021年结转结余为1100.79万元，2022年无结转结余。</w:t>
      </w:r>
    </w:p>
    <w:p>
      <w:pPr>
        <w:spacing w:line="600" w:lineRule="exact"/>
        <w:rPr>
          <w:rFonts w:ascii="仿宋" w:hAnsi="仿宋" w:eastAsia="仿宋"/>
          <w:color w:val="auto"/>
          <w:sz w:val="32"/>
          <w:szCs w:val="32"/>
          <w:highlight w:val="none"/>
        </w:rPr>
      </w:pPr>
    </w:p>
    <w:p>
      <w:pPr>
        <w:pStyle w:val="2"/>
      </w:pP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854.47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1149.84</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57.37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清扫清运市场化作业经费全部纳入政府性基金预算财政拨款</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854.47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51.74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21.52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城乡社区支出</w:t>
      </w:r>
      <w:r>
        <w:rPr>
          <w:rFonts w:hint="eastAsia" w:ascii="仿宋" w:hAnsi="仿宋" w:eastAsia="仿宋"/>
          <w:color w:val="auto"/>
          <w:sz w:val="32"/>
          <w:szCs w:val="32"/>
          <w:highlight w:val="none"/>
          <w:lang w:val="en-US" w:eastAsia="zh-CN"/>
        </w:rPr>
        <w:t>737.97万元，占86.4%；</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43.24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本部门涉及的全部</w:t>
      </w:r>
      <w:r>
        <w:rPr>
          <w:rFonts w:hint="eastAsia" w:ascii="仿宋" w:hAnsi="仿宋" w:eastAsia="仿宋"/>
          <w:b/>
          <w:color w:val="auto"/>
          <w:sz w:val="32"/>
          <w:szCs w:val="32"/>
          <w:highlight w:val="none"/>
        </w:rPr>
        <w:t>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8460"/>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854.47万元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1</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社会保障和就业（208）行政事业单位养老支出（05） 机关事业单位基本养老保险缴费支出（05）</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29.47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2</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社会保障和就业（208）行政事业单位养老支出（05）其他行政事业单位养老支出（</w:t>
      </w:r>
      <w:r>
        <w:rPr>
          <w:rStyle w:val="16"/>
          <w:rFonts w:hint="eastAsia" w:ascii="仿宋" w:hAnsi="仿宋" w:eastAsia="仿宋"/>
          <w:bCs/>
          <w:color w:val="auto"/>
          <w:sz w:val="32"/>
          <w:szCs w:val="32"/>
          <w:highlight w:val="none"/>
          <w:lang w:val="en-US" w:eastAsia="zh-CN"/>
        </w:rPr>
        <w:t>99</w:t>
      </w:r>
      <w:r>
        <w:rPr>
          <w:rStyle w:val="16"/>
          <w:rFonts w:hint="eastAsia" w:ascii="仿宋" w:hAnsi="仿宋" w:eastAsia="仿宋"/>
          <w:bCs/>
          <w:color w:val="auto"/>
          <w:sz w:val="32"/>
          <w:szCs w:val="32"/>
          <w:highlight w:val="none"/>
        </w:rPr>
        <w:t>）</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19.28</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auto"/>
          <w:sz w:val="32"/>
          <w:szCs w:val="32"/>
          <w:highlight w:val="none"/>
        </w:rPr>
        <w:t>。</w:t>
      </w:r>
    </w:p>
    <w:p>
      <w:pPr>
        <w:spacing w:line="600" w:lineRule="exact"/>
        <w:ind w:firstLine="643" w:firstLineChars="200"/>
      </w:pPr>
      <w:r>
        <w:rPr>
          <w:rStyle w:val="16"/>
          <w:rFonts w:hint="eastAsia" w:ascii="仿宋" w:hAnsi="仿宋" w:eastAsia="仿宋"/>
          <w:bCs/>
          <w:color w:val="auto"/>
          <w:sz w:val="32"/>
          <w:szCs w:val="32"/>
          <w:highlight w:val="none"/>
          <w:lang w:val="en-US" w:eastAsia="zh-CN"/>
        </w:rPr>
        <w:t>3</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社会保障和就业（208）抚恤（</w:t>
      </w:r>
      <w:r>
        <w:rPr>
          <w:rStyle w:val="16"/>
          <w:rFonts w:hint="eastAsia" w:ascii="仿宋" w:hAnsi="仿宋" w:eastAsia="仿宋"/>
          <w:bCs/>
          <w:color w:val="auto"/>
          <w:sz w:val="32"/>
          <w:szCs w:val="32"/>
          <w:highlight w:val="none"/>
          <w:lang w:val="en-US" w:eastAsia="zh-CN"/>
        </w:rPr>
        <w:t>08</w:t>
      </w:r>
      <w:r>
        <w:rPr>
          <w:rStyle w:val="16"/>
          <w:rFonts w:hint="eastAsia" w:ascii="仿宋" w:hAnsi="仿宋" w:eastAsia="仿宋"/>
          <w:bCs/>
          <w:color w:val="auto"/>
          <w:sz w:val="32"/>
          <w:szCs w:val="32"/>
          <w:highlight w:val="none"/>
        </w:rPr>
        <w:t>）伤残抚恤（</w:t>
      </w:r>
      <w:r>
        <w:rPr>
          <w:rStyle w:val="16"/>
          <w:rFonts w:hint="eastAsia" w:ascii="仿宋" w:hAnsi="仿宋" w:eastAsia="仿宋"/>
          <w:bCs/>
          <w:color w:val="auto"/>
          <w:sz w:val="32"/>
          <w:szCs w:val="32"/>
          <w:highlight w:val="none"/>
          <w:lang w:val="en-US" w:eastAsia="zh-CN"/>
        </w:rPr>
        <w:t>02</w:t>
      </w:r>
      <w:r>
        <w:rPr>
          <w:rStyle w:val="16"/>
          <w:rFonts w:hint="eastAsia" w:ascii="仿宋" w:hAnsi="仿宋" w:eastAsia="仿宋"/>
          <w:bCs/>
          <w:color w:val="auto"/>
          <w:sz w:val="32"/>
          <w:szCs w:val="32"/>
          <w:highlight w:val="none"/>
        </w:rPr>
        <w:t>）</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2.99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4</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val="en-US" w:eastAsia="zh-CN"/>
        </w:rPr>
        <w:t>210</w:t>
      </w:r>
      <w:r>
        <w:rPr>
          <w:rStyle w:val="16"/>
          <w:rFonts w:hint="eastAsia" w:ascii="仿宋" w:hAnsi="仿宋" w:eastAsia="仿宋"/>
          <w:bCs/>
          <w:color w:val="auto"/>
          <w:sz w:val="32"/>
          <w:szCs w:val="32"/>
          <w:highlight w:val="none"/>
        </w:rPr>
        <w:t>）行政事业单位医疗（</w:t>
      </w:r>
      <w:r>
        <w:rPr>
          <w:rStyle w:val="16"/>
          <w:rFonts w:hint="eastAsia" w:ascii="仿宋" w:hAnsi="仿宋" w:eastAsia="仿宋"/>
          <w:bCs/>
          <w:color w:val="auto"/>
          <w:sz w:val="32"/>
          <w:szCs w:val="32"/>
          <w:highlight w:val="none"/>
          <w:lang w:val="en-US" w:eastAsia="zh-CN"/>
        </w:rPr>
        <w:t>11</w:t>
      </w:r>
      <w:r>
        <w:rPr>
          <w:rStyle w:val="16"/>
          <w:rFonts w:hint="eastAsia" w:ascii="仿宋" w:hAnsi="仿宋" w:eastAsia="仿宋"/>
          <w:bCs/>
          <w:color w:val="auto"/>
          <w:sz w:val="32"/>
          <w:szCs w:val="32"/>
          <w:highlight w:val="none"/>
        </w:rPr>
        <w:t>） 事业单位医疗（</w:t>
      </w:r>
      <w:r>
        <w:rPr>
          <w:rStyle w:val="16"/>
          <w:rFonts w:hint="eastAsia" w:ascii="仿宋" w:hAnsi="仿宋" w:eastAsia="仿宋"/>
          <w:bCs/>
          <w:color w:val="auto"/>
          <w:sz w:val="32"/>
          <w:szCs w:val="32"/>
          <w:highlight w:val="none"/>
          <w:lang w:val="en-US" w:eastAsia="zh-CN"/>
        </w:rPr>
        <w:t>02</w:t>
      </w:r>
      <w:r>
        <w:rPr>
          <w:rStyle w:val="16"/>
          <w:rFonts w:hint="eastAsia" w:ascii="仿宋" w:hAnsi="仿宋" w:eastAsia="仿宋"/>
          <w:bCs/>
          <w:color w:val="auto"/>
          <w:sz w:val="32"/>
          <w:szCs w:val="32"/>
          <w:highlight w:val="none"/>
        </w:rPr>
        <w:t>）</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21.52</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auto"/>
          <w:sz w:val="32"/>
          <w:szCs w:val="32"/>
          <w:highlight w:val="none"/>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城乡社区支出（</w:t>
      </w:r>
      <w:r>
        <w:rPr>
          <w:rStyle w:val="16"/>
          <w:rFonts w:hint="eastAsia" w:ascii="仿宋" w:hAnsi="仿宋" w:eastAsia="仿宋"/>
          <w:bCs/>
          <w:color w:val="auto"/>
          <w:sz w:val="32"/>
          <w:szCs w:val="32"/>
          <w:highlight w:val="none"/>
          <w:lang w:val="en-US" w:eastAsia="zh-CN"/>
        </w:rPr>
        <w:t>212</w:t>
      </w:r>
      <w:r>
        <w:rPr>
          <w:rStyle w:val="16"/>
          <w:rFonts w:hint="eastAsia" w:ascii="仿宋" w:hAnsi="仿宋" w:eastAsia="仿宋"/>
          <w:bCs/>
          <w:color w:val="auto"/>
          <w:sz w:val="32"/>
          <w:szCs w:val="32"/>
          <w:highlight w:val="none"/>
        </w:rPr>
        <w:t>）城乡社区管理事务（</w:t>
      </w:r>
      <w:r>
        <w:rPr>
          <w:rStyle w:val="16"/>
          <w:rFonts w:hint="eastAsia" w:ascii="仿宋" w:hAnsi="仿宋" w:eastAsia="仿宋"/>
          <w:bCs/>
          <w:color w:val="auto"/>
          <w:sz w:val="32"/>
          <w:szCs w:val="32"/>
          <w:highlight w:val="none"/>
          <w:lang w:val="en-US" w:eastAsia="zh-CN"/>
        </w:rPr>
        <w:t>01</w:t>
      </w:r>
      <w:r>
        <w:rPr>
          <w:rStyle w:val="16"/>
          <w:rFonts w:hint="eastAsia" w:ascii="仿宋" w:hAnsi="仿宋" w:eastAsia="仿宋"/>
          <w:bCs/>
          <w:color w:val="auto"/>
          <w:sz w:val="32"/>
          <w:szCs w:val="32"/>
          <w:highlight w:val="none"/>
        </w:rPr>
        <w:t>）其他城乡社区管理事务支出（</w:t>
      </w:r>
      <w:r>
        <w:rPr>
          <w:rStyle w:val="16"/>
          <w:rFonts w:hint="eastAsia" w:ascii="仿宋" w:hAnsi="仿宋" w:eastAsia="仿宋"/>
          <w:bCs/>
          <w:color w:val="auto"/>
          <w:sz w:val="32"/>
          <w:szCs w:val="32"/>
          <w:highlight w:val="none"/>
          <w:lang w:val="en-US" w:eastAsia="zh-CN"/>
        </w:rPr>
        <w:t>99</w:t>
      </w:r>
      <w:r>
        <w:rPr>
          <w:rStyle w:val="16"/>
          <w:rFonts w:hint="eastAsia" w:ascii="仿宋" w:hAnsi="仿宋" w:eastAsia="仿宋"/>
          <w:bCs/>
          <w:color w:val="auto"/>
          <w:sz w:val="32"/>
          <w:szCs w:val="32"/>
          <w:highlight w:val="none"/>
        </w:rPr>
        <w:t>）</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376.82</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auto"/>
          <w:sz w:val="32"/>
          <w:szCs w:val="32"/>
          <w:highlight w:val="none"/>
        </w:rPr>
        <w:t>。</w:t>
      </w:r>
    </w:p>
    <w:p>
      <w:pPr>
        <w:pStyle w:val="2"/>
        <w:numPr>
          <w:ilvl w:val="0"/>
          <w:numId w:val="3"/>
        </w:numPr>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rPr>
        <w:t>城乡社区支出（</w:t>
      </w:r>
      <w:r>
        <w:rPr>
          <w:rStyle w:val="16"/>
          <w:rFonts w:hint="eastAsia" w:ascii="仿宋" w:hAnsi="仿宋" w:eastAsia="仿宋"/>
          <w:bCs/>
          <w:color w:val="auto"/>
          <w:sz w:val="32"/>
          <w:szCs w:val="32"/>
          <w:highlight w:val="none"/>
          <w:lang w:val="en-US" w:eastAsia="zh-CN"/>
        </w:rPr>
        <w:t>212</w:t>
      </w:r>
      <w:r>
        <w:rPr>
          <w:rStyle w:val="16"/>
          <w:rFonts w:hint="eastAsia" w:ascii="仿宋" w:hAnsi="仿宋" w:eastAsia="仿宋"/>
          <w:bCs/>
          <w:color w:val="auto"/>
          <w:sz w:val="32"/>
          <w:szCs w:val="32"/>
          <w:highlight w:val="none"/>
        </w:rPr>
        <w:t>）</w:t>
      </w:r>
      <w:r>
        <w:rPr>
          <w:rFonts w:hint="eastAsia"/>
          <w:b/>
          <w:bCs/>
        </w:rPr>
        <w:t>城乡社区环境卫生</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val="en-US" w:eastAsia="zh-CN"/>
        </w:rPr>
        <w:t>05</w:t>
      </w:r>
      <w:r>
        <w:rPr>
          <w:rStyle w:val="16"/>
          <w:rFonts w:hint="eastAsia" w:ascii="仿宋" w:hAnsi="仿宋" w:eastAsia="仿宋"/>
          <w:bCs/>
          <w:color w:val="auto"/>
          <w:sz w:val="32"/>
          <w:szCs w:val="32"/>
          <w:highlight w:val="none"/>
        </w:rPr>
        <w:t>）城乡社区环境卫生（</w:t>
      </w:r>
      <w:r>
        <w:rPr>
          <w:rStyle w:val="16"/>
          <w:rFonts w:hint="eastAsia" w:ascii="仿宋" w:hAnsi="仿宋" w:eastAsia="仿宋"/>
          <w:bCs/>
          <w:color w:val="auto"/>
          <w:sz w:val="32"/>
          <w:szCs w:val="32"/>
          <w:highlight w:val="none"/>
          <w:lang w:val="en-US" w:eastAsia="zh-CN"/>
        </w:rPr>
        <w:t>01</w:t>
      </w:r>
      <w:r>
        <w:rPr>
          <w:rStyle w:val="16"/>
          <w:rFonts w:hint="eastAsia" w:ascii="仿宋" w:hAnsi="仿宋" w:eastAsia="仿宋"/>
          <w:bCs/>
          <w:color w:val="auto"/>
          <w:sz w:val="32"/>
          <w:szCs w:val="32"/>
          <w:highlight w:val="none"/>
        </w:rPr>
        <w:t>）</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361.15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r>
        <w:rPr>
          <w:rStyle w:val="16"/>
          <w:rFonts w:hint="eastAsia" w:ascii="仿宋" w:hAnsi="仿宋" w:eastAsia="仿宋"/>
          <w:b w:val="0"/>
          <w:bCs/>
          <w:color w:val="auto"/>
          <w:sz w:val="32"/>
          <w:szCs w:val="32"/>
          <w:highlight w:val="none"/>
        </w:rPr>
        <w:t>。</w:t>
      </w:r>
    </w:p>
    <w:p>
      <w:pPr>
        <w:pStyle w:val="2"/>
        <w:numPr>
          <w:ilvl w:val="0"/>
          <w:numId w:val="0"/>
        </w:numPr>
        <w:ind w:firstLine="643" w:firstLineChars="20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lang w:val="en-US" w:eastAsia="zh-CN"/>
        </w:rPr>
        <w:t>7.</w:t>
      </w:r>
      <w:r>
        <w:rPr>
          <w:rStyle w:val="16"/>
          <w:rFonts w:hint="eastAsia" w:ascii="仿宋" w:hAnsi="仿宋" w:eastAsia="仿宋"/>
          <w:bCs/>
          <w:color w:val="auto"/>
          <w:sz w:val="32"/>
          <w:szCs w:val="32"/>
          <w:highlight w:val="none"/>
          <w:lang w:eastAsia="zh-CN"/>
        </w:rPr>
        <w:t>住房保障支出</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val="en-US" w:eastAsia="zh-CN"/>
        </w:rPr>
        <w:t>221</w:t>
      </w:r>
      <w:r>
        <w:rPr>
          <w:rStyle w:val="16"/>
          <w:rFonts w:hint="eastAsia" w:ascii="仿宋" w:hAnsi="仿宋" w:eastAsia="仿宋"/>
          <w:bCs/>
          <w:color w:val="auto"/>
          <w:sz w:val="32"/>
          <w:szCs w:val="32"/>
          <w:highlight w:val="none"/>
        </w:rPr>
        <w:t>）</w:t>
      </w:r>
      <w:r>
        <w:rPr>
          <w:rFonts w:hint="eastAsia" w:eastAsia="仿宋"/>
          <w:b/>
          <w:bCs/>
          <w:lang w:eastAsia="zh-CN"/>
        </w:rPr>
        <w:t>住房改革支出</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val="en-US" w:eastAsia="zh-CN"/>
        </w:rPr>
        <w:t>02</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eastAsia="zh-CN"/>
        </w:rPr>
        <w:t>住房公积金</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val="en-US" w:eastAsia="zh-CN"/>
        </w:rPr>
        <w:t>01</w:t>
      </w:r>
      <w:r>
        <w:rPr>
          <w:rStyle w:val="16"/>
          <w:rFonts w:hint="eastAsia" w:ascii="仿宋" w:hAnsi="仿宋" w:eastAsia="仿宋"/>
          <w:bCs/>
          <w:color w:val="auto"/>
          <w:sz w:val="32"/>
          <w:szCs w:val="32"/>
          <w:highlight w:val="none"/>
        </w:rPr>
        <w:t>）</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43.24</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r>
        <w:rPr>
          <w:rStyle w:val="16"/>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8"/>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4"/>
      <w:bookmarkEnd w:id="3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755.93</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675.75</w:t>
      </w:r>
      <w:r>
        <w:rPr>
          <w:rFonts w:hint="eastAsia" w:ascii="仿宋" w:hAnsi="仿宋" w:eastAsia="仿宋"/>
          <w:color w:val="auto"/>
          <w:sz w:val="32"/>
          <w:szCs w:val="32"/>
          <w:highlight w:val="none"/>
        </w:rPr>
        <w:t>万元，主要包括：基本工资、津贴补贴、伙食补助费、绩效工资、机关事业单位基本养老保险缴费、职业年金缴费、其他工资福利支出、抚恤金、生活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80.18</w:t>
      </w:r>
      <w:r>
        <w:rPr>
          <w:rFonts w:hint="eastAsia" w:ascii="仿宋" w:hAnsi="仿宋" w:eastAsia="仿宋"/>
          <w:color w:val="auto"/>
          <w:sz w:val="32"/>
          <w:szCs w:val="32"/>
          <w:highlight w:val="none"/>
        </w:rPr>
        <w:t>万元，主要包括：办公费、印刷费、咨询费、手续费、水费、电费、邮电费、差旅费、维修（护）费、培训费、公务接待费、劳务费、工会经费、福利费、公务用车运行维护费、其他商品和服务支出等。</w:t>
      </w:r>
    </w:p>
    <w:p>
      <w:pPr>
        <w:pStyle w:val="2"/>
      </w:pPr>
    </w:p>
    <w:p>
      <w:pPr>
        <w:spacing w:line="600" w:lineRule="exact"/>
        <w:ind w:firstLine="640"/>
        <w:outlineLvl w:val="1"/>
        <w:rPr>
          <w:rStyle w:val="28"/>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10.07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减少6.8万元，下降40%。</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9.18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-24765</wp:posOffset>
            </wp:positionH>
            <wp:positionV relativeFrom="paragraph">
              <wp:posOffset>204470</wp:posOffset>
            </wp:positionV>
            <wp:extent cx="5080000" cy="3810000"/>
            <wp:effectExtent l="4445" t="4445" r="20955" b="14605"/>
            <wp:wrapTight wrapText="bothSides">
              <wp:wrapPolygon>
                <wp:start x="-19" y="-25"/>
                <wp:lineTo x="-19" y="21575"/>
                <wp:lineTo x="21527" y="21575"/>
                <wp:lineTo x="21527" y="-25"/>
                <wp:lineTo x="-19" y="-25"/>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9.18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6.8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公务车运行维护费未及时结算支付</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9.18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环卫日常工作</w:t>
      </w:r>
      <w:r>
        <w:rPr>
          <w:rFonts w:hint="eastAsia" w:ascii="仿宋_GB2312" w:eastAsia="仿宋_GB2312"/>
          <w:color w:val="auto"/>
          <w:sz w:val="32"/>
          <w:szCs w:val="32"/>
          <w:highlight w:val="none"/>
        </w:rPr>
        <w:t>所需的公务用车燃料费、维修费、过路过桥费、保险费等支出。</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0.89</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0.11</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严格控制三公经费支出。</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0.89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单位职工</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178</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0.89</w:t>
      </w:r>
      <w:r>
        <w:rPr>
          <w:rFonts w:hint="eastAsia" w:ascii="仿宋_GB2312" w:eastAsia="仿宋_GB2312"/>
          <w:color w:val="auto"/>
          <w:sz w:val="32"/>
          <w:szCs w:val="32"/>
          <w:highlight w:val="none"/>
        </w:rPr>
        <w:t>万元。</w:t>
      </w:r>
    </w:p>
    <w:p>
      <w:pPr>
        <w:spacing w:line="600" w:lineRule="exact"/>
        <w:ind w:firstLine="643" w:firstLineChars="200"/>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rPr>
          <w:rFonts w:hint="eastAsia"/>
          <w:lang w:val="en-US" w:eastAsia="zh-CN"/>
        </w:rPr>
      </w:pPr>
    </w:p>
    <w:p>
      <w:pPr>
        <w:spacing w:line="600" w:lineRule="exact"/>
        <w:ind w:firstLine="640"/>
        <w:outlineLvl w:val="1"/>
        <w:rPr>
          <w:rFonts w:ascii="黑体" w:eastAsia="黑体"/>
          <w:color w:val="auto"/>
          <w:sz w:val="32"/>
          <w:szCs w:val="32"/>
          <w:highlight w:val="none"/>
        </w:rPr>
      </w:pPr>
      <w:bookmarkStart w:id="40" w:name="_Toc15396610"/>
      <w:bookmarkStart w:id="41" w:name="_Toc15377218"/>
    </w:p>
    <w:p>
      <w:pPr>
        <w:spacing w:line="600" w:lineRule="exact"/>
        <w:ind w:firstLine="640"/>
        <w:outlineLvl w:val="1"/>
        <w:rPr>
          <w:rStyle w:val="28"/>
          <w:rFonts w:ascii="黑体" w:hAnsi="黑体" w:eastAsia="黑体"/>
          <w:color w:val="auto"/>
          <w:highlight w:val="none"/>
        </w:rPr>
      </w:pPr>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4325</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8"/>
          <w:rFonts w:ascii="黑体" w:hAnsi="黑体" w:eastAsia="黑体"/>
          <w:b w:val="0"/>
          <w:color w:val="auto"/>
          <w:highlight w:val="none"/>
        </w:rPr>
      </w:pPr>
      <w:bookmarkStart w:id="42" w:name="_Toc15377219"/>
      <w:bookmarkStart w:id="43" w:name="_Toc15396611"/>
      <w:r>
        <w:rPr>
          <w:rStyle w:val="28"/>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8"/>
          <w:rFonts w:hint="eastAsia" w:ascii="黑体" w:hAnsi="黑体" w:eastAsia="黑体"/>
          <w:b w:val="0"/>
          <w:color w:val="auto"/>
          <w:highlight w:val="none"/>
        </w:rPr>
      </w:pPr>
      <w:bookmarkStart w:id="44" w:name="_Toc15377221"/>
      <w:bookmarkStart w:id="45" w:name="_Toc15396612"/>
      <w:r>
        <w:rPr>
          <w:rStyle w:val="28"/>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大竹县环境卫生所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年决算数持平。主要原因是</w:t>
      </w:r>
      <w:r>
        <w:rPr>
          <w:rFonts w:hint="eastAsia" w:ascii="仿宋_GB2312" w:eastAsia="仿宋_GB2312"/>
          <w:color w:val="auto"/>
          <w:sz w:val="32"/>
          <w:szCs w:val="32"/>
          <w:lang w:val="en-US" w:eastAsia="zh-CN"/>
        </w:rPr>
        <w:t>是</w:t>
      </w:r>
      <w:r>
        <w:rPr>
          <w:rFonts w:hint="eastAsia" w:ascii="仿宋_GB2312" w:hAnsi="仿宋_GB2312" w:eastAsia="仿宋_GB2312" w:cs="仿宋_GB2312"/>
          <w:sz w:val="32"/>
          <w:szCs w:val="32"/>
          <w:lang w:eastAsia="zh-CN"/>
        </w:rPr>
        <w:t>大竹县环境卫生管理所执行</w:t>
      </w:r>
      <w:r>
        <w:rPr>
          <w:rFonts w:hint="eastAsia" w:ascii="仿宋_GB2312" w:hAnsi="仿宋_GB2312" w:eastAsia="仿宋_GB2312" w:cs="仿宋_GB2312"/>
          <w:sz w:val="32"/>
          <w:szCs w:val="32"/>
          <w:lang w:val="en-US" w:eastAsia="zh-CN"/>
        </w:rPr>
        <w:t>事业单位</w:t>
      </w:r>
      <w:r>
        <w:rPr>
          <w:rFonts w:hint="eastAsia" w:ascii="仿宋_GB2312" w:hAnsi="仿宋_GB2312" w:eastAsia="仿宋_GB2312" w:cs="仿宋_GB2312"/>
          <w:sz w:val="32"/>
          <w:szCs w:val="32"/>
          <w:lang w:eastAsia="zh-CN"/>
        </w:rPr>
        <w:t>会计制度，无机关运行经费。</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大竹县环境卫生管理所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大竹县环境卫生管理所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sz w:val="32"/>
          <w:szCs w:val="32"/>
          <w:lang w:eastAsia="zh-CN"/>
        </w:rPr>
        <w:t>环卫市场化作业经费和公厕管护费</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auto"/>
          <w:sz w:val="32"/>
          <w:szCs w:val="32"/>
          <w:highlight w:val="none"/>
        </w:rPr>
        <w:t>（项目名称）</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color w:val="auto"/>
          <w:sz w:val="32"/>
          <w:szCs w:val="32"/>
          <w:highlight w:val="none"/>
        </w:rPr>
        <w:t>组织对2022年度一般公共预算、政府性基金预算全面开展绩效自评，形成</w:t>
      </w:r>
      <w:r>
        <w:rPr>
          <w:rFonts w:hint="eastAsia" w:ascii="仿宋_GB2312" w:hAnsi="仿宋_GB2312" w:eastAsia="仿宋_GB2312" w:cs="仿宋_GB2312"/>
          <w:color w:val="auto"/>
          <w:sz w:val="32"/>
          <w:szCs w:val="32"/>
          <w:highlight w:val="none"/>
          <w:lang w:eastAsia="zh-CN"/>
        </w:rPr>
        <w:t>大竹县环境卫生管理所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kern w:val="0"/>
          <w:sz w:val="32"/>
          <w:szCs w:val="32"/>
          <w:lang w:val="zh-CN"/>
        </w:rPr>
        <w:t>通过加强城市环卫日常管理，有效保证了市民垃圾倾倒规范、城市卫生干净、市容环境整洁有序、垃圾清运做到日产日清；</w:t>
      </w:r>
      <w:r>
        <w:rPr>
          <w:rFonts w:hint="eastAsia" w:ascii="仿宋" w:hAnsi="仿宋" w:eastAsia="仿宋" w:cs="仿宋"/>
          <w:color w:val="000000"/>
          <w:sz w:val="32"/>
          <w:szCs w:val="32"/>
          <w:shd w:val="clear" w:color="auto" w:fill="FFFFFF"/>
        </w:rPr>
        <w:t>全城</w:t>
      </w:r>
      <w:r>
        <w:rPr>
          <w:rFonts w:hint="eastAsia" w:ascii="仿宋" w:hAnsi="仿宋" w:eastAsia="仿宋" w:cs="仿宋"/>
          <w:color w:val="000000"/>
          <w:sz w:val="32"/>
          <w:szCs w:val="32"/>
          <w:shd w:val="clear" w:color="auto" w:fill="FFFFFF"/>
          <w:lang w:val="en-US" w:eastAsia="zh-CN"/>
        </w:rPr>
        <w:t>26</w:t>
      </w:r>
      <w:r>
        <w:rPr>
          <w:rFonts w:hint="eastAsia" w:ascii="仿宋" w:hAnsi="仿宋" w:eastAsia="仿宋" w:cs="仿宋"/>
          <w:color w:val="000000"/>
          <w:sz w:val="32"/>
          <w:szCs w:val="32"/>
          <w:shd w:val="clear" w:color="auto" w:fill="FFFFFF"/>
        </w:rPr>
        <w:t>座公厕保洁效果好</w:t>
      </w:r>
      <w:r>
        <w:rPr>
          <w:rFonts w:hint="eastAsia" w:ascii="仿宋" w:hAnsi="仿宋" w:eastAsia="仿宋" w:cs="仿宋"/>
          <w:color w:val="000000"/>
          <w:sz w:val="32"/>
          <w:szCs w:val="32"/>
          <w:shd w:val="clear" w:color="auto" w:fill="FFFFFF"/>
          <w:lang w:eastAsia="zh-CN"/>
        </w:rPr>
        <w:t>。</w:t>
      </w:r>
      <w:r>
        <w:rPr>
          <w:rFonts w:hint="eastAsia" w:ascii="仿宋_GB2312" w:hAnsi="仿宋_GB2312" w:eastAsia="仿宋_GB2312" w:cs="仿宋_GB2312"/>
          <w:kern w:val="0"/>
          <w:sz w:val="32"/>
          <w:szCs w:val="32"/>
          <w:lang w:val="zh-CN"/>
        </w:rPr>
        <w:t>给全城居民创造了一个良好舒适的环境，得到了广大市民的好评。</w:t>
      </w: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numPr>
          <w:ilvl w:val="0"/>
          <w:numId w:val="0"/>
        </w:numPr>
        <w:spacing w:line="58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清扫清运市场化作业经费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“公厕管护费”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（1）环卫市场化作业经费项目绩效目标完成情况综述。项目全年预算数</w:t>
      </w:r>
      <w:r>
        <w:rPr>
          <w:rFonts w:hint="eastAsia" w:ascii="仿宋_GB2312" w:hAnsi="仿宋_GB2312" w:eastAsia="仿宋_GB2312" w:cs="仿宋_GB2312"/>
          <w:sz w:val="32"/>
          <w:szCs w:val="32"/>
          <w:lang w:val="en-US" w:eastAsia="zh-CN"/>
        </w:rPr>
        <w:t>4214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4214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kern w:val="0"/>
          <w:sz w:val="32"/>
          <w:szCs w:val="32"/>
          <w:lang w:val="zh-CN"/>
        </w:rPr>
        <w:t>城市卫生干净、市容环境整洁有序</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城区垃圾量大</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加强保洁和清运。</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（2）公厕管护费项目绩效目标完成情况综述。项目全年预算数</w:t>
      </w:r>
      <w:r>
        <w:rPr>
          <w:rFonts w:hint="eastAsia" w:ascii="仿宋_GB2312" w:hAnsi="仿宋_GB2312" w:eastAsia="仿宋_GB2312" w:cs="仿宋_GB2312"/>
          <w:sz w:val="32"/>
          <w:szCs w:val="32"/>
          <w:lang w:val="en-US" w:eastAsia="zh-CN"/>
        </w:rPr>
        <w:t>98.53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98.53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%。通过项目实施，通过项目实施，</w:t>
      </w:r>
      <w:r>
        <w:rPr>
          <w:rFonts w:hint="eastAsia" w:ascii="仿宋_GB2312" w:hAnsi="仿宋_GB2312" w:eastAsia="仿宋_GB2312" w:cs="仿宋_GB2312"/>
          <w:sz w:val="32"/>
          <w:szCs w:val="32"/>
          <w:lang w:eastAsia="zh-CN"/>
        </w:rPr>
        <w:t>给老百姓出行如厕提供了方便</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厕所设施设备损坏大</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加强巡逻和维护。</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rPr>
        <w:t>环卫市场化作业经费</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2022年特定目标类部门预算项目绩效目标自评表见附件（第四部分）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widowControl/>
        <w:ind w:firstLine="643" w:firstLineChars="200"/>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6"/>
        </w:numPr>
        <w:spacing w:line="600" w:lineRule="exact"/>
        <w:ind w:firstLine="660" w:firstLineChars="150"/>
        <w:jc w:val="center"/>
        <w:outlineLvl w:val="0"/>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4.其他收入：指单位取得的除上述收入以外的各项收入。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5.使用非财政拨款结余：指事业单位使用以前年度积累的非财政拨款结余弥补当年收支差额的金额。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6.年初结转和结余：指以前年度尚未完成、结转到本年按有关规定继续使用的资金。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7.结余分配：指事业单位按照会计制度规定缴纳的所得税、提取的专用结余以及转入非财政拨款结余的金额等。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9.社会保障和就业（208）行政事业单位养老支出（05）机关事业单位基本养老保险缴费支出（05）: 指反映机关事业单位实施养老保险制度由单位缴纳的基本养老保险费支出。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10.社会保障和就业（208）行政事业单位养老支出（05）  其他行政事业单位养老支出（99）:指反映除上述项目以外其他用于行政事业单位养老方面的支出。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11.节能环保支出（211）其他节能环保支出（99） 其其他节能环保支出（99）:指反映除上述项目以外其他用于节能环保方面的支出。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12.城乡社区支出（212）城乡社区管理事务（01）城管执法（04）: 指反映城市管理综合行政执法、加强城市市容和环境卫生管理等方面的支出。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13.城乡社区支出（212）城乡社区环境卫生（05）城乡社区环境卫生（01）: 指反映城城乡社区道路清扫、垃圾清运与处理、公厕建设与维护、园林绿化等方面的支出。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14.城乡社区支出（212）国有土地使用权出让收入安排的支出（08）征地和拆迁补偿支出（01）：指反映地方政府在征地和收购土地过程中支付的土地补偿费、安置补助费、地上附着和青苗补偿费、拆迁补偿费费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15.城乡社区支出（212）国有土地使用权出让收入安排的支出（08）其他国有土地使用权出让收入安排的支出（99）: 指反映土地出让收入用于其他方面的支出。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16.农林水支出（213）农业农村（05）其他农业农村支出（99）：指其他农业农村事务等方面的支出。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17.住房保障支出（221）住房改革支出（02）住房公积金（01）：指反映行政事业单位按人力资源和社会保障部、财政部规定的基本工资和津贴补贴以及规定比例为职工缴纳的住房公积金。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18.灾害防治及应急管理支出（224）其他灾害防治及应急管理支出（99）其他灾害防治及应急管理支出（99）:反映除上述项目以外其他用于灾害防治及应急管理的支出。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19.基本支出：指为保障机构正常运转、完成日常工作任务而发生的人员支出和公用支出。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20.项目支出：指在基本支出之外为完成特定行政任务和事业发展目标所发生的支出。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21.经营支出：指事业单位在专业业务活动及其辅助活动之外开展非独立核算经营活动发生的支出。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27"/>
          <w:rFonts w:hint="eastAsia" w:ascii="黑体" w:hAnsi="黑体" w:eastAsia="黑体"/>
          <w:b w:val="0"/>
          <w:color w:val="auto"/>
          <w:highlight w:val="none"/>
          <w:lang w:eastAsia="zh-CN"/>
        </w:rPr>
      </w:pPr>
      <w:bookmarkStart w:id="51" w:name="_Toc15377226"/>
      <w:r>
        <w:rPr>
          <w:rFonts w:hint="eastAsia" w:ascii="仿宋" w:hAnsi="仿宋" w:eastAsia="仿宋" w:cs="仿宋"/>
          <w:b/>
          <w:color w:val="auto"/>
          <w:sz w:val="32"/>
          <w:szCs w:val="32"/>
          <w:highlight w:val="none"/>
        </w:rPr>
        <w:br w:type="page"/>
      </w:r>
      <w:bookmarkStart w:id="52"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大竹县环境卫生管理所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22</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一、部门（单位）概况</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（一）机构组成。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我单位隶属大竹县综合行政执法局，属全额拨款的一级预算事业单位。</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（二）机构职能。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我单位主要职能是负责城区道路的清扫保洁以及果皮箱、公厕、垃圾箱等环卫设施的清洗和维护；城区生活垃圾的收集、清运和处理；以及对美保公司的清扫、清运、冲洗等保洁工作进行日常监督和考核。</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（三）人员概况。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我单位财政供给人员129人，其中，在职人员47人，退休人员23人，临时工人员59人。</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二、部门财政资金收支情况</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（一）部门财政资金收入情况。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年度财政资金收入包括：一般公共预算财政拨款收入</w:t>
      </w:r>
      <w:r>
        <w:rPr>
          <w:rFonts w:hint="eastAsia" w:ascii="仿宋_GB2312" w:hAnsi="仿宋_GB2312" w:eastAsia="仿宋_GB2312" w:cs="仿宋_GB2312"/>
          <w:sz w:val="32"/>
          <w:szCs w:val="32"/>
          <w:lang w:val="en-US" w:eastAsia="zh-CN"/>
        </w:rPr>
        <w:t>828.15</w:t>
      </w:r>
      <w:r>
        <w:rPr>
          <w:rFonts w:hint="eastAsia" w:ascii="仿宋_GB2312" w:hAnsi="仿宋_GB2312" w:eastAsia="仿宋_GB2312" w:cs="仿宋_GB2312"/>
          <w:sz w:val="32"/>
          <w:szCs w:val="32"/>
        </w:rPr>
        <w:t>万元；政府性基金预算财政拨款</w:t>
      </w:r>
      <w:r>
        <w:rPr>
          <w:rFonts w:hint="eastAsia" w:ascii="仿宋_GB2312" w:hAnsi="仿宋_GB2312" w:eastAsia="仿宋_GB2312" w:cs="仿宋_GB2312"/>
          <w:sz w:val="32"/>
          <w:szCs w:val="32"/>
          <w:lang w:val="en-US" w:eastAsia="zh-CN"/>
        </w:rPr>
        <w:t>4325</w:t>
      </w:r>
      <w:r>
        <w:rPr>
          <w:rFonts w:hint="eastAsia" w:ascii="仿宋_GB2312" w:hAnsi="仿宋_GB2312" w:eastAsia="仿宋_GB2312" w:cs="仿宋_GB2312"/>
          <w:sz w:val="32"/>
          <w:szCs w:val="32"/>
        </w:rPr>
        <w:t>万元，年初结转和结余</w:t>
      </w:r>
      <w:r>
        <w:rPr>
          <w:rFonts w:hint="eastAsia" w:ascii="仿宋_GB2312" w:hAnsi="仿宋_GB2312" w:eastAsia="仿宋_GB2312" w:cs="仿宋_GB2312"/>
          <w:sz w:val="32"/>
          <w:szCs w:val="32"/>
          <w:lang w:val="en-US" w:eastAsia="zh-CN"/>
        </w:rPr>
        <w:t>26.32</w:t>
      </w:r>
      <w:r>
        <w:rPr>
          <w:rFonts w:hint="eastAsia" w:ascii="仿宋_GB2312" w:hAnsi="仿宋_GB2312" w:eastAsia="仿宋_GB2312" w:cs="仿宋_GB2312"/>
          <w:sz w:val="32"/>
          <w:szCs w:val="32"/>
        </w:rPr>
        <w:t>万元，本年收入合计</w:t>
      </w:r>
      <w:r>
        <w:rPr>
          <w:rFonts w:hint="eastAsia" w:ascii="仿宋_GB2312" w:hAnsi="仿宋_GB2312" w:eastAsia="仿宋_GB2312" w:cs="仿宋_GB2312"/>
          <w:sz w:val="32"/>
          <w:szCs w:val="32"/>
          <w:lang w:val="en-US" w:eastAsia="zh-CN"/>
        </w:rPr>
        <w:t>5179.47</w:t>
      </w:r>
      <w:r>
        <w:rPr>
          <w:rFonts w:hint="eastAsia" w:ascii="仿宋_GB2312" w:hAnsi="仿宋_GB2312" w:eastAsia="仿宋_GB2312" w:cs="仿宋_GB2312"/>
          <w:sz w:val="32"/>
          <w:szCs w:val="32"/>
        </w:rPr>
        <w:t>万元。</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（二）部门财政资金支出情况。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2021年度财政拨款支出包括：本年度支出</w:t>
      </w:r>
      <w:r>
        <w:rPr>
          <w:rFonts w:hint="eastAsia" w:ascii="仿宋_GB2312" w:hAnsi="仿宋_GB2312" w:eastAsia="仿宋_GB2312" w:cs="仿宋_GB2312"/>
          <w:sz w:val="32"/>
          <w:szCs w:val="32"/>
          <w:lang w:val="en-US" w:eastAsia="zh-CN"/>
        </w:rPr>
        <w:t>5179.47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755.93</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4423.54</w:t>
      </w:r>
      <w:r>
        <w:rPr>
          <w:rFonts w:hint="eastAsia" w:ascii="仿宋_GB2312" w:hAnsi="仿宋_GB2312" w:eastAsia="仿宋_GB2312" w:cs="仿宋_GB2312"/>
          <w:sz w:val="32"/>
          <w:szCs w:val="32"/>
        </w:rPr>
        <w:t>万元。年末结转结余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三、部门整体预算绩效管理情况</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部门的绩效目标制定、目标完成、预决算编制等均按照县财政局下达的相关文件指标进行了编制，对部门整体支出的预算执行高度重视，严格按县财政的批复执行预算范围内开支，并完成所有预定目标，年中人员变动，及时进行了预算动态调整，全年无违规记录。较好地保证了财务开支和资金使用的合法合规、安全有效。全部经费按规定管理使用、保障环卫工作正常运转，确保各项工作任务顺利完成。</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（二）结果应用情况。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整体支出绩效自评得分基本准确，绩效目标和绩效自评按要求在政府门户网站进行了公开，针对绩效管理过程中出现的问题，进行了有效地整改、完善、改进。预算安排的基本支出保障了环卫工作的正常运转，在资金的管理和使用上，严守法律底线、纪律底线、道德底线。通过加强城市环卫日常管理，有效保证了市民垃圾倾倒规范、城市卫生干净、市容环境整洁有序、垃圾清运做到日产日清，给全城居民创造了一个良好舒适的环境，得到了广大市民的好评。</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四、评价结论及建议</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（一）评价结论。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总体评价是：资金管理和使用合理，监管到位，财务制度健全，制度执行严格，会计核算符合相关规定，开支标准合理、合法。城区环境卫生得到了改善，提升了城市品位，为我县创文创卫工作夯实了基础。</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1、绩效目标设立不够明确、细化和量化；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2、绩效管理制度有待完善；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3、资金使用效能化还有进一步提高的空间。</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（三）改进建议。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1、加强预算管理，完善管理制度，严格预算执行，建立绩效评价的长期机制，提高资金使用效益。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2、建立健全内控体系，将内控建设与执行效果纳入绩效考核体系，确保内控不断完善并得到有效执行，使得内控体系建设实现管理制度化、制度流程化、流程信息化。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3、加大对会计人员的教育和培训工作，加强财务控制和监督，防范财务风险。</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13"/>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部门预算项目支出绩效自评表（2022年度</w:t>
      </w:r>
      <w:r>
        <w:rPr>
          <w:rFonts w:hint="eastAsia" w:hAnsi="仿宋_GB2312" w:eastAsia="仿宋_GB2312" w:cs="仿宋_GB2312"/>
          <w:color w:val="auto"/>
          <w:sz w:val="32"/>
          <w:szCs w:val="32"/>
          <w:highlight w:val="none"/>
          <w:lang w:val="en-US" w:eastAsia="zh-CN"/>
        </w:rPr>
        <w:t>）</w:t>
      </w:r>
    </w:p>
    <w:p>
      <w:pPr>
        <w:pStyle w:val="2"/>
        <w:rPr>
          <w:rFonts w:hint="eastAsia"/>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tbl>
      <w:tblPr>
        <w:tblStyle w:val="14"/>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3"/>
        <w:gridCol w:w="2051"/>
        <w:gridCol w:w="1775"/>
        <w:gridCol w:w="2264"/>
        <w:gridCol w:w="521"/>
        <w:gridCol w:w="1677"/>
        <w:gridCol w:w="521"/>
        <w:gridCol w:w="1091"/>
        <w:gridCol w:w="505"/>
        <w:gridCol w:w="456"/>
        <w:gridCol w:w="2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51172421R000000067491-离退休人员经费（大竹）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5"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38.40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38.40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9"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8"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51172421R000000068124-县级单位在编在职人员经费（事业）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w:t>
            </w:r>
            <w:r>
              <w:rPr>
                <w:rFonts w:ascii="宋体" w:hAnsi="宋体" w:eastAsia="宋体" w:cs="宋体"/>
                <w:i w:val="0"/>
                <w:color w:val="000000"/>
                <w:kern w:val="0"/>
                <w:sz w:val="16"/>
                <w:szCs w:val="16"/>
                <w:u w:val="none"/>
                <w:lang w:val="en-US" w:eastAsia="zh-CN" w:bidi="ar"/>
              </w:rPr>
              <w:t>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51172421R000000068126-基本养老保险（事业）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w:t>
            </w:r>
            <w:r>
              <w:rPr>
                <w:rFonts w:ascii="宋体" w:hAnsi="宋体" w:eastAsia="宋体" w:cs="宋体"/>
                <w:i w:val="0"/>
                <w:color w:val="000000"/>
                <w:kern w:val="0"/>
                <w:sz w:val="16"/>
                <w:szCs w:val="16"/>
                <w:u w:val="none"/>
                <w:lang w:val="en-US" w:eastAsia="zh-CN" w:bidi="ar"/>
              </w:rPr>
              <w:t>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w:t>
            </w:r>
            <w:r>
              <w:rPr>
                <w:rFonts w:ascii="宋体" w:hAnsi="宋体" w:eastAsia="宋体" w:cs="宋体"/>
                <w:i w:val="0"/>
                <w:color w:val="000000"/>
                <w:kern w:val="0"/>
                <w:sz w:val="16"/>
                <w:szCs w:val="16"/>
                <w:u w:val="none"/>
                <w:lang w:val="en-US" w:eastAsia="zh-CN" w:bidi="ar"/>
              </w:rPr>
              <w:t>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45.87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45.87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9"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51172421R000000068127-基本医疗保险（含生育保险）（事业）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w:t>
            </w:r>
            <w:r>
              <w:rPr>
                <w:rFonts w:ascii="宋体" w:hAnsi="宋体" w:eastAsia="宋体" w:cs="宋体"/>
                <w:i w:val="0"/>
                <w:color w:val="000000"/>
                <w:kern w:val="0"/>
                <w:sz w:val="16"/>
                <w:szCs w:val="16"/>
                <w:u w:val="none"/>
                <w:lang w:val="en-US" w:eastAsia="zh-CN" w:bidi="ar"/>
              </w:rPr>
              <w:t>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w:t>
            </w:r>
            <w:r>
              <w:rPr>
                <w:rFonts w:ascii="宋体" w:hAnsi="宋体" w:eastAsia="宋体" w:cs="宋体"/>
                <w:i w:val="0"/>
                <w:color w:val="000000"/>
                <w:kern w:val="0"/>
                <w:sz w:val="16"/>
                <w:szCs w:val="16"/>
                <w:u w:val="none"/>
                <w:lang w:val="en-US" w:eastAsia="zh-CN" w:bidi="ar"/>
              </w:rPr>
              <w:t>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51172421R000000068129-补充医疗保险（事业）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4"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w:t>
            </w:r>
            <w:r>
              <w:rPr>
                <w:rFonts w:ascii="宋体" w:hAnsi="宋体" w:eastAsia="宋体" w:cs="宋体"/>
                <w:i w:val="0"/>
                <w:color w:val="000000"/>
                <w:kern w:val="0"/>
                <w:sz w:val="16"/>
                <w:szCs w:val="16"/>
                <w:u w:val="none"/>
                <w:lang w:val="en-US" w:eastAsia="zh-CN" w:bidi="ar"/>
              </w:rPr>
              <w:t>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w:t>
            </w:r>
            <w:r>
              <w:rPr>
                <w:rFonts w:ascii="宋体" w:hAnsi="宋体" w:eastAsia="宋体" w:cs="宋体"/>
                <w:i w:val="0"/>
                <w:color w:val="000000"/>
                <w:kern w:val="0"/>
                <w:sz w:val="16"/>
                <w:szCs w:val="16"/>
                <w:u w:val="none"/>
                <w:lang w:val="en-US" w:eastAsia="zh-CN" w:bidi="ar"/>
              </w:rPr>
              <w:t>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0"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51172421R000000068130-住房公积金（事业）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严格执行</w:t>
            </w:r>
            <w:r>
              <w:rPr>
                <w:rFonts w:ascii="宋体" w:hAnsi="宋体" w:eastAsia="宋体" w:cs="宋体"/>
                <w:i w:val="0"/>
                <w:color w:val="000000"/>
                <w:kern w:val="0"/>
                <w:sz w:val="16"/>
                <w:szCs w:val="16"/>
                <w:u w:val="none"/>
                <w:lang w:val="en-US" w:eastAsia="zh-CN" w:bidi="ar"/>
              </w:rPr>
              <w:t>相关政策，</w:t>
            </w:r>
            <w:r>
              <w:rPr>
                <w:rFonts w:ascii="宋体" w:hAnsi="宋体" w:eastAsia="宋体" w:cs="宋体"/>
                <w:i w:val="0"/>
                <w:color w:val="000000"/>
                <w:kern w:val="0"/>
                <w:sz w:val="18"/>
                <w:szCs w:val="18"/>
                <w:u w:val="none"/>
                <w:lang w:val="en-US" w:eastAsia="zh-CN" w:bidi="ar"/>
              </w:rPr>
              <w:t>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w:t>
            </w:r>
            <w:r>
              <w:rPr>
                <w:rFonts w:ascii="宋体" w:hAnsi="宋体" w:eastAsia="宋体" w:cs="宋体"/>
                <w:i w:val="0"/>
                <w:color w:val="000000"/>
                <w:kern w:val="0"/>
                <w:sz w:val="15"/>
                <w:szCs w:val="15"/>
                <w:u w:val="none"/>
                <w:lang w:val="en-US" w:eastAsia="zh-CN" w:bidi="ar"/>
              </w:rPr>
              <w:t>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51172421R000000068982-财政认账临时工经费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严格执</w:t>
            </w:r>
            <w:r>
              <w:rPr>
                <w:rFonts w:ascii="宋体" w:hAnsi="宋体" w:eastAsia="宋体" w:cs="宋体"/>
                <w:i w:val="0"/>
                <w:color w:val="000000"/>
                <w:kern w:val="0"/>
                <w:sz w:val="16"/>
                <w:szCs w:val="16"/>
                <w:u w:val="none"/>
                <w:lang w:val="en-US" w:eastAsia="zh-CN" w:bidi="ar"/>
              </w:rPr>
              <w:t>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w:t>
            </w:r>
            <w:r>
              <w:rPr>
                <w:rFonts w:ascii="宋体" w:hAnsi="宋体" w:eastAsia="宋体" w:cs="宋体"/>
                <w:i w:val="0"/>
                <w:color w:val="000000"/>
                <w:kern w:val="0"/>
                <w:sz w:val="16"/>
                <w:szCs w:val="16"/>
                <w:u w:val="none"/>
                <w:lang w:val="en-US" w:eastAsia="zh-CN" w:bidi="ar"/>
              </w:rPr>
              <w:t>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170.22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170.22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51172421Y000000067517-县级单位定额公用经费（事业）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w:t>
            </w:r>
            <w:r>
              <w:rPr>
                <w:rFonts w:ascii="宋体" w:hAnsi="宋体" w:eastAsia="宋体" w:cs="宋体"/>
                <w:i w:val="0"/>
                <w:color w:val="000000"/>
                <w:kern w:val="0"/>
                <w:sz w:val="16"/>
                <w:szCs w:val="16"/>
                <w:u w:val="none"/>
                <w:lang w:val="en-US" w:eastAsia="zh-CN" w:bidi="ar"/>
              </w:rPr>
              <w:t>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44.16</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44.16</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w:t>
            </w:r>
            <w:r>
              <w:rPr>
                <w:rFonts w:ascii="宋体" w:hAnsi="宋体" w:eastAsia="宋体" w:cs="宋体"/>
                <w:i w:val="0"/>
                <w:color w:val="000000"/>
                <w:kern w:val="0"/>
                <w:sz w:val="16"/>
                <w:szCs w:val="16"/>
                <w:u w:val="none"/>
                <w:lang w:val="en-US" w:eastAsia="zh-CN" w:bidi="ar"/>
              </w:rPr>
              <w:t>算编制准确率（计算方法为：∣（执行数-预算数）/预算</w:t>
            </w:r>
            <w:r>
              <w:rPr>
                <w:rFonts w:ascii="宋体" w:hAnsi="宋体" w:eastAsia="宋体" w:cs="宋体"/>
                <w:i w:val="0"/>
                <w:color w:val="000000"/>
                <w:kern w:val="0"/>
                <w:sz w:val="18"/>
                <w:szCs w:val="18"/>
                <w:u w:val="none"/>
                <w:lang w:val="en-US" w:eastAsia="zh-CN" w:bidi="ar"/>
              </w:rPr>
              <w:t>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r>
              <w:rPr>
                <w:rFonts w:ascii="宋体" w:hAnsi="宋体" w:eastAsia="宋体" w:cs="宋体"/>
                <w:i w:val="0"/>
                <w:color w:val="000000"/>
                <w:kern w:val="0"/>
                <w:sz w:val="16"/>
                <w:szCs w:val="16"/>
                <w:u w:val="none"/>
                <w:lang w:val="en-US" w:eastAsia="zh-CN" w:bidi="ar"/>
              </w:rPr>
              <w:t>三公经费</w:t>
            </w:r>
            <w:r>
              <w:rPr>
                <w:rFonts w:ascii="宋体" w:hAnsi="宋体" w:eastAsia="宋体" w:cs="宋体"/>
                <w:i w:val="0"/>
                <w:color w:val="000000"/>
                <w:kern w:val="0"/>
                <w:sz w:val="15"/>
                <w:szCs w:val="15"/>
                <w:u w:val="none"/>
                <w:lang w:val="en-US" w:eastAsia="zh-CN" w:bidi="ar"/>
              </w:rPr>
              <w:t>”控制率[计算方法为：（三公经费实际支出数/预算安排数]×</w:t>
            </w:r>
            <w:r>
              <w:rPr>
                <w:rFonts w:ascii="宋体" w:hAnsi="宋体" w:eastAsia="宋体" w:cs="宋体"/>
                <w:i w:val="0"/>
                <w:color w:val="000000"/>
                <w:kern w:val="0"/>
                <w:sz w:val="16"/>
                <w:szCs w:val="16"/>
                <w:u w:val="none"/>
                <w:lang w:val="en-US" w:eastAsia="zh-CN" w:bidi="ar"/>
              </w:rPr>
              <w:t>1</w:t>
            </w:r>
            <w:r>
              <w:rPr>
                <w:rFonts w:ascii="宋体" w:hAnsi="宋体" w:eastAsia="宋体" w:cs="宋体"/>
                <w:i w:val="0"/>
                <w:color w:val="000000"/>
                <w:kern w:val="0"/>
                <w:sz w:val="18"/>
                <w:szCs w:val="18"/>
                <w:u w:val="none"/>
                <w:lang w:val="en-US" w:eastAsia="zh-CN" w:bidi="ar"/>
              </w:rPr>
              <w:t>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9"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51172421Y000000067526-非定额公用经费（大竹）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r>
              <w:rPr>
                <w:rFonts w:ascii="宋体" w:hAnsi="宋体" w:eastAsia="宋体" w:cs="宋体"/>
                <w:i w:val="0"/>
                <w:color w:val="000000"/>
                <w:kern w:val="0"/>
                <w:sz w:val="16"/>
                <w:szCs w:val="16"/>
                <w:u w:val="none"/>
                <w:lang w:val="en-US" w:eastAsia="zh-CN" w:bidi="ar"/>
              </w:rPr>
              <w:t>.项目实施内容及过程概述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51172421Y000000067530-工会经费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2"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w:t>
            </w:r>
            <w:r>
              <w:rPr>
                <w:rFonts w:ascii="宋体" w:hAnsi="宋体" w:eastAsia="宋体" w:cs="宋体"/>
                <w:i w:val="0"/>
                <w:color w:val="000000"/>
                <w:kern w:val="0"/>
                <w:sz w:val="15"/>
                <w:szCs w:val="15"/>
                <w:u w:val="none"/>
                <w:lang w:val="en-US" w:eastAsia="zh-CN" w:bidi="ar"/>
              </w:rPr>
              <w:t>三公经费”控制率[计算方法为：（三公经费实际支出数/预算安排数]×10</w:t>
            </w:r>
            <w:r>
              <w:rPr>
                <w:rFonts w:ascii="宋体" w:hAnsi="宋体" w:eastAsia="宋体" w:cs="宋体"/>
                <w:i w:val="0"/>
                <w:color w:val="000000"/>
                <w:kern w:val="0"/>
                <w:sz w:val="16"/>
                <w:szCs w:val="16"/>
                <w:u w:val="none"/>
                <w:lang w:val="en-US" w:eastAsia="zh-CN" w:bidi="ar"/>
              </w:rPr>
              <w:t>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9"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51172421Y000000067532-福利费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8"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9"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51172421Y000000067533-党建经费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2"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51172421Y000000067536-公务用车经费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51172422R000000351143-伤残抚恤费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51172422R000005657337-死亡抚恤金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p>
            <w:pPr>
              <w:rPr>
                <w:rFonts w:hint="eastAsia" w:ascii="宋体" w:hAnsi="宋体" w:eastAsia="宋体" w:cs="宋体"/>
                <w:i w:val="0"/>
                <w:color w:val="000000"/>
                <w:sz w:val="18"/>
                <w:szCs w:val="18"/>
                <w:u w:val="none"/>
              </w:rPr>
            </w:pPr>
          </w:p>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51172422T000005483478-公厕管护费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做好26座公厕的日常管理和维修（护）工作。</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r>
              <w:rPr>
                <w:rFonts w:ascii="宋体" w:hAnsi="宋体" w:eastAsia="宋体" w:cs="宋体"/>
                <w:i w:val="0"/>
                <w:color w:val="000000"/>
                <w:kern w:val="0"/>
                <w:sz w:val="16"/>
                <w:szCs w:val="16"/>
                <w:u w:val="none"/>
                <w:lang w:val="en-US" w:eastAsia="zh-CN" w:bidi="ar"/>
              </w:rPr>
              <w:t>.项目实施内容及过程概述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6"/>
                <w:szCs w:val="16"/>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年度清扫保洁维护数量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座</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公厕整洁率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保证每座公厕从6：00-23：00开放</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每座公厕管护费</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5.23</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为低收入低学历人口提供就业机会</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方便了广大老百姓</w:t>
            </w:r>
            <w:r>
              <w:rPr>
                <w:rFonts w:hint="eastAsia" w:ascii="宋体" w:hAnsi="宋体" w:cs="宋体"/>
                <w:i w:val="0"/>
                <w:color w:val="000000"/>
                <w:kern w:val="0"/>
                <w:sz w:val="18"/>
                <w:szCs w:val="18"/>
                <w:u w:val="none"/>
                <w:lang w:val="en-US" w:eastAsia="zh-CN" w:bidi="ar"/>
              </w:rPr>
              <w:t>如</w:t>
            </w:r>
            <w:r>
              <w:rPr>
                <w:rFonts w:ascii="宋体" w:hAnsi="宋体" w:eastAsia="宋体" w:cs="宋体"/>
                <w:i w:val="0"/>
                <w:color w:val="000000"/>
                <w:kern w:val="0"/>
                <w:sz w:val="18"/>
                <w:szCs w:val="18"/>
                <w:u w:val="none"/>
                <w:lang w:val="en-US" w:eastAsia="zh-CN" w:bidi="ar"/>
              </w:rPr>
              <w:t>厕问题</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居民满意度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51172422T000005483531-专用材料费和专用油料费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环卫专用车辆维修费、燃油费、保险费等</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r>
              <w:rPr>
                <w:rFonts w:ascii="宋体" w:hAnsi="宋体" w:eastAsia="宋体" w:cs="宋体"/>
                <w:i w:val="0"/>
                <w:color w:val="000000"/>
                <w:kern w:val="0"/>
                <w:sz w:val="16"/>
                <w:szCs w:val="16"/>
                <w:u w:val="none"/>
                <w:lang w:val="en-US" w:eastAsia="zh-CN" w:bidi="ar"/>
              </w:rPr>
              <w:t>.项目实施内容及过程概述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专用车辆材料费及油料费等</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辆</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保障车辆日常运行</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辆</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维修保养及时</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专用车的日常运行费用</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完成路面、街面卫生干净整洁</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平方千米</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提升居民居住环境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居民满意度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51172422T000005483548-抑尘车运行维护费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环卫抑尘车辆维修、燃油、保险等。</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r>
              <w:rPr>
                <w:rFonts w:ascii="宋体" w:hAnsi="宋体" w:eastAsia="宋体" w:cs="宋体"/>
                <w:i w:val="0"/>
                <w:color w:val="000000"/>
                <w:kern w:val="0"/>
                <w:sz w:val="16"/>
                <w:szCs w:val="16"/>
                <w:u w:val="none"/>
                <w:lang w:val="en-US" w:eastAsia="zh-CN" w:bidi="ar"/>
              </w:rPr>
              <w:t>.项目实施内容及过程概述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5"/>
                <w:szCs w:val="15"/>
                <w:u w:val="single"/>
                <w:lang w:val="en-US" w:eastAsia="zh-CN" w:bidi="ar"/>
              </w:rPr>
              <w:t>1.预算执行率=预算执行数/调整后预算数，预算执行率未达到90%的需说明原因（100字以内）;2.年中发生预算调整的（追加或调减）,应单独说明理由；3.其他资金包括：社会投入资金、银行贷</w:t>
            </w:r>
            <w:r>
              <w:rPr>
                <w:rFonts w:hint="eastAsia" w:ascii="黑体" w:hAnsi="黑体" w:eastAsia="黑体" w:cs="黑体"/>
                <w:i/>
                <w:color w:val="000000"/>
                <w:kern w:val="0"/>
                <w:sz w:val="18"/>
                <w:szCs w:val="18"/>
                <w:u w:val="none"/>
                <w:lang w:val="en-US" w:eastAsia="zh-CN" w:bidi="ar"/>
              </w:rPr>
              <w:t>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9"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降尘面积</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平方米/公里</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降尘成果</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降尘时间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抑尘车运行维护费</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提高城区空气质量</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提升城区居民生活环境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居民满意度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6"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4"/>
                <w:szCs w:val="24"/>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51172422T000005483605-环卫市场化作业经费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21"/>
                <w:szCs w:val="21"/>
                <w:u w:val="none"/>
              </w:rPr>
            </w:pPr>
            <w:r>
              <w:rPr>
                <w:rFonts w:ascii="宋体" w:hAnsi="宋体" w:eastAsia="宋体" w:cs="宋体"/>
                <w:i w:val="0"/>
                <w:color w:val="000000"/>
                <w:kern w:val="0"/>
                <w:sz w:val="21"/>
                <w:szCs w:val="21"/>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3"/>
                <w:szCs w:val="13"/>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依据环卫市场化合同拨付。</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5,686.23</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5,686.23</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4"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清扫保洁面积达210万平方米</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278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3"/>
                <w:szCs w:val="13"/>
                <w:u w:val="none"/>
                <w:lang w:val="en-US" w:eastAsia="zh-CN" w:bidi="ar"/>
              </w:rPr>
              <w:t>公里/平方公里</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保障全城的道路整洁</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全天轮班清扫保洁</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环卫市场化作业经费</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56862275.28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为大量低收入低学历人群提供就业机会</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1042</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人数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生态效益指标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美化环境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公众满意度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6"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51172422T000005631969-退休一次性补贴（存量资金）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51172422T000005660276-工程建设资金（存量资金）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2"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51172422Y000005163761-代管资金支出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提高预算编制质量，严格执行预算，保障单位日常运转。</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5"/>
                <w:szCs w:val="15"/>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6"/>
                <w:szCs w:val="16"/>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2"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51172421R000000067491-离退休人员经费（大竹）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38.40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3"/>
                <w:szCs w:val="13"/>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38.40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51172421R000000068124-县级单位在编在职人员经费（事业）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9"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5"/>
                <w:szCs w:val="15"/>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3"/>
                <w:szCs w:val="13"/>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360.40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368.64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1"/>
                <w:szCs w:val="11"/>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51172421R000000068126-基本养老保险（事业）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1"/>
                <w:szCs w:val="11"/>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45.87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45.87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29.47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51172421R000000068127-基本医疗保险（含生育保险）（事业）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r>
              <w:rPr>
                <w:rFonts w:ascii="宋体" w:hAnsi="宋体" w:eastAsia="宋体" w:cs="宋体"/>
                <w:i w:val="0"/>
                <w:color w:val="000000"/>
                <w:kern w:val="0"/>
                <w:sz w:val="16"/>
                <w:szCs w:val="16"/>
                <w:u w:val="none"/>
                <w:lang w:val="en-US" w:eastAsia="zh-CN" w:bidi="ar"/>
              </w:rPr>
              <w:t>.项目实施内容及过程概述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51172421R000000068129-补充医疗保险（事业）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51172421R000000068130-住房公积金（事业）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43.24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51172421R000000068982-财政认账临时工经费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170.22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3"/>
                <w:szCs w:val="13"/>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170.22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209.56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6"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51172421Y000000067517-县级单位定额公用经费（事业）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44.16</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44.16</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67.65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51172421Y000000067526-非定额公用经费（大竹）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0.50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51172421Y000000067530-工会经费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4.72</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“三公经费”控制率[计算方法为：（三公经费实际支出数/预算安排数]×100%</w:t>
            </w:r>
            <w:r>
              <w:rPr>
                <w:rFonts w:ascii="宋体" w:hAnsi="宋体" w:eastAsia="宋体" w:cs="宋体"/>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5"/>
                <w:szCs w:val="15"/>
                <w:u w:val="none"/>
                <w:lang w:val="en-US" w:eastAsia="zh-CN" w:bidi="ar"/>
              </w:rPr>
              <w:t>存在问</w:t>
            </w:r>
            <w:r>
              <w:rPr>
                <w:rFonts w:ascii="宋体" w:hAnsi="宋体" w:eastAsia="宋体" w:cs="宋体"/>
                <w:i w:val="0"/>
                <w:color w:val="000000"/>
                <w:kern w:val="0"/>
                <w:sz w:val="16"/>
                <w:szCs w:val="16"/>
                <w:u w:val="none"/>
                <w:lang w:val="en-US" w:eastAsia="zh-CN" w:bidi="ar"/>
              </w:rPr>
              <w:t>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0"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51172421Y000000067532-福利费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3"/>
                <w:szCs w:val="13"/>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5.37</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“三公经费”控制率[计算方法为：（三公经费实际支出数/预算安排数]×100%</w:t>
            </w:r>
            <w:r>
              <w:rPr>
                <w:rFonts w:ascii="宋体" w:hAnsi="宋体" w:eastAsia="宋体" w:cs="宋体"/>
                <w:i w:val="0"/>
                <w:color w:val="000000"/>
                <w:kern w:val="0"/>
                <w:sz w:val="18"/>
                <w:szCs w:val="18"/>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2"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51172421Y000000067533-党建经费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3"/>
                <w:szCs w:val="13"/>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5.42</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5.76</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改进措</w:t>
            </w:r>
            <w:r>
              <w:rPr>
                <w:rFonts w:ascii="宋体" w:hAnsi="宋体" w:eastAsia="宋体" w:cs="宋体"/>
                <w:i w:val="0"/>
                <w:color w:val="000000"/>
                <w:kern w:val="0"/>
                <w:sz w:val="18"/>
                <w:szCs w:val="18"/>
                <w:u w:val="none"/>
                <w:lang w:val="en-US" w:eastAsia="zh-CN" w:bidi="ar"/>
              </w:rPr>
              <w:t>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51172421Y000000067536-公务用车经费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1"/>
                <w:szCs w:val="11"/>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保障单位日常运转，提高预算编制质量，严格执行预算</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7.11</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“三公经费”控制率[计算方法为：（三公经费实际支出数/预算安排数]×100%</w:t>
            </w:r>
            <w:r>
              <w:rPr>
                <w:rFonts w:ascii="宋体" w:hAnsi="宋体" w:eastAsia="宋体" w:cs="宋体"/>
                <w:i w:val="0"/>
                <w:color w:val="000000"/>
                <w:kern w:val="0"/>
                <w:sz w:val="21"/>
                <w:szCs w:val="21"/>
                <w:u w:val="none"/>
                <w:lang w:val="en-US" w:eastAsia="zh-CN" w:bidi="ar"/>
              </w:rPr>
              <w:t>）</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存在问</w:t>
            </w:r>
            <w:r>
              <w:rPr>
                <w:rFonts w:ascii="宋体" w:hAnsi="宋体" w:eastAsia="宋体" w:cs="宋体"/>
                <w:i w:val="0"/>
                <w:color w:val="000000"/>
                <w:kern w:val="0"/>
                <w:sz w:val="18"/>
                <w:szCs w:val="18"/>
                <w:u w:val="none"/>
                <w:lang w:val="en-US" w:eastAsia="zh-CN" w:bidi="ar"/>
              </w:rPr>
              <w:t>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51172422R000000351143-伤残抚恤费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严格执行相关政策，保障工资及时发放、足额发放，预算编制科学合理，减少结余资金</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51172422R000005657337-死亡抚恤金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8.87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51172422T000005483478-公厕管护费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做好26座公厕的日常管理和维修（护）工作。</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136.00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年度清扫保洁维护数量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座</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公厕整洁率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保证每座公厕从6：00-23：00开放</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每座公厕管护费</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5.23</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为低收入低学历人口提供就业机会</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59</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方便了广大老百姓</w:t>
            </w:r>
            <w:r>
              <w:rPr>
                <w:rFonts w:hint="eastAsia" w:ascii="宋体" w:hAnsi="宋体" w:cs="宋体"/>
                <w:i w:val="0"/>
                <w:color w:val="000000"/>
                <w:kern w:val="0"/>
                <w:sz w:val="18"/>
                <w:szCs w:val="18"/>
                <w:u w:val="none"/>
                <w:lang w:val="en-US" w:eastAsia="zh-CN" w:bidi="ar"/>
              </w:rPr>
              <w:t>如厕</w:t>
            </w:r>
            <w:r>
              <w:rPr>
                <w:rFonts w:ascii="宋体" w:hAnsi="宋体" w:eastAsia="宋体" w:cs="宋体"/>
                <w:i w:val="0"/>
                <w:color w:val="000000"/>
                <w:kern w:val="0"/>
                <w:sz w:val="18"/>
                <w:szCs w:val="18"/>
                <w:u w:val="none"/>
                <w:lang w:val="en-US" w:eastAsia="zh-CN" w:bidi="ar"/>
              </w:rPr>
              <w:t>问题</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居民满意度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存在问</w:t>
            </w:r>
            <w:r>
              <w:rPr>
                <w:rFonts w:ascii="宋体" w:hAnsi="宋体" w:eastAsia="宋体" w:cs="宋体"/>
                <w:i w:val="0"/>
                <w:color w:val="000000"/>
                <w:kern w:val="0"/>
                <w:sz w:val="18"/>
                <w:szCs w:val="18"/>
                <w:u w:val="none"/>
                <w:lang w:val="en-US" w:eastAsia="zh-CN" w:bidi="ar"/>
              </w:rPr>
              <w:t>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51172422T000005483531-专用材料费和专用油料费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环卫专用车辆维修费、燃油费、保险费等</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18.13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专用车辆材料费及油料费等</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辆</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保障车辆日常运行</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辆</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维修保养及时</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专用车的日常运行费用</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54</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完成路面、街面卫生干净整洁</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2.6</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平方千米</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提升居民居住环境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居民满意度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评价结</w:t>
            </w:r>
            <w:r>
              <w:rPr>
                <w:rFonts w:ascii="宋体" w:hAnsi="宋体" w:eastAsia="宋体" w:cs="宋体"/>
                <w:i w:val="0"/>
                <w:color w:val="000000"/>
                <w:kern w:val="0"/>
                <w:sz w:val="18"/>
                <w:szCs w:val="18"/>
                <w:u w:val="none"/>
                <w:lang w:val="en-US" w:eastAsia="zh-CN" w:bidi="ar"/>
              </w:rPr>
              <w:t>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5"/>
                <w:szCs w:val="15"/>
                <w:u w:val="none"/>
              </w:rPr>
            </w:pPr>
            <w:r>
              <w:rPr>
                <w:rFonts w:ascii="宋体" w:hAnsi="宋体" w:eastAsia="宋体" w:cs="宋体"/>
                <w:i w:val="0"/>
                <w:color w:val="000000"/>
                <w:kern w:val="0"/>
                <w:sz w:val="15"/>
                <w:szCs w:val="15"/>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51172422T000005483548-抑尘车运行维护费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环卫抑尘车辆维修、燃油、保险等。</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降尘面积</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平方米/公里</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降尘成果</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降尘时间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抑尘车运行维护费</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提高城区空气质量</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提升城区居民生活环境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居民满意度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51172422T000005483605-环卫市场化作业经费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依据环卫市场化合同拨付。</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5,686.23</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5,686.23</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4,214.00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清扫保洁面积达210万平方米</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3"/>
                <w:szCs w:val="13"/>
                <w:u w:val="none"/>
                <w:lang w:val="en-US" w:eastAsia="zh-CN" w:bidi="ar"/>
              </w:rPr>
              <w:t>公里/平方公里</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保障全城的道路整洁</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全天轮班清扫保洁</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环卫市场化作业经费</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56862275.28</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为大量低收入低学历人群提供就业机会</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美化环境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51172422T000005631969-退休一次性补贴（存量资金）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rPr>
            </w:pPr>
          </w:p>
          <w:p>
            <w:pPr>
              <w:pStyle w:val="2"/>
              <w:rPr>
                <w:rFonts w:hint="eastAsia"/>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51172422T000005660276-工程建设资金（存量资金）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w:t>
            </w:r>
            <w:r>
              <w:rPr>
                <w:rFonts w:hint="eastAsia" w:ascii="黑体" w:hAnsi="黑体" w:eastAsia="黑体" w:cs="黑体"/>
                <w:i/>
                <w:color w:val="000000"/>
                <w:kern w:val="0"/>
                <w:sz w:val="13"/>
                <w:szCs w:val="13"/>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3.53</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hint="eastAsia"/>
              </w:rPr>
            </w:pPr>
          </w:p>
          <w:p>
            <w:pPr>
              <w:pStyle w:val="2"/>
              <w:rPr>
                <w:rFonts w:hint="eastAsia"/>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51172422Y000005163761-代管资金支出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大竹县环境卫生管理所部门</w:t>
            </w:r>
          </w:p>
        </w:tc>
        <w:tc>
          <w:tcPr>
            <w:tcW w:w="10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3"/>
                <w:szCs w:val="13"/>
                <w:u w:val="none"/>
                <w:lang w:val="en-US" w:eastAsia="zh-CN" w:bidi="ar"/>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大竹县环境卫生管理所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提高预算编制质量，严格执行预算，保障单位日常运转。</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3"/>
                <w:szCs w:val="13"/>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4.09</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1"/>
                <w:szCs w:val="11"/>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5"/>
                <w:szCs w:val="15"/>
                <w:u w:val="none"/>
                <w:lang w:val="en-US" w:eastAsia="zh-CN" w:bidi="ar"/>
              </w:rPr>
              <w:t>存在问</w:t>
            </w:r>
            <w:r>
              <w:rPr>
                <w:rFonts w:ascii="宋体" w:hAnsi="宋体" w:eastAsia="宋体" w:cs="宋体"/>
                <w:i w:val="0"/>
                <w:color w:val="000000"/>
                <w:kern w:val="0"/>
                <w:sz w:val="18"/>
                <w:szCs w:val="18"/>
                <w:u w:val="none"/>
                <w:lang w:val="en-US" w:eastAsia="zh-CN" w:bidi="ar"/>
              </w:rPr>
              <w:t>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6"/>
                <w:szCs w:val="16"/>
                <w:u w:val="none"/>
                <w:lang w:val="en-US" w:eastAsia="zh-CN" w:bidi="ar"/>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spacing w:line="580" w:lineRule="exact"/>
        <w:rPr>
          <w:rFonts w:hint="eastAsia" w:ascii="仿宋_GB2312" w:hAnsi="仿宋_GB2312" w:eastAsia="仿宋_GB2312" w:cs="仿宋_GB2312"/>
          <w:sz w:val="32"/>
          <w:szCs w:val="32"/>
        </w:rPr>
        <w:sectPr>
          <w:pgSz w:w="16838" w:h="11906" w:orient="landscape"/>
          <w:pgMar w:top="1803" w:right="1440" w:bottom="1803" w:left="1440" w:header="851" w:footer="992" w:gutter="0"/>
          <w:pgNumType w:fmt="decimal"/>
          <w:cols w:space="0" w:num="1"/>
          <w:titlePg/>
          <w:rtlGutter w:val="0"/>
          <w:docGrid w:type="lines" w:linePitch="319" w:charSpace="0"/>
        </w:sectPr>
      </w:pPr>
    </w:p>
    <w:p>
      <w:pPr>
        <w:pStyle w:val="2"/>
        <w:rPr>
          <w:rFonts w:hint="eastAsia" w:hAnsi="宋体" w:cs="宋体"/>
          <w:color w:val="auto"/>
          <w:kern w:val="0"/>
          <w:sz w:val="32"/>
          <w:szCs w:val="32"/>
          <w:highlight w:val="none"/>
          <w:shd w:val="clear" w:color="auto" w:fill="FFFFFF"/>
          <w:lang w:val="zh-CN"/>
        </w:rPr>
      </w:pPr>
    </w:p>
    <w:p>
      <w:pPr>
        <w:spacing w:line="600" w:lineRule="exact"/>
        <w:jc w:val="center"/>
        <w:outlineLvl w:val="0"/>
        <w:rPr>
          <w:rFonts w:hint="eastAsia" w:ascii="仿宋" w:hAnsi="仿宋" w:eastAsia="仿宋"/>
          <w:b w:val="0"/>
          <w:color w:val="auto"/>
          <w:highlight w:val="none"/>
        </w:rPr>
      </w:pPr>
      <w:bookmarkStart w:id="53" w:name="_Toc15396618"/>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7"/>
    </w:p>
    <w:p>
      <w:pPr>
        <w:pStyle w:val="4"/>
        <w:rPr>
          <w:rStyle w:val="28"/>
          <w:rFonts w:ascii="仿宋" w:hAnsi="仿宋" w:eastAsia="仿宋"/>
          <w:b w:val="0"/>
          <w:bCs w:val="0"/>
          <w:color w:val="auto"/>
          <w:highlight w:val="none"/>
        </w:rPr>
      </w:pPr>
      <w:bookmarkStart w:id="58"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8"/>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28"/>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28"/>
          <w:rFonts w:hint="eastAsia" w:ascii="仿宋" w:hAnsi="仿宋" w:eastAsia="仿宋"/>
          <w:b w:val="0"/>
          <w:bCs w:val="0"/>
          <w:color w:val="auto"/>
          <w:highlight w:val="none"/>
        </w:rPr>
        <w:t>十二、</w:t>
      </w:r>
      <w:bookmarkEnd w:id="65"/>
      <w:r>
        <w:rPr>
          <w:rStyle w:val="28"/>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28"/>
          <w:rFonts w:hint="eastAsia" w:ascii="仿宋" w:hAnsi="仿宋" w:eastAsia="仿宋"/>
          <w:b w:val="0"/>
          <w:bCs w:val="0"/>
          <w:color w:val="auto"/>
          <w:highlight w:val="none"/>
        </w:rPr>
        <w:t>十三、</w:t>
      </w:r>
      <w:bookmarkEnd w:id="66"/>
      <w:r>
        <w:rPr>
          <w:rStyle w:val="28"/>
          <w:rFonts w:hint="eastAsia" w:ascii="仿宋" w:hAnsi="仿宋" w:eastAsia="仿宋"/>
          <w:b w:val="0"/>
          <w:bCs w:val="0"/>
          <w:color w:val="auto"/>
          <w:highlight w:val="none"/>
          <w:lang w:eastAsia="zh-CN"/>
        </w:rPr>
        <w:t>财政拨款“三公”经费支出决算表</w:t>
      </w:r>
    </w:p>
    <w:sectPr>
      <w:pgSz w:w="11906" w:h="16838"/>
      <w:pgMar w:top="1440" w:right="1803" w:bottom="1440" w:left="1803" w:header="851" w:footer="992" w:gutter="0"/>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B985A"/>
    <w:multiLevelType w:val="singleLevel"/>
    <w:tmpl w:val="C3FB985A"/>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436A90B"/>
    <w:multiLevelType w:val="singleLevel"/>
    <w:tmpl w:val="2436A90B"/>
    <w:lvl w:ilvl="0" w:tentative="0">
      <w:start w:val="1"/>
      <w:numFmt w:val="chineseCounting"/>
      <w:suff w:val="nothing"/>
      <w:lvlText w:val="%1、"/>
      <w:lvlJc w:val="left"/>
      <w:rPr>
        <w:rFonts w:hint="eastAsia"/>
      </w:rPr>
    </w:lvl>
  </w:abstractNum>
  <w:abstractNum w:abstractNumId="5">
    <w:nsid w:val="31F87F54"/>
    <w:multiLevelType w:val="singleLevel"/>
    <w:tmpl w:val="31F87F54"/>
    <w:lvl w:ilvl="0" w:tentative="0">
      <w:start w:val="6"/>
      <w:numFmt w:val="decimal"/>
      <w:lvlText w:val="%1."/>
      <w:lvlJc w:val="left"/>
      <w:pPr>
        <w:tabs>
          <w:tab w:val="left" w:pos="312"/>
        </w:tabs>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MWVmMGNlMTdlN2UxYmMwYmMxNThlYjA5NWZiND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6C55A9"/>
    <w:rsid w:val="016E546E"/>
    <w:rsid w:val="01A76D54"/>
    <w:rsid w:val="02143E91"/>
    <w:rsid w:val="02784973"/>
    <w:rsid w:val="03BE6A8A"/>
    <w:rsid w:val="05371EBA"/>
    <w:rsid w:val="05AF367F"/>
    <w:rsid w:val="066E0107"/>
    <w:rsid w:val="06AB1C59"/>
    <w:rsid w:val="06F375AC"/>
    <w:rsid w:val="07996F6E"/>
    <w:rsid w:val="07C84949"/>
    <w:rsid w:val="07F53D6F"/>
    <w:rsid w:val="08EB4C13"/>
    <w:rsid w:val="098F218B"/>
    <w:rsid w:val="099C4726"/>
    <w:rsid w:val="0A2032A3"/>
    <w:rsid w:val="0B106BE4"/>
    <w:rsid w:val="0B2A0877"/>
    <w:rsid w:val="0B75476C"/>
    <w:rsid w:val="0BBE7073"/>
    <w:rsid w:val="0CAE7C2F"/>
    <w:rsid w:val="0CFA6613"/>
    <w:rsid w:val="0D5D61C3"/>
    <w:rsid w:val="0F98263C"/>
    <w:rsid w:val="0FB35CDC"/>
    <w:rsid w:val="0FC20C49"/>
    <w:rsid w:val="101860EC"/>
    <w:rsid w:val="10C055FF"/>
    <w:rsid w:val="11672DB7"/>
    <w:rsid w:val="118107EC"/>
    <w:rsid w:val="11B073A1"/>
    <w:rsid w:val="13D50BC4"/>
    <w:rsid w:val="15805ED1"/>
    <w:rsid w:val="16BB723D"/>
    <w:rsid w:val="17C62046"/>
    <w:rsid w:val="18D019BE"/>
    <w:rsid w:val="194D7931"/>
    <w:rsid w:val="1A715A9E"/>
    <w:rsid w:val="1BC66E14"/>
    <w:rsid w:val="1BE8440E"/>
    <w:rsid w:val="1C077A0E"/>
    <w:rsid w:val="1D155CEE"/>
    <w:rsid w:val="1D6C3F29"/>
    <w:rsid w:val="1D8E086E"/>
    <w:rsid w:val="1E9B086C"/>
    <w:rsid w:val="1EDC3BE1"/>
    <w:rsid w:val="1F02658F"/>
    <w:rsid w:val="1F7F16E3"/>
    <w:rsid w:val="1FF35744"/>
    <w:rsid w:val="20AE4460"/>
    <w:rsid w:val="23437374"/>
    <w:rsid w:val="23860B96"/>
    <w:rsid w:val="23C40CCC"/>
    <w:rsid w:val="240371BF"/>
    <w:rsid w:val="29FD04D3"/>
    <w:rsid w:val="2C822135"/>
    <w:rsid w:val="2C8A61B5"/>
    <w:rsid w:val="2DD14A33"/>
    <w:rsid w:val="2DF04E50"/>
    <w:rsid w:val="2E0D4614"/>
    <w:rsid w:val="2E291744"/>
    <w:rsid w:val="2F040D46"/>
    <w:rsid w:val="2F766A4C"/>
    <w:rsid w:val="308E2406"/>
    <w:rsid w:val="319F7F4E"/>
    <w:rsid w:val="31C11D8C"/>
    <w:rsid w:val="3304709D"/>
    <w:rsid w:val="33DF365A"/>
    <w:rsid w:val="35843EF7"/>
    <w:rsid w:val="3595618C"/>
    <w:rsid w:val="35BE7160"/>
    <w:rsid w:val="35C93186"/>
    <w:rsid w:val="36AA5135"/>
    <w:rsid w:val="376D39B2"/>
    <w:rsid w:val="37C5117E"/>
    <w:rsid w:val="37E16F03"/>
    <w:rsid w:val="384A01DB"/>
    <w:rsid w:val="38D469F0"/>
    <w:rsid w:val="39131154"/>
    <w:rsid w:val="3A817008"/>
    <w:rsid w:val="3C0F779A"/>
    <w:rsid w:val="3CC27906"/>
    <w:rsid w:val="3D367C1A"/>
    <w:rsid w:val="3D98207C"/>
    <w:rsid w:val="3E78745D"/>
    <w:rsid w:val="3E922031"/>
    <w:rsid w:val="3EB90288"/>
    <w:rsid w:val="3FBF0DA8"/>
    <w:rsid w:val="400E6B78"/>
    <w:rsid w:val="41C24D0D"/>
    <w:rsid w:val="42B21CD0"/>
    <w:rsid w:val="43285C8A"/>
    <w:rsid w:val="43DA20DA"/>
    <w:rsid w:val="44E268DA"/>
    <w:rsid w:val="451C4640"/>
    <w:rsid w:val="45373792"/>
    <w:rsid w:val="46C01F76"/>
    <w:rsid w:val="46D05063"/>
    <w:rsid w:val="47CF1AEB"/>
    <w:rsid w:val="47DE53C0"/>
    <w:rsid w:val="4A627F82"/>
    <w:rsid w:val="4AAA015D"/>
    <w:rsid w:val="4B0E749A"/>
    <w:rsid w:val="4B4F25DA"/>
    <w:rsid w:val="4BE068DB"/>
    <w:rsid w:val="4D577224"/>
    <w:rsid w:val="4E513BF1"/>
    <w:rsid w:val="4EAB630A"/>
    <w:rsid w:val="4ECE2238"/>
    <w:rsid w:val="4FBC7445"/>
    <w:rsid w:val="503E6017"/>
    <w:rsid w:val="505B5585"/>
    <w:rsid w:val="51816A54"/>
    <w:rsid w:val="521E4A0F"/>
    <w:rsid w:val="531C6183"/>
    <w:rsid w:val="537E6D0A"/>
    <w:rsid w:val="5403089F"/>
    <w:rsid w:val="56253AC4"/>
    <w:rsid w:val="57E36D1C"/>
    <w:rsid w:val="5971703B"/>
    <w:rsid w:val="598D40B2"/>
    <w:rsid w:val="5A7C220D"/>
    <w:rsid w:val="5AEC7181"/>
    <w:rsid w:val="5AF92295"/>
    <w:rsid w:val="5B1F114A"/>
    <w:rsid w:val="5CD71FC4"/>
    <w:rsid w:val="5D5C06D9"/>
    <w:rsid w:val="5D992F22"/>
    <w:rsid w:val="5E096A80"/>
    <w:rsid w:val="5F1D0E5A"/>
    <w:rsid w:val="5F4A0CC9"/>
    <w:rsid w:val="5FC6733B"/>
    <w:rsid w:val="623D342D"/>
    <w:rsid w:val="62B20206"/>
    <w:rsid w:val="62FA2950"/>
    <w:rsid w:val="63297820"/>
    <w:rsid w:val="63761A92"/>
    <w:rsid w:val="638865A4"/>
    <w:rsid w:val="644C5A97"/>
    <w:rsid w:val="65B301A3"/>
    <w:rsid w:val="65B858C5"/>
    <w:rsid w:val="65CF019B"/>
    <w:rsid w:val="66DC300A"/>
    <w:rsid w:val="68B96056"/>
    <w:rsid w:val="6A203589"/>
    <w:rsid w:val="6AC03542"/>
    <w:rsid w:val="6C4A05C8"/>
    <w:rsid w:val="6CAE5FC9"/>
    <w:rsid w:val="6CB93A4B"/>
    <w:rsid w:val="6D151ABA"/>
    <w:rsid w:val="6DD2553E"/>
    <w:rsid w:val="6E7E3605"/>
    <w:rsid w:val="6FA6617E"/>
    <w:rsid w:val="6FE831DE"/>
    <w:rsid w:val="6FF5CC65"/>
    <w:rsid w:val="70E16FA5"/>
    <w:rsid w:val="715C0E4B"/>
    <w:rsid w:val="71C94261"/>
    <w:rsid w:val="72050D9E"/>
    <w:rsid w:val="72241215"/>
    <w:rsid w:val="72734D90"/>
    <w:rsid w:val="72742C25"/>
    <w:rsid w:val="72824600"/>
    <w:rsid w:val="73AD73D5"/>
    <w:rsid w:val="73B10933"/>
    <w:rsid w:val="73B6EB34"/>
    <w:rsid w:val="744731E5"/>
    <w:rsid w:val="75DE0BF6"/>
    <w:rsid w:val="762A5F55"/>
    <w:rsid w:val="76A50542"/>
    <w:rsid w:val="76E3355F"/>
    <w:rsid w:val="774533EF"/>
    <w:rsid w:val="778769C8"/>
    <w:rsid w:val="782B204F"/>
    <w:rsid w:val="79EE5BA4"/>
    <w:rsid w:val="7A1D6766"/>
    <w:rsid w:val="7A4C5A2D"/>
    <w:rsid w:val="7A7E728B"/>
    <w:rsid w:val="7A894339"/>
    <w:rsid w:val="7CA57DFA"/>
    <w:rsid w:val="7DDA7072"/>
    <w:rsid w:val="7EEF11D3"/>
    <w:rsid w:val="7F070FBC"/>
    <w:rsid w:val="7F643E01"/>
    <w:rsid w:val="7F8E67E1"/>
    <w:rsid w:val="7FA07597"/>
    <w:rsid w:val="7FA30C79"/>
    <w:rsid w:val="7FB7269E"/>
    <w:rsid w:val="7FC1702A"/>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a:t>
            </a:r>
          </a:p>
        </c:rich>
      </c:tx>
      <c:layout/>
      <c:overlay val="0"/>
      <c:spPr>
        <a:noFill/>
        <a:ln>
          <a:noFill/>
        </a:ln>
        <a:effectLst/>
      </c:spPr>
    </c:title>
    <c:autoTitleDeleted val="0"/>
    <c:plotArea>
      <c:layout>
        <c:manualLayout>
          <c:layoutTarget val="inner"/>
          <c:xMode val="edge"/>
          <c:yMode val="edge"/>
          <c:x val="0.14210129288911"/>
          <c:y val="0.15160529013738"/>
          <c:w val="0.72555"/>
          <c:h val="0.6314"/>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6469.39</c:v>
                </c:pt>
                <c:pt idx="1">
                  <c:v>5179.47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871101605"/>
        <c:axId val="631831646"/>
      </c:barChart>
      <c:catAx>
        <c:axId val="8711016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1831646"/>
        <c:crosses val="autoZero"/>
        <c:auto val="1"/>
        <c:lblAlgn val="ctr"/>
        <c:lblOffset val="100"/>
        <c:noMultiLvlLbl val="0"/>
      </c:catAx>
      <c:valAx>
        <c:axId val="6318316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101605"/>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828.15</c:v>
                </c:pt>
                <c:pt idx="1">
                  <c:v>4325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755.93</c:v>
                </c:pt>
                <c:pt idx="1">
                  <c:v>4423.54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6469.39</c:v>
                </c:pt>
                <c:pt idx="1">
                  <c:v>5179.47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98625952"/>
        <c:axId val="60395322"/>
      </c:barChart>
      <c:catAx>
        <c:axId val="7986259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395322"/>
        <c:crosses val="autoZero"/>
        <c:auto val="1"/>
        <c:lblAlgn val="ctr"/>
        <c:lblOffset val="100"/>
        <c:noMultiLvlLbl val="0"/>
      </c:catAx>
      <c:valAx>
        <c:axId val="603953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8625952"/>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06995"/>
          <c:y val="0.12"/>
          <c:w val="0.927925"/>
          <c:h val="0.716566666666667"/>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2004.34</c:v>
                </c:pt>
                <c:pt idx="1">
                  <c:v>854.47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938652203"/>
        <c:axId val="631495789"/>
      </c:barChart>
      <c:catAx>
        <c:axId val="9386522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1495789"/>
        <c:crosses val="autoZero"/>
        <c:auto val="1"/>
        <c:lblAlgn val="ctr"/>
        <c:lblOffset val="100"/>
        <c:noMultiLvlLbl val="0"/>
      </c:catAx>
      <c:valAx>
        <c:axId val="6314957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652203"/>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一般公共预算财政拨款支出决算结构图</a:t>
            </a:r>
          </a:p>
        </c:rich>
      </c:tx>
      <c:layout>
        <c:manualLayout>
          <c:xMode val="edge"/>
          <c:yMode val="edge"/>
          <c:x val="0.133"/>
          <c:y val="0.0425"/>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189204030134925"/>
                  <c:y val="0.1206371377379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758597389568079"/>
                  <c:y val="0.2450335711799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0839669341910309"/>
                  <c:y val="0.204505286434219"/>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社会保障和就业支出</c:v>
                </c:pt>
                <c:pt idx="1">
                  <c:v>卫生健康支出</c:v>
                </c:pt>
                <c:pt idx="2">
                  <c:v>城乡社区支出</c:v>
                </c:pt>
                <c:pt idx="3">
                  <c:v>住房保障支出</c:v>
                </c:pt>
              </c:strCache>
            </c:strRef>
          </c:cat>
          <c:val>
            <c:numRef>
              <c:f>Sheet1!$B$2:$B$5</c:f>
              <c:numCache>
                <c:formatCode>General</c:formatCode>
                <c:ptCount val="4"/>
                <c:pt idx="0">
                  <c:v>51.74</c:v>
                </c:pt>
                <c:pt idx="1">
                  <c:v>21.52</c:v>
                </c:pt>
                <c:pt idx="2">
                  <c:v>737.97</c:v>
                </c:pt>
                <c:pt idx="3">
                  <c:v>43.24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三公经费财政拨款支出结构图</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1"/>
              <c:layout>
                <c:manualLayout>
                  <c:x val="0.0530486398823926"/>
                  <c:y val="0.17606014608711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0862592472103148"/>
                  <c:y val="0.374841666665059"/>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公务用车购置及运行维护费</c:v>
                </c:pt>
                <c:pt idx="1">
                  <c:v>公务接待费</c:v>
                </c:pt>
                <c:pt idx="2">
                  <c:v>因公出国（境）费</c:v>
                </c:pt>
              </c:strCache>
            </c:strRef>
          </c:cat>
          <c:val>
            <c:numRef>
              <c:f>Sheet1!$B$2:$B$4</c:f>
              <c:numCache>
                <c:formatCode>General</c:formatCode>
                <c:ptCount val="3"/>
                <c:pt idx="0">
                  <c:v>9.18</c:v>
                </c:pt>
                <c:pt idx="1">
                  <c:v>0.89</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3</TotalTime>
  <ScaleCrop>false</ScaleCrop>
  <LinksUpToDate>false</LinksUpToDate>
  <CharactersWithSpaces>8692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2023-10-10T07:31:59Z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F968D5007C8F4957B5BC2998E0C1FB52_12</vt:lpwstr>
  </property>
</Properties>
</file>