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bookmarkStart w:id="1" w:name="_Toc18508"/>
      <w:bookmarkStart w:id="2" w:name="_Toc16797"/>
      <w:bookmarkStart w:id="3" w:name="_Toc4028"/>
      <w:bookmarkStart w:id="4" w:name="_Toc15396597"/>
      <w:bookmarkStart w:id="5" w:name="_Toc15377425"/>
      <w:bookmarkStart w:id="6" w:name="_Toc15378441"/>
      <w:bookmarkStart w:id="7" w:name="_Toc15377193"/>
      <w:bookmarkStart w:id="8" w:name="_Toc15396475"/>
      <w:bookmarkStart w:id="9" w:name="_Toc25579"/>
      <w:r>
        <w:rPr>
          <w:rFonts w:ascii="黑体" w:hAnsi="黑体" w:eastAsia="黑体"/>
          <w:color w:val="000000"/>
          <w:sz w:val="72"/>
          <w:szCs w:val="72"/>
        </w:rPr>
        <w:t>20</w:t>
      </w:r>
      <w:r>
        <w:rPr>
          <w:rFonts w:hint="eastAsia" w:ascii="黑体" w:hAnsi="黑体" w:eastAsia="黑体"/>
          <w:color w:val="000000"/>
          <w:sz w:val="72"/>
          <w:szCs w:val="72"/>
        </w:rPr>
        <w:t>21年度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宋体" w:eastAsia="方正小标宋简体"/>
          <w:color w:val="000000"/>
          <w:sz w:val="72"/>
          <w:szCs w:val="72"/>
        </w:rPr>
      </w:pPr>
      <w:bookmarkStart w:id="10" w:name="_Toc6291"/>
      <w:bookmarkStart w:id="11" w:name="_Toc15377194"/>
      <w:bookmarkStart w:id="12" w:name="_Toc15378442"/>
      <w:bookmarkStart w:id="13" w:name="_Toc8937"/>
      <w:bookmarkStart w:id="14" w:name="_Toc8234"/>
      <w:bookmarkStart w:id="15" w:name="_Toc23765"/>
      <w:bookmarkStart w:id="16" w:name="_Toc15396598"/>
      <w:bookmarkStart w:id="17" w:name="_Toc15377426"/>
      <w:bookmarkStart w:id="18" w:name="_Toc15396476"/>
      <w:r>
        <w:rPr>
          <w:rFonts w:hint="eastAsia" w:ascii="方正小标宋简体" w:hAnsi="宋体" w:eastAsia="方正小标宋简体"/>
          <w:color w:val="000000"/>
          <w:sz w:val="72"/>
          <w:szCs w:val="72"/>
        </w:rPr>
        <w:t>大竹县</w:t>
      </w:r>
      <w:bookmarkEnd w:id="0"/>
      <w:bookmarkStart w:id="19" w:name="_Toc15306268"/>
      <w:r>
        <w:rPr>
          <w:rFonts w:hint="eastAsia" w:ascii="方正小标宋简体" w:hAnsi="宋体" w:eastAsia="方正小标宋简体"/>
          <w:color w:val="000000"/>
          <w:sz w:val="72"/>
          <w:szCs w:val="72"/>
        </w:rPr>
        <w:t>观音镇白坝学校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10"/>
      <w:bookmarkEnd w:id="11"/>
      <w:bookmarkEnd w:id="12"/>
      <w:bookmarkEnd w:id="13"/>
      <w:bookmarkEnd w:id="14"/>
      <w:bookmarkEnd w:id="15"/>
      <w:bookmarkEnd w:id="16"/>
      <w:bookmarkEnd w:id="17"/>
      <w:bookmarkEnd w:id="18"/>
      <w:bookmarkEnd w:id="19"/>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公开时间：2022年9月9日</w:t>
      </w:r>
    </w:p>
    <w:p/>
    <w:sdt>
      <w:sdtPr>
        <w:rPr>
          <w:rFonts w:ascii="宋体" w:hAnsi="宋体"/>
        </w:rPr>
        <w:id w:val="147480905"/>
        <w:docPartObj>
          <w:docPartGallery w:val="Table of Contents"/>
          <w:docPartUnique/>
        </w:docPartObj>
      </w:sdtPr>
      <w:sdtEndPr>
        <w:rPr>
          <w:rFonts w:ascii="仿宋" w:hAnsi="仿宋" w:eastAsia="仿宋"/>
          <w:sz w:val="28"/>
          <w:szCs w:val="28"/>
        </w:rPr>
      </w:sdtEndPr>
      <w:sdtContent>
        <w:p>
          <w:pPr>
            <w:jc w:val="center"/>
          </w:pPr>
          <w:r>
            <w:rPr>
              <w:sz w:val="24"/>
            </w:rPr>
            <w:fldChar w:fldCharType="begin"/>
          </w:r>
          <w:r>
            <w:rPr>
              <w:sz w:val="24"/>
            </w:rPr>
            <w:instrText xml:space="preserve">TOC \o "1-3" \h \u </w:instrText>
          </w:r>
          <w:r>
            <w:rPr>
              <w:sz w:val="24"/>
            </w:rPr>
            <w:fldChar w:fldCharType="separate"/>
          </w:r>
        </w:p>
        <w:p>
          <w:pPr>
            <w:pStyle w:val="11"/>
            <w:tabs>
              <w:tab w:val="right" w:leader="dot" w:pos="8306"/>
              <w:tab w:val="clear" w:pos="8296"/>
            </w:tabs>
            <w:rPr>
              <w:sz w:val="30"/>
              <w:szCs w:val="30"/>
            </w:rPr>
          </w:pPr>
          <w:r>
            <w:fldChar w:fldCharType="begin"/>
          </w:r>
          <w:r>
            <w:instrText xml:space="preserve"> HYPERLINK \l "_Toc2597" </w:instrText>
          </w:r>
          <w:r>
            <w:fldChar w:fldCharType="separate"/>
          </w:r>
          <w:r>
            <w:rPr>
              <w:rFonts w:hint="eastAsia"/>
              <w:sz w:val="30"/>
              <w:szCs w:val="30"/>
            </w:rPr>
            <w:t>第一部分 部门概况</w:t>
          </w:r>
          <w:r>
            <w:rPr>
              <w:sz w:val="30"/>
              <w:szCs w:val="30"/>
            </w:rPr>
            <w:tab/>
          </w:r>
          <w:r>
            <w:rPr>
              <w:sz w:val="30"/>
              <w:szCs w:val="30"/>
            </w:rPr>
            <w:fldChar w:fldCharType="begin"/>
          </w:r>
          <w:r>
            <w:rPr>
              <w:sz w:val="30"/>
              <w:szCs w:val="30"/>
            </w:rPr>
            <w:instrText xml:space="preserve"> PAGEREF _Toc2597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"_Toc15469" </w:instrText>
          </w:r>
          <w:r>
            <w:fldChar w:fldCharType="separate"/>
          </w:r>
          <w:r>
            <w:rPr>
              <w:rFonts w:hint="eastAsia" w:ascii="黑体" w:hAnsi="黑体" w:eastAsia="黑体"/>
              <w:sz w:val="30"/>
              <w:szCs w:val="30"/>
            </w:rPr>
            <w:t>一、职能简介</w:t>
          </w:r>
          <w:r>
            <w:rPr>
              <w:sz w:val="30"/>
              <w:szCs w:val="30"/>
            </w:rPr>
            <w:tab/>
          </w:r>
          <w:r>
            <w:rPr>
              <w:sz w:val="30"/>
              <w:szCs w:val="30"/>
            </w:rPr>
            <w:fldChar w:fldCharType="begin"/>
          </w:r>
          <w:r>
            <w:rPr>
              <w:sz w:val="30"/>
              <w:szCs w:val="30"/>
            </w:rPr>
            <w:instrText xml:space="preserve"> PAGEREF _Toc15469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"_Toc17938" </w:instrText>
          </w:r>
          <w:r>
            <w:fldChar w:fldCharType="separate"/>
          </w:r>
          <w:r>
            <w:rPr>
              <w:rFonts w:hint="eastAsia" w:ascii="黑体" w:hAnsi="黑体" w:eastAsia="黑体" w:cstheme="majorBidi"/>
              <w:bCs/>
              <w:sz w:val="30"/>
              <w:szCs w:val="30"/>
            </w:rPr>
            <w:t>二、</w:t>
          </w:r>
          <w:r>
            <w:rPr>
              <w:rFonts w:ascii="仿宋" w:hAnsi="仿宋" w:eastAsia="仿宋"/>
              <w:bCs/>
              <w:sz w:val="30"/>
              <w:szCs w:val="30"/>
            </w:rPr>
            <w:t>20</w:t>
          </w:r>
          <w:r>
            <w:rPr>
              <w:rFonts w:hint="eastAsia" w:ascii="仿宋" w:hAnsi="仿宋" w:eastAsia="仿宋"/>
              <w:bCs/>
              <w:sz w:val="30"/>
              <w:szCs w:val="30"/>
            </w:rPr>
            <w:t>21年重点工作完成情况。</w:t>
          </w:r>
          <w:r>
            <w:rPr>
              <w:sz w:val="30"/>
              <w:szCs w:val="30"/>
            </w:rPr>
            <w:tab/>
          </w:r>
          <w:r>
            <w:rPr>
              <w:sz w:val="30"/>
              <w:szCs w:val="30"/>
            </w:rPr>
            <w:fldChar w:fldCharType="begin"/>
          </w:r>
          <w:r>
            <w:rPr>
              <w:sz w:val="30"/>
              <w:szCs w:val="30"/>
            </w:rPr>
            <w:instrText xml:space="preserve"> PAGEREF _Toc17938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1"/>
            <w:tabs>
              <w:tab w:val="right" w:leader="dot" w:pos="8306"/>
              <w:tab w:val="clear" w:pos="8296"/>
            </w:tabs>
            <w:rPr>
              <w:sz w:val="30"/>
              <w:szCs w:val="30"/>
            </w:rPr>
          </w:pPr>
          <w:r>
            <w:fldChar w:fldCharType="begin"/>
          </w:r>
          <w:r>
            <w:instrText xml:space="preserve"> HYPERLINK \l "_Toc32345" </w:instrText>
          </w:r>
          <w:r>
            <w:fldChar w:fldCharType="separate"/>
          </w:r>
          <w:r>
            <w:rPr>
              <w:rFonts w:hint="eastAsia" w:ascii="黑体" w:hAnsi="黑体" w:eastAsia="黑体"/>
              <w:sz w:val="30"/>
              <w:szCs w:val="30"/>
            </w:rPr>
            <w:t>第二部分 2021年度部门决算情况说明</w:t>
          </w:r>
          <w:r>
            <w:rPr>
              <w:sz w:val="30"/>
              <w:szCs w:val="30"/>
            </w:rPr>
            <w:tab/>
          </w:r>
          <w:r>
            <w:rPr>
              <w:sz w:val="30"/>
              <w:szCs w:val="30"/>
            </w:rPr>
            <w:fldChar w:fldCharType="begin"/>
          </w:r>
          <w:r>
            <w:rPr>
              <w:sz w:val="30"/>
              <w:szCs w:val="30"/>
            </w:rPr>
            <w:instrText xml:space="preserve"> PAGEREF _Toc32345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"_Toc29137" </w:instrText>
          </w:r>
          <w:r>
            <w:fldChar w:fldCharType="separate"/>
          </w:r>
          <w:r>
            <w:rPr>
              <w:rFonts w:ascii="黑体" w:hAnsi="黑体" w:eastAsia="黑体"/>
              <w:sz w:val="30"/>
              <w:szCs w:val="30"/>
            </w:rPr>
            <w:t xml:space="preserve">一、 </w:t>
          </w:r>
          <w:r>
            <w:rPr>
              <w:rFonts w:hint="eastAsia" w:ascii="黑体" w:hAnsi="黑体" w:eastAsia="黑体"/>
              <w:sz w:val="30"/>
              <w:szCs w:val="30"/>
            </w:rPr>
            <w:t>收入支出决算总体情况说明</w:t>
          </w:r>
          <w:r>
            <w:rPr>
              <w:sz w:val="30"/>
              <w:szCs w:val="30"/>
            </w:rPr>
            <w:tab/>
          </w:r>
          <w:r>
            <w:rPr>
              <w:sz w:val="30"/>
              <w:szCs w:val="30"/>
            </w:rPr>
            <w:fldChar w:fldCharType="begin"/>
          </w:r>
          <w:r>
            <w:rPr>
              <w:sz w:val="30"/>
              <w:szCs w:val="30"/>
            </w:rPr>
            <w:instrText xml:space="preserve"> PAGEREF _Toc29137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"_Toc11954" </w:instrText>
          </w:r>
          <w:r>
            <w:fldChar w:fldCharType="separate"/>
          </w:r>
          <w:r>
            <w:rPr>
              <w:rFonts w:ascii="黑体" w:hAnsi="黑体" w:eastAsia="黑体"/>
              <w:sz w:val="30"/>
              <w:szCs w:val="30"/>
            </w:rPr>
            <w:t xml:space="preserve">二、 </w:t>
          </w:r>
          <w:r>
            <w:rPr>
              <w:rFonts w:hint="eastAsia" w:ascii="黑体" w:hAnsi="黑体" w:eastAsia="黑体"/>
              <w:sz w:val="30"/>
              <w:szCs w:val="30"/>
            </w:rPr>
            <w:t>收入决算情况说明</w:t>
          </w:r>
          <w:r>
            <w:rPr>
              <w:sz w:val="30"/>
              <w:szCs w:val="30"/>
            </w:rPr>
            <w:tab/>
          </w:r>
          <w:r>
            <w:rPr>
              <w:sz w:val="30"/>
              <w:szCs w:val="30"/>
            </w:rPr>
            <w:fldChar w:fldCharType="begin"/>
          </w:r>
          <w:r>
            <w:rPr>
              <w:sz w:val="30"/>
              <w:szCs w:val="30"/>
            </w:rPr>
            <w:instrText xml:space="preserve"> PAGEREF _Toc11954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"_Toc11686" </w:instrText>
          </w:r>
          <w:r>
            <w:fldChar w:fldCharType="separate"/>
          </w:r>
          <w:r>
            <w:rPr>
              <w:rFonts w:ascii="黑体" w:hAnsi="黑体" w:eastAsia="黑体"/>
              <w:sz w:val="30"/>
              <w:szCs w:val="30"/>
            </w:rPr>
            <w:t xml:space="preserve">三、 </w:t>
          </w:r>
          <w:r>
            <w:rPr>
              <w:rFonts w:hint="eastAsia" w:ascii="黑体" w:hAnsi="黑体" w:eastAsia="黑体"/>
              <w:sz w:val="30"/>
              <w:szCs w:val="30"/>
            </w:rPr>
            <w:t>支出决算情况说明</w:t>
          </w:r>
          <w:r>
            <w:rPr>
              <w:sz w:val="30"/>
              <w:szCs w:val="30"/>
            </w:rPr>
            <w:tab/>
          </w:r>
          <w:r>
            <w:rPr>
              <w:sz w:val="30"/>
              <w:szCs w:val="30"/>
            </w:rPr>
            <w:fldChar w:fldCharType="begin"/>
          </w:r>
          <w:r>
            <w:rPr>
              <w:sz w:val="30"/>
              <w:szCs w:val="30"/>
            </w:rPr>
            <w:instrText xml:space="preserve"> PAGEREF _Toc11686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"_Toc23987" </w:instrText>
          </w:r>
          <w:r>
            <w:fldChar w:fldCharType="separate"/>
          </w:r>
          <w:r>
            <w:rPr>
              <w:rFonts w:hint="eastAsia" w:ascii="黑体" w:hAnsi="黑体" w:eastAsia="黑体"/>
              <w:sz w:val="30"/>
              <w:szCs w:val="30"/>
            </w:rPr>
            <w:t>四、财政拨款收入支出决算总体情况说明</w:t>
          </w:r>
          <w:r>
            <w:rPr>
              <w:sz w:val="30"/>
              <w:szCs w:val="30"/>
            </w:rPr>
            <w:tab/>
          </w:r>
          <w:r>
            <w:rPr>
              <w:sz w:val="30"/>
              <w:szCs w:val="30"/>
            </w:rPr>
            <w:fldChar w:fldCharType="begin"/>
          </w:r>
          <w:r>
            <w:rPr>
              <w:sz w:val="30"/>
              <w:szCs w:val="30"/>
            </w:rPr>
            <w:instrText xml:space="preserve"> PAGEREF _Toc23987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"_Toc7616" </w:instrText>
          </w:r>
          <w:r>
            <w:fldChar w:fldCharType="separate"/>
          </w:r>
          <w:r>
            <w:rPr>
              <w:rFonts w:hint="eastAsia" w:ascii="黑体" w:hAnsi="黑体" w:eastAsia="黑体"/>
              <w:sz w:val="30"/>
              <w:szCs w:val="30"/>
            </w:rPr>
            <w:t>五、一般公共预算财政拨款支出决算情况说明</w:t>
          </w:r>
          <w:r>
            <w:rPr>
              <w:sz w:val="30"/>
              <w:szCs w:val="30"/>
            </w:rPr>
            <w:tab/>
          </w:r>
          <w:r>
            <w:rPr>
              <w:sz w:val="30"/>
              <w:szCs w:val="30"/>
            </w:rPr>
            <w:fldChar w:fldCharType="begin"/>
          </w:r>
          <w:r>
            <w:rPr>
              <w:sz w:val="30"/>
              <w:szCs w:val="30"/>
            </w:rPr>
            <w:instrText xml:space="preserve"> PAGEREF _Toc7616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"_Toc27674" </w:instrText>
          </w:r>
          <w:r>
            <w:fldChar w:fldCharType="separate"/>
          </w:r>
          <w:r>
            <w:rPr>
              <w:rFonts w:hint="eastAsia" w:ascii="黑体" w:eastAsia="黑体"/>
              <w:sz w:val="30"/>
              <w:szCs w:val="30"/>
            </w:rPr>
            <w:t>六、</w:t>
          </w:r>
          <w:r>
            <w:rPr>
              <w:rFonts w:hint="eastAsia" w:ascii="黑体" w:hAnsi="黑体" w:eastAsia="黑体"/>
              <w:sz w:val="30"/>
              <w:szCs w:val="30"/>
            </w:rPr>
            <w:t>一般公共预算财政拨款基本支出决算情况说明</w:t>
          </w:r>
          <w:r>
            <w:rPr>
              <w:sz w:val="30"/>
              <w:szCs w:val="30"/>
            </w:rPr>
            <w:tab/>
          </w:r>
          <w:r>
            <w:rPr>
              <w:sz w:val="30"/>
              <w:szCs w:val="30"/>
            </w:rPr>
            <w:fldChar w:fldCharType="begin"/>
          </w:r>
          <w:r>
            <w:rPr>
              <w:sz w:val="30"/>
              <w:szCs w:val="30"/>
            </w:rPr>
            <w:instrText xml:space="preserve"> PAGEREF _Toc27674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"_Toc23920" </w:instrText>
          </w:r>
          <w:r>
            <w:fldChar w:fldCharType="separate"/>
          </w:r>
          <w:r>
            <w:rPr>
              <w:rFonts w:hint="eastAsia" w:ascii="黑体" w:eastAsia="黑体"/>
              <w:sz w:val="30"/>
              <w:szCs w:val="30"/>
            </w:rPr>
            <w:t>七、</w:t>
          </w:r>
          <w:r>
            <w:rPr>
              <w:rFonts w:hint="eastAsia" w:ascii="黑体" w:hAnsi="黑体" w:eastAsia="黑体"/>
              <w:sz w:val="30"/>
              <w:szCs w:val="30"/>
            </w:rPr>
            <w:t>“三公”经费财政拨款支出决算情况说明</w:t>
          </w:r>
          <w:r>
            <w:rPr>
              <w:sz w:val="30"/>
              <w:szCs w:val="30"/>
            </w:rPr>
            <w:tab/>
          </w:r>
          <w:r>
            <w:rPr>
              <w:sz w:val="30"/>
              <w:szCs w:val="30"/>
            </w:rPr>
            <w:fldChar w:fldCharType="begin"/>
          </w:r>
          <w:r>
            <w:rPr>
              <w:sz w:val="30"/>
              <w:szCs w:val="30"/>
            </w:rPr>
            <w:instrText xml:space="preserve"> PAGEREF _Toc23920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"_Toc19698" </w:instrText>
          </w:r>
          <w:r>
            <w:fldChar w:fldCharType="separate"/>
          </w:r>
          <w:r>
            <w:rPr>
              <w:rFonts w:hint="eastAsia" w:ascii="黑体" w:eastAsia="黑体"/>
              <w:sz w:val="30"/>
              <w:szCs w:val="30"/>
            </w:rPr>
            <w:t>八、</w:t>
          </w:r>
          <w:r>
            <w:rPr>
              <w:rFonts w:hint="eastAsia" w:ascii="黑体" w:hAnsi="黑体" w:eastAsia="黑体"/>
              <w:sz w:val="30"/>
              <w:szCs w:val="30"/>
            </w:rPr>
            <w:t>政府性基金预算支出决算情况说明</w:t>
          </w:r>
          <w:r>
            <w:rPr>
              <w:sz w:val="30"/>
              <w:szCs w:val="30"/>
            </w:rPr>
            <w:tab/>
          </w:r>
          <w:r>
            <w:rPr>
              <w:sz w:val="30"/>
              <w:szCs w:val="30"/>
            </w:rPr>
            <w:fldChar w:fldCharType="begin"/>
          </w:r>
          <w:r>
            <w:rPr>
              <w:sz w:val="30"/>
              <w:szCs w:val="30"/>
            </w:rPr>
            <w:instrText xml:space="preserve"> PAGEREF _Toc19698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"_Toc602" </w:instrText>
          </w:r>
          <w:r>
            <w:fldChar w:fldCharType="separate"/>
          </w:r>
          <w:r>
            <w:rPr>
              <w:rFonts w:hint="eastAsia" w:ascii="黑体" w:hAnsi="黑体" w:eastAsia="黑体"/>
              <w:sz w:val="30"/>
              <w:szCs w:val="30"/>
            </w:rPr>
            <w:t>九、 国有资本经营预算支出决算情况说明</w:t>
          </w:r>
          <w:r>
            <w:rPr>
              <w:sz w:val="30"/>
              <w:szCs w:val="30"/>
            </w:rPr>
            <w:tab/>
          </w:r>
          <w:r>
            <w:rPr>
              <w:sz w:val="30"/>
              <w:szCs w:val="30"/>
            </w:rPr>
            <w:fldChar w:fldCharType="begin"/>
          </w:r>
          <w:r>
            <w:rPr>
              <w:sz w:val="30"/>
              <w:szCs w:val="30"/>
            </w:rPr>
            <w:instrText xml:space="preserve"> PAGEREF _Toc602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"_Toc27214" </w:instrText>
          </w:r>
          <w:r>
            <w:fldChar w:fldCharType="separate"/>
          </w:r>
          <w:r>
            <w:rPr>
              <w:rFonts w:hint="eastAsia"/>
              <w:sz w:val="30"/>
              <w:szCs w:val="30"/>
            </w:rPr>
            <w:t>十、其他重要事项的情况说明</w:t>
          </w:r>
          <w:r>
            <w:rPr>
              <w:sz w:val="30"/>
              <w:szCs w:val="30"/>
            </w:rPr>
            <w:tab/>
          </w:r>
          <w:r>
            <w:rPr>
              <w:sz w:val="30"/>
              <w:szCs w:val="30"/>
            </w:rPr>
            <w:fldChar w:fldCharType="begin"/>
          </w:r>
          <w:r>
            <w:rPr>
              <w:sz w:val="30"/>
              <w:szCs w:val="30"/>
            </w:rPr>
            <w:instrText xml:space="preserve"> PAGEREF _Toc27214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1"/>
            <w:tabs>
              <w:tab w:val="right" w:leader="dot" w:pos="8306"/>
              <w:tab w:val="clear" w:pos="8296"/>
            </w:tabs>
            <w:rPr>
              <w:sz w:val="30"/>
              <w:szCs w:val="30"/>
            </w:rPr>
          </w:pPr>
          <w:r>
            <w:fldChar w:fldCharType="begin"/>
          </w:r>
          <w:r>
            <w:instrText xml:space="preserve"> HYPERLINK \l "_Toc5253" </w:instrText>
          </w:r>
          <w:r>
            <w:fldChar w:fldCharType="separate"/>
          </w:r>
          <w:r>
            <w:rPr>
              <w:rFonts w:hint="eastAsia" w:ascii="黑体" w:hAnsi="黑体" w:eastAsia="黑体"/>
              <w:sz w:val="30"/>
              <w:szCs w:val="30"/>
            </w:rPr>
            <w:t>第三部分 名词解释</w:t>
          </w:r>
          <w:r>
            <w:rPr>
              <w:sz w:val="30"/>
              <w:szCs w:val="30"/>
            </w:rPr>
            <w:tab/>
          </w:r>
          <w:r>
            <w:rPr>
              <w:sz w:val="30"/>
              <w:szCs w:val="30"/>
            </w:rPr>
            <w:fldChar w:fldCharType="begin"/>
          </w:r>
          <w:r>
            <w:rPr>
              <w:sz w:val="30"/>
              <w:szCs w:val="30"/>
            </w:rPr>
            <w:instrText xml:space="preserve"> PAGEREF _Toc5253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1"/>
            <w:tabs>
              <w:tab w:val="right" w:leader="dot" w:pos="8306"/>
              <w:tab w:val="clear" w:pos="8296"/>
            </w:tabs>
            <w:rPr>
              <w:sz w:val="30"/>
              <w:szCs w:val="30"/>
            </w:rPr>
          </w:pPr>
          <w:r>
            <w:fldChar w:fldCharType="begin"/>
          </w:r>
          <w:r>
            <w:instrText xml:space="preserve"> HYPERLINK \l "_Toc10519" </w:instrText>
          </w:r>
          <w:r>
            <w:fldChar w:fldCharType="separate"/>
          </w:r>
          <w:r>
            <w:rPr>
              <w:rFonts w:hint="eastAsia" w:ascii="黑体" w:hAnsi="黑体" w:eastAsia="黑体"/>
              <w:sz w:val="30"/>
              <w:szCs w:val="30"/>
            </w:rPr>
            <w:t>第四部分 附件</w:t>
          </w:r>
          <w:r>
            <w:rPr>
              <w:sz w:val="30"/>
              <w:szCs w:val="30"/>
            </w:rPr>
            <w:tab/>
          </w:r>
          <w:r>
            <w:rPr>
              <w:sz w:val="30"/>
              <w:szCs w:val="30"/>
            </w:rPr>
            <w:fldChar w:fldCharType="begin"/>
          </w:r>
          <w:r>
            <w:rPr>
              <w:sz w:val="30"/>
              <w:szCs w:val="30"/>
            </w:rPr>
            <w:instrText xml:space="preserve"> PAGEREF _Toc10519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1"/>
            <w:tabs>
              <w:tab w:val="right" w:leader="dot" w:pos="8306"/>
              <w:tab w:val="clear" w:pos="8296"/>
            </w:tabs>
            <w:rPr>
              <w:sz w:val="30"/>
              <w:szCs w:val="30"/>
            </w:rPr>
          </w:pPr>
          <w:r>
            <w:fldChar w:fldCharType="begin"/>
          </w:r>
          <w:r>
            <w:instrText xml:space="preserve"> HYPERLINK \l "_Toc311" </w:instrText>
          </w:r>
          <w:r>
            <w:fldChar w:fldCharType="separate"/>
          </w:r>
          <w:r>
            <w:rPr>
              <w:rFonts w:hint="eastAsia" w:ascii="黑体" w:hAnsi="黑体" w:eastAsia="黑体"/>
              <w:sz w:val="30"/>
              <w:szCs w:val="30"/>
            </w:rPr>
            <w:t>第五部分 附表</w:t>
          </w:r>
          <w:r>
            <w:rPr>
              <w:sz w:val="30"/>
              <w:szCs w:val="30"/>
            </w:rPr>
            <w:tab/>
          </w:r>
          <w:r>
            <w:rPr>
              <w:sz w:val="30"/>
              <w:szCs w:val="30"/>
            </w:rPr>
            <w:fldChar w:fldCharType="begin"/>
          </w:r>
          <w:r>
            <w:rPr>
              <w:sz w:val="30"/>
              <w:szCs w:val="30"/>
            </w:rPr>
            <w:instrText xml:space="preserve"> PAGEREF _Toc311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"_Toc14888" </w:instrText>
          </w:r>
          <w:r>
            <w:fldChar w:fldCharType="separate"/>
          </w:r>
          <w:r>
            <w:rPr>
              <w:rFonts w:hint="eastAsia" w:ascii="仿宋" w:hAnsi="仿宋" w:eastAsia="仿宋"/>
              <w:sz w:val="30"/>
              <w:szCs w:val="30"/>
            </w:rPr>
            <w:t>一、收入支出决算总表</w:t>
          </w:r>
          <w:r>
            <w:rPr>
              <w:sz w:val="30"/>
              <w:szCs w:val="30"/>
            </w:rPr>
            <w:tab/>
          </w:r>
          <w:r>
            <w:rPr>
              <w:sz w:val="30"/>
              <w:szCs w:val="30"/>
            </w:rPr>
            <w:fldChar w:fldCharType="begin"/>
          </w:r>
          <w:r>
            <w:rPr>
              <w:sz w:val="30"/>
              <w:szCs w:val="30"/>
            </w:rPr>
            <w:instrText xml:space="preserve"> PAGEREF _Toc14888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"_Toc16323" </w:instrText>
          </w:r>
          <w:r>
            <w:fldChar w:fldCharType="separate"/>
          </w:r>
          <w:r>
            <w:rPr>
              <w:rFonts w:hint="eastAsia" w:ascii="仿宋" w:hAnsi="仿宋" w:eastAsia="仿宋"/>
              <w:sz w:val="30"/>
              <w:szCs w:val="30"/>
            </w:rPr>
            <w:t>二、收入决算表</w:t>
          </w:r>
          <w:r>
            <w:rPr>
              <w:sz w:val="30"/>
              <w:szCs w:val="30"/>
            </w:rPr>
            <w:tab/>
          </w:r>
          <w:r>
            <w:rPr>
              <w:sz w:val="30"/>
              <w:szCs w:val="30"/>
            </w:rPr>
            <w:fldChar w:fldCharType="begin"/>
          </w:r>
          <w:r>
            <w:rPr>
              <w:sz w:val="30"/>
              <w:szCs w:val="30"/>
            </w:rPr>
            <w:instrText xml:space="preserve"> PAGEREF _Toc16323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"_Toc25944" </w:instrText>
          </w:r>
          <w:r>
            <w:fldChar w:fldCharType="separate"/>
          </w:r>
          <w:r>
            <w:rPr>
              <w:rFonts w:hint="eastAsia" w:ascii="仿宋" w:hAnsi="仿宋" w:eastAsia="仿宋"/>
              <w:sz w:val="30"/>
              <w:szCs w:val="30"/>
            </w:rPr>
            <w:t>三、支出决算表</w:t>
          </w:r>
          <w:r>
            <w:rPr>
              <w:sz w:val="30"/>
              <w:szCs w:val="30"/>
            </w:rPr>
            <w:tab/>
          </w:r>
          <w:r>
            <w:rPr>
              <w:sz w:val="30"/>
              <w:szCs w:val="30"/>
            </w:rPr>
            <w:fldChar w:fldCharType="begin"/>
          </w:r>
          <w:r>
            <w:rPr>
              <w:sz w:val="30"/>
              <w:szCs w:val="30"/>
            </w:rPr>
            <w:instrText xml:space="preserve"> PAGEREF _Toc25944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"_Toc14938" </w:instrText>
          </w:r>
          <w:r>
            <w:fldChar w:fldCharType="separate"/>
          </w:r>
          <w:r>
            <w:rPr>
              <w:rFonts w:hint="eastAsia" w:ascii="仿宋" w:hAnsi="仿宋" w:eastAsia="仿宋"/>
              <w:sz w:val="30"/>
              <w:szCs w:val="30"/>
            </w:rPr>
            <w:t>四、财政拨款收入支出决算总表</w:t>
          </w:r>
          <w:r>
            <w:rPr>
              <w:sz w:val="30"/>
              <w:szCs w:val="30"/>
            </w:rPr>
            <w:tab/>
          </w:r>
          <w:r>
            <w:rPr>
              <w:sz w:val="30"/>
              <w:szCs w:val="30"/>
            </w:rPr>
            <w:fldChar w:fldCharType="begin"/>
          </w:r>
          <w:r>
            <w:rPr>
              <w:sz w:val="30"/>
              <w:szCs w:val="30"/>
            </w:rPr>
            <w:instrText xml:space="preserve"> PAGEREF _Toc14938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"_Toc28485" </w:instrText>
          </w:r>
          <w:r>
            <w:fldChar w:fldCharType="separate"/>
          </w:r>
          <w:r>
            <w:rPr>
              <w:rFonts w:hint="eastAsia" w:ascii="仿宋" w:hAnsi="仿宋" w:eastAsia="仿宋"/>
              <w:sz w:val="30"/>
              <w:szCs w:val="30"/>
            </w:rPr>
            <w:t>五、财政拨款支出决算明细表</w:t>
          </w:r>
          <w:r>
            <w:rPr>
              <w:sz w:val="30"/>
              <w:szCs w:val="30"/>
            </w:rPr>
            <w:tab/>
          </w:r>
          <w:r>
            <w:rPr>
              <w:sz w:val="30"/>
              <w:szCs w:val="30"/>
            </w:rPr>
            <w:fldChar w:fldCharType="begin"/>
          </w:r>
          <w:r>
            <w:rPr>
              <w:sz w:val="30"/>
              <w:szCs w:val="30"/>
            </w:rPr>
            <w:instrText xml:space="preserve"> PAGEREF _Toc28485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"_Toc25888" </w:instrText>
          </w:r>
          <w:r>
            <w:fldChar w:fldCharType="separate"/>
          </w:r>
          <w:r>
            <w:rPr>
              <w:rFonts w:hint="eastAsia" w:ascii="仿宋" w:hAnsi="仿宋" w:eastAsia="仿宋"/>
              <w:sz w:val="30"/>
              <w:szCs w:val="30"/>
            </w:rPr>
            <w:t>六、一般公共预算财政拨款支出决算表</w:t>
          </w:r>
          <w:r>
            <w:rPr>
              <w:sz w:val="30"/>
              <w:szCs w:val="30"/>
            </w:rPr>
            <w:tab/>
          </w:r>
          <w:r>
            <w:rPr>
              <w:sz w:val="30"/>
              <w:szCs w:val="30"/>
            </w:rPr>
            <w:fldChar w:fldCharType="begin"/>
          </w:r>
          <w:r>
            <w:rPr>
              <w:sz w:val="30"/>
              <w:szCs w:val="30"/>
            </w:rPr>
            <w:instrText xml:space="preserve"> PAGEREF _Toc25888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"_Toc29802" </w:instrText>
          </w:r>
          <w:r>
            <w:fldChar w:fldCharType="separate"/>
          </w:r>
          <w:r>
            <w:rPr>
              <w:rFonts w:hint="eastAsia" w:ascii="仿宋" w:hAnsi="仿宋" w:eastAsia="仿宋"/>
              <w:sz w:val="30"/>
              <w:szCs w:val="30"/>
            </w:rPr>
            <w:t>七、一般公共预算财政拨款支出决算明细表</w:t>
          </w:r>
          <w:r>
            <w:rPr>
              <w:sz w:val="30"/>
              <w:szCs w:val="30"/>
            </w:rPr>
            <w:tab/>
          </w:r>
          <w:r>
            <w:rPr>
              <w:sz w:val="30"/>
              <w:szCs w:val="30"/>
            </w:rPr>
            <w:fldChar w:fldCharType="begin"/>
          </w:r>
          <w:r>
            <w:rPr>
              <w:sz w:val="30"/>
              <w:szCs w:val="30"/>
            </w:rPr>
            <w:instrText xml:space="preserve"> PAGEREF _Toc29802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"_Toc10217" </w:instrText>
          </w:r>
          <w:r>
            <w:fldChar w:fldCharType="separate"/>
          </w:r>
          <w:r>
            <w:rPr>
              <w:rFonts w:hint="eastAsia" w:ascii="仿宋" w:hAnsi="仿宋" w:eastAsia="仿宋"/>
              <w:sz w:val="30"/>
              <w:szCs w:val="30"/>
            </w:rPr>
            <w:t>八、一般公共预算财政拨款基本支出决算表</w:t>
          </w:r>
          <w:r>
            <w:rPr>
              <w:sz w:val="30"/>
              <w:szCs w:val="30"/>
            </w:rPr>
            <w:tab/>
          </w:r>
          <w:r>
            <w:rPr>
              <w:sz w:val="30"/>
              <w:szCs w:val="30"/>
            </w:rPr>
            <w:fldChar w:fldCharType="begin"/>
          </w:r>
          <w:r>
            <w:rPr>
              <w:sz w:val="30"/>
              <w:szCs w:val="30"/>
            </w:rPr>
            <w:instrText xml:space="preserve"> PAGEREF _Toc10217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"_Toc3464" </w:instrText>
          </w:r>
          <w:r>
            <w:fldChar w:fldCharType="separate"/>
          </w:r>
          <w:r>
            <w:rPr>
              <w:rFonts w:hint="eastAsia" w:ascii="仿宋" w:hAnsi="仿宋" w:eastAsia="仿宋"/>
              <w:sz w:val="30"/>
              <w:szCs w:val="30"/>
            </w:rPr>
            <w:t>九、一般公共预算财政拨款项目支出决算表</w:t>
          </w:r>
          <w:r>
            <w:rPr>
              <w:sz w:val="30"/>
              <w:szCs w:val="30"/>
            </w:rPr>
            <w:tab/>
          </w:r>
          <w:r>
            <w:rPr>
              <w:sz w:val="30"/>
              <w:szCs w:val="30"/>
            </w:rPr>
            <w:fldChar w:fldCharType="begin"/>
          </w:r>
          <w:r>
            <w:rPr>
              <w:sz w:val="30"/>
              <w:szCs w:val="30"/>
            </w:rPr>
            <w:instrText xml:space="preserve"> PAGEREF _Toc3464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"_Toc12226" </w:instrText>
          </w:r>
          <w:r>
            <w:fldChar w:fldCharType="separate"/>
          </w:r>
          <w:r>
            <w:rPr>
              <w:rFonts w:hint="eastAsia" w:ascii="仿宋" w:hAnsi="仿宋" w:eastAsia="仿宋"/>
              <w:sz w:val="30"/>
              <w:szCs w:val="30"/>
            </w:rPr>
            <w:t>十、一般公共预算财政拨款“三公”经费支出决算表</w:t>
          </w:r>
          <w:r>
            <w:rPr>
              <w:sz w:val="30"/>
              <w:szCs w:val="30"/>
            </w:rPr>
            <w:tab/>
          </w:r>
          <w:r>
            <w:rPr>
              <w:sz w:val="30"/>
              <w:szCs w:val="30"/>
            </w:rPr>
            <w:fldChar w:fldCharType="begin"/>
          </w:r>
          <w:r>
            <w:rPr>
              <w:sz w:val="30"/>
              <w:szCs w:val="30"/>
            </w:rPr>
            <w:instrText xml:space="preserve"> PAGEREF _Toc12226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"_Toc5507" </w:instrText>
          </w:r>
          <w:r>
            <w:fldChar w:fldCharType="separate"/>
          </w:r>
          <w:r>
            <w:rPr>
              <w:rFonts w:hint="eastAsia" w:ascii="仿宋" w:hAnsi="仿宋" w:eastAsia="仿宋"/>
              <w:sz w:val="30"/>
              <w:szCs w:val="30"/>
            </w:rPr>
            <w:t>十一、政府性基金预算财政拨款收入支出决算表</w:t>
          </w:r>
          <w:r>
            <w:rPr>
              <w:sz w:val="30"/>
              <w:szCs w:val="30"/>
            </w:rPr>
            <w:tab/>
          </w:r>
          <w:r>
            <w:rPr>
              <w:sz w:val="30"/>
              <w:szCs w:val="30"/>
            </w:rPr>
            <w:fldChar w:fldCharType="begin"/>
          </w:r>
          <w:r>
            <w:rPr>
              <w:sz w:val="30"/>
              <w:szCs w:val="30"/>
            </w:rPr>
            <w:instrText xml:space="preserve"> PAGEREF _Toc5507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"_Toc28131" </w:instrText>
          </w:r>
          <w:r>
            <w:fldChar w:fldCharType="separate"/>
          </w:r>
          <w:r>
            <w:rPr>
              <w:rFonts w:hint="eastAsia" w:ascii="仿宋" w:hAnsi="仿宋" w:eastAsia="仿宋"/>
              <w:sz w:val="30"/>
              <w:szCs w:val="30"/>
            </w:rPr>
            <w:t>十二、政府性基金预算财政拨款“三公”经费支出决算表</w:t>
          </w:r>
          <w:r>
            <w:rPr>
              <w:sz w:val="30"/>
              <w:szCs w:val="30"/>
            </w:rPr>
            <w:tab/>
          </w:r>
          <w:r>
            <w:rPr>
              <w:sz w:val="30"/>
              <w:szCs w:val="30"/>
            </w:rPr>
            <w:fldChar w:fldCharType="begin"/>
          </w:r>
          <w:r>
            <w:rPr>
              <w:sz w:val="30"/>
              <w:szCs w:val="30"/>
            </w:rPr>
            <w:instrText xml:space="preserve"> PAGEREF _Toc28131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"_Toc15114" </w:instrText>
          </w:r>
          <w:r>
            <w:fldChar w:fldCharType="separate"/>
          </w:r>
          <w:r>
            <w:rPr>
              <w:rFonts w:hint="eastAsia" w:ascii="仿宋" w:hAnsi="仿宋" w:eastAsia="仿宋"/>
              <w:sz w:val="30"/>
              <w:szCs w:val="30"/>
            </w:rPr>
            <w:t>十三、国有资本经营预算财政拨款收入支出决算表</w:t>
          </w:r>
          <w:r>
            <w:rPr>
              <w:sz w:val="30"/>
              <w:szCs w:val="30"/>
            </w:rPr>
            <w:tab/>
          </w:r>
          <w:r>
            <w:rPr>
              <w:sz w:val="30"/>
              <w:szCs w:val="30"/>
            </w:rPr>
            <w:fldChar w:fldCharType="begin"/>
          </w:r>
          <w:r>
            <w:rPr>
              <w:sz w:val="30"/>
              <w:szCs w:val="30"/>
            </w:rPr>
            <w:instrText xml:space="preserve"> PAGEREF _Toc15114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2"/>
            <w:tabs>
              <w:tab w:val="right" w:leader="dot" w:pos="8306"/>
              <w:tab w:val="clear" w:pos="8296"/>
            </w:tabs>
            <w:rPr>
              <w:sz w:val="30"/>
              <w:szCs w:val="30"/>
            </w:rPr>
          </w:pPr>
          <w:r>
            <w:fldChar w:fldCharType="begin"/>
          </w:r>
          <w:r>
            <w:instrText xml:space="preserve"> HYPERLINK \l "_Toc14127" </w:instrText>
          </w:r>
          <w:r>
            <w:fldChar w:fldCharType="separate"/>
          </w:r>
          <w:r>
            <w:rPr>
              <w:rFonts w:hint="eastAsia" w:ascii="仿宋" w:hAnsi="仿宋" w:eastAsia="仿宋"/>
              <w:sz w:val="30"/>
              <w:szCs w:val="30"/>
            </w:rPr>
            <w:t>十四、国有资本经营预算财政拨款支出决算表</w:t>
          </w:r>
          <w:r>
            <w:rPr>
              <w:sz w:val="30"/>
              <w:szCs w:val="30"/>
            </w:rPr>
            <w:tab/>
          </w:r>
          <w:r>
            <w:rPr>
              <w:sz w:val="30"/>
              <w:szCs w:val="30"/>
            </w:rPr>
            <w:fldChar w:fldCharType="begin"/>
          </w:r>
          <w:r>
            <w:rPr>
              <w:sz w:val="30"/>
              <w:szCs w:val="30"/>
            </w:rPr>
            <w:instrText xml:space="preserve"> PAGEREF _Toc14127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1"/>
            <w:adjustRightInd w:val="0"/>
            <w:snapToGrid w:val="0"/>
            <w:spacing w:before="0" w:line="440" w:lineRule="exact"/>
            <w:rPr>
              <w:sz w:val="24"/>
            </w:rPr>
          </w:pPr>
          <w:r>
            <w:fldChar w:fldCharType="end"/>
          </w:r>
        </w:p>
      </w:sdtContent>
    </w:sdt>
    <w:p>
      <w:pPr>
        <w:pStyle w:val="11"/>
        <w:adjustRightInd w:val="0"/>
        <w:snapToGrid w:val="0"/>
        <w:spacing w:before="0" w:line="440" w:lineRule="exact"/>
        <w:rPr>
          <w:sz w:val="24"/>
        </w:rPr>
      </w:pPr>
    </w:p>
    <w:p>
      <w:pPr>
        <w:pStyle w:val="11"/>
        <w:adjustRightInd w:val="0"/>
        <w:snapToGrid w:val="0"/>
        <w:spacing w:before="0" w:line="440" w:lineRule="exact"/>
        <w:rPr>
          <w:sz w:val="24"/>
        </w:rPr>
      </w:pPr>
    </w:p>
    <w:p>
      <w:pPr>
        <w:pStyle w:val="11"/>
        <w:adjustRightInd w:val="0"/>
        <w:snapToGrid w:val="0"/>
        <w:spacing w:before="0" w:line="440" w:lineRule="exact"/>
        <w:rPr>
          <w:sz w:val="24"/>
        </w:rPr>
      </w:pPr>
    </w:p>
    <w:p>
      <w:pPr>
        <w:rPr>
          <w:sz w:val="24"/>
        </w:rPr>
      </w:pPr>
    </w:p>
    <w:p>
      <w:pPr>
        <w:rPr>
          <w:sz w:val="24"/>
        </w:rPr>
      </w:pPr>
    </w:p>
    <w:p>
      <w:pPr>
        <w:rPr>
          <w:sz w:val="24"/>
        </w:rPr>
      </w:pPr>
    </w:p>
    <w:p>
      <w:pPr>
        <w:rPr>
          <w:sz w:val="24"/>
        </w:rPr>
      </w:pPr>
    </w:p>
    <w:p>
      <w:pPr>
        <w:pStyle w:val="3"/>
        <w:jc w:val="center"/>
        <w:rPr>
          <w:rFonts w:ascii="黑体" w:eastAsia="黑体"/>
          <w:color w:val="000000"/>
          <w:sz w:val="32"/>
          <w:szCs w:val="32"/>
        </w:rPr>
      </w:pPr>
      <w:bookmarkStart w:id="20" w:name="_Toc2597"/>
      <w:r>
        <w:rPr>
          <w:rFonts w:hint="eastAsia"/>
          <w:color w:val="000000"/>
        </w:rPr>
        <w:t xml:space="preserve">第一部分 </w:t>
      </w:r>
      <w:r>
        <w:rPr>
          <w:rFonts w:hint="eastAsia"/>
        </w:rPr>
        <w:t>部门概况</w:t>
      </w:r>
      <w:bookmarkEnd w:id="20"/>
    </w:p>
    <w:p>
      <w:pPr>
        <w:pStyle w:val="4"/>
        <w:rPr>
          <w:rStyle w:val="26"/>
          <w:rFonts w:ascii="仿宋" w:hAnsi="仿宋" w:eastAsia="黑体"/>
          <w:b w:val="0"/>
          <w:bCs w:val="0"/>
        </w:rPr>
      </w:pPr>
      <w:bookmarkStart w:id="21" w:name="_Toc15396600"/>
      <w:bookmarkStart w:id="22" w:name="_Toc15377197"/>
      <w:bookmarkStart w:id="23" w:name="_Toc15469"/>
      <w:r>
        <w:rPr>
          <w:rFonts w:hint="eastAsia" w:ascii="黑体" w:hAnsi="黑体" w:eastAsia="黑体"/>
          <w:b w:val="0"/>
          <w:color w:val="000000"/>
        </w:rPr>
        <w:t>一、</w:t>
      </w:r>
      <w:r>
        <w:rPr>
          <w:rStyle w:val="26"/>
          <w:rFonts w:hint="eastAsia" w:ascii="黑体" w:hAnsi="黑体" w:eastAsia="黑体"/>
          <w:b w:val="0"/>
          <w:bCs w:val="0"/>
        </w:rPr>
        <w:t>职能</w:t>
      </w:r>
      <w:bookmarkEnd w:id="21"/>
      <w:bookmarkEnd w:id="22"/>
      <w:r>
        <w:rPr>
          <w:rStyle w:val="26"/>
          <w:rFonts w:hint="eastAsia" w:ascii="黑体" w:hAnsi="黑体" w:eastAsia="黑体"/>
          <w:b w:val="0"/>
          <w:bCs w:val="0"/>
        </w:rPr>
        <w:t>简介</w:t>
      </w:r>
      <w:bookmarkEnd w:id="23"/>
    </w:p>
    <w:p>
      <w:pPr>
        <w:pStyle w:val="2"/>
        <w:adjustRightInd w:val="0"/>
        <w:snapToGrid w:val="0"/>
        <w:spacing w:before="93" w:line="600" w:lineRule="exact"/>
        <w:ind w:firstLine="672" w:firstLineChars="210"/>
        <w:rPr>
          <w:rFonts w:ascii="仿宋" w:hAnsi="仿宋" w:eastAsia="仿宋"/>
          <w:bCs/>
          <w:color w:val="000000"/>
          <w:sz w:val="32"/>
          <w:szCs w:val="32"/>
        </w:rPr>
      </w:pPr>
      <w:bookmarkStart w:id="24" w:name="_Toc15377199"/>
      <w:bookmarkStart w:id="25" w:name="_Toc17938"/>
      <w:bookmarkStart w:id="26" w:name="_Toc15378446"/>
      <w:r>
        <w:rPr>
          <w:rFonts w:hint="eastAsia"/>
          <w:bCs/>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扫除新文盲，巩固提高教育成果。按照上级有关部门的规定，负责对学校教育的财务和基建进行管理。按照九年义务教育课程计划要求开齐课程开足课时，认真实施中小学的教育教学管理，全面推进素质教育，全面提高教育教学质量。</w:t>
      </w:r>
    </w:p>
    <w:p>
      <w:pPr>
        <w:pStyle w:val="4"/>
        <w:rPr>
          <w:rFonts w:ascii="仿宋" w:hAnsi="仿宋" w:eastAsia="仿宋"/>
          <w:color w:val="000000"/>
        </w:rPr>
      </w:pPr>
      <w:r>
        <w:rPr>
          <w:rFonts w:hint="eastAsia" w:ascii="黑体" w:hAnsi="黑体" w:eastAsia="黑体"/>
          <w:b w:val="0"/>
          <w:color w:val="000000"/>
        </w:rPr>
        <w:t>二、</w:t>
      </w:r>
      <w:r>
        <w:rPr>
          <w:rFonts w:ascii="仿宋" w:hAnsi="仿宋" w:eastAsia="仿宋"/>
          <w:color w:val="000000"/>
        </w:rPr>
        <w:t>20</w:t>
      </w:r>
      <w:r>
        <w:rPr>
          <w:rFonts w:hint="eastAsia" w:ascii="仿宋" w:hAnsi="仿宋" w:eastAsia="仿宋"/>
          <w:color w:val="000000"/>
        </w:rPr>
        <w:t>21年重点工作完成情况。</w:t>
      </w:r>
      <w:bookmarkEnd w:id="24"/>
      <w:bookmarkEnd w:id="25"/>
      <w:bookmarkEnd w:id="26"/>
    </w:p>
    <w:p>
      <w:pPr>
        <w:pStyle w:val="2"/>
        <w:adjustRightInd w:val="0"/>
        <w:snapToGrid w:val="0"/>
        <w:spacing w:before="93" w:line="560" w:lineRule="exact"/>
        <w:ind w:firstLine="672" w:firstLineChars="210"/>
        <w:rPr>
          <w:rFonts w:ascii="仿宋" w:hAnsi="仿宋" w:eastAsia="仿宋"/>
          <w:bCs/>
          <w:color w:val="000000"/>
          <w:sz w:val="32"/>
          <w:szCs w:val="32"/>
        </w:rPr>
      </w:pPr>
      <w:r>
        <w:rPr>
          <w:rFonts w:hint="eastAsia"/>
          <w:kern w:val="2"/>
          <w:sz w:val="32"/>
          <w:szCs w:val="32"/>
        </w:rPr>
        <w:t>2021年我校在县委、县政府的领导下，在县财政、审计的监督和指导下，坚持以财经法律、法规为准绳，认真贯彻落实各项财经制度，紧扣全年工作目标和要求，圆满完成了2021年度教育教学的目标任务。</w:t>
      </w:r>
    </w:p>
    <w:p>
      <w:pPr>
        <w:pStyle w:val="2"/>
        <w:adjustRightInd w:val="0"/>
        <w:snapToGrid w:val="0"/>
        <w:spacing w:before="93" w:line="600" w:lineRule="exact"/>
        <w:ind w:firstLine="672" w:firstLineChars="210"/>
        <w:rPr>
          <w:rFonts w:ascii="仿宋" w:hAnsi="仿宋" w:eastAsia="仿宋"/>
          <w:color w:val="000000"/>
          <w:sz w:val="32"/>
          <w:szCs w:val="32"/>
        </w:rPr>
      </w:pPr>
    </w:p>
    <w:p>
      <w:pPr>
        <w:pStyle w:val="2"/>
        <w:adjustRightInd w:val="0"/>
        <w:snapToGrid w:val="0"/>
        <w:spacing w:before="93" w:line="600" w:lineRule="exact"/>
        <w:ind w:firstLine="672" w:firstLineChars="210"/>
        <w:rPr>
          <w:rFonts w:ascii="仿宋" w:hAnsi="仿宋" w:eastAsia="仿宋"/>
          <w:color w:val="000000"/>
          <w:sz w:val="32"/>
          <w:szCs w:val="32"/>
        </w:rPr>
      </w:pPr>
    </w:p>
    <w:p>
      <w:pPr>
        <w:pStyle w:val="2"/>
        <w:adjustRightInd w:val="0"/>
        <w:snapToGrid w:val="0"/>
        <w:spacing w:before="93" w:line="600" w:lineRule="exact"/>
        <w:ind w:firstLine="672" w:firstLineChars="210"/>
        <w:rPr>
          <w:rFonts w:ascii="仿宋" w:hAnsi="仿宋" w:eastAsia="仿宋"/>
          <w:color w:val="000000"/>
          <w:sz w:val="32"/>
          <w:szCs w:val="32"/>
        </w:rPr>
      </w:pPr>
    </w:p>
    <w:p>
      <w:pPr>
        <w:pStyle w:val="2"/>
        <w:adjustRightInd w:val="0"/>
        <w:snapToGrid w:val="0"/>
        <w:spacing w:before="93" w:line="600" w:lineRule="exact"/>
        <w:ind w:firstLine="672" w:firstLineChars="210"/>
        <w:rPr>
          <w:rFonts w:ascii="仿宋" w:hAnsi="仿宋" w:eastAsia="仿宋"/>
          <w:color w:val="000000"/>
          <w:sz w:val="32"/>
          <w:szCs w:val="32"/>
        </w:rPr>
      </w:pPr>
    </w:p>
    <w:p>
      <w:pPr>
        <w:pStyle w:val="2"/>
        <w:adjustRightInd w:val="0"/>
        <w:snapToGrid w:val="0"/>
        <w:spacing w:before="93" w:line="600" w:lineRule="exact"/>
        <w:ind w:firstLine="672" w:firstLineChars="210"/>
        <w:rPr>
          <w:rFonts w:ascii="仿宋" w:hAnsi="仿宋" w:eastAsia="仿宋"/>
          <w:color w:val="000000"/>
          <w:sz w:val="32"/>
          <w:szCs w:val="32"/>
        </w:rPr>
      </w:pPr>
    </w:p>
    <w:p>
      <w:pPr>
        <w:pStyle w:val="2"/>
        <w:adjustRightInd w:val="0"/>
        <w:snapToGrid w:val="0"/>
        <w:spacing w:before="93" w:line="600" w:lineRule="exact"/>
        <w:ind w:firstLine="672" w:firstLineChars="210"/>
        <w:rPr>
          <w:rFonts w:ascii="仿宋" w:hAnsi="仿宋" w:eastAsia="仿宋"/>
          <w:color w:val="000000"/>
          <w:sz w:val="32"/>
          <w:szCs w:val="32"/>
        </w:rPr>
      </w:pPr>
    </w:p>
    <w:p>
      <w:pPr>
        <w:pStyle w:val="2"/>
        <w:adjustRightInd w:val="0"/>
        <w:snapToGrid w:val="0"/>
        <w:spacing w:before="93" w:line="600" w:lineRule="exact"/>
        <w:ind w:firstLine="672" w:firstLineChars="210"/>
        <w:rPr>
          <w:rFonts w:ascii="仿宋" w:hAnsi="仿宋" w:eastAsia="仿宋"/>
          <w:color w:val="000000"/>
          <w:sz w:val="32"/>
          <w:szCs w:val="32"/>
        </w:rPr>
      </w:pPr>
    </w:p>
    <w:p>
      <w:pPr>
        <w:pStyle w:val="3"/>
        <w:ind w:right="440"/>
        <w:jc w:val="right"/>
      </w:pPr>
      <w:bookmarkStart w:id="27" w:name="_Toc32345"/>
      <w:bookmarkStart w:id="28" w:name="_Toc15396602"/>
      <w:bookmarkStart w:id="29" w:name="_Toc15377204"/>
      <w:r>
        <w:rPr>
          <w:rFonts w:hint="eastAsia" w:ascii="黑体" w:hAnsi="黑体" w:eastAsia="黑体"/>
          <w:b w:val="0"/>
          <w:color w:val="000000"/>
        </w:rPr>
        <w:t>第二部分</w:t>
      </w:r>
      <w:r>
        <w:rPr>
          <w:rStyle w:val="25"/>
          <w:rFonts w:hint="eastAsia" w:ascii="黑体" w:hAnsi="黑体" w:eastAsia="黑体"/>
          <w:b w:val="0"/>
          <w:bCs w:val="0"/>
        </w:rPr>
        <w:t>2021年度部门决算情况说明</w:t>
      </w:r>
      <w:bookmarkEnd w:id="27"/>
      <w:bookmarkEnd w:id="28"/>
      <w:bookmarkEnd w:id="29"/>
    </w:p>
    <w:p>
      <w:pPr>
        <w:pStyle w:val="24"/>
        <w:numPr>
          <w:ilvl w:val="0"/>
          <w:numId w:val="1"/>
        </w:numPr>
        <w:spacing w:line="600" w:lineRule="exact"/>
        <w:ind w:firstLineChars="0"/>
        <w:outlineLvl w:val="1"/>
        <w:rPr>
          <w:rStyle w:val="26"/>
          <w:rFonts w:ascii="黑体" w:hAnsi="黑体" w:eastAsia="黑体"/>
          <w:b w:val="0"/>
        </w:rPr>
      </w:pPr>
      <w:bookmarkStart w:id="30" w:name="_Toc29137"/>
      <w:bookmarkStart w:id="31" w:name="_Toc15377205"/>
      <w:bookmarkStart w:id="32"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30"/>
      <w:bookmarkEnd w:id="31"/>
      <w:bookmarkEnd w:id="32"/>
    </w:p>
    <w:p>
      <w:pPr>
        <w:spacing w:line="578"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2021年度收、支总计1138.63万元。与2020年相比，收、支总计各增加12.65万元，增长1.12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_GB2312" w:eastAsia="仿宋_GB2312" w:cs="仿宋_GB2312"/>
          <w:sz w:val="32"/>
          <w:szCs w:val="32"/>
        </w:rPr>
        <w:t>主要变动原因是人员的工资调整。</w:t>
      </w:r>
    </w:p>
    <w:p>
      <w: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pPr>
      <w:r>
        <w:rPr>
          <w:rFonts w:hint="eastAsia" w:ascii="仿宋" w:hAnsi="仿宋" w:eastAsia="仿宋"/>
          <w:color w:val="FF0000"/>
          <w:sz w:val="32"/>
          <w:szCs w:val="32"/>
        </w:rPr>
        <w:t>（图</w:t>
      </w:r>
      <w:r>
        <w:rPr>
          <w:rFonts w:ascii="仿宋" w:hAnsi="仿宋" w:eastAsia="仿宋"/>
          <w:color w:val="FF0000"/>
          <w:sz w:val="32"/>
          <w:szCs w:val="32"/>
        </w:rPr>
        <w:t>1</w:t>
      </w:r>
      <w:r>
        <w:rPr>
          <w:rFonts w:hint="eastAsia" w:ascii="仿宋" w:hAnsi="仿宋" w:eastAsia="仿宋"/>
          <w:color w:val="FF0000"/>
          <w:sz w:val="32"/>
          <w:szCs w:val="32"/>
        </w:rPr>
        <w:t>：收、支决算总计变动情况图）</w:t>
      </w:r>
    </w:p>
    <w:p>
      <w:pPr>
        <w:pStyle w:val="24"/>
        <w:numPr>
          <w:ilvl w:val="0"/>
          <w:numId w:val="1"/>
        </w:numPr>
        <w:spacing w:line="600" w:lineRule="exact"/>
        <w:ind w:firstLineChars="0"/>
        <w:outlineLvl w:val="1"/>
        <w:rPr>
          <w:rStyle w:val="26"/>
          <w:rFonts w:ascii="黑体" w:hAnsi="黑体" w:eastAsia="黑体"/>
          <w:b w:val="0"/>
        </w:rPr>
      </w:pPr>
      <w:bookmarkStart w:id="33" w:name="_Toc15377206"/>
      <w:bookmarkStart w:id="34" w:name="_Toc15396604"/>
      <w:bookmarkStart w:id="35" w:name="_Toc11954"/>
      <w:r>
        <w:rPr>
          <w:rFonts w:hint="eastAsia" w:ascii="黑体" w:hAnsi="黑体" w:eastAsia="黑体"/>
          <w:color w:val="000000"/>
          <w:sz w:val="32"/>
          <w:szCs w:val="32"/>
        </w:rPr>
        <w:t>收</w:t>
      </w:r>
      <w:r>
        <w:rPr>
          <w:rStyle w:val="26"/>
          <w:rFonts w:hint="eastAsia" w:ascii="黑体" w:hAnsi="黑体" w:eastAsia="黑体"/>
          <w:b w:val="0"/>
        </w:rPr>
        <w:t>入决算情况说明</w:t>
      </w:r>
      <w:bookmarkEnd w:id="33"/>
      <w:bookmarkEnd w:id="34"/>
      <w:bookmarkEnd w:id="35"/>
    </w:p>
    <w:p>
      <w:pPr>
        <w:spacing w:line="600" w:lineRule="exact"/>
        <w:ind w:firstLine="640" w:firstLineChars="200"/>
        <w:rPr>
          <w:rFonts w:ascii="仿宋" w:hAnsi="仿宋" w:eastAsia="仿宋"/>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21年本年收入合计1011.75万元，其中：一般公共预算财政拨款收入1011.75万元，占100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r>
        <w:rPr>
          <w:rFonts w:hint="eastAsia"/>
        </w:rPr>
        <w:drawing>
          <wp:inline distT="0" distB="0" distL="0" distR="0">
            <wp:extent cx="4662805" cy="2282190"/>
            <wp:effectExtent l="19050" t="0" r="23347" b="3437"/>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pPr>
      <w:r>
        <w:rPr>
          <w:rFonts w:hint="eastAsia" w:ascii="仿宋" w:hAnsi="仿宋" w:eastAsia="仿宋"/>
          <w:color w:val="FF0000"/>
          <w:sz w:val="32"/>
          <w:szCs w:val="32"/>
        </w:rPr>
        <w:t>（图2：收入决算结构图）</w:t>
      </w:r>
    </w:p>
    <w:p>
      <w:pPr>
        <w:pStyle w:val="24"/>
        <w:numPr>
          <w:ilvl w:val="0"/>
          <w:numId w:val="1"/>
        </w:numPr>
        <w:spacing w:line="600" w:lineRule="exact"/>
        <w:ind w:firstLineChars="0"/>
        <w:outlineLvl w:val="1"/>
        <w:rPr>
          <w:rStyle w:val="26"/>
          <w:rFonts w:ascii="黑体" w:hAnsi="黑体" w:eastAsia="黑体"/>
          <w:b w:val="0"/>
        </w:rPr>
      </w:pPr>
      <w:bookmarkStart w:id="36" w:name="_Toc15396605"/>
      <w:bookmarkStart w:id="37" w:name="_Toc11686"/>
      <w:bookmarkStart w:id="38"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36"/>
      <w:bookmarkEnd w:id="37"/>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21年本年支出合计1039.71万元，其中：基本支出</w:t>
      </w:r>
    </w:p>
    <w:p>
      <w:pPr>
        <w:spacing w:line="600" w:lineRule="exact"/>
        <w:rPr>
          <w:rFonts w:ascii="仿宋" w:hAnsi="仿宋" w:eastAsia="仿宋"/>
          <w:color w:val="000000"/>
          <w:sz w:val="32"/>
          <w:szCs w:val="32"/>
        </w:rPr>
      </w:pPr>
      <w:r>
        <w:rPr>
          <w:rFonts w:hint="eastAsia" w:ascii="仿宋" w:hAnsi="仿宋" w:eastAsia="仿宋"/>
          <w:color w:val="000000"/>
          <w:sz w:val="32"/>
          <w:szCs w:val="32"/>
        </w:rPr>
        <w:t>954.10万元，占91.76</w:t>
      </w:r>
      <w:r>
        <w:rPr>
          <w:rFonts w:ascii="仿宋" w:hAnsi="仿宋" w:eastAsia="仿宋"/>
          <w:color w:val="000000"/>
          <w:sz w:val="32"/>
          <w:szCs w:val="32"/>
        </w:rPr>
        <w:t>%</w:t>
      </w:r>
      <w:r>
        <w:rPr>
          <w:rFonts w:hint="eastAsia" w:ascii="仿宋" w:hAnsi="仿宋" w:eastAsia="仿宋"/>
          <w:color w:val="000000"/>
          <w:sz w:val="32"/>
          <w:szCs w:val="32"/>
        </w:rPr>
        <w:t>；项目支出85.61万元，占8.23</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r>
        <w:drawing>
          <wp:inline distT="0" distB="0" distL="0" distR="0">
            <wp:extent cx="4552950" cy="2240915"/>
            <wp:effectExtent l="19050" t="0" r="19050" b="6588"/>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pPr>
      <w:r>
        <w:rPr>
          <w:rFonts w:hint="eastAsia" w:ascii="仿宋" w:hAnsi="仿宋" w:eastAsia="仿宋"/>
          <w:color w:val="FF0000"/>
          <w:sz w:val="32"/>
          <w:szCs w:val="32"/>
        </w:rPr>
        <w:t>（图3：支出决算结构图）</w:t>
      </w:r>
    </w:p>
    <w:p>
      <w:pPr>
        <w:spacing w:line="600" w:lineRule="exact"/>
        <w:ind w:firstLine="640" w:firstLineChars="200"/>
        <w:outlineLvl w:val="1"/>
        <w:rPr>
          <w:rStyle w:val="26"/>
          <w:rFonts w:ascii="黑体" w:hAnsi="黑体" w:eastAsia="黑体"/>
          <w:b w:val="0"/>
        </w:rPr>
      </w:pPr>
      <w:bookmarkStart w:id="39" w:name="_Toc23987"/>
      <w:bookmarkStart w:id="40" w:name="_Toc15377208"/>
      <w:bookmarkStart w:id="4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9"/>
      <w:bookmarkEnd w:id="40"/>
      <w:bookmarkEnd w:id="41"/>
    </w:p>
    <w:p>
      <w:pPr>
        <w:spacing w:line="578"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21年财政拨款收、支总计1138.63万元。与</w:t>
      </w:r>
      <w:r>
        <w:rPr>
          <w:rFonts w:ascii="仿宋" w:hAnsi="仿宋" w:eastAsia="仿宋"/>
          <w:color w:val="000000"/>
          <w:sz w:val="32"/>
          <w:szCs w:val="32"/>
        </w:rPr>
        <w:t>20</w:t>
      </w:r>
      <w:r>
        <w:rPr>
          <w:rFonts w:hint="eastAsia" w:ascii="仿宋" w:hAnsi="仿宋" w:eastAsia="仿宋"/>
          <w:color w:val="000000"/>
          <w:sz w:val="32"/>
          <w:szCs w:val="32"/>
        </w:rPr>
        <w:t>20年相比，财政拨款收入增加12.65万元，增长1.12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_GB2312" w:eastAsia="仿宋_GB2312" w:cs="仿宋_GB2312"/>
          <w:sz w:val="32"/>
          <w:szCs w:val="32"/>
        </w:rPr>
        <w:t>主要变动原因是人员的工资调整。</w:t>
      </w:r>
    </w:p>
    <w:p>
      <w:r>
        <w:rPr>
          <w:rFonts w:hint="eastAsia"/>
        </w:rPr>
        <w:drawing>
          <wp:inline distT="0" distB="0" distL="0" distR="0">
            <wp:extent cx="5029200" cy="2816225"/>
            <wp:effectExtent l="4445" t="4445" r="14605" b="1778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pPr>
      <w:r>
        <w:rPr>
          <w:rFonts w:hint="eastAsia" w:ascii="仿宋" w:hAnsi="仿宋" w:eastAsia="仿宋"/>
          <w:color w:val="FF0000"/>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42" w:name="_Toc15377209"/>
      <w:bookmarkStart w:id="43" w:name="_Toc15396607"/>
      <w:bookmarkStart w:id="44" w:name="_Toc7616"/>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i/>
          <w:color w:val="000000"/>
          <w:sz w:val="32"/>
          <w:szCs w:val="32"/>
        </w:rPr>
      </w:pPr>
      <w:bookmarkStart w:id="45" w:name="_Toc10284"/>
      <w:bookmarkStart w:id="46" w:name="_Toc15377210"/>
      <w:r>
        <w:rPr>
          <w:rFonts w:hint="eastAsia" w:ascii="仿宋" w:hAnsi="仿宋" w:eastAsia="仿宋"/>
          <w:b/>
          <w:color w:val="000000"/>
          <w:sz w:val="32"/>
          <w:szCs w:val="32"/>
        </w:rPr>
        <w:t>（一）一般公共预算财政拨款支出决算总体情况</w:t>
      </w:r>
      <w:bookmarkEnd w:id="45"/>
      <w:bookmarkEnd w:id="46"/>
    </w:p>
    <w:p>
      <w:pPr>
        <w:spacing w:line="578" w:lineRule="exact"/>
        <w:ind w:firstLine="640" w:firstLineChars="200"/>
        <w:rPr>
          <w:rFonts w:ascii="仿宋" w:hAnsi="仿宋" w:eastAsia="仿宋_GB2312"/>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21年一般公共预算财政拨款支出</w:t>
      </w:r>
      <w:r>
        <w:rPr>
          <w:rFonts w:hint="eastAsia" w:ascii="仿宋_GB2312" w:hAnsi="仿宋_GB2312" w:eastAsia="仿宋_GB2312" w:cs="仿宋_GB2312"/>
          <w:sz w:val="32"/>
          <w:szCs w:val="32"/>
        </w:rPr>
        <w:t>1039.71</w:t>
      </w:r>
      <w:r>
        <w:rPr>
          <w:rFonts w:hint="eastAsia" w:ascii="仿宋" w:hAnsi="仿宋" w:eastAsia="仿宋"/>
          <w:color w:val="000000"/>
          <w:sz w:val="32"/>
          <w:szCs w:val="32"/>
        </w:rPr>
        <w:t>万元，占本年支出合计的91.31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20年相比，一般公共预算财政拨款增加45.21万元，增长4.73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_GB2312" w:eastAsia="仿宋_GB2312" w:cs="仿宋_GB2312"/>
          <w:sz w:val="32"/>
          <w:szCs w:val="32"/>
        </w:rPr>
        <w:t>主要变动原因是支付项目工程款。</w:t>
      </w:r>
    </w:p>
    <w:p>
      <w:pPr>
        <w:spacing w:line="600" w:lineRule="exact"/>
        <w:ind w:firstLine="640" w:firstLineChars="200"/>
        <w:rPr>
          <w:rFonts w:ascii="仿宋" w:hAnsi="仿宋" w:eastAsia="仿宋"/>
          <w:color w:val="FF0000"/>
          <w:sz w:val="32"/>
          <w:szCs w:val="32"/>
        </w:rPr>
      </w:pPr>
    </w:p>
    <w:p>
      <w:r>
        <w:drawing>
          <wp:inline distT="0" distB="0" distL="0" distR="0">
            <wp:extent cx="5274310" cy="2905760"/>
            <wp:effectExtent l="4445" t="4445" r="17145" b="1079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pPr>
      <w:r>
        <w:rPr>
          <w:rFonts w:hint="eastAsia" w:ascii="仿宋" w:hAnsi="仿宋" w:eastAsia="仿宋"/>
          <w:color w:val="FF0000"/>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47" w:name="_Toc15377211"/>
      <w:bookmarkStart w:id="48" w:name="_Toc14245"/>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w:t>
      </w:r>
      <w:r>
        <w:rPr>
          <w:rFonts w:hint="eastAsia" w:ascii="仿宋" w:hAnsi="仿宋" w:eastAsia="仿宋"/>
          <w:color w:val="000000" w:themeColor="text1"/>
          <w:sz w:val="32"/>
          <w:szCs w:val="32"/>
        </w:rPr>
        <w:t>政拨款支出1039.71万元，主要用于以下方面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教育支出（205）</w:t>
      </w:r>
      <w:r>
        <w:rPr>
          <w:rFonts w:hint="eastAsia" w:ascii="仿宋" w:hAnsi="仿宋" w:eastAsia="仿宋"/>
          <w:color w:val="000000" w:themeColor="text1"/>
          <w:sz w:val="32"/>
          <w:szCs w:val="32"/>
        </w:rPr>
        <w:t>819.75万元，占78.84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社会保障和就业支出（208）</w:t>
      </w:r>
      <w:r>
        <w:rPr>
          <w:rFonts w:hint="eastAsia" w:ascii="仿宋" w:hAnsi="仿宋" w:eastAsia="仿宋"/>
          <w:color w:val="000000" w:themeColor="text1"/>
          <w:sz w:val="32"/>
          <w:szCs w:val="32"/>
        </w:rPr>
        <w:t>112.09万元，占10.78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卫生健康支出</w:t>
      </w:r>
      <w:r>
        <w:rPr>
          <w:rFonts w:hint="eastAsia" w:ascii="仿宋" w:hAnsi="仿宋" w:eastAsia="仿宋"/>
          <w:color w:val="000000"/>
          <w:sz w:val="32"/>
          <w:szCs w:val="32"/>
        </w:rPr>
        <w:t>(210)36.44万元，占3.50%；</w:t>
      </w:r>
      <w:r>
        <w:rPr>
          <w:rFonts w:hint="eastAsia" w:ascii="仿宋" w:hAnsi="仿宋" w:eastAsia="仿宋"/>
          <w:b/>
          <w:color w:val="000000" w:themeColor="text1"/>
          <w:sz w:val="32"/>
          <w:szCs w:val="32"/>
        </w:rPr>
        <w:t>住房保障支出（221）</w:t>
      </w:r>
      <w:r>
        <w:rPr>
          <w:rFonts w:hint="eastAsia" w:ascii="仿宋" w:hAnsi="仿宋" w:eastAsia="仿宋"/>
          <w:color w:val="000000" w:themeColor="text1"/>
          <w:sz w:val="32"/>
          <w:szCs w:val="32"/>
        </w:rPr>
        <w:t>70.42万元，占6.87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r>
        <w:drawing>
          <wp:inline distT="0" distB="0" distL="0" distR="0">
            <wp:extent cx="5055870" cy="2657475"/>
            <wp:effectExtent l="4445" t="4445" r="6985" b="508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pPr>
      <w:r>
        <w:rPr>
          <w:rFonts w:hint="eastAsia" w:ascii="仿宋" w:hAnsi="仿宋" w:eastAsia="仿宋"/>
          <w:color w:val="FF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9" w:name="_Toc4527"/>
      <w:bookmarkStart w:id="50" w:name="_Toc15377212"/>
      <w:r>
        <w:rPr>
          <w:rFonts w:hint="eastAsia" w:ascii="仿宋" w:hAnsi="仿宋" w:eastAsia="仿宋"/>
          <w:b/>
          <w:color w:val="000000"/>
          <w:sz w:val="32"/>
          <w:szCs w:val="32"/>
        </w:rPr>
        <w:t>（三）一般公共预算财政拨款支出决算具体情况</w:t>
      </w:r>
      <w:bookmarkEnd w:id="49"/>
      <w:bookmarkEnd w:id="50"/>
    </w:p>
    <w:p>
      <w:pPr>
        <w:spacing w:line="600" w:lineRule="exact"/>
        <w:ind w:firstLine="643" w:firstLineChars="200"/>
        <w:rPr>
          <w:rStyle w:val="15"/>
          <w:rFonts w:ascii="仿宋" w:hAnsi="仿宋" w:eastAsia="仿宋"/>
          <w:bCs/>
          <w:color w:val="000000"/>
          <w:sz w:val="32"/>
          <w:szCs w:val="32"/>
        </w:rPr>
      </w:pPr>
      <w:bookmarkStart w:id="51" w:name="_Toc15377213"/>
      <w:bookmarkStart w:id="52" w:name="_Toc15378460"/>
      <w:bookmarkStart w:id="53" w:name="_Toc15377444"/>
      <w:r>
        <w:rPr>
          <w:rFonts w:hint="eastAsia" w:ascii="仿宋" w:hAnsi="仿宋" w:eastAsia="仿宋"/>
          <w:b/>
          <w:color w:val="000000" w:themeColor="text1"/>
          <w:sz w:val="32"/>
          <w:szCs w:val="32"/>
        </w:rPr>
        <w:t>2021年一般公共预算支出决算数为1039.71万元，</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51"/>
      <w:bookmarkEnd w:id="52"/>
      <w:bookmarkEnd w:id="53"/>
    </w:p>
    <w:p>
      <w:pPr>
        <w:spacing w:line="60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1.教育（205）普通</w:t>
      </w:r>
      <w:r>
        <w:rPr>
          <w:rStyle w:val="15"/>
          <w:rFonts w:ascii="仿宋" w:hAnsi="仿宋" w:eastAsia="仿宋"/>
          <w:bCs/>
          <w:color w:val="000000"/>
          <w:sz w:val="32"/>
          <w:szCs w:val="32"/>
        </w:rPr>
        <w:t>教育</w:t>
      </w:r>
      <w:r>
        <w:rPr>
          <w:rStyle w:val="15"/>
          <w:rFonts w:hint="eastAsia" w:ascii="仿宋" w:hAnsi="仿宋" w:eastAsia="仿宋"/>
          <w:bCs/>
          <w:color w:val="000000"/>
          <w:sz w:val="32"/>
          <w:szCs w:val="32"/>
        </w:rPr>
        <w:t>（02）学前</w:t>
      </w:r>
      <w:r>
        <w:rPr>
          <w:rStyle w:val="15"/>
          <w:rFonts w:ascii="仿宋" w:hAnsi="仿宋" w:eastAsia="仿宋"/>
          <w:bCs/>
          <w:color w:val="000000"/>
          <w:sz w:val="32"/>
          <w:szCs w:val="32"/>
        </w:rPr>
        <w:t>教育</w:t>
      </w:r>
      <w:r>
        <w:rPr>
          <w:rStyle w:val="15"/>
          <w:rFonts w:hint="eastAsia" w:ascii="仿宋" w:hAnsi="仿宋" w:eastAsia="仿宋"/>
          <w:bCs/>
          <w:color w:val="000000"/>
          <w:sz w:val="32"/>
          <w:szCs w:val="32"/>
        </w:rPr>
        <w:t>（01）</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支出决算为15.00万元，完成预算100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2.教育（205）普通</w:t>
      </w:r>
      <w:r>
        <w:rPr>
          <w:rStyle w:val="15"/>
          <w:rFonts w:ascii="仿宋" w:hAnsi="仿宋" w:eastAsia="仿宋"/>
          <w:bCs/>
          <w:color w:val="000000"/>
          <w:sz w:val="32"/>
          <w:szCs w:val="32"/>
        </w:rPr>
        <w:t>教育</w:t>
      </w:r>
      <w:r>
        <w:rPr>
          <w:rStyle w:val="15"/>
          <w:rFonts w:hint="eastAsia" w:ascii="仿宋" w:hAnsi="仿宋" w:eastAsia="仿宋"/>
          <w:bCs/>
          <w:color w:val="000000"/>
          <w:sz w:val="32"/>
          <w:szCs w:val="32"/>
        </w:rPr>
        <w:t>（02）小学</w:t>
      </w:r>
      <w:r>
        <w:rPr>
          <w:rStyle w:val="15"/>
          <w:rFonts w:ascii="仿宋" w:hAnsi="仿宋" w:eastAsia="仿宋"/>
          <w:bCs/>
          <w:color w:val="000000"/>
          <w:sz w:val="32"/>
          <w:szCs w:val="32"/>
        </w:rPr>
        <w:t>教育</w:t>
      </w:r>
      <w:r>
        <w:rPr>
          <w:rStyle w:val="15"/>
          <w:rFonts w:hint="eastAsia" w:ascii="仿宋" w:hAnsi="仿宋" w:eastAsia="仿宋"/>
          <w:bCs/>
          <w:color w:val="000000"/>
          <w:sz w:val="32"/>
          <w:szCs w:val="32"/>
        </w:rPr>
        <w:t>（02）</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支出决算为17.96万元，完成预算100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Style w:val="2"/>
        <w:spacing w:before="93"/>
        <w:ind w:firstLine="643" w:firstLineChars="200"/>
      </w:pPr>
      <w:r>
        <w:rPr>
          <w:rStyle w:val="34"/>
          <w:rFonts w:hint="eastAsia" w:ascii="仿宋" w:hAnsi="仿宋" w:eastAsia="仿宋"/>
          <w:color w:val="000000"/>
          <w:sz w:val="32"/>
          <w:szCs w:val="32"/>
        </w:rPr>
        <w:t>3.教育（205）普通教育（02）初中教育（03）：</w:t>
      </w:r>
      <w:r>
        <w:rPr>
          <w:rStyle w:val="34"/>
          <w:rFonts w:hint="eastAsia" w:ascii="仿宋" w:hAnsi="仿宋" w:eastAsia="仿宋"/>
          <w:b w:val="0"/>
          <w:bCs w:val="0"/>
          <w:color w:val="000000"/>
          <w:sz w:val="32"/>
          <w:szCs w:val="32"/>
        </w:rPr>
        <w:t>支出决算为786.79万元，完成预算100%</w:t>
      </w:r>
    </w:p>
    <w:p>
      <w:pPr>
        <w:spacing w:line="60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4.社会保障和就业支出（208）行政事业单位养老支出（05）机关事业单位基本养老保险缴费支出（05）: 支出决算为88.41万元，完成预算100%。</w:t>
      </w:r>
    </w:p>
    <w:p>
      <w:pPr>
        <w:spacing w:line="578"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5.社会保障和就业支出（208）行政事业单位养老支出（05）机关事业单位职业年金缴费支出（06）:</w:t>
      </w:r>
      <w:r>
        <w:rPr>
          <w:rFonts w:hint="eastAsia" w:ascii="仿宋_GB2312" w:hAnsi="仿宋_GB2312" w:eastAsia="仿宋_GB2312" w:cs="仿宋_GB2312"/>
          <w:sz w:val="32"/>
          <w:szCs w:val="32"/>
        </w:rPr>
        <w:t xml:space="preserve"> 支出决算为3.89万元，完成预算100%。</w:t>
      </w:r>
    </w:p>
    <w:p>
      <w:pPr>
        <w:spacing w:line="578"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6.社会保障和就业支出（208）行政事业单位养老支出（05）</w:t>
      </w:r>
      <w:r>
        <w:rPr>
          <w:rFonts w:hint="eastAsia"/>
          <w:sz w:val="30"/>
          <w:szCs w:val="30"/>
        </w:rPr>
        <w:t>其</w:t>
      </w:r>
      <w:r>
        <w:rPr>
          <w:rFonts w:hint="eastAsia" w:ascii="仿宋_GB2312" w:hAnsi="仿宋_GB2312" w:eastAsia="仿宋_GB2312" w:cs="仿宋_GB2312"/>
          <w:b/>
          <w:sz w:val="32"/>
          <w:szCs w:val="32"/>
        </w:rPr>
        <w:t>他行政事业单位养老支出（99）</w:t>
      </w:r>
      <w:r>
        <w:rPr>
          <w:rFonts w:hint="eastAsia" w:hAnsi="仿宋_GB2312" w:cs="仿宋_GB2312"/>
          <w:bCs/>
          <w:sz w:val="32"/>
          <w:szCs w:val="32"/>
        </w:rPr>
        <w:t>支出决算为17.79万元，</w:t>
      </w:r>
      <w:r>
        <w:rPr>
          <w:rFonts w:hint="eastAsia" w:ascii="仿宋_GB2312" w:hAnsi="仿宋_GB2312" w:eastAsia="仿宋_GB2312" w:cs="仿宋_GB2312"/>
          <w:sz w:val="32"/>
          <w:szCs w:val="32"/>
        </w:rPr>
        <w:t>完成预算100%。</w:t>
      </w:r>
    </w:p>
    <w:p>
      <w:pPr>
        <w:spacing w:line="578" w:lineRule="exact"/>
        <w:ind w:firstLine="643" w:firstLineChars="200"/>
        <w:rPr>
          <w:rFonts w:ascii="仿宋_GB2312" w:hAnsi="仿宋_GB2312" w:eastAsia="仿宋_GB2312" w:cs="仿宋_GB2312"/>
          <w:sz w:val="32"/>
          <w:szCs w:val="32"/>
        </w:rPr>
      </w:pPr>
      <w:r>
        <w:rPr>
          <w:rStyle w:val="15"/>
          <w:rFonts w:hint="eastAsia" w:ascii="仿宋" w:hAnsi="仿宋" w:eastAsia="仿宋"/>
          <w:bCs/>
          <w:color w:val="000000"/>
          <w:sz w:val="32"/>
          <w:szCs w:val="32"/>
        </w:rPr>
        <w:t>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卫生健康（210）行政事业单位医疗（11）事业单位医疗（02）</w:t>
      </w:r>
      <w:r>
        <w:rPr>
          <w:rStyle w:val="15"/>
          <w:rFonts w:hint="eastAsia" w:ascii="仿宋" w:hAnsi="仿宋" w:eastAsia="仿宋"/>
          <w:b w:val="0"/>
          <w:bCs/>
          <w:color w:val="000000"/>
          <w:sz w:val="32"/>
          <w:szCs w:val="32"/>
        </w:rPr>
        <w:t>:支出决算为36.44万元，完成预算100</w:t>
      </w:r>
      <w:r>
        <w:rPr>
          <w:rStyle w:val="15"/>
          <w:rFonts w:ascii="仿宋" w:hAnsi="仿宋" w:eastAsia="仿宋"/>
          <w:b w:val="0"/>
          <w:bCs/>
          <w:color w:val="000000"/>
          <w:sz w:val="32"/>
          <w:szCs w:val="32"/>
        </w:rPr>
        <w:t>%</w:t>
      </w:r>
      <w:r>
        <w:rPr>
          <w:rFonts w:hint="eastAsia" w:ascii="仿宋_GB2312" w:hAnsi="仿宋_GB2312" w:eastAsia="仿宋_GB2312" w:cs="仿宋_GB2312"/>
          <w:sz w:val="32"/>
          <w:szCs w:val="32"/>
        </w:rPr>
        <w:t>。</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8.住房保障支出（221）住房改革支出（02）住房公积金（01）：</w:t>
      </w:r>
      <w:r>
        <w:rPr>
          <w:rFonts w:hint="eastAsia" w:ascii="仿宋_GB2312" w:eastAsia="仿宋_GB2312"/>
          <w:color w:val="000000"/>
          <w:sz w:val="32"/>
          <w:szCs w:val="32"/>
        </w:rPr>
        <w:t>支出决算为71.42万元，完成预算100%。</w:t>
      </w:r>
    </w:p>
    <w:p>
      <w:pPr>
        <w:tabs>
          <w:tab w:val="right" w:pos="8306"/>
        </w:tabs>
        <w:spacing w:line="600" w:lineRule="exact"/>
        <w:ind w:firstLine="640"/>
        <w:outlineLvl w:val="1"/>
        <w:rPr>
          <w:rStyle w:val="26"/>
        </w:rPr>
      </w:pPr>
      <w:bookmarkStart w:id="54" w:name="_Toc15377214"/>
      <w:bookmarkStart w:id="55" w:name="_Toc15396608"/>
      <w:bookmarkStart w:id="56" w:name="_Toc2767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54"/>
      <w:bookmarkEnd w:id="55"/>
      <w:bookmarkEnd w:id="56"/>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21年一般公共预算财政拨款基本支出954.10万元，其中：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815.57万元，主要包括：基本工资499.30万元、津贴补贴249.76万元、奖金0.10万元、绩效工资189.69万元、机关事业单位基本养老保险缴费88.41万元、职业年金缴费3.89万元、职工基本医疗保险缴费36.44万元、其他工资福利支出76.82万元、生活补助56.04万元、医疗费补助0.09万元、奖励金0.10万元、住房公积金71.42万元、其他对个人和家庭的补助支出3.76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138.53万元，主要包括：办公费34.07万元、水费1.82万元、电费2.74万元、邮电费1.63万元、物业管理费5000万元、差旅费5.44万元、维修（护）费44.60万元、培训费6.3万元、专用材料费1.24万元、公务接待费0.30万元、劳务费4.00万元、工会经费13.36万元、福利费13.99万元、其他商品和服务支出9.77万元。</w:t>
      </w:r>
    </w:p>
    <w:p>
      <w:pPr>
        <w:spacing w:line="600" w:lineRule="exact"/>
        <w:ind w:firstLine="640"/>
        <w:outlineLvl w:val="1"/>
        <w:rPr>
          <w:rStyle w:val="26"/>
          <w:rFonts w:ascii="黑体" w:hAnsi="黑体" w:eastAsia="黑体"/>
          <w:b w:val="0"/>
        </w:rPr>
      </w:pPr>
      <w:bookmarkStart w:id="57" w:name="_Toc23920"/>
      <w:bookmarkStart w:id="58" w:name="_Toc15377215"/>
      <w:bookmarkStart w:id="59"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bookmarkStart w:id="61" w:name="_Toc6429"/>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21年“三公”经费财政拨款支出决算为0.30万元，完成预算100</w:t>
      </w:r>
      <w:r>
        <w:rPr>
          <w:rFonts w:ascii="仿宋" w:hAnsi="仿宋" w:eastAsia="仿宋"/>
          <w:color w:val="000000"/>
          <w:sz w:val="32"/>
          <w:szCs w:val="32"/>
        </w:rPr>
        <w:t>%</w:t>
      </w:r>
      <w:r>
        <w:rPr>
          <w:rFonts w:hint="eastAsia" w:ascii="仿宋_GB2312" w:hAnsi="仿宋_GB2312" w:eastAsia="仿宋_GB2312" w:cs="仿宋_GB2312"/>
          <w:sz w:val="32"/>
          <w:szCs w:val="32"/>
        </w:rPr>
        <w:t>。</w:t>
      </w:r>
    </w:p>
    <w:p>
      <w:pPr>
        <w:spacing w:line="600" w:lineRule="exact"/>
        <w:ind w:firstLine="640"/>
        <w:outlineLvl w:val="2"/>
        <w:rPr>
          <w:rFonts w:ascii="仿宋" w:hAnsi="仿宋" w:eastAsia="仿宋"/>
          <w:b/>
          <w:color w:val="000000"/>
          <w:sz w:val="32"/>
          <w:szCs w:val="32"/>
        </w:rPr>
      </w:pPr>
      <w:bookmarkStart w:id="62" w:name="_Toc15377217"/>
      <w:bookmarkStart w:id="63" w:name="_Toc17080"/>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；公务接待费支出决算0.30万元，占100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r>
        <w:drawing>
          <wp:inline distT="0" distB="0" distL="0" distR="0">
            <wp:extent cx="4827905" cy="2023110"/>
            <wp:effectExtent l="19050" t="0" r="10523"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pPr>
      <w:r>
        <w:rPr>
          <w:rFonts w:hint="eastAsia" w:ascii="仿宋" w:hAnsi="仿宋" w:eastAsia="仿宋"/>
          <w:sz w:val="32"/>
          <w:szCs w:val="32"/>
        </w:rPr>
        <w:t>（图7：“三公”经费财政拨款支出结构）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全年安排因公出国（境）团组0次，出国（境）0人。因公出国（境）支出决算与</w:t>
      </w:r>
      <w:r>
        <w:rPr>
          <w:rFonts w:ascii="仿宋_GB2312" w:eastAsia="仿宋_GB2312"/>
          <w:color w:val="000000"/>
          <w:sz w:val="32"/>
          <w:szCs w:val="32"/>
        </w:rPr>
        <w:t>20</w:t>
      </w:r>
      <w:r>
        <w:rPr>
          <w:rFonts w:hint="eastAsia" w:ascii="仿宋_GB2312" w:eastAsia="仿宋_GB2312"/>
          <w:color w:val="000000"/>
          <w:sz w:val="32"/>
          <w:szCs w:val="32"/>
        </w:rPr>
        <w:t>20年持平。</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公务用车购置及运行维护费支出决算与</w:t>
      </w:r>
      <w:r>
        <w:rPr>
          <w:rFonts w:ascii="仿宋_GB2312" w:eastAsia="仿宋_GB2312"/>
          <w:color w:val="000000"/>
          <w:sz w:val="32"/>
          <w:szCs w:val="32"/>
        </w:rPr>
        <w:t>20</w:t>
      </w:r>
      <w:r>
        <w:rPr>
          <w:rFonts w:hint="eastAsia" w:ascii="仿宋_GB2312" w:eastAsia="仿宋_GB2312"/>
          <w:color w:val="000000"/>
          <w:sz w:val="32"/>
          <w:szCs w:val="32"/>
        </w:rPr>
        <w:t>20年持平。</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3" w:firstLineChars="20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0.30万元，</w:t>
      </w:r>
      <w:r>
        <w:rPr>
          <w:rStyle w:val="15"/>
          <w:rFonts w:hint="eastAsia" w:ascii="仿宋" w:hAnsi="仿宋" w:eastAsia="仿宋"/>
          <w:b w:val="0"/>
          <w:bCs/>
          <w:color w:val="000000"/>
          <w:sz w:val="32"/>
          <w:szCs w:val="32"/>
        </w:rPr>
        <w:t>完成预算</w:t>
      </w:r>
      <w:r>
        <w:rPr>
          <w:rFonts w:hint="eastAsia" w:ascii="仿宋" w:hAnsi="仿宋" w:eastAsia="仿宋"/>
          <w:color w:val="000000"/>
          <w:sz w:val="32"/>
          <w:szCs w:val="32"/>
        </w:rPr>
        <w:t>60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20年持平，主要原因是</w:t>
      </w:r>
      <w:r>
        <w:rPr>
          <w:rFonts w:hint="eastAsia" w:ascii="仿宋" w:hAnsi="仿宋" w:eastAsia="仿宋"/>
          <w:color w:val="000000"/>
          <w:sz w:val="32"/>
          <w:szCs w:val="32"/>
        </w:rPr>
        <w:t>公务接待减少。</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国内公务接待支出0.30</w:t>
      </w:r>
      <w:r>
        <w:rPr>
          <w:rFonts w:hint="eastAsia" w:ascii="仿宋_GB2312" w:eastAsia="仿宋_GB2312"/>
          <w:color w:val="000000"/>
          <w:sz w:val="32"/>
          <w:szCs w:val="32"/>
        </w:rPr>
        <w:t>万元，主要用于执行公务、开展业务活动开支的交通费、住宿费、用餐费等。国内公务接待10批次，60人次（不包括陪同人员），共计支出1.00万元</w:t>
      </w:r>
      <w:r>
        <w:rPr>
          <w:rFonts w:hint="eastAsia" w:ascii="仿宋_GB2312" w:hAnsi="仿宋_GB2312" w:eastAsia="仿宋_GB2312" w:cs="仿宋_GB2312"/>
          <w:sz w:val="32"/>
          <w:szCs w:val="32"/>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bookmarkStart w:id="64" w:name="_Toc15377218"/>
      <w:bookmarkStart w:id="65" w:name="_Toc15396610"/>
    </w:p>
    <w:p>
      <w:pPr>
        <w:spacing w:line="600" w:lineRule="exact"/>
        <w:ind w:firstLine="640"/>
        <w:outlineLvl w:val="1"/>
        <w:rPr>
          <w:rStyle w:val="26"/>
          <w:rFonts w:ascii="黑体" w:hAnsi="黑体" w:eastAsia="黑体"/>
        </w:rPr>
      </w:pPr>
      <w:bookmarkStart w:id="66" w:name="_Toc1969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64"/>
      <w:bookmarkEnd w:id="65"/>
      <w:bookmarkEnd w:id="6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21年政府性基金预算拨款支出0万元。</w:t>
      </w:r>
    </w:p>
    <w:p>
      <w:pPr>
        <w:spacing w:line="600" w:lineRule="exact"/>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67" w:name="_Toc15377219"/>
      <w:bookmarkStart w:id="68" w:name="_Toc602"/>
      <w:bookmarkStart w:id="69" w:name="_Toc15396611"/>
      <w:r>
        <w:rPr>
          <w:rStyle w:val="26"/>
          <w:rFonts w:hint="eastAsia" w:ascii="黑体" w:hAnsi="黑体" w:eastAsia="黑体"/>
          <w:b w:val="0"/>
        </w:rPr>
        <w:t>国有资本经营预算支出决算情况说明</w:t>
      </w:r>
      <w:bookmarkEnd w:id="67"/>
      <w:bookmarkEnd w:id="68"/>
      <w:bookmarkEnd w:id="6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pStyle w:val="4"/>
        <w:ind w:firstLine="643" w:firstLineChars="200"/>
      </w:pPr>
      <w:bookmarkStart w:id="70" w:name="_Toc15396612"/>
      <w:bookmarkStart w:id="71" w:name="_Toc15377221"/>
      <w:bookmarkStart w:id="72" w:name="_Toc30219"/>
      <w:bookmarkStart w:id="73" w:name="_Toc27214"/>
      <w:r>
        <w:rPr>
          <w:rFonts w:hint="eastAsia"/>
        </w:rPr>
        <w:t>十、其他重要事项的情况说明</w:t>
      </w:r>
      <w:bookmarkEnd w:id="70"/>
      <w:bookmarkEnd w:id="71"/>
      <w:bookmarkEnd w:id="72"/>
      <w:bookmarkEnd w:id="73"/>
    </w:p>
    <w:p>
      <w:pPr>
        <w:spacing w:line="600" w:lineRule="exact"/>
        <w:ind w:firstLine="643" w:firstLineChars="200"/>
        <w:outlineLvl w:val="2"/>
        <w:rPr>
          <w:rFonts w:ascii="仿宋" w:hAnsi="仿宋" w:eastAsia="仿宋"/>
          <w:color w:val="000000"/>
          <w:sz w:val="32"/>
          <w:szCs w:val="32"/>
        </w:rPr>
      </w:pPr>
      <w:bookmarkStart w:id="74" w:name="_Toc15377222"/>
      <w:bookmarkStart w:id="75" w:name="_Toc19612"/>
      <w:bookmarkStart w:id="76" w:name="_Toc25593"/>
      <w:bookmarkStart w:id="77" w:name="_Toc6619"/>
      <w:r>
        <w:rPr>
          <w:rFonts w:hint="eastAsia" w:ascii="仿宋" w:hAnsi="仿宋" w:eastAsia="仿宋"/>
          <w:b/>
          <w:color w:val="000000"/>
          <w:sz w:val="32"/>
          <w:szCs w:val="32"/>
        </w:rPr>
        <w:t>（一）机关运行经费支出情况</w:t>
      </w:r>
      <w:bookmarkEnd w:id="74"/>
      <w:bookmarkEnd w:id="75"/>
      <w:bookmarkEnd w:id="76"/>
      <w:bookmarkEnd w:id="77"/>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21年，大竹县观音镇白坝学校机关运行经费支出0万元。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718"/>
      <w:bookmarkStart w:id="79" w:name="_Toc6040"/>
      <w:bookmarkStart w:id="80" w:name="_Toc15377223"/>
      <w:bookmarkStart w:id="81" w:name="_Toc32549"/>
      <w:r>
        <w:rPr>
          <w:rFonts w:hint="eastAsia" w:ascii="仿宋" w:hAnsi="仿宋" w:eastAsia="仿宋"/>
          <w:b/>
          <w:color w:val="000000"/>
          <w:sz w:val="32"/>
          <w:szCs w:val="32"/>
        </w:rPr>
        <w:t>（二）政府采购支出情况</w:t>
      </w:r>
      <w:bookmarkEnd w:id="78"/>
      <w:bookmarkEnd w:id="79"/>
      <w:bookmarkEnd w:id="80"/>
      <w:bookmarkEnd w:id="8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w:t>
      </w:r>
      <w:r>
        <w:rPr>
          <w:rFonts w:hint="eastAsia" w:ascii="仿宋_GB2312" w:hAnsi="仿宋_GB2312" w:eastAsia="仿宋_GB2312" w:cs="仿宋_GB2312"/>
          <w:sz w:val="32"/>
          <w:szCs w:val="32"/>
        </w:rPr>
        <w:t>大竹县观音镇</w:t>
      </w:r>
      <w:r>
        <w:rPr>
          <w:rFonts w:hint="eastAsia" w:ascii="仿宋" w:hAnsi="仿宋" w:eastAsia="仿宋"/>
          <w:sz w:val="30"/>
          <w:szCs w:val="30"/>
        </w:rPr>
        <w:t>白坝学校</w:t>
      </w:r>
      <w:r>
        <w:rPr>
          <w:rFonts w:hint="eastAsia" w:ascii="仿宋_GB2312" w:eastAsia="仿宋_GB2312"/>
          <w:color w:val="000000"/>
          <w:sz w:val="32"/>
          <w:szCs w:val="32"/>
        </w:rPr>
        <w:t>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2" w:name="_Toc15377224"/>
      <w:bookmarkStart w:id="83" w:name="_Toc23543"/>
      <w:bookmarkStart w:id="84" w:name="_Toc4227"/>
      <w:bookmarkStart w:id="85" w:name="_Toc9053"/>
      <w:r>
        <w:rPr>
          <w:rFonts w:hint="eastAsia" w:ascii="仿宋" w:hAnsi="仿宋" w:eastAsia="仿宋"/>
          <w:b/>
          <w:color w:val="000000"/>
          <w:sz w:val="32"/>
          <w:szCs w:val="32"/>
        </w:rPr>
        <w:t>（三）国有资产占有使用情况</w:t>
      </w:r>
      <w:bookmarkEnd w:id="82"/>
      <w:bookmarkEnd w:id="83"/>
      <w:bookmarkEnd w:id="84"/>
      <w:bookmarkEnd w:id="85"/>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sz w:val="32"/>
          <w:szCs w:val="32"/>
        </w:rPr>
        <w:t>大竹县观音镇白坝学校</w:t>
      </w:r>
      <w:r>
        <w:rPr>
          <w:rFonts w:hint="eastAsia" w:ascii="仿宋_GB2312" w:eastAsia="仿宋_GB2312"/>
          <w:color w:val="000000"/>
          <w:sz w:val="32"/>
          <w:szCs w:val="32"/>
        </w:rPr>
        <w:t>共有车辆0辆，其中：主要领导干部用车0辆、机要通信用车0辆、应急保障用车0辆、其他用车0辆、</w:t>
      </w:r>
      <w:r>
        <w:rPr>
          <w:rFonts w:hint="eastAsia" w:ascii="仿宋_GB2312" w:eastAsia="仿宋_GB2312"/>
          <w:color w:val="000000" w:themeColor="text1"/>
          <w:sz w:val="32"/>
          <w:szCs w:val="32"/>
        </w:rPr>
        <w:t>其他用车</w:t>
      </w:r>
      <w:r>
        <w:rPr>
          <w:rFonts w:hint="eastAsia" w:ascii="仿宋_GB2312" w:eastAsia="仿宋_GB2312"/>
          <w:color w:val="000000"/>
          <w:sz w:val="32"/>
          <w:szCs w:val="32"/>
        </w:rPr>
        <w:t>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6" w:name="_Toc27309"/>
      <w:bookmarkStart w:id="87" w:name="_Toc8794"/>
      <w:bookmarkStart w:id="88" w:name="_Toc24031"/>
      <w:r>
        <w:rPr>
          <w:rFonts w:hint="eastAsia" w:ascii="仿宋" w:hAnsi="仿宋" w:eastAsia="仿宋"/>
          <w:b/>
          <w:color w:val="000000"/>
          <w:sz w:val="32"/>
          <w:szCs w:val="32"/>
        </w:rPr>
        <w:t>（四）预算绩效管理情况。</w:t>
      </w:r>
      <w:bookmarkEnd w:id="86"/>
      <w:bookmarkEnd w:id="87"/>
      <w:bookmarkEnd w:id="88"/>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0个项目开展了预算事前绩效评估，对0个项目编制了绩效目标，预算执行过程中，选取0个项目开展绩效监控，年终执行完毕后，对0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从评价情况来看2021年度部门整体支出情况良好，开支合理，财务收支平衡，教育教学及学校发展都取得可喜成绩，社会反映效果良好，部门整体支出良好。本部门无专项预算项目，因此未组织开展项目支出绩效评价。</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本部门在2021年度部门决算中反映0个项目绩效目标实际完成情况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见附件1（第四部分）。</w:t>
      </w:r>
    </w:p>
    <w:p>
      <w:pPr>
        <w:pStyle w:val="2"/>
        <w:spacing w:before="93"/>
        <w:rPr>
          <w:rFonts w:hAnsi="仿宋_GB2312" w:cs="仿宋_GB2312"/>
          <w:sz w:val="32"/>
          <w:szCs w:val="32"/>
        </w:rPr>
      </w:pPr>
      <w:r>
        <w:rPr>
          <w:rFonts w:hint="eastAsia" w:hAnsi="仿宋_GB2312" w:cs="仿宋_GB2312"/>
          <w:sz w:val="32"/>
          <w:szCs w:val="32"/>
        </w:rPr>
        <w:t xml:space="preserve">    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本单位按要求对2021年部门整体支出绩效评价情况开展自评，《大竹县观音镇白坝学校2021年部门整体支出绩效评价报告》见附件2。</w:t>
      </w:r>
    </w:p>
    <w:p>
      <w:pPr>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本部门自行组织对0个项目开展了绩效评价，《大竹县观音镇白坝学校2021年项目绩效评价报告》见附件3。</w:t>
      </w: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pStyle w:val="2"/>
        <w:spacing w:before="93"/>
        <w:rPr>
          <w:rFonts w:hAnsi="仿宋_GB2312" w:cs="仿宋_GB2312"/>
          <w:sz w:val="32"/>
          <w:szCs w:val="32"/>
        </w:rPr>
      </w:pPr>
    </w:p>
    <w:p>
      <w:pPr>
        <w:numPr>
          <w:ilvl w:val="0"/>
          <w:numId w:val="3"/>
        </w:numPr>
        <w:spacing w:line="600" w:lineRule="exact"/>
        <w:ind w:firstLine="660" w:firstLineChars="150"/>
        <w:jc w:val="center"/>
        <w:outlineLvl w:val="0"/>
        <w:rPr>
          <w:rStyle w:val="25"/>
          <w:rFonts w:ascii="黑体" w:hAnsi="黑体" w:eastAsia="黑体"/>
          <w:b w:val="0"/>
        </w:rPr>
      </w:pPr>
      <w:bookmarkStart w:id="89" w:name="_Toc5253"/>
      <w:bookmarkStart w:id="90" w:name="_Toc15377225"/>
      <w:bookmarkStart w:id="91"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89"/>
      <w:bookmarkEnd w:id="90"/>
      <w:bookmarkEnd w:id="91"/>
    </w:p>
    <w:p>
      <w:pPr>
        <w:spacing w:line="600" w:lineRule="exact"/>
        <w:ind w:firstLine="640"/>
        <w:outlineLvl w:val="1"/>
        <w:rPr>
          <w:rFonts w:ascii="仿宋_GB2312" w:hAnsi="仿宋_GB2312" w:eastAsia="仿宋_GB2312" w:cs="仿宋_GB2312"/>
          <w:sz w:val="32"/>
          <w:szCs w:val="32"/>
        </w:rPr>
      </w:pPr>
      <w:bookmarkStart w:id="92" w:name="_Toc15230"/>
      <w:bookmarkStart w:id="93" w:name="_Toc13260"/>
      <w:bookmarkStart w:id="94" w:name="_Toc15377226"/>
      <w:r>
        <w:rPr>
          <w:rFonts w:hint="eastAsia" w:ascii="仿宋_GB2312" w:hAnsi="仿宋_GB2312" w:eastAsia="仿宋_GB2312" w:cs="仿宋_GB2312"/>
          <w:sz w:val="32"/>
          <w:szCs w:val="32"/>
        </w:rPr>
        <w:t>1.财政拨款收入：指单位从同级财政部门取得的财政预算资金。</w:t>
      </w:r>
      <w:bookmarkEnd w:id="92"/>
      <w:bookmarkEnd w:id="93"/>
    </w:p>
    <w:p>
      <w:pPr>
        <w:spacing w:line="600" w:lineRule="exact"/>
        <w:ind w:firstLine="640"/>
        <w:rPr>
          <w:rFonts w:ascii="仿宋_GB2312" w:eastAsia="仿宋_GB2312"/>
          <w:sz w:val="32"/>
          <w:szCs w:val="32"/>
        </w:rPr>
      </w:pPr>
      <w:r>
        <w:rPr>
          <w:rFonts w:hint="eastAsia" w:ascii="仿宋_GB2312" w:eastAsia="仿宋_GB2312"/>
          <w:sz w:val="32"/>
          <w:szCs w:val="32"/>
        </w:rPr>
        <w:t>2.其他收入：指单位取得的除</w:t>
      </w:r>
      <w:r>
        <w:rPr>
          <w:rFonts w:hint="eastAsia" w:ascii="仿宋_GB2312" w:hAnsi="Calibri" w:eastAsia="仿宋_GB2312"/>
          <w:sz w:val="32"/>
          <w:szCs w:val="32"/>
        </w:rPr>
        <w:t>“财政拨款收入”、“事业收入”、“经营收入”等</w:t>
      </w:r>
      <w:r>
        <w:rPr>
          <w:rFonts w:hint="eastAsia" w:ascii="仿宋_GB2312" w:eastAsia="仿宋_GB2312"/>
          <w:sz w:val="32"/>
          <w:szCs w:val="32"/>
        </w:rPr>
        <w:t>以外的各项收入。</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5、年末结转和结余：指单位按有关规定结转到下年或以后年度继续使用的资金。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6.教育支出（205类）普通教育（02款）学前教育（01项）：指学前教育支出。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7.教育支出（205类）普通教育（02款）小学教育（02项）：指小学教育支。</w:t>
      </w:r>
    </w:p>
    <w:p>
      <w:pPr>
        <w:ind w:firstLine="640" w:firstLineChars="200"/>
      </w:pPr>
      <w:r>
        <w:rPr>
          <w:rFonts w:hint="eastAsia" w:ascii="仿宋_GB2312" w:eastAsia="仿宋_GB2312"/>
          <w:color w:val="000000"/>
          <w:sz w:val="32"/>
          <w:szCs w:val="32"/>
        </w:rPr>
        <w:t>8.教育支出（205类）普通教育（02款）小学教育（03项）初中教育：指初中教育支出。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9.社会保障和就业</w:t>
      </w:r>
      <w:r>
        <w:rPr>
          <w:rFonts w:hint="eastAsia" w:ascii="仿宋_GB2312" w:eastAsia="仿宋_GB2312"/>
          <w:sz w:val="32"/>
          <w:szCs w:val="32"/>
        </w:rPr>
        <w:t>支出</w:t>
      </w:r>
      <w:r>
        <w:rPr>
          <w:rFonts w:hint="eastAsia" w:ascii="仿宋_GB2312" w:eastAsia="仿宋_GB2312"/>
          <w:color w:val="000000"/>
          <w:sz w:val="32"/>
          <w:szCs w:val="32"/>
        </w:rPr>
        <w:t>（208类）行政事业单位离退休（05款）机关事业单位基本养老保险缴费支出（05项）：</w:t>
      </w:r>
      <w:r>
        <w:rPr>
          <w:rFonts w:ascii="仿宋_GB2312" w:eastAsia="仿宋_GB2312"/>
          <w:color w:val="000000"/>
          <w:sz w:val="32"/>
          <w:szCs w:val="32"/>
        </w:rPr>
        <w:t>指单位缴纳职工养老保险费</w:t>
      </w:r>
      <w:r>
        <w:rPr>
          <w:rFonts w:hint="eastAsia" w:ascii="仿宋_GB2312" w:eastAsia="仿宋_GB2312"/>
          <w:color w:val="000000"/>
          <w:sz w:val="32"/>
          <w:szCs w:val="32"/>
        </w:rPr>
        <w:t xml:space="preserve">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10.社会保障和就业</w:t>
      </w:r>
      <w:r>
        <w:rPr>
          <w:rFonts w:hint="eastAsia" w:ascii="仿宋_GB2312" w:eastAsia="仿宋_GB2312"/>
          <w:sz w:val="32"/>
          <w:szCs w:val="32"/>
        </w:rPr>
        <w:t>支出</w:t>
      </w:r>
      <w:r>
        <w:rPr>
          <w:rFonts w:hint="eastAsia" w:ascii="仿宋_GB2312" w:eastAsia="仿宋_GB2312"/>
          <w:color w:val="000000"/>
          <w:sz w:val="32"/>
          <w:szCs w:val="32"/>
        </w:rPr>
        <w:t>（208类）行政事业单位离退休（05款）其他行政事业单位养老支出（99项）：</w:t>
      </w:r>
      <w:r>
        <w:rPr>
          <w:rFonts w:ascii="仿宋_GB2312" w:eastAsia="仿宋_GB2312"/>
          <w:color w:val="000000"/>
          <w:sz w:val="32"/>
          <w:szCs w:val="32"/>
        </w:rPr>
        <w:t>指</w:t>
      </w:r>
      <w:r>
        <w:rPr>
          <w:rFonts w:hint="eastAsia" w:ascii="仿宋_GB2312" w:eastAsia="仿宋_GB2312"/>
          <w:color w:val="000000"/>
          <w:sz w:val="32"/>
          <w:szCs w:val="32"/>
        </w:rPr>
        <w:t>其他用于行政事业单位离退休方面的</w:t>
      </w:r>
      <w:r>
        <w:rPr>
          <w:rFonts w:ascii="仿宋_GB2312" w:eastAsia="仿宋_GB2312"/>
          <w:color w:val="000000"/>
          <w:sz w:val="32"/>
          <w:szCs w:val="32"/>
        </w:rPr>
        <w:t>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11.社会保障和就业</w:t>
      </w:r>
      <w:r>
        <w:rPr>
          <w:rFonts w:hint="eastAsia" w:ascii="仿宋_GB2312" w:eastAsia="仿宋_GB2312"/>
          <w:sz w:val="32"/>
          <w:szCs w:val="32"/>
        </w:rPr>
        <w:t>支出</w:t>
      </w:r>
      <w:r>
        <w:rPr>
          <w:rFonts w:hint="eastAsia" w:ascii="仿宋_GB2312" w:eastAsia="仿宋_GB2312"/>
          <w:color w:val="000000"/>
          <w:sz w:val="32"/>
          <w:szCs w:val="32"/>
        </w:rPr>
        <w:t>（208类）抚恤(08款）死亡抚恤（01项）：指死亡抚恤支出。</w:t>
      </w:r>
    </w:p>
    <w:p>
      <w:pPr>
        <w:pStyle w:val="2"/>
        <w:spacing w:before="93"/>
        <w:ind w:firstLine="600" w:firstLineChars="200"/>
      </w:pPr>
      <w:r>
        <w:rPr>
          <w:rFonts w:hint="eastAsia"/>
        </w:rPr>
        <w:t>12.卫生健康支出（210类）行政事业单位医疗（11）事业单位医疗（02）：</w:t>
      </w:r>
      <w:r>
        <w:rPr>
          <w:rFonts w:hint="eastAsia" w:ascii="仿宋" w:hAnsi="仿宋" w:eastAsia="仿宋" w:cs="仿宋"/>
          <w:sz w:val="32"/>
          <w:szCs w:val="32"/>
        </w:rPr>
        <w:t>指机关事业单位基本医疗保险单位缴费支出。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hint="eastAsia" w:ascii="仿宋_GB2312" w:eastAsia="仿宋_GB2312"/>
          <w:sz w:val="32"/>
          <w:szCs w:val="32"/>
        </w:rPr>
        <w:t xml:space="preserve"> 住房保障支出（221类）住房改革支出（02款）住房公积金（01项）：指本单位在职职工的住房公积金缴费</w:t>
      </w:r>
      <w:r>
        <w:rPr>
          <w:rFonts w:hint="eastAsia" w:ascii="仿宋_GB2312" w:eastAsia="仿宋_GB2312"/>
          <w:color w:val="000000"/>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15.项目支出：指在基本支出之外为完成特定行政任务和事业发展目标所发生的支出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130" w:name="_GoBack"/>
      <w:bookmarkEnd w:id="130"/>
      <w:r>
        <w:rPr>
          <w:rFonts w:ascii="宋体"/>
          <w:b/>
          <w:color w:val="000000"/>
          <w:sz w:val="44"/>
          <w:szCs w:val="44"/>
        </w:rPr>
        <w:br w:type="page"/>
      </w:r>
      <w:bookmarkStart w:id="95" w:name="_Toc10519"/>
      <w:bookmarkStart w:id="96"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95"/>
      <w:bookmarkEnd w:id="96"/>
    </w:p>
    <w:p>
      <w:pPr>
        <w:spacing w:line="572" w:lineRule="exact"/>
        <w:jc w:val="left"/>
        <w:outlineLvl w:val="0"/>
        <w:rPr>
          <w:rFonts w:ascii="仿宋_GB2312" w:hAnsi="仿宋_GB2312" w:eastAsia="黑体" w:cs="仿宋_GB2312"/>
          <w:sz w:val="32"/>
          <w:szCs w:val="32"/>
        </w:rPr>
      </w:pPr>
      <w:bookmarkStart w:id="97" w:name="_Toc647"/>
      <w:bookmarkStart w:id="98" w:name="_Toc17967"/>
      <w:r>
        <w:rPr>
          <w:rFonts w:hint="eastAsia" w:ascii="黑体" w:hAnsi="黑体" w:eastAsia="黑体" w:cs="黑体"/>
          <w:sz w:val="32"/>
          <w:szCs w:val="32"/>
        </w:rPr>
        <w:t>附件1</w:t>
      </w:r>
      <w:bookmarkEnd w:id="97"/>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600" w:lineRule="exact"/>
        <w:jc w:val="left"/>
        <w:outlineLvl w:val="1"/>
        <w:rPr>
          <w:rFonts w:ascii="黑体" w:hAnsi="黑体" w:eastAsia="黑体" w:cs="黑体"/>
          <w:sz w:val="32"/>
          <w:szCs w:val="32"/>
        </w:rPr>
      </w:pPr>
    </w:p>
    <w:p>
      <w:pPr>
        <w:spacing w:line="600" w:lineRule="exact"/>
        <w:jc w:val="left"/>
        <w:outlineLvl w:val="1"/>
        <w:rPr>
          <w:rFonts w:ascii="方正小标宋简体" w:hAnsi="方正小标宋简体" w:eastAsia="黑体" w:cs="方正小标宋简体"/>
          <w:sz w:val="32"/>
          <w:szCs w:val="32"/>
        </w:rPr>
      </w:pPr>
      <w:r>
        <w:rPr>
          <w:rFonts w:hint="eastAsia" w:ascii="黑体" w:hAnsi="黑体" w:eastAsia="黑体" w:cs="黑体"/>
          <w:sz w:val="32"/>
          <w:szCs w:val="32"/>
        </w:rPr>
        <w:t>附件2</w:t>
      </w:r>
      <w:bookmarkEnd w:id="9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大竹县观音镇白坝学校</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rPr>
        <w:t>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pStyle w:val="31"/>
        <w:spacing w:before="93"/>
        <w:ind w:firstLine="640" w:firstLineChars="200"/>
        <w:rPr>
          <w:rFonts w:ascii="仿宋_GB2312" w:hAnsi="宋体" w:eastAsia="仿宋_GB2312" w:cs="宋体"/>
          <w:color w:val="000000"/>
          <w:sz w:val="32"/>
          <w:szCs w:val="32"/>
          <w:shd w:val="clear" w:color="auto" w:fill="FFFFFF"/>
          <w:lang w:val="zh-CN"/>
        </w:rPr>
      </w:pPr>
      <w:r>
        <w:rPr>
          <w:rFonts w:hint="eastAsia" w:ascii="仿宋_GB2312" w:hAnsi="宋体" w:eastAsia="仿宋_GB2312" w:cs="宋体"/>
          <w:color w:val="000000"/>
          <w:sz w:val="32"/>
          <w:szCs w:val="32"/>
          <w:shd w:val="clear" w:color="auto" w:fill="FFFFFF"/>
          <w:lang w:val="zh-CN"/>
        </w:rPr>
        <w:t>（一）机构组成。</w:t>
      </w:r>
    </w:p>
    <w:p>
      <w:pPr>
        <w:pStyle w:val="31"/>
        <w:spacing w:before="93"/>
        <w:ind w:firstLine="600" w:firstLineChars="200"/>
        <w:rPr>
          <w:rFonts w:ascii="仿宋" w:hAnsi="仿宋" w:eastAsia="仿宋"/>
          <w:color w:val="333333"/>
          <w:sz w:val="30"/>
          <w:szCs w:val="30"/>
        </w:rPr>
      </w:pPr>
      <w:r>
        <w:rPr>
          <w:rFonts w:hint="eastAsia" w:ascii="仿宋" w:hAnsi="仿宋" w:eastAsia="仿宋"/>
          <w:sz w:val="30"/>
          <w:szCs w:val="30"/>
        </w:rPr>
        <w:t>大竹县观音镇白坝学校</w:t>
      </w:r>
      <w:r>
        <w:rPr>
          <w:rFonts w:hint="eastAsia" w:ascii="仿宋" w:hAnsi="仿宋" w:eastAsia="仿宋" w:cs="宋体"/>
          <w:sz w:val="30"/>
          <w:szCs w:val="30"/>
        </w:rPr>
        <w:t>是</w:t>
      </w:r>
      <w:r>
        <w:rPr>
          <w:rFonts w:hint="eastAsia" w:ascii="仿宋" w:hAnsi="仿宋" w:eastAsia="仿宋" w:cs="Calibri"/>
          <w:color w:val="000000"/>
          <w:sz w:val="28"/>
          <w:szCs w:val="28"/>
        </w:rPr>
        <w:t>隶属大竹县教育和科学技术局</w:t>
      </w:r>
      <w:r>
        <w:rPr>
          <w:rFonts w:hint="eastAsia" w:ascii="楷体_GB2312" w:hAnsi="Calibri" w:eastAsia="楷体_GB2312" w:cs="Calibri"/>
          <w:color w:val="000000"/>
          <w:sz w:val="28"/>
          <w:szCs w:val="28"/>
        </w:rPr>
        <w:t>是</w:t>
      </w:r>
      <w:r>
        <w:rPr>
          <w:rFonts w:hint="eastAsia" w:ascii="仿宋" w:hAnsi="仿宋" w:eastAsia="仿宋" w:cs="宋体"/>
          <w:sz w:val="30"/>
          <w:szCs w:val="30"/>
        </w:rPr>
        <w:t>财政全额补助的事业单位，正常运转严格执行财政收支管理。</w:t>
      </w:r>
      <w:r>
        <w:rPr>
          <w:rFonts w:hint="eastAsia" w:ascii="仿宋" w:hAnsi="仿宋" w:eastAsia="仿宋"/>
          <w:sz w:val="30"/>
          <w:szCs w:val="30"/>
        </w:rPr>
        <w:t>2021年度部门决算汇编范围的独立核算单位共 1 个，</w:t>
      </w:r>
      <w:r>
        <w:rPr>
          <w:rFonts w:hint="eastAsia" w:ascii="仿宋" w:hAnsi="仿宋" w:eastAsia="仿宋"/>
          <w:color w:val="333333"/>
          <w:sz w:val="30"/>
          <w:szCs w:val="30"/>
        </w:rPr>
        <w:t>无下属单位。</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pStyle w:val="31"/>
        <w:spacing w:before="93" w:line="360" w:lineRule="auto"/>
        <w:ind w:firstLine="600"/>
        <w:rPr>
          <w:rFonts w:ascii="仿宋" w:hAnsi="仿宋" w:eastAsia="仿宋"/>
          <w:kern w:val="2"/>
          <w:sz w:val="30"/>
          <w:szCs w:val="30"/>
        </w:rPr>
      </w:pPr>
      <w:r>
        <w:rPr>
          <w:rFonts w:hint="eastAsia" w:ascii="仿宋" w:hAnsi="仿宋" w:eastAsia="仿宋"/>
          <w:kern w:val="2"/>
          <w:sz w:val="30"/>
          <w:szCs w:val="30"/>
        </w:rPr>
        <w:t>大竹县观音镇</w:t>
      </w:r>
      <w:r>
        <w:rPr>
          <w:rFonts w:hint="eastAsia" w:ascii="仿宋" w:hAnsi="仿宋" w:eastAsia="仿宋"/>
          <w:sz w:val="30"/>
          <w:szCs w:val="30"/>
        </w:rPr>
        <w:t>白坝学校</w:t>
      </w:r>
      <w:r>
        <w:rPr>
          <w:rFonts w:hint="eastAsia" w:ascii="仿宋" w:hAnsi="仿宋" w:eastAsia="仿宋"/>
          <w:kern w:val="2"/>
          <w:sz w:val="30"/>
          <w:szCs w:val="30"/>
        </w:rPr>
        <w:t>的基本职能和主要工作是实施义务教育，促进基础教育发展，进行小学教育及相关的社会活动。</w:t>
      </w:r>
      <w:r>
        <w:rPr>
          <w:rFonts w:hint="eastAsia" w:ascii="仿宋" w:hAnsi="仿宋" w:eastAsia="仿宋" w:cs="宋体"/>
          <w:color w:val="000000"/>
          <w:sz w:val="30"/>
          <w:szCs w:val="30"/>
        </w:rPr>
        <w:t>为了有效的推动了大竹县教学改革，多次指导和帮助教师开展学科课外活动，努力满足学校现代教育教学需求，促进学校教育教学质量和教育科研水平的提高为目的，积极推进教育信息化建设，开展了大量的具体工作，圆满完成了各项工作任务，取得了可喜的成绩。</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ind w:firstLine="570"/>
        <w:rPr>
          <w:rFonts w:ascii="仿宋_GB2312" w:eastAsia="仿宋_GB2312"/>
          <w:color w:val="333333"/>
          <w:sz w:val="28"/>
          <w:szCs w:val="28"/>
        </w:rPr>
      </w:pPr>
      <w:r>
        <w:rPr>
          <w:rFonts w:hint="eastAsia" w:ascii="仿宋" w:hAnsi="仿宋" w:eastAsia="仿宋"/>
          <w:color w:val="333333"/>
          <w:sz w:val="32"/>
          <w:szCs w:val="32"/>
        </w:rPr>
        <w:t>2021年末编制人数71人，年末实有在职教职工60人，退休职工82人，小学学生646人，幼儿学生81人。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2021年本年收入合计1011.75万元，其中：一般公共预算财政拨款收入1011.75万元，占100%；事业收入0万元，占0%。</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2021年本年支出合计1039.71万元，其中：基本支出954.10万元，占92.66%；项目支出157.09万元，占7.34%</w:t>
      </w:r>
      <w:r>
        <w:rPr>
          <w:rFonts w:ascii="仿宋" w:hAnsi="仿宋" w:eastAsia="仿宋" w:cs="仿宋_GB2312"/>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pStyle w:val="31"/>
        <w:spacing w:before="93" w:line="360" w:lineRule="auto"/>
        <w:ind w:firstLine="600"/>
        <w:rPr>
          <w:rFonts w:ascii="仿宋" w:hAnsi="仿宋" w:eastAsia="仿宋" w:cs="仿宋_GB2312"/>
          <w:sz w:val="28"/>
          <w:szCs w:val="28"/>
        </w:rPr>
      </w:pPr>
      <w:r>
        <w:rPr>
          <w:rFonts w:hint="eastAsia" w:ascii="仿宋" w:hAnsi="仿宋" w:eastAsia="仿宋" w:cs="仿宋_GB2312"/>
          <w:sz w:val="32"/>
          <w:szCs w:val="32"/>
        </w:rPr>
        <w:t>大竹县观音镇中心小学严格按照</w:t>
      </w:r>
      <w:r>
        <w:rPr>
          <w:rFonts w:ascii="仿宋" w:hAnsi="仿宋" w:eastAsia="仿宋" w:cs="仿宋_GB2312"/>
          <w:sz w:val="32"/>
          <w:szCs w:val="32"/>
        </w:rPr>
        <w:t>绩效目标制定、目标完成</w:t>
      </w:r>
      <w:r>
        <w:rPr>
          <w:rFonts w:hint="eastAsia" w:ascii="仿宋" w:hAnsi="仿宋" w:eastAsia="仿宋" w:cs="仿宋_GB2312"/>
          <w:sz w:val="32"/>
          <w:szCs w:val="32"/>
        </w:rPr>
        <w:t>，</w:t>
      </w:r>
      <w:r>
        <w:rPr>
          <w:rFonts w:ascii="仿宋" w:hAnsi="仿宋" w:eastAsia="仿宋" w:cs="仿宋_GB2312"/>
          <w:sz w:val="32"/>
          <w:szCs w:val="32"/>
        </w:rPr>
        <w:t>准确预算编制</w:t>
      </w:r>
      <w:r>
        <w:rPr>
          <w:rFonts w:hint="eastAsia" w:ascii="仿宋" w:hAnsi="仿宋" w:eastAsia="仿宋" w:cs="仿宋_GB2312"/>
          <w:sz w:val="32"/>
          <w:szCs w:val="32"/>
        </w:rPr>
        <w:t>，合理</w:t>
      </w:r>
      <w:r>
        <w:rPr>
          <w:rFonts w:ascii="仿宋" w:hAnsi="仿宋" w:eastAsia="仿宋" w:cs="仿宋_GB2312"/>
          <w:sz w:val="32"/>
          <w:szCs w:val="32"/>
        </w:rPr>
        <w:t>控制支出</w:t>
      </w:r>
      <w:r>
        <w:rPr>
          <w:rFonts w:hint="eastAsia" w:ascii="仿宋" w:hAnsi="仿宋" w:eastAsia="仿宋" w:cs="仿宋_GB2312"/>
          <w:sz w:val="32"/>
          <w:szCs w:val="32"/>
        </w:rPr>
        <w:t>，</w:t>
      </w:r>
      <w:r>
        <w:rPr>
          <w:rFonts w:ascii="仿宋" w:hAnsi="仿宋" w:eastAsia="仿宋" w:cs="仿宋_GB2312"/>
          <w:sz w:val="32"/>
          <w:szCs w:val="32"/>
        </w:rPr>
        <w:t>预算动态调整</w:t>
      </w:r>
      <w:r>
        <w:rPr>
          <w:rFonts w:hint="eastAsia" w:ascii="仿宋" w:hAnsi="仿宋" w:eastAsia="仿宋" w:cs="仿宋_GB2312"/>
          <w:sz w:val="32"/>
          <w:szCs w:val="32"/>
        </w:rPr>
        <w:t>，</w:t>
      </w:r>
      <w:r>
        <w:rPr>
          <w:rFonts w:ascii="仿宋" w:hAnsi="仿宋" w:eastAsia="仿宋" w:cs="仿宋_GB2312"/>
          <w:sz w:val="32"/>
          <w:szCs w:val="32"/>
        </w:rPr>
        <w:t>执行</w:t>
      </w:r>
      <w:r>
        <w:rPr>
          <w:rFonts w:hint="eastAsia" w:ascii="仿宋" w:hAnsi="仿宋" w:eastAsia="仿宋" w:cs="仿宋_GB2312"/>
          <w:sz w:val="32"/>
          <w:szCs w:val="32"/>
        </w:rPr>
        <w:t>预算</w:t>
      </w:r>
      <w:r>
        <w:rPr>
          <w:rFonts w:ascii="仿宋" w:hAnsi="仿宋" w:eastAsia="仿宋" w:cs="仿宋_GB2312"/>
          <w:sz w:val="32"/>
          <w:szCs w:val="32"/>
        </w:rPr>
        <w:t>进度</w:t>
      </w:r>
      <w:r>
        <w:rPr>
          <w:rFonts w:hint="eastAsia" w:ascii="仿宋" w:hAnsi="仿宋" w:eastAsia="仿宋" w:cs="仿宋_GB2312"/>
          <w:sz w:val="32"/>
          <w:szCs w:val="32"/>
        </w:rPr>
        <w:t>，</w:t>
      </w:r>
      <w:r>
        <w:rPr>
          <w:rFonts w:ascii="仿宋" w:hAnsi="仿宋" w:eastAsia="仿宋" w:cs="仿宋_GB2312"/>
          <w:sz w:val="32"/>
          <w:szCs w:val="32"/>
        </w:rPr>
        <w:t>完成预算情况和</w:t>
      </w:r>
      <w:r>
        <w:rPr>
          <w:rFonts w:hint="eastAsia" w:ascii="仿宋" w:hAnsi="仿宋" w:eastAsia="仿宋" w:cs="仿宋_GB2312"/>
          <w:sz w:val="32"/>
          <w:szCs w:val="32"/>
        </w:rPr>
        <w:t>管控</w:t>
      </w:r>
      <w:r>
        <w:rPr>
          <w:rFonts w:ascii="仿宋" w:hAnsi="仿宋" w:eastAsia="仿宋" w:cs="仿宋_GB2312"/>
          <w:sz w:val="32"/>
          <w:szCs w:val="32"/>
        </w:rPr>
        <w:t>违规</w:t>
      </w:r>
      <w:r>
        <w:rPr>
          <w:rFonts w:hint="eastAsia" w:ascii="仿宋" w:hAnsi="仿宋" w:eastAsia="仿宋" w:cs="仿宋_GB2312"/>
          <w:sz w:val="32"/>
          <w:szCs w:val="32"/>
        </w:rPr>
        <w:t>，</w:t>
      </w:r>
      <w:r>
        <w:rPr>
          <w:rFonts w:hint="eastAsia" w:ascii="仿宋" w:hAnsi="仿宋" w:eastAsia="仿宋" w:cs="宋体"/>
          <w:color w:val="000000"/>
          <w:sz w:val="28"/>
          <w:szCs w:val="28"/>
        </w:rPr>
        <w:t>为了遵循预算统一性、完整性、年度性、可靠性、公开性和分类性原则，保证预算编制的科学、合理、规范、准确、完整、效益。</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pStyle w:val="31"/>
        <w:spacing w:before="93" w:line="578" w:lineRule="atLeast"/>
        <w:ind w:firstLine="640"/>
        <w:rPr>
          <w:rFonts w:ascii="仿宋_GB2312" w:eastAsia="仿宋_GB2312"/>
          <w:sz w:val="32"/>
          <w:szCs w:val="32"/>
        </w:rPr>
      </w:pPr>
      <w:r>
        <w:rPr>
          <w:rFonts w:hint="eastAsia" w:ascii="仿宋_GB2312" w:eastAsia="仿宋_GB2312"/>
          <w:sz w:val="32"/>
          <w:szCs w:val="32"/>
        </w:rPr>
        <w:t>1、管理制度健全性，2021年我校制定了财务管理制度，管理制度依照相关国家的法律、法规而制定的，具有合法性、合规性、完整性；相关管理制度以文件形式下发并得到认真执行。</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2、专账核算，项目支出分项目单独进行核算。</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3、预决算信息公开性和完善性，按照规定的内容、时间公开预决算信息，做到基础数据信息和会计资料真实、完整、准确。</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4、政府采购完成情况，2021年政府采购0万元。</w:t>
      </w:r>
    </w:p>
    <w:p>
      <w:pPr>
        <w:pStyle w:val="31"/>
        <w:spacing w:before="93" w:line="578" w:lineRule="atLeast"/>
        <w:ind w:firstLine="640"/>
        <w:rPr>
          <w:rFonts w:ascii="仿宋_GB2312" w:eastAsia="仿宋_GB2312"/>
          <w:sz w:val="32"/>
          <w:szCs w:val="32"/>
        </w:rPr>
      </w:pPr>
      <w:r>
        <w:rPr>
          <w:rFonts w:hint="eastAsia" w:ascii="仿宋_GB2312" w:eastAsia="仿宋_GB2312"/>
          <w:sz w:val="32"/>
          <w:szCs w:val="32"/>
        </w:rPr>
        <w:t>2021年我校在县委、县政府的正确领导下，在县教科局、县财政局的直接领导下，全校职工上下齐心，圆满完成了年初绩效工作目标。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（1）总体履职情况良好。</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（2）教育资金得到合理有效使用。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（1）是在建立健全制度方面仍需进一步完善，我校虽然制定了相关的财务制度与一系列的资金管理制度和项目实施的具体管理制度，但与绩效评价工作开展的要求还有一定的差距，需进一步完善。</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（2）对绩效评价还不十分熟悉，思想意识上也没有予以足够重视。没有专门的绩效评价工作部门与人员，工作开展起来有难度。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pStyle w:val="31"/>
        <w:spacing w:line="578" w:lineRule="atLeast"/>
        <w:ind w:firstLine="640"/>
        <w:rPr>
          <w:rFonts w:ascii="仿宋_GB2312" w:eastAsia="仿宋_GB2312"/>
          <w:sz w:val="32"/>
          <w:szCs w:val="32"/>
        </w:rPr>
      </w:pPr>
      <w:r>
        <w:rPr>
          <w:rFonts w:hint="eastAsia" w:ascii="仿宋_GB2312" w:eastAsia="仿宋_GB2312"/>
          <w:sz w:val="32"/>
          <w:szCs w:val="32"/>
        </w:rPr>
        <w:t>（1）是根据绩效评价工作相关要求，进一步完善各项资金管理制度。加强财政资金管理，切实提高资金使用效率。</w:t>
      </w:r>
    </w:p>
    <w:p>
      <w:pPr>
        <w:pStyle w:val="31"/>
        <w:spacing w:before="93" w:line="578" w:lineRule="atLeast"/>
        <w:ind w:firstLine="640"/>
        <w:rPr>
          <w:rStyle w:val="25"/>
          <w:rFonts w:ascii="仿宋_GB2312" w:eastAsia="仿宋_GB2312"/>
          <w:sz w:val="32"/>
          <w:szCs w:val="32"/>
        </w:rPr>
      </w:pPr>
      <w:r>
        <w:rPr>
          <w:rFonts w:hint="eastAsia" w:ascii="仿宋_GB2312" w:eastAsia="仿宋_GB2312"/>
          <w:sz w:val="32"/>
          <w:szCs w:val="32"/>
        </w:rPr>
        <w:t>（2）是加强对绩效评价相关方面的学习，吃透领会相关文件精神，并与实际工作相结合，使来年的绩效评价工作更上一个新的台阶。</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outlineLvl w:val="1"/>
        <w:rPr>
          <w:rFonts w:ascii="仿宋_GB2312" w:hAnsi="仿宋_GB2312" w:eastAsia="黑体" w:cs="仿宋_GB2312"/>
          <w:sz w:val="32"/>
          <w:szCs w:val="32"/>
        </w:rPr>
      </w:pPr>
      <w:bookmarkStart w:id="99" w:name="_Toc28466"/>
      <w:r>
        <w:rPr>
          <w:rFonts w:hint="eastAsia" w:ascii="黑体" w:hAnsi="黑体" w:eastAsia="黑体" w:cs="黑体"/>
          <w:sz w:val="32"/>
          <w:szCs w:val="32"/>
        </w:rPr>
        <w:t>附件3</w:t>
      </w:r>
      <w:bookmarkEnd w:id="99"/>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bookmarkStart w:id="100" w:name="_Toc22010"/>
      <w:r>
        <w:rPr>
          <w:rFonts w:hint="eastAsia" w:ascii="方正小标宋简体" w:hAnsi="宋体" w:eastAsia="方正小标宋简体"/>
          <w:color w:val="000000"/>
          <w:kern w:val="0"/>
          <w:sz w:val="44"/>
          <w:szCs w:val="44"/>
        </w:rPr>
        <w:t>大竹县观音镇中心小学</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2021年</w:t>
      </w:r>
      <w:r>
        <w:rPr>
          <w:rFonts w:hint="eastAsia" w:ascii="方正小标宋简体" w:hAnsi="宋体" w:eastAsia="方正小标宋简体"/>
          <w:color w:val="000000"/>
          <w:kern w:val="0"/>
          <w:sz w:val="44"/>
          <w:szCs w:val="44"/>
          <w:lang w:val="zh-CN"/>
        </w:rPr>
        <w:t>项目绩效评价报告</w:t>
      </w:r>
      <w:bookmarkEnd w:id="100"/>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仿宋_GB2312" w:hAnsi="宋体" w:eastAsia="楷体_GB2312"/>
          <w:sz w:val="32"/>
          <w:szCs w:val="32"/>
        </w:rPr>
      </w:pPr>
      <w:r>
        <w:rPr>
          <w:rFonts w:hint="eastAsia" w:ascii="楷体_GB2312" w:hAnsi="宋体" w:eastAsia="楷体_GB2312"/>
          <w:b/>
          <w:sz w:val="32"/>
          <w:szCs w:val="32"/>
        </w:rPr>
        <w:t>无</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rPr>
      </w:pPr>
      <w:r>
        <w:rPr>
          <w:rFonts w:hint="eastAsia" w:ascii="楷体_GB2312" w:hAnsi="宋体" w:eastAsia="楷体_GB2312"/>
          <w:b/>
          <w:sz w:val="32"/>
          <w:szCs w:val="32"/>
        </w:rPr>
        <w:t>无</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无</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无</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ind w:firstLine="643" w:firstLineChars="200"/>
      </w:pPr>
      <w:r>
        <w:rPr>
          <w:rFonts w:hint="eastAsia" w:ascii="楷体_GB2312" w:hAnsi="宋体" w:eastAsia="楷体_GB2312"/>
          <w:b/>
          <w:sz w:val="32"/>
          <w:szCs w:val="32"/>
        </w:rPr>
        <w:t>无</w:t>
      </w: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bookmarkStart w:id="101" w:name="_Toc15396618"/>
      <w:bookmarkStart w:id="102" w:name="_Toc311"/>
      <w:r>
        <w:rPr>
          <w:rFonts w:hint="eastAsia" w:ascii="黑体" w:hAnsi="黑体" w:eastAsia="黑体"/>
          <w:color w:val="000000"/>
          <w:sz w:val="44"/>
          <w:szCs w:val="44"/>
        </w:rPr>
        <w:t>第</w:t>
      </w:r>
      <w:r>
        <w:rPr>
          <w:rStyle w:val="25"/>
          <w:rFonts w:hint="eastAsia" w:ascii="黑体" w:hAnsi="黑体" w:eastAsia="黑体"/>
          <w:b w:val="0"/>
        </w:rPr>
        <w:t>五部分 附表</w:t>
      </w:r>
      <w:bookmarkEnd w:id="94"/>
      <w:bookmarkEnd w:id="101"/>
      <w:bookmarkEnd w:id="102"/>
    </w:p>
    <w:p>
      <w:pPr>
        <w:spacing w:line="600" w:lineRule="exact"/>
        <w:jc w:val="center"/>
        <w:rPr>
          <w:rFonts w:ascii="仿宋" w:hAnsi="仿宋" w:eastAsia="仿宋"/>
          <w:b/>
          <w:color w:val="000000"/>
          <w:sz w:val="44"/>
          <w:szCs w:val="44"/>
        </w:rPr>
      </w:pPr>
    </w:p>
    <w:p>
      <w:pPr>
        <w:pStyle w:val="4"/>
        <w:spacing w:line="300" w:lineRule="exact"/>
        <w:rPr>
          <w:rFonts w:ascii="仿宋" w:hAnsi="仿宋" w:eastAsia="仿宋"/>
          <w:color w:val="000000"/>
        </w:rPr>
      </w:pPr>
      <w:bookmarkStart w:id="103" w:name="_Toc15396619"/>
      <w:bookmarkStart w:id="104" w:name="_Toc14888"/>
      <w:r>
        <w:rPr>
          <w:rFonts w:hint="eastAsia" w:ascii="仿宋" w:hAnsi="仿宋" w:eastAsia="仿宋"/>
          <w:b w:val="0"/>
          <w:color w:val="000000"/>
        </w:rPr>
        <w:t>一、收</w:t>
      </w:r>
      <w:r>
        <w:rPr>
          <w:rStyle w:val="26"/>
          <w:rFonts w:hint="eastAsia" w:ascii="仿宋" w:hAnsi="仿宋" w:eastAsia="仿宋"/>
          <w:b w:val="0"/>
          <w:bCs w:val="0"/>
        </w:rPr>
        <w:t>入支出决算总表</w:t>
      </w:r>
      <w:bookmarkEnd w:id="103"/>
      <w:bookmarkEnd w:id="104"/>
    </w:p>
    <w:p>
      <w:pPr>
        <w:pStyle w:val="4"/>
        <w:spacing w:line="300" w:lineRule="exact"/>
        <w:rPr>
          <w:rFonts w:ascii="仿宋" w:hAnsi="仿宋" w:eastAsia="仿宋"/>
          <w:color w:val="000000"/>
        </w:rPr>
      </w:pPr>
      <w:bookmarkStart w:id="105" w:name="_Toc15396620"/>
      <w:bookmarkStart w:id="106" w:name="_Toc16323"/>
      <w:r>
        <w:rPr>
          <w:rFonts w:hint="eastAsia" w:ascii="仿宋" w:hAnsi="仿宋" w:eastAsia="仿宋"/>
          <w:b w:val="0"/>
          <w:color w:val="000000"/>
        </w:rPr>
        <w:t>二、收</w:t>
      </w:r>
      <w:r>
        <w:rPr>
          <w:rStyle w:val="26"/>
          <w:rFonts w:hint="eastAsia" w:ascii="仿宋" w:hAnsi="仿宋" w:eastAsia="仿宋"/>
          <w:b w:val="0"/>
          <w:bCs w:val="0"/>
        </w:rPr>
        <w:t>入决算表</w:t>
      </w:r>
      <w:bookmarkEnd w:id="105"/>
      <w:bookmarkEnd w:id="106"/>
    </w:p>
    <w:p>
      <w:pPr>
        <w:pStyle w:val="4"/>
        <w:spacing w:line="300" w:lineRule="exact"/>
        <w:rPr>
          <w:rFonts w:ascii="仿宋" w:hAnsi="仿宋" w:eastAsia="仿宋"/>
          <w:color w:val="000000"/>
        </w:rPr>
      </w:pPr>
      <w:bookmarkStart w:id="107" w:name="_Toc15396621"/>
      <w:bookmarkStart w:id="108" w:name="_Toc25944"/>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107"/>
      <w:bookmarkEnd w:id="108"/>
    </w:p>
    <w:p>
      <w:pPr>
        <w:pStyle w:val="4"/>
        <w:spacing w:line="300" w:lineRule="exact"/>
        <w:rPr>
          <w:rFonts w:ascii="仿宋" w:hAnsi="仿宋" w:eastAsia="仿宋"/>
          <w:b w:val="0"/>
          <w:color w:val="000000"/>
        </w:rPr>
      </w:pPr>
      <w:bookmarkStart w:id="109" w:name="_Toc15396622"/>
      <w:bookmarkStart w:id="110" w:name="_Toc14938"/>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109"/>
      <w:bookmarkEnd w:id="110"/>
    </w:p>
    <w:p>
      <w:pPr>
        <w:pStyle w:val="4"/>
        <w:spacing w:line="300" w:lineRule="exact"/>
        <w:rPr>
          <w:rStyle w:val="26"/>
          <w:rFonts w:ascii="仿宋" w:hAnsi="仿宋" w:eastAsia="仿宋"/>
          <w:b w:val="0"/>
          <w:bCs w:val="0"/>
        </w:rPr>
      </w:pPr>
      <w:bookmarkStart w:id="111" w:name="_Toc15396623"/>
      <w:bookmarkStart w:id="112" w:name="_Toc28485"/>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111"/>
      <w:bookmarkEnd w:id="112"/>
      <w:bookmarkStart w:id="113" w:name="_Toc15396624"/>
    </w:p>
    <w:p>
      <w:pPr>
        <w:pStyle w:val="4"/>
        <w:spacing w:line="300" w:lineRule="exact"/>
        <w:rPr>
          <w:rFonts w:ascii="仿宋" w:hAnsi="仿宋" w:eastAsia="仿宋"/>
          <w:color w:val="000000"/>
        </w:rPr>
      </w:pPr>
      <w:bookmarkStart w:id="114" w:name="_Toc25888"/>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113"/>
      <w:bookmarkEnd w:id="114"/>
    </w:p>
    <w:p>
      <w:pPr>
        <w:pStyle w:val="4"/>
        <w:spacing w:line="300" w:lineRule="exact"/>
        <w:rPr>
          <w:rFonts w:ascii="仿宋" w:hAnsi="仿宋" w:eastAsia="仿宋"/>
          <w:color w:val="000000"/>
        </w:rPr>
      </w:pPr>
      <w:bookmarkStart w:id="115" w:name="_Toc15396625"/>
      <w:bookmarkStart w:id="116" w:name="_Toc29802"/>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115"/>
      <w:bookmarkEnd w:id="116"/>
    </w:p>
    <w:p>
      <w:pPr>
        <w:pStyle w:val="4"/>
        <w:spacing w:line="300" w:lineRule="exact"/>
        <w:rPr>
          <w:rFonts w:ascii="仿宋" w:hAnsi="仿宋" w:eastAsia="仿宋"/>
          <w:color w:val="000000"/>
        </w:rPr>
      </w:pPr>
      <w:bookmarkStart w:id="117" w:name="_Toc15396626"/>
      <w:bookmarkStart w:id="118" w:name="_Toc10217"/>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117"/>
      <w:bookmarkEnd w:id="118"/>
    </w:p>
    <w:p>
      <w:pPr>
        <w:pStyle w:val="4"/>
        <w:spacing w:line="300" w:lineRule="exact"/>
        <w:rPr>
          <w:rFonts w:ascii="仿宋" w:hAnsi="仿宋" w:eastAsia="仿宋"/>
          <w:color w:val="000000"/>
        </w:rPr>
      </w:pPr>
      <w:bookmarkStart w:id="119" w:name="_Toc15396627"/>
      <w:bookmarkStart w:id="120" w:name="_Toc3464"/>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119"/>
      <w:bookmarkEnd w:id="120"/>
    </w:p>
    <w:p>
      <w:pPr>
        <w:pStyle w:val="4"/>
        <w:spacing w:line="300" w:lineRule="exact"/>
        <w:rPr>
          <w:rFonts w:ascii="仿宋" w:hAnsi="仿宋" w:eastAsia="仿宋"/>
          <w:color w:val="000000"/>
        </w:rPr>
      </w:pPr>
      <w:bookmarkStart w:id="121" w:name="_Toc12226"/>
      <w:bookmarkStart w:id="12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21"/>
      <w:bookmarkEnd w:id="122"/>
    </w:p>
    <w:p>
      <w:pPr>
        <w:pStyle w:val="4"/>
        <w:spacing w:line="300" w:lineRule="exact"/>
        <w:rPr>
          <w:rFonts w:ascii="仿宋" w:hAnsi="仿宋" w:eastAsia="仿宋"/>
          <w:color w:val="000000"/>
        </w:rPr>
      </w:pPr>
      <w:bookmarkStart w:id="123" w:name="_Toc5507"/>
      <w:bookmarkStart w:id="12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23"/>
      <w:bookmarkEnd w:id="124"/>
    </w:p>
    <w:p>
      <w:pPr>
        <w:pStyle w:val="4"/>
        <w:spacing w:line="300" w:lineRule="exact"/>
        <w:rPr>
          <w:rFonts w:ascii="仿宋" w:hAnsi="仿宋" w:eastAsia="仿宋"/>
          <w:color w:val="000000"/>
        </w:rPr>
      </w:pPr>
      <w:bookmarkStart w:id="125" w:name="_Toc28131"/>
      <w:bookmarkStart w:id="126"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25"/>
      <w:bookmarkEnd w:id="126"/>
    </w:p>
    <w:p>
      <w:pPr>
        <w:pStyle w:val="4"/>
        <w:spacing w:line="300" w:lineRule="exact"/>
        <w:rPr>
          <w:rStyle w:val="26"/>
          <w:rFonts w:ascii="仿宋" w:hAnsi="仿宋" w:eastAsia="仿宋"/>
          <w:b w:val="0"/>
          <w:bCs w:val="0"/>
        </w:rPr>
      </w:pPr>
      <w:bookmarkStart w:id="127" w:name="_Toc15114"/>
      <w:bookmarkStart w:id="128"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有资本经营预算财政拨款收入支出决算表</w:t>
      </w:r>
      <w:bookmarkEnd w:id="127"/>
      <w:bookmarkEnd w:id="128"/>
    </w:p>
    <w:p>
      <w:pPr>
        <w:pStyle w:val="4"/>
        <w:spacing w:line="300" w:lineRule="exact"/>
        <w:rPr>
          <w:rStyle w:val="26"/>
          <w:rFonts w:ascii="仿宋" w:hAnsi="仿宋" w:eastAsia="仿宋"/>
          <w:b w:val="0"/>
          <w:bCs w:val="0"/>
        </w:rPr>
      </w:pPr>
      <w:bookmarkStart w:id="129" w:name="_Toc14127"/>
      <w:r>
        <w:rPr>
          <w:rStyle w:val="26"/>
          <w:rFonts w:hint="eastAsia" w:ascii="仿宋" w:hAnsi="仿宋" w:eastAsia="仿宋"/>
          <w:b w:val="0"/>
          <w:bCs w:val="0"/>
        </w:rPr>
        <w:t>十四、</w:t>
      </w:r>
      <w:r>
        <w:rPr>
          <w:rFonts w:hint="eastAsia" w:ascii="仿宋" w:hAnsi="仿宋" w:eastAsia="仿宋"/>
          <w:b w:val="0"/>
          <w:color w:val="000000"/>
        </w:rPr>
        <w:t>国</w:t>
      </w:r>
      <w:r>
        <w:rPr>
          <w:rStyle w:val="26"/>
          <w:rFonts w:hint="eastAsia" w:ascii="仿宋" w:hAnsi="仿宋" w:eastAsia="仿宋"/>
          <w:b w:val="0"/>
          <w:bCs w:val="0"/>
        </w:rPr>
        <w:t>有资本经营预算财政拨款支出决算表</w:t>
      </w:r>
      <w:bookmarkEnd w:id="129"/>
    </w:p>
    <w:p>
      <w:pPr>
        <w:pStyle w:val="4"/>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BjMTUzMTg0OGRhMmIyZDRmZmM2ZDI2MDFhODMzNTkifQ=="/>
  </w:docVars>
  <w:rsids>
    <w:rsidRoot w:val="00F1361C"/>
    <w:rsid w:val="0001012E"/>
    <w:rsid w:val="00014ACC"/>
    <w:rsid w:val="000222C6"/>
    <w:rsid w:val="0002549F"/>
    <w:rsid w:val="000468DB"/>
    <w:rsid w:val="0006487A"/>
    <w:rsid w:val="00065F8F"/>
    <w:rsid w:val="00070A43"/>
    <w:rsid w:val="000768F2"/>
    <w:rsid w:val="00080643"/>
    <w:rsid w:val="0009184B"/>
    <w:rsid w:val="00094236"/>
    <w:rsid w:val="0009593C"/>
    <w:rsid w:val="00096B39"/>
    <w:rsid w:val="00097322"/>
    <w:rsid w:val="000A6A92"/>
    <w:rsid w:val="000B047F"/>
    <w:rsid w:val="000B5923"/>
    <w:rsid w:val="000B5A48"/>
    <w:rsid w:val="000B6FF3"/>
    <w:rsid w:val="000C01F7"/>
    <w:rsid w:val="000C3467"/>
    <w:rsid w:val="000C3CA6"/>
    <w:rsid w:val="000D1267"/>
    <w:rsid w:val="000D1D50"/>
    <w:rsid w:val="000D5782"/>
    <w:rsid w:val="000E6613"/>
    <w:rsid w:val="000E7119"/>
    <w:rsid w:val="00114E9B"/>
    <w:rsid w:val="0012291E"/>
    <w:rsid w:val="00142216"/>
    <w:rsid w:val="00144D6A"/>
    <w:rsid w:val="0014729F"/>
    <w:rsid w:val="00157BAB"/>
    <w:rsid w:val="001654D1"/>
    <w:rsid w:val="00174518"/>
    <w:rsid w:val="0018106D"/>
    <w:rsid w:val="001877A7"/>
    <w:rsid w:val="00191536"/>
    <w:rsid w:val="00195437"/>
    <w:rsid w:val="00196687"/>
    <w:rsid w:val="001C0962"/>
    <w:rsid w:val="001C0E17"/>
    <w:rsid w:val="001D7531"/>
    <w:rsid w:val="001E737D"/>
    <w:rsid w:val="001F0592"/>
    <w:rsid w:val="001F626B"/>
    <w:rsid w:val="001F7506"/>
    <w:rsid w:val="002006CD"/>
    <w:rsid w:val="00202B36"/>
    <w:rsid w:val="00204B7A"/>
    <w:rsid w:val="00204CDE"/>
    <w:rsid w:val="0021101A"/>
    <w:rsid w:val="00220536"/>
    <w:rsid w:val="00235629"/>
    <w:rsid w:val="00236958"/>
    <w:rsid w:val="00256980"/>
    <w:rsid w:val="00260C38"/>
    <w:rsid w:val="002616C0"/>
    <w:rsid w:val="00265372"/>
    <w:rsid w:val="002662AA"/>
    <w:rsid w:val="00280496"/>
    <w:rsid w:val="00294DC9"/>
    <w:rsid w:val="00295495"/>
    <w:rsid w:val="002A31DE"/>
    <w:rsid w:val="002A3A3C"/>
    <w:rsid w:val="002B2613"/>
    <w:rsid w:val="002D19B0"/>
    <w:rsid w:val="002D3031"/>
    <w:rsid w:val="002D6D05"/>
    <w:rsid w:val="002F1818"/>
    <w:rsid w:val="002F567B"/>
    <w:rsid w:val="003049C6"/>
    <w:rsid w:val="003216A9"/>
    <w:rsid w:val="003357C7"/>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0441"/>
    <w:rsid w:val="00406254"/>
    <w:rsid w:val="00416CD4"/>
    <w:rsid w:val="004223DE"/>
    <w:rsid w:val="00434489"/>
    <w:rsid w:val="00437085"/>
    <w:rsid w:val="00443880"/>
    <w:rsid w:val="004464F4"/>
    <w:rsid w:val="00461ACF"/>
    <w:rsid w:val="00471401"/>
    <w:rsid w:val="00473F31"/>
    <w:rsid w:val="0048263A"/>
    <w:rsid w:val="00487E5D"/>
    <w:rsid w:val="004A711F"/>
    <w:rsid w:val="004B199D"/>
    <w:rsid w:val="004B4690"/>
    <w:rsid w:val="004E0A2D"/>
    <w:rsid w:val="004E206B"/>
    <w:rsid w:val="004E67ED"/>
    <w:rsid w:val="004E6DF7"/>
    <w:rsid w:val="004F0FBD"/>
    <w:rsid w:val="004F403E"/>
    <w:rsid w:val="00504D06"/>
    <w:rsid w:val="00505A47"/>
    <w:rsid w:val="0050622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C5A"/>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A799E"/>
    <w:rsid w:val="006B2422"/>
    <w:rsid w:val="006B2B9A"/>
    <w:rsid w:val="006C1937"/>
    <w:rsid w:val="006F020C"/>
    <w:rsid w:val="006F5288"/>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46D2"/>
    <w:rsid w:val="007F55FC"/>
    <w:rsid w:val="007F5665"/>
    <w:rsid w:val="00800112"/>
    <w:rsid w:val="00813348"/>
    <w:rsid w:val="008253BB"/>
    <w:rsid w:val="00833962"/>
    <w:rsid w:val="0083706E"/>
    <w:rsid w:val="008408F6"/>
    <w:rsid w:val="008423A5"/>
    <w:rsid w:val="008441C3"/>
    <w:rsid w:val="00850625"/>
    <w:rsid w:val="00853718"/>
    <w:rsid w:val="00855221"/>
    <w:rsid w:val="00860645"/>
    <w:rsid w:val="00871F71"/>
    <w:rsid w:val="00872FD8"/>
    <w:rsid w:val="00885AF4"/>
    <w:rsid w:val="008939CD"/>
    <w:rsid w:val="008A5A9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5FEF"/>
    <w:rsid w:val="009B7573"/>
    <w:rsid w:val="009C22F4"/>
    <w:rsid w:val="009C2E98"/>
    <w:rsid w:val="009C37FB"/>
    <w:rsid w:val="009D3447"/>
    <w:rsid w:val="009D4711"/>
    <w:rsid w:val="009F1185"/>
    <w:rsid w:val="009F18CD"/>
    <w:rsid w:val="009F2A13"/>
    <w:rsid w:val="009F7527"/>
    <w:rsid w:val="00A039ED"/>
    <w:rsid w:val="00A04EB0"/>
    <w:rsid w:val="00A1120F"/>
    <w:rsid w:val="00A13CC1"/>
    <w:rsid w:val="00A16847"/>
    <w:rsid w:val="00A237D8"/>
    <w:rsid w:val="00A268C4"/>
    <w:rsid w:val="00A307CD"/>
    <w:rsid w:val="00A331C8"/>
    <w:rsid w:val="00A35117"/>
    <w:rsid w:val="00A40A00"/>
    <w:rsid w:val="00A4142F"/>
    <w:rsid w:val="00A42081"/>
    <w:rsid w:val="00A422EB"/>
    <w:rsid w:val="00A45BB7"/>
    <w:rsid w:val="00A56DF2"/>
    <w:rsid w:val="00A56E6E"/>
    <w:rsid w:val="00A67AB5"/>
    <w:rsid w:val="00A733B2"/>
    <w:rsid w:val="00A741C2"/>
    <w:rsid w:val="00A80253"/>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23F9"/>
    <w:rsid w:val="00B72841"/>
    <w:rsid w:val="00B77EA6"/>
    <w:rsid w:val="00B81598"/>
    <w:rsid w:val="00B841F1"/>
    <w:rsid w:val="00B944D6"/>
    <w:rsid w:val="00BB4DF0"/>
    <w:rsid w:val="00BC289F"/>
    <w:rsid w:val="00BC2D50"/>
    <w:rsid w:val="00BC5361"/>
    <w:rsid w:val="00BC5460"/>
    <w:rsid w:val="00BC6B50"/>
    <w:rsid w:val="00BD0E25"/>
    <w:rsid w:val="00BF5BD6"/>
    <w:rsid w:val="00C03E31"/>
    <w:rsid w:val="00C128D5"/>
    <w:rsid w:val="00C30E69"/>
    <w:rsid w:val="00C33E72"/>
    <w:rsid w:val="00C354B2"/>
    <w:rsid w:val="00C35554"/>
    <w:rsid w:val="00C42709"/>
    <w:rsid w:val="00C533CC"/>
    <w:rsid w:val="00C5751C"/>
    <w:rsid w:val="00C61BFC"/>
    <w:rsid w:val="00C62B85"/>
    <w:rsid w:val="00C65438"/>
    <w:rsid w:val="00C7595F"/>
    <w:rsid w:val="00C91CBB"/>
    <w:rsid w:val="00CA288F"/>
    <w:rsid w:val="00CB4E70"/>
    <w:rsid w:val="00CC09B6"/>
    <w:rsid w:val="00CC666F"/>
    <w:rsid w:val="00CD1E3F"/>
    <w:rsid w:val="00CD31BA"/>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4124"/>
    <w:rsid w:val="00DA634F"/>
    <w:rsid w:val="00DA65AC"/>
    <w:rsid w:val="00DB1913"/>
    <w:rsid w:val="00DC410D"/>
    <w:rsid w:val="00DC5A81"/>
    <w:rsid w:val="00DC68CA"/>
    <w:rsid w:val="00DC7CBA"/>
    <w:rsid w:val="00DD1F42"/>
    <w:rsid w:val="00DD73B7"/>
    <w:rsid w:val="00DF28BC"/>
    <w:rsid w:val="00DF34B9"/>
    <w:rsid w:val="00E01053"/>
    <w:rsid w:val="00E07ACF"/>
    <w:rsid w:val="00E331A1"/>
    <w:rsid w:val="00E33202"/>
    <w:rsid w:val="00E336A9"/>
    <w:rsid w:val="00E472B1"/>
    <w:rsid w:val="00E50624"/>
    <w:rsid w:val="00E568DF"/>
    <w:rsid w:val="00E57411"/>
    <w:rsid w:val="00E64269"/>
    <w:rsid w:val="00E66797"/>
    <w:rsid w:val="00E82267"/>
    <w:rsid w:val="00E853CE"/>
    <w:rsid w:val="00E867B6"/>
    <w:rsid w:val="00E87F08"/>
    <w:rsid w:val="00EA010F"/>
    <w:rsid w:val="00EA6E08"/>
    <w:rsid w:val="00ED1B63"/>
    <w:rsid w:val="00ED3C1F"/>
    <w:rsid w:val="00ED4085"/>
    <w:rsid w:val="00ED420E"/>
    <w:rsid w:val="00ED6FBE"/>
    <w:rsid w:val="00EE2F57"/>
    <w:rsid w:val="00EE36B6"/>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3F21"/>
    <w:rsid w:val="00FD3CC1"/>
    <w:rsid w:val="00FE0E00"/>
    <w:rsid w:val="00FF1E02"/>
    <w:rsid w:val="00FF30B4"/>
    <w:rsid w:val="06850E9C"/>
    <w:rsid w:val="08346803"/>
    <w:rsid w:val="093864C0"/>
    <w:rsid w:val="09B22863"/>
    <w:rsid w:val="0AD6285A"/>
    <w:rsid w:val="0AFF7198"/>
    <w:rsid w:val="0C2A5445"/>
    <w:rsid w:val="0C4A2C7D"/>
    <w:rsid w:val="0E73672C"/>
    <w:rsid w:val="10C055FF"/>
    <w:rsid w:val="126819BF"/>
    <w:rsid w:val="1327466B"/>
    <w:rsid w:val="135909C9"/>
    <w:rsid w:val="16BB723D"/>
    <w:rsid w:val="16DE00F1"/>
    <w:rsid w:val="18174E4F"/>
    <w:rsid w:val="1A367504"/>
    <w:rsid w:val="1AFE6EBE"/>
    <w:rsid w:val="1CB50CB5"/>
    <w:rsid w:val="22193000"/>
    <w:rsid w:val="223819A7"/>
    <w:rsid w:val="240371BF"/>
    <w:rsid w:val="273E43F7"/>
    <w:rsid w:val="27582E40"/>
    <w:rsid w:val="29FD04D3"/>
    <w:rsid w:val="2BE50B13"/>
    <w:rsid w:val="2C0A12CE"/>
    <w:rsid w:val="2CBF5A54"/>
    <w:rsid w:val="319F7F4E"/>
    <w:rsid w:val="375F1583"/>
    <w:rsid w:val="37920FDD"/>
    <w:rsid w:val="3AA66304"/>
    <w:rsid w:val="3B052B51"/>
    <w:rsid w:val="3D42111B"/>
    <w:rsid w:val="3ECB67CE"/>
    <w:rsid w:val="4218580C"/>
    <w:rsid w:val="460B0528"/>
    <w:rsid w:val="465320FA"/>
    <w:rsid w:val="47946805"/>
    <w:rsid w:val="48193FB7"/>
    <w:rsid w:val="48A179B8"/>
    <w:rsid w:val="4A252B05"/>
    <w:rsid w:val="4C09116F"/>
    <w:rsid w:val="4ECE2238"/>
    <w:rsid w:val="4EDE12E5"/>
    <w:rsid w:val="523755E8"/>
    <w:rsid w:val="575A4E77"/>
    <w:rsid w:val="57733733"/>
    <w:rsid w:val="5A505D33"/>
    <w:rsid w:val="5ECC5D50"/>
    <w:rsid w:val="5F9B3477"/>
    <w:rsid w:val="61CB55BC"/>
    <w:rsid w:val="685506A1"/>
    <w:rsid w:val="6A68263E"/>
    <w:rsid w:val="6D7829F4"/>
    <w:rsid w:val="6DD209C3"/>
    <w:rsid w:val="6DF4662F"/>
    <w:rsid w:val="6F5F5E87"/>
    <w:rsid w:val="72734D90"/>
    <w:rsid w:val="739C0367"/>
    <w:rsid w:val="75B2197E"/>
    <w:rsid w:val="75E326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Char"/>
    <w:basedOn w:val="14"/>
    <w:link w:val="3"/>
    <w:qFormat/>
    <w:uiPriority w:val="0"/>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p0"/>
    <w:basedOn w:val="1"/>
    <w:qFormat/>
    <w:uiPriority w:val="0"/>
    <w:pPr>
      <w:widowControl/>
    </w:pPr>
    <w:rPr>
      <w:kern w:val="0"/>
      <w:szCs w:val="21"/>
    </w:rPr>
  </w:style>
  <w:style w:type="paragraph" w:customStyle="1" w:styleId="32">
    <w:name w:val="WPSOffice手动目录 1"/>
    <w:qFormat/>
    <w:uiPriority w:val="0"/>
    <w:rPr>
      <w:rFonts w:ascii="Calibri" w:hAnsi="Calibri" w:eastAsia="宋体" w:cs="Times New Roman"/>
      <w:lang w:val="en-US" w:eastAsia="zh-CN" w:bidi="ar-SA"/>
    </w:rPr>
  </w:style>
  <w:style w:type="paragraph" w:customStyle="1" w:styleId="33">
    <w:name w:val="WPSOffice手动目录 2"/>
    <w:qFormat/>
    <w:uiPriority w:val="0"/>
    <w:pPr>
      <w:ind w:left="200" w:leftChars="200"/>
    </w:pPr>
    <w:rPr>
      <w:rFonts w:ascii="Calibri" w:hAnsi="Calibri" w:eastAsia="宋体" w:cs="Times New Roman"/>
      <w:lang w:val="en-US" w:eastAsia="zh-CN" w:bidi="ar-SA"/>
    </w:rPr>
  </w:style>
  <w:style w:type="character" w:customStyle="1" w:styleId="34">
    <w:name w:val="15"/>
    <w:basedOn w:val="14"/>
    <w:qFormat/>
    <w:uiPriority w:val="0"/>
    <w:rPr>
      <w:rFonts w:hint="default" w:ascii="Calibri" w:hAnsi="Calibri"/>
      <w:b/>
      <w:bCs/>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1125.98</c:v>
                </c:pt>
                <c:pt idx="1">
                  <c:v>1138.63</c:v>
                </c:pt>
              </c:numCache>
            </c:numRef>
          </c:val>
        </c:ser>
        <c:ser>
          <c:idx val="1"/>
          <c:order val="1"/>
          <c:tx>
            <c:strRef>
              <c:f>Sheet1!$C$1</c:f>
              <c:strCache>
                <c:ptCount val="1"/>
                <c:pt idx="0">
                  <c:v>支出总计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1125.98</c:v>
                </c:pt>
                <c:pt idx="1">
                  <c:v>1138.63</c:v>
                </c:pt>
              </c:numCache>
            </c:numRef>
          </c:val>
        </c:ser>
        <c:dLbls>
          <c:showLegendKey val="0"/>
          <c:showVal val="1"/>
          <c:showCatName val="0"/>
          <c:showSerName val="0"/>
          <c:showPercent val="0"/>
          <c:showBubbleSize val="0"/>
        </c:dLbls>
        <c:gapWidth val="219"/>
        <c:overlap val="-27"/>
        <c:axId val="92312320"/>
        <c:axId val="92313856"/>
      </c:barChart>
      <c:catAx>
        <c:axId val="9231232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3856"/>
        <c:crosses val="autoZero"/>
        <c:auto val="1"/>
        <c:lblAlgn val="ctr"/>
        <c:lblOffset val="100"/>
        <c:noMultiLvlLbl val="0"/>
      </c:catAx>
      <c:valAx>
        <c:axId val="9231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2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Sheet1!$B$12</c:f>
              <c:strCache>
                <c:ptCount val="1"/>
                <c:pt idx="0">
                  <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1011.75</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0190396859649"/>
          <c:y val="0.159735115347424"/>
          <c:w val="0.324478058487227"/>
          <c:h val="0.80333678684901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954.1</c:v>
                </c:pt>
                <c:pt idx="1">
                  <c:v>85.61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1125.98</c:v>
                </c:pt>
                <c:pt idx="1">
                  <c:v>1138.63</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2020年</c:v>
                </c:pt>
                <c:pt idx="1">
                  <c:v>2021年</c:v>
                </c:pt>
              </c:strCache>
            </c:strRef>
          </c:cat>
          <c:val>
            <c:numRef>
              <c:f>Sheet1!$C$2:$C$3</c:f>
              <c:numCache>
                <c:formatCode>General</c:formatCode>
                <c:ptCount val="2"/>
                <c:pt idx="0">
                  <c:v>1125.98</c:v>
                </c:pt>
                <c:pt idx="1">
                  <c:v>1138.63</c:v>
                </c:pt>
              </c:numCache>
            </c:numRef>
          </c:val>
        </c:ser>
        <c:dLbls>
          <c:showLegendKey val="0"/>
          <c:showVal val="1"/>
          <c:showCatName val="0"/>
          <c:showSerName val="0"/>
          <c:showPercent val="0"/>
          <c:showBubbleSize val="0"/>
        </c:dLbls>
        <c:gapWidth val="444"/>
        <c:overlap val="-90"/>
        <c:axId val="125369728"/>
        <c:axId val="125637760"/>
      </c:barChart>
      <c:catAx>
        <c:axId val="12536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25637760"/>
        <c:crosses val="autoZero"/>
        <c:auto val="1"/>
        <c:lblAlgn val="ctr"/>
        <c:lblOffset val="100"/>
        <c:noMultiLvlLbl val="0"/>
      </c:catAx>
      <c:valAx>
        <c:axId val="125637760"/>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36972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Sheet1!$A$2:$A$3</c:f>
              <c:strCache>
                <c:ptCount val="2"/>
                <c:pt idx="0">
                  <c:v>2020年</c:v>
                </c:pt>
                <c:pt idx="1">
                  <c:v>2021年</c:v>
                </c:pt>
              </c:strCache>
            </c:strRef>
          </c:cat>
          <c:val>
            <c:numRef>
              <c:f>Sheet1!$B$2:$B$3</c:f>
              <c:numCache>
                <c:formatCode>General</c:formatCode>
                <c:ptCount val="2"/>
                <c:pt idx="0">
                  <c:v>994.5</c:v>
                </c:pt>
                <c:pt idx="1">
                  <c:v>1039.71</c:v>
                </c:pt>
              </c:numCache>
            </c:numRef>
          </c:val>
        </c:ser>
        <c:dLbls>
          <c:showLegendKey val="0"/>
          <c:showVal val="0"/>
          <c:showCatName val="0"/>
          <c:showSerName val="0"/>
          <c:showPercent val="0"/>
          <c:showBubbleSize val="0"/>
        </c:dLbls>
        <c:gapWidth val="150"/>
        <c:axId val="125686528"/>
        <c:axId val="125688064"/>
      </c:barChart>
      <c:catAx>
        <c:axId val="1256865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688064"/>
        <c:crosses val="autoZero"/>
        <c:auto val="1"/>
        <c:lblAlgn val="ctr"/>
        <c:lblOffset val="100"/>
        <c:noMultiLvlLbl val="0"/>
      </c:catAx>
      <c:valAx>
        <c:axId val="1256880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6865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教育支出</c:v>
                </c:pt>
                <c:pt idx="1">
                  <c:v>社会保障和就业</c:v>
                </c:pt>
                <c:pt idx="2">
                  <c:v>住房公积金</c:v>
                </c:pt>
                <c:pt idx="3">
                  <c:v>卫生健康支出</c:v>
                </c:pt>
              </c:strCache>
            </c:strRef>
          </c:cat>
          <c:val>
            <c:numRef>
              <c:f>Sheet1!$B$2:$B$5</c:f>
              <c:numCache>
                <c:formatCode>General</c:formatCode>
                <c:ptCount val="4"/>
                <c:pt idx="0">
                  <c:v>819.75</c:v>
                </c:pt>
                <c:pt idx="1">
                  <c:v>112.09</c:v>
                </c:pt>
                <c:pt idx="2">
                  <c:v>70.46</c:v>
                </c:pt>
                <c:pt idx="3">
                  <c:v>36.44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因公出国（境）费支出</c:v>
                </c:pt>
                <c:pt idx="1">
                  <c:v>公务接待费</c:v>
                </c:pt>
                <c:pt idx="2">
                  <c:v>公务用车购置及运行维护费支出</c:v>
                </c:pt>
              </c:strCache>
            </c:strRef>
          </c:cat>
          <c:val>
            <c:numRef>
              <c:f>Sheet1!$B$2:$B$4</c:f>
              <c:numCache>
                <c:formatCode>General</c:formatCode>
                <c:ptCount val="3"/>
                <c:pt idx="1">
                  <c:v>0.3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68E0-5B93-491E-9E7E-7790E33B98C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6149</Words>
  <Characters>6800</Characters>
  <Lines>21</Lines>
  <Paragraphs>17</Paragraphs>
  <TotalTime>0</TotalTime>
  <ScaleCrop>false</ScaleCrop>
  <LinksUpToDate>false</LinksUpToDate>
  <CharactersWithSpaces>6925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2022-09-06T07:41:24Z</dcterms:modified>
  <dc:title>四川省***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43AED0B04E61470085214DE93CCB9988</vt:lpwstr>
  </property>
</Properties>
</file>