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96597"/>
      <w:bookmarkStart w:id="3" w:name="_Toc15377193"/>
      <w:bookmarkStart w:id="4" w:name="_Toc15378441"/>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52"/>
          <w:szCs w:val="52"/>
          <w:highlight w:val="none"/>
        </w:rPr>
      </w:pPr>
      <w:bookmarkStart w:id="6" w:name="_Toc15377194"/>
      <w:bookmarkStart w:id="7" w:name="_Toc15378442"/>
      <w:bookmarkStart w:id="8" w:name="_Toc15396598"/>
      <w:bookmarkStart w:id="9" w:name="_Toc15377426"/>
      <w:bookmarkStart w:id="10" w:name="_Toc15396476"/>
      <w:r>
        <w:rPr>
          <w:rFonts w:hint="eastAsia" w:ascii="方正小标宋简体" w:hAnsi="方正小标宋简体" w:eastAsia="方正小标宋简体" w:cs="方正小标宋简体"/>
          <w:color w:val="auto"/>
          <w:sz w:val="52"/>
          <w:szCs w:val="5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52"/>
          <w:szCs w:val="52"/>
          <w:highlight w:val="none"/>
          <w:lang w:val="en-US" w:eastAsia="zh-CN"/>
        </w:rPr>
        <w:t>政府投资非经营性项目代建管理中心</w:t>
      </w:r>
      <w:r>
        <w:rPr>
          <w:rFonts w:hint="eastAsia" w:ascii="方正小标宋简体" w:hAnsi="方正小标宋简体" w:eastAsia="方正小标宋简体" w:cs="方正小标宋简体"/>
          <w:color w:val="auto"/>
          <w:sz w:val="52"/>
          <w:szCs w:val="52"/>
          <w:highlight w:val="none"/>
          <w:lang w:eastAsia="zh-CN"/>
        </w:rPr>
        <w:t>单位</w:t>
      </w:r>
      <w:r>
        <w:rPr>
          <w:rFonts w:hint="eastAsia" w:ascii="方正小标宋简体" w:hAnsi="方正小标宋简体" w:eastAsia="方正小标宋简体" w:cs="方正小标宋简体"/>
          <w:color w:val="auto"/>
          <w:sz w:val="52"/>
          <w:szCs w:val="5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0"/>
        <w:rPr>
          <w:rFonts w:hint="eastAsia"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公开时间：2022年9月9日</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第一部分 单位概况......................................................................................................4</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一、职能简介...................................................</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.4</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二、2021年重点工作完成情况....................................</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4</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第二部分 2021年度单位决算情况说明.....................................................................5</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一、收入支出决算总体情况说明.........................................................................5</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二、收入决算情况说明....................................................</w:t>
      </w:r>
      <w:r>
        <w:rPr>
          <w:rFonts w:hint="eastAsia" w:cs="Times New Roman"/>
          <w:color w:val="auto"/>
          <w:kern w:val="2"/>
          <w:sz w:val="24"/>
          <w:szCs w:val="24"/>
          <w:highlight w:val="none"/>
          <w:lang w:val="en-US" w:eastAsia="zh-CN" w:bidi="ar-SA"/>
        </w:rPr>
        <w:t>.....................................5</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三、支出决算情况说明..................................................</w:t>
      </w:r>
      <w:r>
        <w:rPr>
          <w:rFonts w:hint="eastAsia" w:cs="Times New Roman"/>
          <w:color w:val="auto"/>
          <w:kern w:val="2"/>
          <w:sz w:val="24"/>
          <w:szCs w:val="24"/>
          <w:highlight w:val="none"/>
          <w:lang w:val="en-US" w:eastAsia="zh-CN" w:bidi="ar-SA"/>
        </w:rPr>
        <w:t>.......................................6</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四、财政拨款收入支出决算总体情况说明..................</w:t>
      </w:r>
      <w:r>
        <w:rPr>
          <w:rFonts w:hint="eastAsia" w:cs="Times New Roman"/>
          <w:color w:val="auto"/>
          <w:kern w:val="2"/>
          <w:sz w:val="24"/>
          <w:szCs w:val="24"/>
          <w:highlight w:val="none"/>
          <w:lang w:val="en-US" w:eastAsia="zh-CN" w:bidi="ar-SA"/>
        </w:rPr>
        <w:t>........................................6</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五、一般公共预算财政拨款支出决算情况说明...........</w:t>
      </w:r>
      <w:r>
        <w:rPr>
          <w:rFonts w:hint="eastAsia" w:cs="Times New Roman"/>
          <w:color w:val="auto"/>
          <w:kern w:val="2"/>
          <w:sz w:val="24"/>
          <w:szCs w:val="24"/>
          <w:highlight w:val="none"/>
          <w:lang w:val="en-US" w:eastAsia="zh-CN" w:bidi="ar-SA"/>
        </w:rPr>
        <w:t>......................................7</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六、一般公共预算财政拨款基本支出决算情况说明....</w:t>
      </w:r>
      <w:r>
        <w:rPr>
          <w:rFonts w:hint="eastAsia" w:cs="Times New Roman"/>
          <w:color w:val="auto"/>
          <w:kern w:val="2"/>
          <w:sz w:val="24"/>
          <w:szCs w:val="24"/>
          <w:highlight w:val="none"/>
          <w:lang w:val="en-US" w:eastAsia="zh-CN" w:bidi="ar-SA"/>
        </w:rPr>
        <w:t>....................................9</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七、“三公”经费财政拨款支出决算情况说明........</w:t>
      </w:r>
      <w:r>
        <w:rPr>
          <w:rFonts w:hint="eastAsia" w:cs="Times New Roman"/>
          <w:color w:val="auto"/>
          <w:kern w:val="2"/>
          <w:sz w:val="24"/>
          <w:szCs w:val="24"/>
          <w:highlight w:val="none"/>
          <w:lang w:val="en-US" w:eastAsia="zh-CN" w:bidi="ar-SA"/>
        </w:rPr>
        <w:t>........................................9</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八、政府性基金预算支出决算情况说明....................</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1</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九、国有资本经营预算支出决算情况说明................</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1</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十、其他重要事项的情况说明......................................</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1</w:t>
      </w:r>
      <w:r>
        <w:rPr>
          <w:rFonts w:hint="eastAsia" w:cs="Times New Roman"/>
          <w:color w:val="auto"/>
          <w:kern w:val="2"/>
          <w:sz w:val="24"/>
          <w:szCs w:val="24"/>
          <w:highlight w:val="none"/>
          <w:lang w:val="en-US" w:eastAsia="zh-CN" w:bidi="ar-SA"/>
        </w:rPr>
        <w:t>1</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第三部分 名词解释....................................................................................................14</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第四部分 附件............................................................................................................17</w:t>
      </w:r>
    </w:p>
    <w:p>
      <w:pPr>
        <w:pStyle w:val="10"/>
        <w:adjustRightInd w:val="0"/>
        <w:snapToGrid w:val="0"/>
        <w:spacing w:before="0"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第五部分 附表............................................................................................................21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一、收入支出决算总表.........................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二、收入决算表...............................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三、支出决算表.................................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四、财政拨款收入支出决算总表.................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五、财政拨款支出决算明细表....................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六、一般公共预算财政拨款支出决算表............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七、一般公共预算财政拨款支出决算明细表.........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八、一般公共预算财政拨款基本支出决算表.........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九、一般公共预算财政拨款项目支出决算表........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十、一般公共预算财政拨款“三公”经费支出决算表..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ascii="Times New Roman" w:hAnsi="Times New Roman" w:eastAsia="宋体" w:cs="Times New Roman"/>
          <w:color w:val="auto"/>
          <w:kern w:val="2"/>
          <w:sz w:val="24"/>
          <w:szCs w:val="24"/>
          <w:highlight w:val="none"/>
          <w:lang w:val="en-US" w:eastAsia="zh-CN" w:bidi="ar-SA"/>
        </w:rPr>
      </w:pPr>
      <w:r>
        <w:rPr>
          <w:rFonts w:hint="eastAsia" w:ascii="Times New Roman" w:hAnsi="Times New Roman" w:eastAsia="宋体" w:cs="Times New Roman"/>
          <w:color w:val="auto"/>
          <w:kern w:val="2"/>
          <w:sz w:val="24"/>
          <w:szCs w:val="24"/>
          <w:highlight w:val="none"/>
          <w:lang w:val="en-US" w:eastAsia="zh-CN" w:bidi="ar-SA"/>
        </w:rPr>
        <w:t>十一、政府性基金预算财政拨款收入支出决算表.............</w:t>
      </w:r>
      <w:r>
        <w:rPr>
          <w:rFonts w:hint="eastAsia" w:cs="Times New Roman"/>
          <w:color w:val="auto"/>
          <w:kern w:val="2"/>
          <w:sz w:val="24"/>
          <w:szCs w:val="24"/>
          <w:highlight w:val="none"/>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2</w:t>
      </w:r>
      <w:r>
        <w:rPr>
          <w:rFonts w:hint="eastAsia" w:cs="Times New Roman"/>
          <w:color w:val="auto"/>
          <w:kern w:val="2"/>
          <w:sz w:val="24"/>
          <w:szCs w:val="24"/>
          <w:highlight w:val="none"/>
          <w:lang w:val="en-US" w:eastAsia="zh-CN" w:bidi="ar-SA"/>
        </w:rPr>
        <w:t>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十二、政府性基金预算财政拨款“三公”经费支出决算表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color w:val="auto"/>
          <w:sz w:val="24"/>
          <w:highlight w:val="none"/>
          <w:lang w:val="en-US" w:eastAsia="zh-CN"/>
        </w:rPr>
        <w:t>.........................................21</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十四、国有资本经营预算财政拨款支出决算表.................................................21</w:t>
      </w:r>
      <w:bookmarkStart w:id="69" w:name="_GoBack"/>
      <w:bookmarkEnd w:id="69"/>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jc w:val="center"/>
        <w:rPr>
          <w:rStyle w:val="25"/>
          <w:rFonts w:ascii="黑体" w:hAnsi="黑体" w:eastAsia="黑体"/>
          <w:b/>
          <w:bCs w:val="0"/>
          <w:color w:val="auto"/>
          <w:highlight w:val="none"/>
        </w:rPr>
      </w:pPr>
      <w:bookmarkStart w:id="12" w:name="_Toc15377196"/>
      <w:bookmarkStart w:id="13" w:name="_Toc15396599"/>
      <w:bookmarkStart w:id="14" w:name="_Toc15377204"/>
      <w:bookmarkStart w:id="15" w:name="_Toc15396602"/>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pStyle w:val="4"/>
        <w:numPr>
          <w:ilvl w:val="0"/>
          <w:numId w:val="0"/>
        </w:numPr>
        <w:ind w:firstLine="640" w:firstLineChars="200"/>
        <w:rPr>
          <w:rStyle w:val="26"/>
          <w:rFonts w:hint="eastAsia" w:ascii="黑体" w:hAnsi="黑体" w:eastAsia="黑体"/>
          <w:b w:val="0"/>
          <w:bCs w:val="0"/>
          <w:color w:val="000000" w:themeColor="text1"/>
          <w:highlight w:val="none"/>
          <w:lang w:eastAsia="zh-CN"/>
          <w14:textFill>
            <w14:solidFill>
              <w14:schemeClr w14:val="tx1"/>
            </w14:solidFill>
          </w14:textFill>
        </w:rPr>
      </w:pPr>
      <w:bookmarkStart w:id="16" w:name="_Toc15377197"/>
      <w:bookmarkStart w:id="17" w:name="_Toc15396600"/>
      <w:r>
        <w:rPr>
          <w:rStyle w:val="26"/>
          <w:rFonts w:hint="eastAsia" w:ascii="黑体" w:hAnsi="黑体" w:eastAsia="黑体"/>
          <w:b w:val="0"/>
          <w:bCs w:val="0"/>
          <w:color w:val="000000" w:themeColor="text1"/>
          <w:highlight w:val="none"/>
          <w:lang w:val="en-US" w:eastAsia="zh-CN"/>
          <w14:textFill>
            <w14:solidFill>
              <w14:schemeClr w14:val="tx1"/>
            </w14:solidFill>
          </w14:textFill>
        </w:rPr>
        <w:t>一、</w:t>
      </w:r>
      <w:r>
        <w:rPr>
          <w:rStyle w:val="26"/>
          <w:rFonts w:hint="eastAsia" w:ascii="黑体" w:hAnsi="黑体" w:eastAsia="黑体"/>
          <w:b w:val="0"/>
          <w:bCs w:val="0"/>
          <w:color w:val="000000" w:themeColor="text1"/>
          <w:highlight w:val="none"/>
          <w14:textFill>
            <w14:solidFill>
              <w14:schemeClr w14:val="tx1"/>
            </w14:solidFill>
          </w14:textFill>
        </w:rPr>
        <w:t>职能</w:t>
      </w:r>
      <w:r>
        <w:rPr>
          <w:rStyle w:val="26"/>
          <w:rFonts w:hint="eastAsia" w:ascii="黑体" w:hAnsi="黑体" w:eastAsia="黑体"/>
          <w:b w:val="0"/>
          <w:bCs w:val="0"/>
          <w:color w:val="000000" w:themeColor="text1"/>
          <w:highlight w:val="none"/>
          <w:lang w:eastAsia="zh-CN"/>
          <w14:textFill>
            <w14:solidFill>
              <w14:schemeClr w14:val="tx1"/>
            </w14:solidFill>
          </w14:textFill>
        </w:rPr>
        <w:t>简介</w:t>
      </w:r>
    </w:p>
    <w:p>
      <w:pPr>
        <w:widowControl/>
        <w:ind w:firstLine="640" w:firstLineChars="200"/>
        <w:jc w:val="left"/>
        <w:rPr>
          <w:rFonts w:ascii="仿宋" w:hAnsi="仿宋" w:eastAsia="仿宋"/>
          <w:bCs/>
          <w:color w:val="000000"/>
          <w:kern w:val="0"/>
          <w:sz w:val="32"/>
          <w:szCs w:val="32"/>
        </w:rPr>
      </w:pPr>
      <w:bookmarkStart w:id="18" w:name="_Toc15378446"/>
      <w:bookmarkStart w:id="19" w:name="_Toc15377199"/>
      <w:r>
        <w:rPr>
          <w:rFonts w:hint="eastAsia" w:ascii="仿宋" w:hAnsi="仿宋" w:eastAsia="仿宋"/>
          <w:bCs/>
          <w:color w:val="000000"/>
          <w:kern w:val="0"/>
          <w:sz w:val="32"/>
          <w:szCs w:val="32"/>
        </w:rPr>
        <w:t>大竹县政府投资非经营性项目代建管理中心基本职责是制定项目代建管理办法、实施细则、运行程序。负责项目立项后的项目建设管理。负责控制投资、质量和工期，防止超规模、超标准、超概算。组织项目竣工验收，移交使用单位。</w:t>
      </w:r>
    </w:p>
    <w:bookmarkEnd w:id="18"/>
    <w:bookmarkEnd w:id="19"/>
    <w:p>
      <w:pPr>
        <w:pStyle w:val="4"/>
        <w:numPr>
          <w:ilvl w:val="0"/>
          <w:numId w:val="0"/>
        </w:numPr>
        <w:ind w:firstLine="640" w:firstLineChars="200"/>
        <w:rPr>
          <w:rFonts w:hint="eastAsia" w:ascii="黑体" w:hAnsi="黑体" w:eastAsia="黑体"/>
          <w:b w:val="0"/>
          <w:color w:val="auto"/>
          <w:highlight w:val="none"/>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6"/>
      <w:bookmarkEnd w:id="17"/>
      <w:r>
        <w:rPr>
          <w:rFonts w:hint="eastAsia" w:ascii="黑体" w:hAnsi="黑体" w:eastAsia="黑体"/>
          <w:b w:val="0"/>
          <w:color w:val="auto"/>
          <w:highlight w:val="none"/>
          <w:lang w:eastAsia="zh-CN"/>
        </w:rPr>
        <w:t>完成情况</w:t>
      </w:r>
    </w:p>
    <w:p>
      <w:pPr>
        <w:pStyle w:val="2"/>
        <w:adjustRightInd w:val="0"/>
        <w:snapToGrid w:val="0"/>
        <w:spacing w:before="93" w:line="600" w:lineRule="exact"/>
        <w:ind w:firstLine="672" w:firstLineChars="210"/>
        <w:outlineLvl w:val="2"/>
        <w:rPr>
          <w:rFonts w:hint="eastAsia" w:ascii="黑体" w:hAnsi="黑体" w:eastAsia="黑体"/>
          <w:b w:val="0"/>
          <w:bCs/>
          <w:color w:val="auto"/>
          <w:highlight w:val="none"/>
        </w:rPr>
      </w:pPr>
      <w:r>
        <w:rPr>
          <w:rFonts w:ascii="仿宋" w:hAnsi="仿宋" w:eastAsia="仿宋"/>
          <w:bCs/>
          <w:color w:val="000000"/>
          <w:sz w:val="32"/>
          <w:szCs w:val="32"/>
        </w:rPr>
        <w:t>20</w:t>
      </w:r>
      <w:r>
        <w:rPr>
          <w:rFonts w:hint="eastAsia" w:ascii="仿宋" w:hAnsi="仿宋" w:eastAsia="仿宋"/>
          <w:bCs/>
          <w:color w:val="000000"/>
          <w:sz w:val="32"/>
          <w:szCs w:val="32"/>
          <w:lang w:val="en-US" w:eastAsia="zh-CN"/>
        </w:rPr>
        <w:t>21</w:t>
      </w:r>
      <w:r>
        <w:rPr>
          <w:rFonts w:hint="eastAsia" w:ascii="仿宋" w:hAnsi="仿宋" w:eastAsia="仿宋"/>
          <w:bCs/>
          <w:color w:val="000000"/>
          <w:sz w:val="32"/>
          <w:szCs w:val="32"/>
        </w:rPr>
        <w:t>年主要工作是做好大竹县中医院“治未病”综合大楼项目、政务中心、大竹</w:t>
      </w:r>
      <w:r>
        <w:rPr>
          <w:rFonts w:hint="eastAsia" w:ascii="仿宋" w:hAnsi="仿宋" w:eastAsia="仿宋"/>
          <w:bCs/>
          <w:color w:val="000000"/>
          <w:sz w:val="32"/>
          <w:szCs w:val="32"/>
          <w:lang w:val="en-US" w:eastAsia="zh-CN"/>
        </w:rPr>
        <w:t>县妇幼保健保障业务用房建设项目</w:t>
      </w:r>
      <w:r>
        <w:rPr>
          <w:rFonts w:hint="eastAsia" w:ascii="仿宋" w:hAnsi="仿宋" w:eastAsia="仿宋"/>
          <w:bCs/>
          <w:color w:val="000000"/>
          <w:sz w:val="32"/>
          <w:szCs w:val="32"/>
        </w:rPr>
        <w:t>、</w:t>
      </w:r>
      <w:r>
        <w:rPr>
          <w:rFonts w:hint="eastAsia" w:ascii="仿宋" w:hAnsi="仿宋" w:eastAsia="仿宋"/>
          <w:bCs/>
          <w:color w:val="000000"/>
          <w:sz w:val="32"/>
          <w:szCs w:val="32"/>
          <w:lang w:val="en-US" w:eastAsia="zh-CN"/>
        </w:rPr>
        <w:t>大竹中学新建教学楼</w:t>
      </w:r>
      <w:r>
        <w:rPr>
          <w:rFonts w:hint="eastAsia" w:ascii="仿宋" w:hAnsi="仿宋" w:eastAsia="仿宋"/>
          <w:bCs/>
          <w:color w:val="000000"/>
          <w:sz w:val="32"/>
          <w:szCs w:val="32"/>
        </w:rPr>
        <w:t>建设项目</w:t>
      </w:r>
      <w:r>
        <w:rPr>
          <w:rFonts w:hint="eastAsia" w:ascii="仿宋" w:hAnsi="仿宋" w:eastAsia="仿宋"/>
          <w:bCs/>
          <w:color w:val="000000"/>
          <w:sz w:val="32"/>
          <w:szCs w:val="32"/>
          <w:lang w:eastAsia="zh-CN"/>
        </w:rPr>
        <w:t>、</w:t>
      </w:r>
      <w:r>
        <w:rPr>
          <w:rFonts w:hint="eastAsia" w:ascii="仿宋" w:hAnsi="仿宋" w:eastAsia="仿宋"/>
          <w:bCs/>
          <w:color w:val="000000"/>
          <w:sz w:val="32"/>
          <w:szCs w:val="32"/>
          <w:lang w:val="en-US" w:eastAsia="zh-CN"/>
        </w:rPr>
        <w:t>大竹县教师新村幼儿园建设项目</w:t>
      </w:r>
      <w:r>
        <w:rPr>
          <w:rFonts w:hint="eastAsia" w:ascii="仿宋" w:hAnsi="仿宋" w:eastAsia="仿宋"/>
          <w:bCs/>
          <w:color w:val="000000"/>
          <w:sz w:val="32"/>
          <w:szCs w:val="32"/>
        </w:rPr>
        <w:t>等项目的管理工作。做好</w:t>
      </w:r>
      <w:r>
        <w:rPr>
          <w:rFonts w:hint="eastAsia" w:ascii="仿宋" w:hAnsi="仿宋" w:eastAsia="仿宋"/>
          <w:bCs/>
          <w:color w:val="000000"/>
          <w:sz w:val="32"/>
          <w:szCs w:val="32"/>
          <w:lang w:val="en-US" w:eastAsia="zh-CN"/>
        </w:rPr>
        <w:t>大竹县四小迁建</w:t>
      </w:r>
      <w:r>
        <w:rPr>
          <w:rFonts w:hint="eastAsia" w:ascii="仿宋" w:hAnsi="仿宋" w:eastAsia="仿宋"/>
          <w:bCs/>
          <w:color w:val="000000"/>
          <w:sz w:val="32"/>
          <w:szCs w:val="32"/>
        </w:rPr>
        <w:t>等项目前期手续办理及开工准备工作。承办县政府交办的其他工作。</w:t>
      </w:r>
    </w:p>
    <w:p>
      <w:pPr>
        <w:pStyle w:val="3"/>
        <w:ind w:right="440"/>
        <w:jc w:val="center"/>
        <w:rPr>
          <w:rFonts w:hint="eastAsia" w:ascii="黑体" w:hAnsi="黑体" w:eastAsia="黑体"/>
          <w:b w:val="0"/>
          <w:bCs/>
          <w:color w:val="auto"/>
          <w:highlight w:val="none"/>
        </w:rPr>
      </w:pPr>
    </w:p>
    <w:p>
      <w:pPr>
        <w:pStyle w:val="3"/>
        <w:ind w:right="440"/>
        <w:jc w:val="both"/>
        <w:rPr>
          <w:rFonts w:hint="eastAsia" w:ascii="黑体" w:hAnsi="黑体" w:eastAsia="黑体"/>
          <w:b w:val="0"/>
          <w:bCs/>
          <w:color w:val="auto"/>
          <w:highlight w:val="none"/>
        </w:rPr>
      </w:pPr>
    </w:p>
    <w:p>
      <w:pPr>
        <w:rPr>
          <w:rFonts w:hint="eastAsia"/>
        </w:rPr>
      </w:pPr>
    </w:p>
    <w:p>
      <w:pPr>
        <w:pStyle w:val="3"/>
        <w:ind w:right="440"/>
        <w:jc w:val="center"/>
        <w:rPr>
          <w:rFonts w:hint="eastAsia" w:ascii="黑体" w:hAnsi="黑体" w:eastAsia="黑体"/>
          <w:b w:val="0"/>
          <w:color w:val="auto"/>
          <w:highlight w:val="none"/>
        </w:rPr>
      </w:pPr>
      <w:r>
        <w:rPr>
          <w:rFonts w:hint="eastAsia" w:ascii="黑体" w:hAnsi="黑体" w:eastAsia="黑体"/>
          <w:b w:val="0"/>
          <w:bCs/>
          <w:color w:val="auto"/>
          <w:highlight w:val="none"/>
        </w:rPr>
        <w:t>第</w:t>
      </w:r>
      <w:r>
        <w:rPr>
          <w:rFonts w:hint="eastAsia" w:ascii="黑体" w:hAnsi="黑体" w:eastAsia="黑体"/>
          <w:b w:val="0"/>
          <w:color w:val="auto"/>
          <w:highlight w:val="none"/>
        </w:rPr>
        <w:t xml:space="preserve">二部分 </w:t>
      </w:r>
      <w:r>
        <w:rPr>
          <w:rFonts w:hint="eastAsia" w:ascii="黑体" w:hAnsi="黑体" w:eastAsia="黑体"/>
          <w:b w:val="0"/>
          <w:color w:val="auto"/>
          <w:highlight w:val="none"/>
          <w:lang w:val="en-US" w:eastAsia="zh-CN"/>
        </w:rPr>
        <w:t>2021年度</w:t>
      </w:r>
      <w:r>
        <w:rPr>
          <w:rFonts w:hint="eastAsia" w:ascii="黑体" w:hAnsi="黑体" w:eastAsia="黑体"/>
          <w:b w:val="0"/>
          <w:color w:val="auto"/>
          <w:highlight w:val="none"/>
          <w:lang w:eastAsia="zh-CN"/>
        </w:rPr>
        <w:t>单位</w:t>
      </w:r>
      <w:r>
        <w:rPr>
          <w:rFonts w:hint="eastAsia" w:ascii="黑体" w:hAnsi="黑体" w:eastAsia="黑体"/>
          <w:b w:val="0"/>
          <w:color w:val="auto"/>
          <w:highlight w:val="none"/>
        </w:rPr>
        <w:t>决算情况说明</w:t>
      </w:r>
      <w:bookmarkEnd w:id="14"/>
      <w:bookmarkEnd w:id="15"/>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0" w:name="_Toc15377205"/>
      <w:bookmarkStart w:id="21"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0"/>
      <w:bookmarkEnd w:id="21"/>
    </w:p>
    <w:p>
      <w:pPr>
        <w:spacing w:line="600" w:lineRule="exact"/>
        <w:ind w:firstLine="640" w:firstLineChars="200"/>
        <w:rPr>
          <w:rFonts w:hint="eastAsia" w:ascii="仿宋" w:hAnsi="仿宋" w:eastAsia="仿宋"/>
          <w:bCs/>
          <w:color w:val="000000"/>
          <w:kern w:val="0"/>
          <w:sz w:val="32"/>
          <w:szCs w:val="32"/>
          <w:lang w:val="en-US"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589.48</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年相比，收、支总计各</w:t>
      </w:r>
      <w:r>
        <w:rPr>
          <w:rFonts w:hint="eastAsia" w:ascii="仿宋" w:hAnsi="仿宋" w:eastAsia="仿宋"/>
          <w:color w:val="000000"/>
          <w:sz w:val="32"/>
          <w:szCs w:val="32"/>
          <w:lang w:val="en-US" w:eastAsia="zh-CN"/>
        </w:rPr>
        <w:t>减少20803.65</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下降98.6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bCs/>
          <w:color w:val="000000"/>
          <w:kern w:val="0"/>
          <w:sz w:val="32"/>
          <w:szCs w:val="32"/>
        </w:rPr>
        <w:t>代建项目资金投入</w:t>
      </w:r>
      <w:r>
        <w:rPr>
          <w:rFonts w:hint="eastAsia" w:ascii="仿宋" w:hAnsi="仿宋" w:eastAsia="仿宋"/>
          <w:bCs/>
          <w:color w:val="000000"/>
          <w:kern w:val="0"/>
          <w:sz w:val="32"/>
          <w:szCs w:val="32"/>
          <w:lang w:val="en-US" w:eastAsia="zh-CN"/>
        </w:rPr>
        <w:t>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240" w:lineRule="auto"/>
        <w:ind w:firstLine="420" w:firstLineChars="200"/>
        <w:jc w:val="center"/>
        <w:rPr>
          <w:rFonts w:ascii="仿宋_GB2312" w:eastAsia="仿宋_GB2312"/>
          <w:color w:val="000000"/>
          <w:sz w:val="32"/>
          <w:szCs w:val="32"/>
        </w:rPr>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2" w:name="_Toc15377206"/>
      <w:bookmarkStart w:id="23"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294.74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264.74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89.82</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30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10.18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2"/>
        <w:jc w:val="center"/>
        <w:rPr>
          <w:rFonts w:hint="eastAsia" w:ascii="仿宋" w:hAnsi="仿宋" w:eastAsia="仿宋"/>
          <w:color w:val="FF0000"/>
          <w:sz w:val="32"/>
          <w:szCs w:val="32"/>
          <w:highlight w:val="none"/>
        </w:rPr>
      </w:pPr>
      <w:r>
        <w:drawing>
          <wp:inline distT="0" distB="0" distL="114300" distR="114300">
            <wp:extent cx="4743450" cy="283845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24" w:name="_Toc15396605"/>
      <w:bookmarkStart w:id="25"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4"/>
      <w:bookmarkEnd w:id="25"/>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294.74</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234.74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79.64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20.36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pStyle w:val="2"/>
        <w:jc w:val="center"/>
        <w:rPr>
          <w:rFonts w:ascii="仿宋" w:hAnsi="仿宋" w:eastAsia="仿宋"/>
          <w:color w:val="auto"/>
          <w:sz w:val="32"/>
          <w:szCs w:val="32"/>
          <w:highlight w:val="none"/>
        </w:rPr>
      </w:pPr>
      <w:r>
        <w:drawing>
          <wp:inline distT="0" distB="0" distL="114300" distR="114300">
            <wp:extent cx="4495800" cy="2562225"/>
            <wp:effectExtent l="4445" t="4445" r="14605" b="508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Fonts w:ascii="仿宋" w:hAnsi="仿宋" w:eastAsia="仿宋"/>
          <w:color w:val="auto"/>
          <w:sz w:val="32"/>
          <w:szCs w:val="32"/>
          <w:highlight w:val="none"/>
        </w:rPr>
      </w:pPr>
      <w:bookmarkStart w:id="26" w:name="_Toc15396606"/>
      <w:bookmarkStart w:id="27" w:name="_Toc15377208"/>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6"/>
      <w:bookmarkEnd w:id="27"/>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589.48</w:t>
      </w:r>
      <w:r>
        <w:rPr>
          <w:rFonts w:hint="eastAsia" w:ascii="仿宋" w:hAnsi="仿宋" w:eastAsia="仿宋"/>
          <w:color w:val="000000"/>
          <w:sz w:val="32"/>
          <w:szCs w:val="32"/>
        </w:rPr>
        <w:t>万元。与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val="en-US" w:eastAsia="zh-CN"/>
        </w:rPr>
        <w:t>减少20803.65</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下降98.6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bCs/>
          <w:color w:val="000000"/>
          <w:kern w:val="0"/>
          <w:sz w:val="32"/>
          <w:szCs w:val="32"/>
        </w:rPr>
        <w:t>代建项目资金投入</w:t>
      </w:r>
      <w:r>
        <w:rPr>
          <w:rFonts w:hint="eastAsia" w:ascii="仿宋" w:hAnsi="仿宋" w:eastAsia="仿宋"/>
          <w:bCs/>
          <w:color w:val="000000"/>
          <w:kern w:val="0"/>
          <w:sz w:val="32"/>
          <w:szCs w:val="32"/>
          <w:lang w:val="en-US" w:eastAsia="zh-CN"/>
        </w:rPr>
        <w:t>减少。</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ind w:firstLine="640"/>
        <w:rPr>
          <w:rFonts w:hint="eastAsia" w:ascii="仿宋" w:hAnsi="仿宋" w:eastAsia="仿宋"/>
          <w:b w:val="0"/>
          <w:bCs w:val="0"/>
          <w:color w:val="auto"/>
          <w:sz w:val="32"/>
          <w:szCs w:val="32"/>
          <w:highlight w:val="none"/>
        </w:rPr>
      </w:pPr>
      <w:r>
        <w:rPr>
          <w:rFonts w:hint="eastAsia" w:ascii="仿宋" w:hAnsi="仿宋" w:eastAsia="仿宋"/>
          <w:b w:val="0"/>
          <w:bCs w:val="0"/>
          <w:color w:val="auto"/>
          <w:sz w:val="32"/>
          <w:szCs w:val="32"/>
          <w:highlight w:val="none"/>
        </w:rPr>
        <w:t>图4：财政拨款收、支决算总计变动情况</w:t>
      </w:r>
    </w:p>
    <w:p>
      <w:pPr>
        <w:pStyle w:val="2"/>
        <w:ind w:firstLine="640"/>
        <w:rPr>
          <w:rFonts w:hint="default"/>
          <w:lang w:val="en-US" w:eastAsia="zh-CN"/>
        </w:rPr>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6"/>
          <w:rFonts w:ascii="黑体" w:hAnsi="黑体" w:eastAsia="黑体"/>
          <w:b w:val="0"/>
          <w:color w:val="auto"/>
          <w:highlight w:val="none"/>
        </w:rPr>
      </w:pPr>
      <w:bookmarkStart w:id="28" w:name="_Toc15377209"/>
      <w:bookmarkStart w:id="29"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8"/>
      <w:bookmarkEnd w:id="29"/>
    </w:p>
    <w:p>
      <w:pPr>
        <w:spacing w:line="600" w:lineRule="exact"/>
        <w:ind w:firstLine="643" w:firstLineChars="200"/>
        <w:outlineLvl w:val="2"/>
        <w:rPr>
          <w:rFonts w:ascii="仿宋" w:hAnsi="仿宋" w:eastAsia="仿宋"/>
          <w:b/>
          <w:color w:val="auto"/>
          <w:sz w:val="32"/>
          <w:szCs w:val="32"/>
          <w:highlight w:val="none"/>
        </w:rPr>
      </w:pPr>
      <w:bookmarkStart w:id="30" w:name="_Toc15377210"/>
      <w:r>
        <w:rPr>
          <w:rFonts w:hint="eastAsia" w:ascii="仿宋" w:hAnsi="仿宋" w:eastAsia="仿宋"/>
          <w:b/>
          <w:color w:val="auto"/>
          <w:sz w:val="32"/>
          <w:szCs w:val="32"/>
          <w:highlight w:val="none"/>
        </w:rPr>
        <w:t>（一）一般公共预算财政拨款支出决算总体情况</w:t>
      </w:r>
      <w:bookmarkEnd w:id="30"/>
    </w:p>
    <w:p>
      <w:pPr>
        <w:spacing w:line="600" w:lineRule="exact"/>
        <w:ind w:firstLine="640" w:firstLineChars="200"/>
        <w:rPr>
          <w:rFonts w:hint="default" w:ascii="仿宋" w:hAnsi="仿宋" w:eastAsia="仿宋"/>
          <w:color w:val="000000"/>
          <w:sz w:val="32"/>
          <w:szCs w:val="32"/>
          <w:lang w:val="en-US"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264.74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89.82</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减少4609.54</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下降94.56</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代建项目资金减少。</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pStyle w:val="2"/>
        <w:jc w:val="center"/>
        <w:rPr>
          <w:rFonts w:hint="eastAsia"/>
        </w:rPr>
      </w:pPr>
      <w:r>
        <w:drawing>
          <wp:inline distT="0" distB="0" distL="114300" distR="114300">
            <wp:extent cx="4772660" cy="2447925"/>
            <wp:effectExtent l="4445" t="4445" r="23495" b="508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1" w:name="_Toc15377211"/>
      <w:r>
        <w:rPr>
          <w:rFonts w:hint="eastAsia" w:ascii="仿宋" w:hAnsi="仿宋" w:eastAsia="仿宋"/>
          <w:b/>
          <w:color w:val="auto"/>
          <w:sz w:val="32"/>
          <w:szCs w:val="32"/>
          <w:highlight w:val="none"/>
        </w:rPr>
        <w:t>（二）一般公共预算财政拨款支出决算结构情况</w:t>
      </w:r>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264.74</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color w:val="000000"/>
          <w:sz w:val="32"/>
          <w:szCs w:val="32"/>
        </w:rPr>
        <w:t>社会保障和就业（</w:t>
      </w:r>
      <w:r>
        <w:rPr>
          <w:rFonts w:ascii="仿宋" w:hAnsi="仿宋" w:eastAsia="仿宋"/>
          <w:color w:val="000000"/>
          <w:sz w:val="32"/>
          <w:szCs w:val="32"/>
        </w:rPr>
        <w:t>208</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6.8</w:t>
      </w:r>
      <w:r>
        <w:rPr>
          <w:rFonts w:ascii="仿宋" w:hAnsi="仿宋" w:eastAsia="仿宋"/>
          <w:color w:val="000000"/>
          <w:sz w:val="32"/>
          <w:szCs w:val="32"/>
        </w:rPr>
        <w:t>%</w:t>
      </w:r>
      <w:r>
        <w:rPr>
          <w:rFonts w:hint="eastAsia" w:ascii="仿宋" w:hAnsi="仿宋" w:eastAsia="仿宋"/>
          <w:color w:val="000000"/>
          <w:sz w:val="32"/>
          <w:szCs w:val="32"/>
        </w:rPr>
        <w:t>；卫生健康（</w:t>
      </w:r>
      <w:r>
        <w:rPr>
          <w:rFonts w:ascii="仿宋" w:hAnsi="仿宋" w:eastAsia="仿宋"/>
          <w:color w:val="000000"/>
          <w:sz w:val="32"/>
          <w:szCs w:val="32"/>
        </w:rPr>
        <w:t>210</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8.22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3.1</w:t>
      </w:r>
      <w:r>
        <w:rPr>
          <w:rFonts w:ascii="仿宋" w:hAnsi="仿宋" w:eastAsia="仿宋"/>
          <w:color w:val="000000"/>
          <w:sz w:val="32"/>
          <w:szCs w:val="32"/>
        </w:rPr>
        <w:t>%</w:t>
      </w:r>
      <w:r>
        <w:rPr>
          <w:rFonts w:hint="eastAsia" w:ascii="仿宋" w:hAnsi="仿宋" w:eastAsia="仿宋"/>
          <w:color w:val="000000"/>
          <w:sz w:val="32"/>
          <w:szCs w:val="32"/>
        </w:rPr>
        <w:t>；城乡社区（</w:t>
      </w:r>
      <w:r>
        <w:rPr>
          <w:rFonts w:ascii="仿宋" w:hAnsi="仿宋" w:eastAsia="仿宋"/>
          <w:color w:val="000000"/>
          <w:sz w:val="32"/>
          <w:szCs w:val="32"/>
        </w:rPr>
        <w:t>212</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225.02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w:t>
      </w:r>
      <w:r>
        <w:rPr>
          <w:rFonts w:ascii="仿宋" w:hAnsi="仿宋" w:eastAsia="仿宋"/>
          <w:color w:val="000000"/>
          <w:sz w:val="32"/>
          <w:szCs w:val="32"/>
        </w:rPr>
        <w:t>%</w:t>
      </w:r>
      <w:r>
        <w:rPr>
          <w:rFonts w:hint="eastAsia" w:ascii="仿宋" w:hAnsi="仿宋" w:eastAsia="仿宋"/>
          <w:color w:val="000000"/>
          <w:sz w:val="32"/>
          <w:szCs w:val="32"/>
        </w:rPr>
        <w:t>；住房保障（</w:t>
      </w:r>
      <w:r>
        <w:rPr>
          <w:rFonts w:ascii="仿宋" w:hAnsi="仿宋" w:eastAsia="仿宋"/>
          <w:color w:val="000000"/>
          <w:sz w:val="32"/>
          <w:szCs w:val="32"/>
        </w:rPr>
        <w:t>221</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Style w:val="2"/>
        <w:jc w:val="center"/>
      </w:pPr>
      <w:r>
        <w:drawing>
          <wp:inline distT="0" distB="0" distL="114300" distR="114300">
            <wp:extent cx="5079365" cy="2705100"/>
            <wp:effectExtent l="4445" t="4445" r="21590"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2" w:name="_Toc15377212"/>
      <w:r>
        <w:rPr>
          <w:rFonts w:hint="eastAsia" w:ascii="仿宋" w:hAnsi="仿宋" w:eastAsia="仿宋"/>
          <w:b/>
          <w:color w:val="auto"/>
          <w:sz w:val="32"/>
          <w:szCs w:val="32"/>
          <w:highlight w:val="none"/>
        </w:rPr>
        <w:t>（三）一般公共预算财政拨款支出决算具体情况</w:t>
      </w:r>
      <w:bookmarkEnd w:id="32"/>
    </w:p>
    <w:p>
      <w:pPr>
        <w:spacing w:line="600" w:lineRule="exact"/>
        <w:ind w:firstLine="643" w:firstLineChars="200"/>
        <w:outlineLvl w:val="2"/>
        <w:rPr>
          <w:rStyle w:val="15"/>
          <w:rFonts w:hint="eastAsia" w:ascii="仿宋" w:hAnsi="仿宋" w:eastAsia="仿宋"/>
          <w:bCs/>
          <w:color w:val="000000"/>
          <w:sz w:val="32"/>
          <w:szCs w:val="32"/>
        </w:rPr>
      </w:pPr>
      <w:bookmarkStart w:id="33" w:name="_Toc15378460"/>
      <w:bookmarkStart w:id="34" w:name="_Toc15377213"/>
      <w:bookmarkStart w:id="35" w:name="_Toc15377444"/>
      <w:r>
        <w:rPr>
          <w:rFonts w:ascii="仿宋" w:hAnsi="仿宋" w:eastAsia="仿宋"/>
          <w:b/>
          <w:color w:val="000000"/>
          <w:sz w:val="32"/>
          <w:szCs w:val="32"/>
        </w:rPr>
        <w:t>202</w:t>
      </w:r>
      <w:r>
        <w:rPr>
          <w:rFonts w:hint="eastAsia" w:ascii="仿宋" w:hAnsi="仿宋" w:eastAsia="仿宋"/>
          <w:b/>
          <w:color w:val="000000"/>
          <w:sz w:val="32"/>
          <w:szCs w:val="32"/>
          <w:lang w:val="en-US" w:eastAsia="zh-CN"/>
        </w:rPr>
        <w:t>1</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264.74万元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p>
    <w:p>
      <w:pPr>
        <w:spacing w:line="60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lang w:val="en-US" w:eastAsia="zh-CN"/>
        </w:rPr>
        <w:t>1</w:t>
      </w:r>
      <w:r>
        <w:rPr>
          <w:rFonts w:hint="eastAsia" w:ascii="仿宋" w:hAnsi="仿宋" w:eastAsia="仿宋"/>
          <w:bCs/>
          <w:color w:val="000000"/>
          <w:kern w:val="0"/>
          <w:sz w:val="32"/>
          <w:szCs w:val="32"/>
        </w:rPr>
        <w:t>、社会保障和就业（</w:t>
      </w:r>
      <w:r>
        <w:rPr>
          <w:rFonts w:ascii="仿宋" w:hAnsi="仿宋" w:eastAsia="仿宋"/>
          <w:bCs/>
          <w:color w:val="000000"/>
          <w:kern w:val="0"/>
          <w:sz w:val="32"/>
          <w:szCs w:val="32"/>
        </w:rPr>
        <w:t>208</w:t>
      </w:r>
      <w:r>
        <w:rPr>
          <w:rFonts w:hint="eastAsia" w:ascii="仿宋" w:hAnsi="仿宋" w:eastAsia="仿宋"/>
          <w:bCs/>
          <w:color w:val="000000"/>
          <w:kern w:val="0"/>
          <w:sz w:val="32"/>
          <w:szCs w:val="32"/>
        </w:rPr>
        <w:t>）行政事业单位离退休（</w:t>
      </w:r>
      <w:r>
        <w:rPr>
          <w:rFonts w:ascii="仿宋" w:hAnsi="仿宋" w:eastAsia="仿宋"/>
          <w:bCs/>
          <w:color w:val="000000"/>
          <w:kern w:val="0"/>
          <w:sz w:val="32"/>
          <w:szCs w:val="32"/>
        </w:rPr>
        <w:t>05</w:t>
      </w:r>
      <w:r>
        <w:rPr>
          <w:rFonts w:hint="eastAsia" w:ascii="仿宋" w:hAnsi="仿宋" w:eastAsia="仿宋"/>
          <w:bCs/>
          <w:color w:val="000000"/>
          <w:kern w:val="0"/>
          <w:sz w:val="32"/>
          <w:szCs w:val="32"/>
        </w:rPr>
        <w:t>）机关事业单位基本养老保险缴费支出（</w:t>
      </w:r>
      <w:r>
        <w:rPr>
          <w:rFonts w:ascii="仿宋" w:hAnsi="仿宋" w:eastAsia="仿宋"/>
          <w:bCs/>
          <w:color w:val="000000"/>
          <w:kern w:val="0"/>
          <w:sz w:val="32"/>
          <w:szCs w:val="32"/>
        </w:rPr>
        <w:t>05</w:t>
      </w:r>
      <w:r>
        <w:rPr>
          <w:rFonts w:hint="eastAsia" w:ascii="仿宋" w:hAnsi="仿宋" w:eastAsia="仿宋"/>
          <w:bCs/>
          <w:color w:val="000000"/>
          <w:kern w:val="0"/>
          <w:sz w:val="32"/>
          <w:szCs w:val="32"/>
        </w:rPr>
        <w:t>）：支出决算为</w:t>
      </w:r>
      <w:r>
        <w:rPr>
          <w:rFonts w:hint="eastAsia" w:ascii="仿宋" w:hAnsi="仿宋" w:eastAsia="仿宋"/>
          <w:bCs/>
          <w:color w:val="000000"/>
          <w:kern w:val="0"/>
          <w:sz w:val="32"/>
          <w:szCs w:val="32"/>
          <w:lang w:val="en-US" w:eastAsia="zh-CN"/>
        </w:rPr>
        <w:t>18</w:t>
      </w:r>
      <w:r>
        <w:rPr>
          <w:rFonts w:hint="eastAsia" w:ascii="仿宋" w:hAnsi="仿宋" w:eastAsia="仿宋"/>
          <w:bCs/>
          <w:color w:val="000000"/>
          <w:kern w:val="0"/>
          <w:sz w:val="32"/>
          <w:szCs w:val="32"/>
        </w:rPr>
        <w:t>万元，完成预算</w:t>
      </w:r>
      <w:r>
        <w:rPr>
          <w:rFonts w:ascii="仿宋" w:hAnsi="仿宋" w:eastAsia="仿宋"/>
          <w:bCs/>
          <w:color w:val="000000"/>
          <w:kern w:val="0"/>
          <w:sz w:val="32"/>
          <w:szCs w:val="32"/>
        </w:rPr>
        <w:t>100%</w:t>
      </w:r>
      <w:r>
        <w:rPr>
          <w:rFonts w:hint="eastAsia" w:ascii="仿宋" w:hAnsi="仿宋" w:eastAsia="仿宋"/>
          <w:bCs/>
          <w:color w:val="000000"/>
          <w:kern w:val="0"/>
          <w:sz w:val="32"/>
          <w:szCs w:val="32"/>
        </w:rPr>
        <w:t>。</w:t>
      </w:r>
    </w:p>
    <w:p>
      <w:pPr>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lang w:val="en-US" w:eastAsia="zh-CN"/>
        </w:rPr>
        <w:t>2</w:t>
      </w:r>
      <w:r>
        <w:rPr>
          <w:rFonts w:hint="eastAsia" w:ascii="仿宋" w:hAnsi="仿宋" w:eastAsia="仿宋"/>
          <w:bCs/>
          <w:color w:val="000000"/>
          <w:kern w:val="0"/>
          <w:sz w:val="32"/>
          <w:szCs w:val="32"/>
        </w:rPr>
        <w:t>、卫生健康（</w:t>
      </w:r>
      <w:r>
        <w:rPr>
          <w:rFonts w:ascii="仿宋" w:hAnsi="仿宋" w:eastAsia="仿宋"/>
          <w:bCs/>
          <w:color w:val="000000"/>
          <w:kern w:val="0"/>
          <w:sz w:val="32"/>
          <w:szCs w:val="32"/>
        </w:rPr>
        <w:t>210</w:t>
      </w:r>
      <w:r>
        <w:rPr>
          <w:rFonts w:hint="eastAsia" w:ascii="仿宋" w:hAnsi="仿宋" w:eastAsia="仿宋"/>
          <w:bCs/>
          <w:color w:val="000000"/>
          <w:kern w:val="0"/>
          <w:sz w:val="32"/>
          <w:szCs w:val="32"/>
        </w:rPr>
        <w:t>）行政事业单位医疗（</w:t>
      </w:r>
      <w:r>
        <w:rPr>
          <w:rFonts w:ascii="仿宋" w:hAnsi="仿宋" w:eastAsia="仿宋"/>
          <w:bCs/>
          <w:color w:val="000000"/>
          <w:kern w:val="0"/>
          <w:sz w:val="32"/>
          <w:szCs w:val="32"/>
        </w:rPr>
        <w:t>11</w:t>
      </w:r>
      <w:r>
        <w:rPr>
          <w:rFonts w:hint="eastAsia" w:ascii="仿宋" w:hAnsi="仿宋" w:eastAsia="仿宋"/>
          <w:bCs/>
          <w:color w:val="000000"/>
          <w:kern w:val="0"/>
          <w:sz w:val="32"/>
          <w:szCs w:val="32"/>
        </w:rPr>
        <w:t>）事业单位医疗（</w:t>
      </w:r>
      <w:r>
        <w:rPr>
          <w:rFonts w:ascii="仿宋" w:hAnsi="仿宋" w:eastAsia="仿宋"/>
          <w:bCs/>
          <w:color w:val="000000"/>
          <w:kern w:val="0"/>
          <w:sz w:val="32"/>
          <w:szCs w:val="32"/>
        </w:rPr>
        <w:t>02</w:t>
      </w:r>
      <w:r>
        <w:rPr>
          <w:rFonts w:hint="eastAsia" w:ascii="仿宋" w:hAnsi="仿宋" w:eastAsia="仿宋"/>
          <w:bCs/>
          <w:color w:val="000000"/>
          <w:kern w:val="0"/>
          <w:sz w:val="32"/>
          <w:szCs w:val="32"/>
        </w:rPr>
        <w:t>）：支出决算为</w:t>
      </w:r>
      <w:r>
        <w:rPr>
          <w:rFonts w:hint="eastAsia" w:ascii="仿宋" w:hAnsi="仿宋" w:eastAsia="仿宋"/>
          <w:bCs/>
          <w:color w:val="000000"/>
          <w:kern w:val="0"/>
          <w:sz w:val="32"/>
          <w:szCs w:val="32"/>
          <w:lang w:val="en-US" w:eastAsia="zh-CN"/>
        </w:rPr>
        <w:t>8.22</w:t>
      </w:r>
      <w:r>
        <w:rPr>
          <w:rFonts w:hint="eastAsia" w:ascii="仿宋" w:hAnsi="仿宋" w:eastAsia="仿宋"/>
          <w:bCs/>
          <w:color w:val="000000"/>
          <w:kern w:val="0"/>
          <w:sz w:val="32"/>
          <w:szCs w:val="32"/>
        </w:rPr>
        <w:t>万元，完成预算</w:t>
      </w:r>
      <w:r>
        <w:rPr>
          <w:rFonts w:ascii="仿宋" w:hAnsi="仿宋" w:eastAsia="仿宋"/>
          <w:bCs/>
          <w:color w:val="000000"/>
          <w:kern w:val="0"/>
          <w:sz w:val="32"/>
          <w:szCs w:val="32"/>
        </w:rPr>
        <w:t>100%</w:t>
      </w:r>
      <w:r>
        <w:rPr>
          <w:rFonts w:hint="eastAsia" w:ascii="仿宋" w:hAnsi="仿宋" w:eastAsia="仿宋"/>
          <w:bCs/>
          <w:color w:val="000000"/>
          <w:kern w:val="0"/>
          <w:sz w:val="32"/>
          <w:szCs w:val="32"/>
        </w:rPr>
        <w:t>。</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lang w:val="en-US" w:eastAsia="zh-CN"/>
        </w:rPr>
        <w:t>3</w:t>
      </w:r>
      <w:r>
        <w:rPr>
          <w:rFonts w:hint="eastAsia" w:ascii="仿宋" w:hAnsi="仿宋" w:eastAsia="仿宋"/>
          <w:bCs/>
          <w:color w:val="000000"/>
          <w:kern w:val="0"/>
          <w:sz w:val="32"/>
          <w:szCs w:val="32"/>
        </w:rPr>
        <w:t>、城乡社区支出（</w:t>
      </w:r>
      <w:r>
        <w:rPr>
          <w:rFonts w:ascii="仿宋" w:hAnsi="仿宋" w:eastAsia="仿宋"/>
          <w:bCs/>
          <w:color w:val="000000"/>
          <w:kern w:val="0"/>
          <w:sz w:val="32"/>
          <w:szCs w:val="32"/>
        </w:rPr>
        <w:t>212</w:t>
      </w:r>
      <w:r>
        <w:rPr>
          <w:rFonts w:hint="eastAsia" w:ascii="仿宋" w:hAnsi="仿宋" w:eastAsia="仿宋"/>
          <w:bCs/>
          <w:color w:val="000000"/>
          <w:kern w:val="0"/>
          <w:sz w:val="32"/>
          <w:szCs w:val="32"/>
        </w:rPr>
        <w:t>）城乡社区</w:t>
      </w:r>
      <w:r>
        <w:rPr>
          <w:rFonts w:hint="eastAsia" w:ascii="仿宋" w:hAnsi="仿宋" w:eastAsia="仿宋"/>
          <w:bCs/>
          <w:color w:val="000000"/>
          <w:kern w:val="0"/>
          <w:sz w:val="32"/>
          <w:szCs w:val="32"/>
          <w:lang w:val="en-US" w:eastAsia="zh-CN"/>
        </w:rPr>
        <w:t>管理事务</w:t>
      </w:r>
      <w:r>
        <w:rPr>
          <w:rFonts w:hint="eastAsia" w:ascii="仿宋" w:hAnsi="仿宋" w:eastAsia="仿宋"/>
          <w:bCs/>
          <w:color w:val="000000"/>
          <w:kern w:val="0"/>
          <w:sz w:val="32"/>
          <w:szCs w:val="32"/>
        </w:rPr>
        <w:t>（</w:t>
      </w:r>
      <w:r>
        <w:rPr>
          <w:rFonts w:hint="eastAsia" w:ascii="仿宋" w:hAnsi="仿宋" w:eastAsia="仿宋"/>
          <w:bCs/>
          <w:color w:val="000000"/>
          <w:kern w:val="0"/>
          <w:sz w:val="32"/>
          <w:szCs w:val="32"/>
          <w:lang w:val="en-US" w:eastAsia="zh-CN"/>
        </w:rPr>
        <w:t>01</w:t>
      </w:r>
      <w:r>
        <w:rPr>
          <w:rFonts w:hint="eastAsia" w:ascii="仿宋" w:hAnsi="仿宋" w:eastAsia="仿宋"/>
          <w:bCs/>
          <w:color w:val="000000"/>
          <w:kern w:val="0"/>
          <w:sz w:val="32"/>
          <w:szCs w:val="32"/>
        </w:rPr>
        <w:t>）</w:t>
      </w:r>
      <w:r>
        <w:rPr>
          <w:rFonts w:hint="eastAsia" w:ascii="仿宋" w:hAnsi="仿宋" w:eastAsia="仿宋"/>
          <w:bCs/>
          <w:color w:val="000000"/>
          <w:kern w:val="0"/>
          <w:sz w:val="32"/>
          <w:szCs w:val="32"/>
          <w:lang w:val="en-US" w:eastAsia="zh-CN"/>
        </w:rPr>
        <w:t>工程建设管理</w:t>
      </w:r>
      <w:r>
        <w:rPr>
          <w:rFonts w:hint="eastAsia" w:ascii="仿宋" w:hAnsi="仿宋" w:eastAsia="仿宋"/>
          <w:bCs/>
          <w:color w:val="000000"/>
          <w:kern w:val="0"/>
          <w:sz w:val="32"/>
          <w:szCs w:val="32"/>
        </w:rPr>
        <w:t>（</w:t>
      </w:r>
      <w:r>
        <w:rPr>
          <w:rFonts w:hint="eastAsia" w:ascii="仿宋" w:hAnsi="仿宋" w:eastAsia="仿宋"/>
          <w:bCs/>
          <w:color w:val="000000"/>
          <w:kern w:val="0"/>
          <w:sz w:val="32"/>
          <w:szCs w:val="32"/>
          <w:lang w:val="en-US" w:eastAsia="zh-CN"/>
        </w:rPr>
        <w:t>06</w:t>
      </w:r>
      <w:r>
        <w:rPr>
          <w:rFonts w:hint="eastAsia" w:ascii="仿宋" w:hAnsi="仿宋" w:eastAsia="仿宋"/>
          <w:bCs/>
          <w:color w:val="000000"/>
          <w:kern w:val="0"/>
          <w:sz w:val="32"/>
          <w:szCs w:val="32"/>
        </w:rPr>
        <w:t>）</w:t>
      </w:r>
      <w:r>
        <w:rPr>
          <w:rFonts w:ascii="仿宋" w:hAnsi="仿宋" w:eastAsia="仿宋"/>
          <w:bCs/>
          <w:color w:val="000000"/>
          <w:kern w:val="0"/>
          <w:sz w:val="32"/>
          <w:szCs w:val="32"/>
        </w:rPr>
        <w:t>:</w:t>
      </w:r>
      <w:r>
        <w:rPr>
          <w:rFonts w:hint="eastAsia" w:ascii="仿宋" w:hAnsi="仿宋" w:eastAsia="仿宋"/>
          <w:bCs/>
          <w:color w:val="000000"/>
          <w:kern w:val="0"/>
          <w:sz w:val="32"/>
          <w:szCs w:val="32"/>
        </w:rPr>
        <w:t>支出决算为</w:t>
      </w:r>
      <w:r>
        <w:rPr>
          <w:rFonts w:hint="eastAsia" w:ascii="仿宋" w:hAnsi="仿宋" w:eastAsia="仿宋"/>
          <w:bCs/>
          <w:color w:val="000000"/>
          <w:kern w:val="0"/>
          <w:sz w:val="32"/>
          <w:szCs w:val="32"/>
          <w:lang w:val="en-US" w:eastAsia="zh-CN"/>
        </w:rPr>
        <w:t>165.02</w:t>
      </w:r>
      <w:r>
        <w:rPr>
          <w:rFonts w:hint="eastAsia" w:ascii="仿宋" w:hAnsi="仿宋" w:eastAsia="仿宋"/>
          <w:bCs/>
          <w:color w:val="000000"/>
          <w:kern w:val="0"/>
          <w:sz w:val="32"/>
          <w:szCs w:val="32"/>
        </w:rPr>
        <w:t>万元，完成预算的</w:t>
      </w:r>
      <w:r>
        <w:rPr>
          <w:rFonts w:ascii="仿宋" w:hAnsi="仿宋" w:eastAsia="仿宋"/>
          <w:bCs/>
          <w:color w:val="000000"/>
          <w:kern w:val="0"/>
          <w:sz w:val="32"/>
          <w:szCs w:val="32"/>
        </w:rPr>
        <w:t>100%</w:t>
      </w:r>
      <w:r>
        <w:rPr>
          <w:rFonts w:hint="eastAsia" w:ascii="仿宋" w:hAnsi="仿宋" w:eastAsia="仿宋"/>
          <w:bCs/>
          <w:color w:val="000000"/>
          <w:kern w:val="0"/>
          <w:sz w:val="32"/>
          <w:szCs w:val="32"/>
        </w:rPr>
        <w:t>。</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rPr>
        <w:t>城乡社区支出（</w:t>
      </w:r>
      <w:r>
        <w:rPr>
          <w:rFonts w:ascii="仿宋" w:hAnsi="仿宋" w:eastAsia="仿宋"/>
          <w:bCs/>
          <w:color w:val="000000"/>
          <w:kern w:val="0"/>
          <w:sz w:val="32"/>
          <w:szCs w:val="32"/>
        </w:rPr>
        <w:t>212</w:t>
      </w:r>
      <w:r>
        <w:rPr>
          <w:rFonts w:hint="eastAsia" w:ascii="仿宋" w:hAnsi="仿宋" w:eastAsia="仿宋"/>
          <w:bCs/>
          <w:color w:val="000000"/>
          <w:kern w:val="0"/>
          <w:sz w:val="32"/>
          <w:szCs w:val="32"/>
        </w:rPr>
        <w:t>）</w:t>
      </w:r>
      <w:r>
        <w:rPr>
          <w:rFonts w:hint="eastAsia" w:ascii="仿宋" w:hAnsi="仿宋" w:eastAsia="仿宋"/>
          <w:bCs/>
          <w:color w:val="000000"/>
          <w:kern w:val="0"/>
          <w:sz w:val="32"/>
          <w:szCs w:val="32"/>
          <w:lang w:val="en-US" w:eastAsia="zh-CN"/>
        </w:rPr>
        <w:t>其他</w:t>
      </w:r>
      <w:r>
        <w:rPr>
          <w:rFonts w:hint="eastAsia" w:ascii="仿宋" w:hAnsi="仿宋" w:eastAsia="仿宋"/>
          <w:bCs/>
          <w:color w:val="000000"/>
          <w:kern w:val="0"/>
          <w:sz w:val="32"/>
          <w:szCs w:val="32"/>
        </w:rPr>
        <w:t>城乡社区支出（</w:t>
      </w:r>
      <w:r>
        <w:rPr>
          <w:rFonts w:hint="eastAsia" w:ascii="仿宋" w:hAnsi="仿宋" w:eastAsia="仿宋"/>
          <w:bCs/>
          <w:color w:val="000000"/>
          <w:kern w:val="0"/>
          <w:sz w:val="32"/>
          <w:szCs w:val="32"/>
          <w:lang w:val="en-US" w:eastAsia="zh-CN"/>
        </w:rPr>
        <w:t>99</w:t>
      </w:r>
      <w:r>
        <w:rPr>
          <w:rFonts w:hint="eastAsia" w:ascii="仿宋" w:hAnsi="仿宋" w:eastAsia="仿宋"/>
          <w:bCs/>
          <w:color w:val="000000"/>
          <w:kern w:val="0"/>
          <w:sz w:val="32"/>
          <w:szCs w:val="32"/>
        </w:rPr>
        <w:t>）</w:t>
      </w:r>
      <w:r>
        <w:rPr>
          <w:rFonts w:hint="eastAsia" w:ascii="仿宋" w:hAnsi="仿宋" w:eastAsia="仿宋"/>
          <w:bCs/>
          <w:color w:val="000000"/>
          <w:kern w:val="0"/>
          <w:sz w:val="32"/>
          <w:szCs w:val="32"/>
          <w:lang w:val="en-US" w:eastAsia="zh-CN"/>
        </w:rPr>
        <w:t>其他</w:t>
      </w:r>
      <w:r>
        <w:rPr>
          <w:rFonts w:hint="eastAsia" w:ascii="仿宋" w:hAnsi="仿宋" w:eastAsia="仿宋"/>
          <w:bCs/>
          <w:color w:val="000000"/>
          <w:kern w:val="0"/>
          <w:sz w:val="32"/>
          <w:szCs w:val="32"/>
        </w:rPr>
        <w:t>城乡社区支出（</w:t>
      </w:r>
      <w:r>
        <w:rPr>
          <w:rFonts w:hint="eastAsia" w:ascii="仿宋" w:hAnsi="仿宋" w:eastAsia="仿宋"/>
          <w:bCs/>
          <w:color w:val="000000"/>
          <w:kern w:val="0"/>
          <w:sz w:val="32"/>
          <w:szCs w:val="32"/>
          <w:lang w:val="en-US" w:eastAsia="zh-CN"/>
        </w:rPr>
        <w:t>99</w:t>
      </w:r>
      <w:r>
        <w:rPr>
          <w:rFonts w:hint="eastAsia" w:ascii="仿宋" w:hAnsi="仿宋" w:eastAsia="仿宋"/>
          <w:bCs/>
          <w:color w:val="000000"/>
          <w:kern w:val="0"/>
          <w:sz w:val="32"/>
          <w:szCs w:val="32"/>
        </w:rPr>
        <w:t>）</w:t>
      </w:r>
      <w:r>
        <w:rPr>
          <w:rFonts w:ascii="仿宋" w:hAnsi="仿宋" w:eastAsia="仿宋"/>
          <w:bCs/>
          <w:color w:val="000000"/>
          <w:kern w:val="0"/>
          <w:sz w:val="32"/>
          <w:szCs w:val="32"/>
        </w:rPr>
        <w:t>:</w:t>
      </w:r>
      <w:r>
        <w:rPr>
          <w:rFonts w:hint="eastAsia" w:ascii="仿宋" w:hAnsi="仿宋" w:eastAsia="仿宋"/>
          <w:bCs/>
          <w:color w:val="000000"/>
          <w:kern w:val="0"/>
          <w:sz w:val="32"/>
          <w:szCs w:val="32"/>
        </w:rPr>
        <w:t>支出决算为</w:t>
      </w:r>
      <w:r>
        <w:rPr>
          <w:rFonts w:hint="eastAsia" w:ascii="仿宋" w:hAnsi="仿宋" w:eastAsia="仿宋"/>
          <w:bCs/>
          <w:color w:val="000000"/>
          <w:kern w:val="0"/>
          <w:sz w:val="32"/>
          <w:szCs w:val="32"/>
          <w:lang w:val="en-US" w:eastAsia="zh-CN"/>
        </w:rPr>
        <w:t>60</w:t>
      </w:r>
      <w:r>
        <w:rPr>
          <w:rFonts w:hint="eastAsia" w:ascii="仿宋" w:hAnsi="仿宋" w:eastAsia="仿宋"/>
          <w:bCs/>
          <w:color w:val="000000"/>
          <w:kern w:val="0"/>
          <w:sz w:val="32"/>
          <w:szCs w:val="32"/>
        </w:rPr>
        <w:t>万元，完成预算的</w:t>
      </w:r>
      <w:r>
        <w:rPr>
          <w:rFonts w:ascii="仿宋" w:hAnsi="仿宋" w:eastAsia="仿宋"/>
          <w:bCs/>
          <w:color w:val="000000"/>
          <w:kern w:val="0"/>
          <w:sz w:val="32"/>
          <w:szCs w:val="32"/>
        </w:rPr>
        <w:t>100%</w:t>
      </w:r>
      <w:r>
        <w:rPr>
          <w:rFonts w:hint="eastAsia" w:ascii="仿宋" w:hAnsi="仿宋" w:eastAsia="仿宋"/>
          <w:bCs/>
          <w:color w:val="000000"/>
          <w:kern w:val="0"/>
          <w:sz w:val="32"/>
          <w:szCs w:val="32"/>
        </w:rPr>
        <w:t>。</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lang w:val="en-US" w:eastAsia="zh-CN"/>
        </w:rPr>
        <w:t>4</w:t>
      </w:r>
      <w:r>
        <w:rPr>
          <w:rFonts w:hint="eastAsia" w:ascii="仿宋" w:hAnsi="仿宋" w:eastAsia="仿宋"/>
          <w:bCs/>
          <w:color w:val="000000"/>
          <w:kern w:val="0"/>
          <w:sz w:val="32"/>
          <w:szCs w:val="32"/>
        </w:rPr>
        <w:t>、住房保障（</w:t>
      </w:r>
      <w:r>
        <w:rPr>
          <w:rFonts w:ascii="仿宋" w:hAnsi="仿宋" w:eastAsia="仿宋"/>
          <w:bCs/>
          <w:color w:val="000000"/>
          <w:kern w:val="0"/>
          <w:sz w:val="32"/>
          <w:szCs w:val="32"/>
        </w:rPr>
        <w:t>221</w:t>
      </w:r>
      <w:r>
        <w:rPr>
          <w:rFonts w:hint="eastAsia" w:ascii="仿宋" w:hAnsi="仿宋" w:eastAsia="仿宋"/>
          <w:bCs/>
          <w:color w:val="000000"/>
          <w:kern w:val="0"/>
          <w:sz w:val="32"/>
          <w:szCs w:val="32"/>
        </w:rPr>
        <w:t>）住房改革支出（</w:t>
      </w:r>
      <w:r>
        <w:rPr>
          <w:rFonts w:ascii="仿宋" w:hAnsi="仿宋" w:eastAsia="仿宋"/>
          <w:bCs/>
          <w:color w:val="000000"/>
          <w:kern w:val="0"/>
          <w:sz w:val="32"/>
          <w:szCs w:val="32"/>
        </w:rPr>
        <w:t>02</w:t>
      </w:r>
      <w:r>
        <w:rPr>
          <w:rFonts w:hint="eastAsia" w:ascii="仿宋" w:hAnsi="仿宋" w:eastAsia="仿宋"/>
          <w:bCs/>
          <w:color w:val="000000"/>
          <w:kern w:val="0"/>
          <w:sz w:val="32"/>
          <w:szCs w:val="32"/>
        </w:rPr>
        <w:t>）住房公积金（</w:t>
      </w:r>
      <w:r>
        <w:rPr>
          <w:rFonts w:ascii="仿宋" w:hAnsi="仿宋" w:eastAsia="仿宋"/>
          <w:bCs/>
          <w:color w:val="000000"/>
          <w:kern w:val="0"/>
          <w:sz w:val="32"/>
          <w:szCs w:val="32"/>
        </w:rPr>
        <w:t>01</w:t>
      </w:r>
      <w:r>
        <w:rPr>
          <w:rFonts w:hint="eastAsia" w:ascii="仿宋" w:hAnsi="仿宋" w:eastAsia="仿宋"/>
          <w:bCs/>
          <w:color w:val="000000"/>
          <w:kern w:val="0"/>
          <w:sz w:val="32"/>
          <w:szCs w:val="32"/>
        </w:rPr>
        <w:t>）</w:t>
      </w:r>
      <w:r>
        <w:rPr>
          <w:rFonts w:ascii="仿宋" w:hAnsi="仿宋" w:eastAsia="仿宋"/>
          <w:bCs/>
          <w:color w:val="000000"/>
          <w:kern w:val="0"/>
          <w:sz w:val="32"/>
          <w:szCs w:val="32"/>
        </w:rPr>
        <w:t>:</w:t>
      </w:r>
      <w:r>
        <w:rPr>
          <w:rFonts w:hint="eastAsia" w:ascii="仿宋" w:hAnsi="仿宋" w:eastAsia="仿宋"/>
          <w:bCs/>
          <w:color w:val="000000"/>
          <w:kern w:val="0"/>
          <w:sz w:val="32"/>
          <w:szCs w:val="32"/>
        </w:rPr>
        <w:t>支出决算为</w:t>
      </w:r>
      <w:r>
        <w:rPr>
          <w:rFonts w:hint="eastAsia" w:ascii="仿宋" w:hAnsi="仿宋" w:eastAsia="仿宋"/>
          <w:bCs/>
          <w:color w:val="000000"/>
          <w:kern w:val="0"/>
          <w:sz w:val="32"/>
          <w:szCs w:val="32"/>
          <w:lang w:val="en-US" w:eastAsia="zh-CN"/>
        </w:rPr>
        <w:t>13.5</w:t>
      </w:r>
      <w:r>
        <w:rPr>
          <w:rFonts w:hint="eastAsia" w:ascii="仿宋" w:hAnsi="仿宋" w:eastAsia="仿宋"/>
          <w:bCs/>
          <w:color w:val="000000"/>
          <w:kern w:val="0"/>
          <w:sz w:val="32"/>
          <w:szCs w:val="32"/>
        </w:rPr>
        <w:t>万元，完成预算的</w:t>
      </w:r>
      <w:r>
        <w:rPr>
          <w:rFonts w:ascii="仿宋" w:hAnsi="仿宋" w:eastAsia="仿宋"/>
          <w:bCs/>
          <w:color w:val="000000"/>
          <w:kern w:val="0"/>
          <w:sz w:val="32"/>
          <w:szCs w:val="32"/>
        </w:rPr>
        <w:t>100%</w:t>
      </w:r>
      <w:r>
        <w:rPr>
          <w:rFonts w:hint="eastAsia" w:ascii="仿宋" w:hAnsi="仿宋" w:eastAsia="仿宋"/>
          <w:bCs/>
          <w:color w:val="000000"/>
          <w:kern w:val="0"/>
          <w:sz w:val="32"/>
          <w:szCs w:val="32"/>
        </w:rPr>
        <w:t>。</w:t>
      </w:r>
    </w:p>
    <w:bookmarkEnd w:id="33"/>
    <w:bookmarkEnd w:id="34"/>
    <w:bookmarkEnd w:id="35"/>
    <w:p>
      <w:pPr>
        <w:tabs>
          <w:tab w:val="right" w:pos="8306"/>
        </w:tabs>
        <w:spacing w:line="600" w:lineRule="exact"/>
        <w:ind w:firstLine="640"/>
        <w:outlineLvl w:val="1"/>
        <w:rPr>
          <w:rStyle w:val="26"/>
          <w:color w:val="auto"/>
          <w:highlight w:val="none"/>
        </w:rPr>
      </w:pPr>
      <w:bookmarkStart w:id="36" w:name="_Toc15396608"/>
      <w:bookmarkStart w:id="37"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6"/>
      <w:bookmarkEnd w:id="37"/>
      <w:r>
        <w:rPr>
          <w:rStyle w:val="26"/>
          <w:rFonts w:ascii="黑体" w:hAnsi="黑体" w:eastAsia="黑体"/>
          <w:b w:val="0"/>
          <w:color w:val="auto"/>
          <w:highlight w:val="none"/>
        </w:rPr>
        <w:tab/>
      </w:r>
    </w:p>
    <w:p>
      <w:pPr>
        <w:spacing w:line="600" w:lineRule="exact"/>
        <w:ind w:firstLine="645"/>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204.73</w:t>
      </w:r>
      <w:r>
        <w:rPr>
          <w:rFonts w:hint="eastAsia" w:ascii="仿宋" w:hAnsi="仿宋" w:eastAsia="仿宋"/>
          <w:color w:val="000000"/>
          <w:sz w:val="32"/>
          <w:szCs w:val="32"/>
        </w:rPr>
        <w:t>万元，其中：人员经费</w:t>
      </w:r>
      <w:r>
        <w:rPr>
          <w:rFonts w:hint="eastAsia" w:ascii="仿宋" w:hAnsi="仿宋" w:eastAsia="仿宋"/>
          <w:color w:val="000000"/>
          <w:sz w:val="32"/>
          <w:szCs w:val="32"/>
          <w:lang w:val="en-US" w:eastAsia="zh-CN"/>
        </w:rPr>
        <w:t>177.54</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65.76</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1.62</w:t>
      </w:r>
      <w:r>
        <w:rPr>
          <w:rFonts w:hint="eastAsia" w:ascii="仿宋" w:hAnsi="仿宋" w:eastAsia="仿宋"/>
          <w:color w:val="000000"/>
          <w:sz w:val="32"/>
          <w:szCs w:val="32"/>
        </w:rPr>
        <w:t>万元、绩效工资</w:t>
      </w:r>
      <w:r>
        <w:rPr>
          <w:rFonts w:hint="eastAsia" w:ascii="仿宋" w:hAnsi="仿宋" w:eastAsia="仿宋"/>
          <w:color w:val="000000"/>
          <w:sz w:val="32"/>
          <w:szCs w:val="32"/>
          <w:lang w:val="en-US" w:eastAsia="zh-CN"/>
        </w:rPr>
        <w:t>45.13</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18</w:t>
      </w:r>
      <w:r>
        <w:rPr>
          <w:rFonts w:hint="eastAsia" w:ascii="仿宋" w:hAnsi="仿宋" w:eastAsia="仿宋"/>
          <w:color w:val="000000"/>
          <w:sz w:val="32"/>
          <w:szCs w:val="32"/>
        </w:rPr>
        <w:t>万元、</w:t>
      </w:r>
      <w:r>
        <w:rPr>
          <w:rFonts w:cs="Arial"/>
          <w:color w:val="000000"/>
          <w:sz w:val="22"/>
          <w:szCs w:val="22"/>
        </w:rPr>
        <w:t xml:space="preserve">  </w:t>
      </w:r>
      <w:r>
        <w:rPr>
          <w:rFonts w:hint="eastAsia" w:ascii="仿宋" w:hAnsi="仿宋" w:eastAsia="仿宋"/>
          <w:color w:val="000000"/>
          <w:sz w:val="32"/>
          <w:szCs w:val="32"/>
        </w:rPr>
        <w:t>职工基本医疗保险缴费</w:t>
      </w:r>
      <w:r>
        <w:rPr>
          <w:rFonts w:hint="eastAsia" w:ascii="仿宋" w:hAnsi="仿宋" w:eastAsia="仿宋"/>
          <w:color w:val="000000"/>
          <w:sz w:val="32"/>
          <w:szCs w:val="32"/>
          <w:lang w:val="en-US" w:eastAsia="zh-CN"/>
        </w:rPr>
        <w:t>8.22</w:t>
      </w:r>
      <w:r>
        <w:rPr>
          <w:rFonts w:hint="eastAsia" w:ascii="仿宋" w:hAnsi="仿宋" w:eastAsia="仿宋"/>
          <w:color w:val="000000"/>
          <w:sz w:val="32"/>
          <w:szCs w:val="32"/>
        </w:rPr>
        <w:t>万元、住房公积</w:t>
      </w:r>
      <w:r>
        <w:rPr>
          <w:rFonts w:hint="eastAsia" w:ascii="仿宋" w:hAnsi="仿宋" w:eastAsia="仿宋"/>
          <w:color w:val="000000"/>
          <w:sz w:val="32"/>
          <w:szCs w:val="32"/>
          <w:lang w:val="en-US" w:eastAsia="zh-CN"/>
        </w:rPr>
        <w:t>13.5</w:t>
      </w:r>
      <w:r>
        <w:rPr>
          <w:rFonts w:hint="eastAsia" w:ascii="仿宋" w:hAnsi="仿宋" w:eastAsia="仿宋"/>
          <w:color w:val="000000"/>
          <w:sz w:val="32"/>
          <w:szCs w:val="32"/>
        </w:rPr>
        <w:t>万元、其他工资福利支出</w:t>
      </w:r>
      <w:r>
        <w:rPr>
          <w:rFonts w:hint="eastAsia" w:ascii="仿宋" w:hAnsi="仿宋" w:eastAsia="仿宋"/>
          <w:color w:val="000000"/>
          <w:sz w:val="32"/>
          <w:szCs w:val="32"/>
          <w:lang w:val="en-US" w:eastAsia="zh-CN"/>
        </w:rPr>
        <w:t>25.31</w:t>
      </w:r>
      <w:r>
        <w:rPr>
          <w:rFonts w:hint="eastAsia" w:ascii="仿宋" w:hAnsi="仿宋" w:eastAsia="仿宋"/>
          <w:color w:val="000000"/>
          <w:sz w:val="32"/>
          <w:szCs w:val="32"/>
        </w:rPr>
        <w:t>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27.19</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10.45</w:t>
      </w:r>
      <w:r>
        <w:rPr>
          <w:rFonts w:hint="eastAsia" w:ascii="仿宋" w:hAnsi="仿宋" w:eastAsia="仿宋"/>
          <w:color w:val="000000"/>
          <w:sz w:val="32"/>
          <w:szCs w:val="32"/>
        </w:rPr>
        <w:t>万元、印刷费</w:t>
      </w:r>
      <w:r>
        <w:rPr>
          <w:rFonts w:ascii="仿宋" w:hAnsi="仿宋" w:eastAsia="仿宋"/>
          <w:color w:val="000000"/>
          <w:sz w:val="32"/>
          <w:szCs w:val="32"/>
        </w:rPr>
        <w:t>0</w:t>
      </w:r>
      <w:r>
        <w:rPr>
          <w:rFonts w:hint="eastAsia" w:ascii="仿宋" w:hAnsi="仿宋" w:eastAsia="仿宋"/>
          <w:color w:val="000000"/>
          <w:sz w:val="32"/>
          <w:szCs w:val="32"/>
          <w:lang w:val="en-US" w:eastAsia="zh-CN"/>
        </w:rPr>
        <w:t>.32</w:t>
      </w:r>
      <w:r>
        <w:rPr>
          <w:rFonts w:hint="eastAsia" w:ascii="仿宋" w:hAnsi="仿宋" w:eastAsia="仿宋"/>
          <w:color w:val="000000"/>
          <w:sz w:val="32"/>
          <w:szCs w:val="32"/>
        </w:rPr>
        <w:t>万元、水费</w:t>
      </w:r>
      <w:r>
        <w:rPr>
          <w:rFonts w:ascii="仿宋" w:hAnsi="仿宋" w:eastAsia="仿宋"/>
          <w:color w:val="000000"/>
          <w:sz w:val="32"/>
          <w:szCs w:val="32"/>
        </w:rPr>
        <w:t>0.0</w:t>
      </w:r>
      <w:r>
        <w:rPr>
          <w:rFonts w:hint="eastAsia" w:ascii="仿宋" w:hAnsi="仿宋" w:eastAsia="仿宋"/>
          <w:color w:val="000000"/>
          <w:sz w:val="32"/>
          <w:szCs w:val="32"/>
          <w:lang w:val="en-US" w:eastAsia="zh-CN"/>
        </w:rPr>
        <w:t>1万元</w:t>
      </w:r>
      <w:r>
        <w:rPr>
          <w:rFonts w:hint="eastAsia" w:ascii="仿宋" w:hAnsi="仿宋" w:eastAsia="仿宋"/>
          <w:color w:val="000000"/>
          <w:sz w:val="32"/>
          <w:szCs w:val="32"/>
        </w:rPr>
        <w:t>、电费</w:t>
      </w:r>
      <w:r>
        <w:rPr>
          <w:rFonts w:hint="eastAsia" w:ascii="仿宋" w:hAnsi="仿宋" w:eastAsia="仿宋"/>
          <w:color w:val="000000"/>
          <w:sz w:val="32"/>
          <w:szCs w:val="32"/>
          <w:lang w:val="en-US" w:eastAsia="zh-CN"/>
        </w:rPr>
        <w:t>0.63万元</w:t>
      </w:r>
      <w:r>
        <w:rPr>
          <w:rFonts w:hint="eastAsia" w:ascii="仿宋" w:hAnsi="仿宋" w:eastAsia="仿宋"/>
          <w:color w:val="000000"/>
          <w:sz w:val="32"/>
          <w:szCs w:val="32"/>
        </w:rPr>
        <w:t>、邮电费</w:t>
      </w:r>
      <w:r>
        <w:rPr>
          <w:rFonts w:ascii="仿宋" w:hAnsi="仿宋" w:eastAsia="仿宋"/>
          <w:color w:val="000000"/>
          <w:sz w:val="32"/>
          <w:szCs w:val="32"/>
        </w:rPr>
        <w:t>0.</w:t>
      </w:r>
      <w:r>
        <w:rPr>
          <w:rFonts w:hint="eastAsia" w:ascii="仿宋" w:hAnsi="仿宋" w:eastAsia="仿宋"/>
          <w:color w:val="000000"/>
          <w:sz w:val="32"/>
          <w:szCs w:val="32"/>
          <w:lang w:val="en-US" w:eastAsia="zh-CN"/>
        </w:rPr>
        <w:t>07</w:t>
      </w:r>
      <w:r>
        <w:rPr>
          <w:rFonts w:hint="eastAsia" w:ascii="仿宋" w:hAnsi="仿宋" w:eastAsia="仿宋"/>
          <w:color w:val="000000"/>
          <w:sz w:val="32"/>
          <w:szCs w:val="32"/>
        </w:rPr>
        <w:t>万元、物业管理费</w:t>
      </w:r>
      <w:r>
        <w:rPr>
          <w:rFonts w:ascii="仿宋" w:hAnsi="仿宋" w:eastAsia="仿宋"/>
          <w:color w:val="000000"/>
          <w:sz w:val="32"/>
          <w:szCs w:val="32"/>
        </w:rPr>
        <w:t>0</w:t>
      </w:r>
      <w:r>
        <w:rPr>
          <w:rFonts w:hint="eastAsia" w:ascii="仿宋" w:hAnsi="仿宋" w:eastAsia="仿宋"/>
          <w:color w:val="000000"/>
          <w:sz w:val="32"/>
          <w:szCs w:val="32"/>
          <w:lang w:val="en-US" w:eastAsia="zh-CN"/>
        </w:rPr>
        <w:t>.74</w:t>
      </w:r>
      <w:r>
        <w:rPr>
          <w:rFonts w:hint="eastAsia" w:ascii="仿宋" w:hAnsi="仿宋" w:eastAsia="仿宋"/>
          <w:color w:val="000000"/>
          <w:sz w:val="32"/>
          <w:szCs w:val="32"/>
        </w:rPr>
        <w:t>万元、差旅费</w:t>
      </w:r>
      <w:r>
        <w:rPr>
          <w:rFonts w:hint="eastAsia" w:ascii="仿宋" w:hAnsi="仿宋" w:eastAsia="仿宋"/>
          <w:color w:val="000000"/>
          <w:sz w:val="32"/>
          <w:szCs w:val="32"/>
          <w:lang w:val="en-US" w:eastAsia="zh-CN"/>
        </w:rPr>
        <w:t>4.73</w:t>
      </w:r>
      <w:r>
        <w:rPr>
          <w:rFonts w:hint="eastAsia" w:ascii="仿宋" w:hAnsi="仿宋" w:eastAsia="仿宋"/>
          <w:color w:val="000000"/>
          <w:sz w:val="32"/>
          <w:szCs w:val="32"/>
        </w:rPr>
        <w:t>万元、维修（护）费</w:t>
      </w:r>
      <w:r>
        <w:rPr>
          <w:rFonts w:ascii="仿宋" w:hAnsi="仿宋" w:eastAsia="仿宋"/>
          <w:color w:val="000000"/>
          <w:sz w:val="32"/>
          <w:szCs w:val="32"/>
        </w:rPr>
        <w:t>0.</w:t>
      </w:r>
      <w:r>
        <w:rPr>
          <w:rFonts w:hint="eastAsia" w:ascii="仿宋" w:hAnsi="仿宋" w:eastAsia="仿宋"/>
          <w:color w:val="000000"/>
          <w:sz w:val="32"/>
          <w:szCs w:val="32"/>
          <w:lang w:val="en-US" w:eastAsia="zh-CN"/>
        </w:rPr>
        <w:t>01</w:t>
      </w:r>
      <w:r>
        <w:rPr>
          <w:rFonts w:hint="eastAsia" w:ascii="仿宋" w:hAnsi="仿宋" w:eastAsia="仿宋"/>
          <w:color w:val="000000"/>
          <w:sz w:val="32"/>
          <w:szCs w:val="32"/>
        </w:rPr>
        <w:t>万元、培训费</w:t>
      </w:r>
      <w:r>
        <w:rPr>
          <w:rFonts w:hint="eastAsia" w:ascii="仿宋" w:hAnsi="仿宋" w:eastAsia="仿宋"/>
          <w:color w:val="000000"/>
          <w:sz w:val="32"/>
          <w:szCs w:val="32"/>
          <w:lang w:val="en-US" w:eastAsia="zh-CN"/>
        </w:rPr>
        <w:t>1.02</w:t>
      </w:r>
      <w:r>
        <w:rPr>
          <w:rFonts w:hint="eastAsia" w:ascii="仿宋" w:hAnsi="仿宋" w:eastAsia="仿宋"/>
          <w:color w:val="000000"/>
          <w:sz w:val="32"/>
          <w:szCs w:val="32"/>
        </w:rPr>
        <w:t>万元、公务接待费</w:t>
      </w:r>
      <w:r>
        <w:rPr>
          <w:rFonts w:hint="eastAsia" w:ascii="仿宋" w:hAnsi="仿宋" w:eastAsia="仿宋"/>
          <w:color w:val="000000"/>
          <w:sz w:val="32"/>
          <w:szCs w:val="32"/>
          <w:lang w:val="en-US" w:eastAsia="zh-CN"/>
        </w:rPr>
        <w:t>0.17</w:t>
      </w:r>
      <w:r>
        <w:rPr>
          <w:rFonts w:hint="eastAsia" w:ascii="仿宋" w:hAnsi="仿宋" w:eastAsia="仿宋"/>
          <w:color w:val="000000"/>
          <w:sz w:val="32"/>
          <w:szCs w:val="32"/>
        </w:rPr>
        <w:t>万元、劳务费</w:t>
      </w:r>
      <w:r>
        <w:rPr>
          <w:rFonts w:hint="eastAsia" w:ascii="仿宋" w:hAnsi="仿宋" w:eastAsia="仿宋"/>
          <w:color w:val="000000"/>
          <w:sz w:val="32"/>
          <w:szCs w:val="32"/>
          <w:lang w:val="en-US" w:eastAsia="zh-CN"/>
        </w:rPr>
        <w:t>3.52</w:t>
      </w:r>
      <w:r>
        <w:rPr>
          <w:rFonts w:hint="eastAsia" w:ascii="仿宋" w:hAnsi="仿宋" w:eastAsia="仿宋"/>
          <w:color w:val="000000"/>
          <w:sz w:val="32"/>
          <w:szCs w:val="32"/>
        </w:rPr>
        <w:t>万元、福利费</w:t>
      </w:r>
      <w:r>
        <w:rPr>
          <w:rFonts w:hint="eastAsia" w:ascii="仿宋" w:hAnsi="仿宋" w:eastAsia="仿宋"/>
          <w:color w:val="000000"/>
          <w:sz w:val="32"/>
          <w:szCs w:val="32"/>
          <w:lang w:val="en-US" w:eastAsia="zh-CN"/>
        </w:rPr>
        <w:t>0.26</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val="en-US" w:eastAsia="zh-CN"/>
        </w:rPr>
        <w:t>5.27</w:t>
      </w:r>
      <w:r>
        <w:rPr>
          <w:rFonts w:hint="eastAsia" w:ascii="仿宋" w:hAnsi="仿宋" w:eastAsia="仿宋"/>
          <w:color w:val="000000"/>
          <w:sz w:val="32"/>
          <w:szCs w:val="32"/>
        </w:rPr>
        <w:t>万元。</w:t>
      </w:r>
    </w:p>
    <w:p>
      <w:pPr>
        <w:spacing w:line="600" w:lineRule="exact"/>
        <w:ind w:firstLine="640"/>
        <w:outlineLvl w:val="1"/>
        <w:rPr>
          <w:rStyle w:val="26"/>
          <w:rFonts w:ascii="黑体" w:hAnsi="黑体" w:eastAsia="黑体"/>
          <w:b w:val="0"/>
          <w:color w:val="auto"/>
          <w:highlight w:val="none"/>
        </w:rPr>
      </w:pPr>
      <w:bookmarkStart w:id="38" w:name="_Toc15396609"/>
      <w:bookmarkStart w:id="39"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8"/>
      <w:bookmarkEnd w:id="39"/>
    </w:p>
    <w:p>
      <w:pPr>
        <w:spacing w:line="600" w:lineRule="exact"/>
        <w:ind w:firstLine="643" w:firstLineChars="200"/>
        <w:outlineLvl w:val="2"/>
        <w:rPr>
          <w:rFonts w:ascii="仿宋" w:hAnsi="仿宋" w:eastAsia="仿宋"/>
          <w:b/>
          <w:color w:val="auto"/>
          <w:sz w:val="32"/>
          <w:szCs w:val="32"/>
          <w:highlight w:val="none"/>
        </w:rPr>
      </w:pPr>
      <w:bookmarkStart w:id="40" w:name="_Toc15377216"/>
      <w:r>
        <w:rPr>
          <w:rFonts w:hint="eastAsia" w:ascii="仿宋" w:hAnsi="仿宋" w:eastAsia="仿宋"/>
          <w:b/>
          <w:color w:val="auto"/>
          <w:sz w:val="32"/>
          <w:szCs w:val="32"/>
          <w:highlight w:val="none"/>
        </w:rPr>
        <w:t>（一）“三公”经费财政拨款支出决算总体情况说明</w:t>
      </w:r>
      <w:bookmarkEnd w:id="40"/>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1.54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ascii="仿宋" w:hAnsi="仿宋" w:eastAsia="仿宋"/>
          <w:color w:val="auto"/>
          <w:sz w:val="32"/>
          <w:szCs w:val="32"/>
          <w:highlight w:val="none"/>
        </w:rPr>
      </w:pP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41" w:name="_Toc15377217"/>
      <w:r>
        <w:rPr>
          <w:rFonts w:hint="eastAsia" w:ascii="仿宋" w:hAnsi="仿宋" w:eastAsia="仿宋"/>
          <w:b/>
          <w:color w:val="auto"/>
          <w:sz w:val="32"/>
          <w:szCs w:val="32"/>
          <w:highlight w:val="none"/>
        </w:rPr>
        <w:t>（二）“三公”经费财政拨款支出决算具体情况说明</w:t>
      </w:r>
      <w:bookmarkEnd w:id="41"/>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2"/>
        <w:jc w:val="center"/>
        <w:rPr>
          <w:rFonts w:hint="eastAsia" w:ascii="仿宋" w:hAnsi="仿宋" w:eastAsia="仿宋"/>
          <w:color w:val="auto"/>
          <w:sz w:val="32"/>
          <w:szCs w:val="32"/>
          <w:highlight w:val="none"/>
        </w:rPr>
      </w:pPr>
      <w:r>
        <w:drawing>
          <wp:inline distT="0" distB="0" distL="114300" distR="114300">
            <wp:extent cx="4572000" cy="2743200"/>
            <wp:effectExtent l="4445" t="4445" r="14605"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2"/>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 xml:space="preserve">        </w:t>
      </w:r>
    </w:p>
    <w:p>
      <w:pPr>
        <w:numPr>
          <w:ilvl w:val="0"/>
          <w:numId w:val="0"/>
        </w:numPr>
        <w:spacing w:line="600" w:lineRule="exact"/>
        <w:ind w:firstLine="643" w:firstLineChars="20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w:t>
      </w:r>
      <w:r>
        <w:rPr>
          <w:rFonts w:hint="eastAsia" w:ascii="仿宋_GB2312" w:eastAsia="仿宋_GB2312"/>
          <w:color w:val="000000"/>
          <w:sz w:val="32"/>
          <w:szCs w:val="32"/>
        </w:rPr>
        <w:t>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万元，增长</w:t>
      </w:r>
      <w:r>
        <w:rPr>
          <w:rFonts w:ascii="仿宋_GB2312" w:eastAsia="仿宋_GB2312"/>
          <w:color w:val="000000"/>
          <w:sz w:val="32"/>
          <w:szCs w:val="32"/>
        </w:rPr>
        <w:t>/</w:t>
      </w:r>
      <w:r>
        <w:rPr>
          <w:rFonts w:hint="eastAsia" w:ascii="仿宋_GB2312" w:eastAsia="仿宋_GB2312"/>
          <w:color w:val="000000"/>
          <w:sz w:val="32"/>
          <w:szCs w:val="32"/>
        </w:rPr>
        <w:t>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spacing w:line="600" w:lineRule="exact"/>
        <w:ind w:firstLine="640"/>
        <w:rPr>
          <w:rFonts w:hint="eastAsia" w:ascii="仿宋_GB2312" w:eastAsia="仿宋_GB2312"/>
          <w:color w:val="000000"/>
          <w:sz w:val="32"/>
          <w:szCs w:val="32"/>
          <w:lang w:eastAsia="zh-CN"/>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widowControl/>
        <w:ind w:firstLine="643" w:firstLineChars="200"/>
        <w:jc w:val="left"/>
        <w:rPr>
          <w:rFonts w:ascii="仿宋" w:hAnsi="仿宋" w:eastAsia="仿宋"/>
          <w:bCs/>
          <w:color w:val="000000"/>
          <w:kern w:val="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1.54</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w:t>
      </w:r>
      <w:r>
        <w:rPr>
          <w:rFonts w:hint="eastAsia" w:ascii="仿宋_GB2312" w:eastAsia="仿宋_GB2312"/>
          <w:color w:val="000000"/>
          <w:sz w:val="32"/>
          <w:szCs w:val="32"/>
          <w:lang w:val="en-US" w:eastAsia="zh-CN"/>
        </w:rPr>
        <w:t>与</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基本持平</w:t>
      </w:r>
      <w:r>
        <w:rPr>
          <w:rFonts w:hint="eastAsia" w:ascii="仿宋" w:hAnsi="仿宋" w:eastAsia="仿宋"/>
          <w:bCs/>
          <w:color w:val="000000"/>
          <w:kern w:val="0"/>
          <w:sz w:val="32"/>
          <w:szCs w:val="32"/>
        </w:rPr>
        <w:t>。</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rPr>
        <w:t>主要用于执行公务、开展业务活动开支的交通费、住宿费、用餐费等。国内公务接待</w:t>
      </w:r>
      <w:r>
        <w:rPr>
          <w:rFonts w:hint="eastAsia" w:ascii="仿宋" w:hAnsi="仿宋" w:eastAsia="仿宋"/>
          <w:bCs/>
          <w:color w:val="000000"/>
          <w:kern w:val="0"/>
          <w:sz w:val="32"/>
          <w:szCs w:val="32"/>
          <w:lang w:val="en-US" w:eastAsia="zh-CN"/>
        </w:rPr>
        <w:t>70</w:t>
      </w:r>
      <w:r>
        <w:rPr>
          <w:rFonts w:hint="eastAsia" w:ascii="仿宋" w:hAnsi="仿宋" w:eastAsia="仿宋"/>
          <w:bCs/>
          <w:color w:val="000000"/>
          <w:kern w:val="0"/>
          <w:sz w:val="32"/>
          <w:szCs w:val="32"/>
        </w:rPr>
        <w:t>批次，</w:t>
      </w:r>
      <w:r>
        <w:rPr>
          <w:rFonts w:hint="eastAsia" w:ascii="仿宋" w:hAnsi="仿宋" w:eastAsia="仿宋"/>
          <w:bCs/>
          <w:color w:val="000000"/>
          <w:kern w:val="0"/>
          <w:sz w:val="32"/>
          <w:szCs w:val="32"/>
          <w:lang w:val="en-US" w:eastAsia="zh-CN"/>
        </w:rPr>
        <w:t>500</w:t>
      </w:r>
      <w:r>
        <w:rPr>
          <w:rFonts w:hint="eastAsia" w:ascii="仿宋" w:hAnsi="仿宋" w:eastAsia="仿宋"/>
          <w:bCs/>
          <w:color w:val="000000"/>
          <w:kern w:val="0"/>
          <w:sz w:val="32"/>
          <w:szCs w:val="32"/>
        </w:rPr>
        <w:t>人次（不包括陪同人员），共计支出</w:t>
      </w:r>
      <w:r>
        <w:rPr>
          <w:rFonts w:ascii="仿宋" w:hAnsi="仿宋" w:eastAsia="仿宋"/>
          <w:bCs/>
          <w:color w:val="000000"/>
          <w:kern w:val="0"/>
          <w:sz w:val="32"/>
          <w:szCs w:val="32"/>
        </w:rPr>
        <w:t>1.</w:t>
      </w:r>
      <w:r>
        <w:rPr>
          <w:rFonts w:hint="eastAsia" w:ascii="仿宋" w:hAnsi="仿宋" w:eastAsia="仿宋"/>
          <w:bCs/>
          <w:color w:val="000000"/>
          <w:kern w:val="0"/>
          <w:sz w:val="32"/>
          <w:szCs w:val="32"/>
          <w:lang w:val="en-US" w:eastAsia="zh-CN"/>
        </w:rPr>
        <w:t>54</w:t>
      </w:r>
      <w:r>
        <w:rPr>
          <w:rFonts w:hint="eastAsia" w:ascii="仿宋" w:hAnsi="仿宋" w:eastAsia="仿宋"/>
          <w:bCs/>
          <w:color w:val="000000"/>
          <w:kern w:val="0"/>
          <w:sz w:val="32"/>
          <w:szCs w:val="32"/>
        </w:rPr>
        <w:t>万元。其中：</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rPr>
        <w:t>外事接待支出</w:t>
      </w:r>
      <w:r>
        <w:rPr>
          <w:rFonts w:ascii="仿宋" w:hAnsi="仿宋" w:eastAsia="仿宋"/>
          <w:bCs/>
          <w:color w:val="000000"/>
          <w:kern w:val="0"/>
          <w:sz w:val="32"/>
          <w:szCs w:val="32"/>
        </w:rPr>
        <w:t>0</w:t>
      </w:r>
      <w:r>
        <w:rPr>
          <w:rFonts w:hint="eastAsia" w:ascii="仿宋" w:hAnsi="仿宋" w:eastAsia="仿宋"/>
          <w:bCs/>
          <w:color w:val="000000"/>
          <w:kern w:val="0"/>
          <w:sz w:val="32"/>
          <w:szCs w:val="32"/>
        </w:rPr>
        <w:t>万元，外事接待</w:t>
      </w:r>
      <w:r>
        <w:rPr>
          <w:rFonts w:ascii="仿宋" w:hAnsi="仿宋" w:eastAsia="仿宋"/>
          <w:bCs/>
          <w:color w:val="000000"/>
          <w:kern w:val="0"/>
          <w:sz w:val="32"/>
          <w:szCs w:val="32"/>
        </w:rPr>
        <w:t>0</w:t>
      </w:r>
      <w:r>
        <w:rPr>
          <w:rFonts w:hint="eastAsia" w:ascii="仿宋" w:hAnsi="仿宋" w:eastAsia="仿宋"/>
          <w:bCs/>
          <w:color w:val="000000"/>
          <w:kern w:val="0"/>
          <w:sz w:val="32"/>
          <w:szCs w:val="32"/>
        </w:rPr>
        <w:t>批次，</w:t>
      </w:r>
      <w:r>
        <w:rPr>
          <w:rFonts w:ascii="仿宋" w:hAnsi="仿宋" w:eastAsia="仿宋"/>
          <w:bCs/>
          <w:color w:val="000000"/>
          <w:kern w:val="0"/>
          <w:sz w:val="32"/>
          <w:szCs w:val="32"/>
        </w:rPr>
        <w:t>0</w:t>
      </w:r>
      <w:r>
        <w:rPr>
          <w:rFonts w:hint="eastAsia" w:ascii="仿宋" w:hAnsi="仿宋" w:eastAsia="仿宋"/>
          <w:bCs/>
          <w:color w:val="000000"/>
          <w:kern w:val="0"/>
          <w:sz w:val="32"/>
          <w:szCs w:val="32"/>
        </w:rPr>
        <w:t>人，共计支出</w:t>
      </w:r>
      <w:r>
        <w:rPr>
          <w:rFonts w:ascii="仿宋" w:hAnsi="仿宋" w:eastAsia="仿宋"/>
          <w:bCs/>
          <w:color w:val="000000"/>
          <w:kern w:val="0"/>
          <w:sz w:val="32"/>
          <w:szCs w:val="32"/>
        </w:rPr>
        <w:t>0</w:t>
      </w:r>
      <w:r>
        <w:rPr>
          <w:rFonts w:hint="eastAsia" w:ascii="仿宋" w:hAnsi="仿宋" w:eastAsia="仿宋"/>
          <w:bCs/>
          <w:color w:val="000000"/>
          <w:kern w:val="0"/>
          <w:sz w:val="32"/>
          <w:szCs w:val="32"/>
        </w:rPr>
        <w:t>万元。</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rPr>
        <w:t>其他国内公务接待支出</w:t>
      </w:r>
      <w:r>
        <w:rPr>
          <w:rFonts w:hint="eastAsia" w:ascii="仿宋" w:hAnsi="仿宋" w:eastAsia="仿宋"/>
          <w:bCs/>
          <w:color w:val="000000"/>
          <w:kern w:val="0"/>
          <w:sz w:val="32"/>
          <w:szCs w:val="32"/>
          <w:lang w:val="en-US" w:eastAsia="zh-CN"/>
        </w:rPr>
        <w:t>1.54</w:t>
      </w:r>
      <w:r>
        <w:rPr>
          <w:rFonts w:hint="eastAsia" w:ascii="仿宋" w:hAnsi="仿宋" w:eastAsia="仿宋"/>
          <w:bCs/>
          <w:color w:val="000000"/>
          <w:kern w:val="0"/>
          <w:sz w:val="32"/>
          <w:szCs w:val="32"/>
        </w:rPr>
        <w:t>万元。</w:t>
      </w:r>
    </w:p>
    <w:p>
      <w:pPr>
        <w:spacing w:line="600" w:lineRule="exact"/>
        <w:ind w:firstLine="640"/>
        <w:outlineLvl w:val="1"/>
        <w:rPr>
          <w:rStyle w:val="26"/>
          <w:rFonts w:ascii="黑体" w:hAnsi="黑体" w:eastAsia="黑体"/>
          <w:color w:val="auto"/>
          <w:highlight w:val="none"/>
        </w:rPr>
      </w:pPr>
      <w:bookmarkStart w:id="42" w:name="_Toc15377218"/>
      <w:bookmarkStart w:id="43" w:name="_Toc15396610"/>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30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ascii="黑体" w:hAnsi="黑体" w:eastAsia="黑体"/>
          <w:b w:val="0"/>
          <w:color w:val="auto"/>
          <w:highlight w:val="none"/>
        </w:rPr>
      </w:pPr>
      <w:bookmarkStart w:id="44" w:name="_Toc15377219"/>
      <w:bookmarkStart w:id="45" w:name="_Toc15396611"/>
      <w:r>
        <w:rPr>
          <w:rStyle w:val="26"/>
          <w:rFonts w:hint="eastAsia" w:ascii="黑体" w:hAnsi="黑体" w:eastAsia="黑体"/>
          <w:b w:val="0"/>
          <w:color w:val="auto"/>
          <w:highlight w:val="none"/>
        </w:rPr>
        <w:t>国有资本经营预算支出决算情况说明</w:t>
      </w:r>
      <w:bookmarkEnd w:id="44"/>
      <w:bookmarkEnd w:id="45"/>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6" w:name="_Toc15377221"/>
      <w:bookmarkStart w:id="47" w:name="_Toc15396612"/>
      <w:r>
        <w:rPr>
          <w:rStyle w:val="26"/>
          <w:rFonts w:hint="eastAsia" w:ascii="黑体" w:hAnsi="黑体" w:eastAsia="黑体"/>
          <w:b w:val="0"/>
          <w:color w:val="auto"/>
          <w:highlight w:val="none"/>
        </w:rPr>
        <w:t>其他重要事项的情况说明</w:t>
      </w:r>
      <w:bookmarkEnd w:id="46"/>
      <w:bookmarkEnd w:id="47"/>
    </w:p>
    <w:p>
      <w:pPr>
        <w:spacing w:line="600" w:lineRule="exact"/>
        <w:ind w:firstLine="643" w:firstLineChars="200"/>
        <w:outlineLvl w:val="2"/>
        <w:rPr>
          <w:rFonts w:ascii="仿宋" w:hAnsi="仿宋" w:eastAsia="仿宋"/>
          <w:b/>
          <w:bCs w:val="0"/>
          <w:color w:val="auto"/>
          <w:sz w:val="32"/>
          <w:szCs w:val="32"/>
          <w:highlight w:val="none"/>
        </w:rPr>
      </w:pPr>
      <w:bookmarkStart w:id="48" w:name="_Toc15377222"/>
      <w:r>
        <w:rPr>
          <w:rFonts w:hint="eastAsia" w:ascii="仿宋" w:hAnsi="仿宋" w:eastAsia="仿宋"/>
          <w:b/>
          <w:color w:val="auto"/>
          <w:sz w:val="32"/>
          <w:szCs w:val="32"/>
          <w:highlight w:val="none"/>
        </w:rPr>
        <w:t>（一）</w:t>
      </w:r>
      <w:r>
        <w:rPr>
          <w:rFonts w:hint="eastAsia" w:ascii="仿宋" w:hAnsi="仿宋" w:eastAsia="仿宋"/>
          <w:b/>
          <w:bCs w:val="0"/>
          <w:color w:val="auto"/>
          <w:sz w:val="32"/>
          <w:szCs w:val="32"/>
          <w:highlight w:val="none"/>
        </w:rPr>
        <w:t>机关运行经费支出情况</w:t>
      </w:r>
      <w:bookmarkEnd w:id="48"/>
    </w:p>
    <w:p>
      <w:pPr>
        <w:widowControl/>
        <w:ind w:firstLine="640" w:firstLineChars="200"/>
        <w:jc w:val="left"/>
        <w:rPr>
          <w:rFonts w:ascii="仿宋" w:hAnsi="仿宋" w:eastAsia="仿宋"/>
          <w:bCs/>
          <w:color w:val="000000"/>
          <w:kern w:val="0"/>
          <w:sz w:val="32"/>
          <w:szCs w:val="32"/>
        </w:rPr>
      </w:pPr>
      <w:bookmarkStart w:id="49" w:name="_Toc15377223"/>
      <w:r>
        <w:rPr>
          <w:rFonts w:ascii="仿宋" w:hAnsi="仿宋" w:eastAsia="仿宋"/>
          <w:bCs/>
          <w:color w:val="000000"/>
          <w:kern w:val="0"/>
          <w:sz w:val="32"/>
          <w:szCs w:val="32"/>
        </w:rPr>
        <w:t>20</w:t>
      </w:r>
      <w:r>
        <w:rPr>
          <w:rFonts w:hint="eastAsia" w:ascii="仿宋" w:hAnsi="仿宋" w:eastAsia="仿宋"/>
          <w:bCs/>
          <w:color w:val="000000"/>
          <w:kern w:val="0"/>
          <w:sz w:val="32"/>
          <w:szCs w:val="32"/>
          <w:lang w:val="en-US" w:eastAsia="zh-CN"/>
        </w:rPr>
        <w:t>21</w:t>
      </w:r>
      <w:r>
        <w:rPr>
          <w:rFonts w:hint="eastAsia" w:ascii="仿宋" w:hAnsi="仿宋" w:eastAsia="仿宋"/>
          <w:bCs/>
          <w:color w:val="000000"/>
          <w:kern w:val="0"/>
          <w:sz w:val="32"/>
          <w:szCs w:val="32"/>
        </w:rPr>
        <w:t>年，我单位执行的是事业单位会计制度，无机关运行经费支出。</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4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年政府采购支出总额</w:t>
      </w:r>
      <w:r>
        <w:rPr>
          <w:rFonts w:hint="eastAsia" w:ascii="仿宋_GB2312" w:eastAsia="仿宋_GB2312"/>
          <w:color w:val="auto"/>
          <w:sz w:val="32"/>
          <w:szCs w:val="32"/>
          <w:highlight w:val="none"/>
          <w:lang w:val="en-US" w:eastAsia="zh-CN"/>
        </w:rPr>
        <w:t>8.08</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8.08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单位办公电脑支出</w:t>
      </w:r>
      <w:r>
        <w:rPr>
          <w:rFonts w:hint="eastAsia" w:ascii="仿宋_GB2312" w:eastAsia="仿宋_GB2312"/>
          <w:color w:val="auto"/>
          <w:sz w:val="32"/>
          <w:szCs w:val="32"/>
          <w:highlight w:val="none"/>
        </w:rPr>
        <w:t>。占政府采购支出总额的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0" w:name="_Toc15377224"/>
      <w:r>
        <w:rPr>
          <w:rFonts w:hint="eastAsia" w:ascii="仿宋" w:hAnsi="仿宋" w:eastAsia="仿宋"/>
          <w:b/>
          <w:color w:val="auto"/>
          <w:sz w:val="32"/>
          <w:szCs w:val="32"/>
          <w:highlight w:val="none"/>
        </w:rPr>
        <w:t>（三）国有资产占有使用情况</w:t>
      </w:r>
      <w:bookmarkEnd w:id="5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我单位</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辆……其他用车主要是用于……单价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rPr>
        <w:t>本部门按要求对</w:t>
      </w:r>
      <w:r>
        <w:rPr>
          <w:rFonts w:ascii="仿宋" w:hAnsi="仿宋" w:eastAsia="仿宋"/>
          <w:bCs/>
          <w:color w:val="000000"/>
          <w:kern w:val="0"/>
          <w:sz w:val="32"/>
          <w:szCs w:val="32"/>
        </w:rPr>
        <w:t>20</w:t>
      </w:r>
      <w:r>
        <w:rPr>
          <w:rFonts w:hint="eastAsia" w:ascii="仿宋" w:hAnsi="仿宋" w:eastAsia="仿宋"/>
          <w:bCs/>
          <w:color w:val="000000"/>
          <w:kern w:val="0"/>
          <w:sz w:val="32"/>
          <w:szCs w:val="32"/>
          <w:lang w:val="en-US" w:eastAsia="zh-CN"/>
        </w:rPr>
        <w:t>21</w:t>
      </w:r>
      <w:r>
        <w:rPr>
          <w:rFonts w:hint="eastAsia" w:ascii="仿宋" w:hAnsi="仿宋" w:eastAsia="仿宋"/>
          <w:bCs/>
          <w:color w:val="000000"/>
          <w:kern w:val="0"/>
          <w:sz w:val="32"/>
          <w:szCs w:val="32"/>
        </w:rPr>
        <w:t>年部门整体支出开展绩效自评，从评价情况来看</w:t>
      </w:r>
      <w:r>
        <w:rPr>
          <w:rFonts w:ascii="仿宋" w:hAnsi="仿宋" w:eastAsia="仿宋"/>
          <w:bCs/>
          <w:color w:val="000000"/>
          <w:kern w:val="0"/>
          <w:sz w:val="32"/>
          <w:szCs w:val="32"/>
        </w:rPr>
        <w:t>1</w:t>
      </w:r>
      <w:r>
        <w:rPr>
          <w:rFonts w:hint="eastAsia" w:ascii="仿宋" w:hAnsi="仿宋" w:eastAsia="仿宋"/>
          <w:bCs/>
          <w:color w:val="000000"/>
          <w:kern w:val="0"/>
          <w:sz w:val="32"/>
          <w:szCs w:val="32"/>
        </w:rPr>
        <w:t>、我单位从部门决策、综合管理及部门绩效情况等方面进行了自评；</w:t>
      </w:r>
      <w:r>
        <w:rPr>
          <w:rFonts w:ascii="仿宋" w:hAnsi="仿宋" w:eastAsia="仿宋"/>
          <w:bCs/>
          <w:color w:val="000000"/>
          <w:kern w:val="0"/>
          <w:sz w:val="32"/>
          <w:szCs w:val="32"/>
        </w:rPr>
        <w:t>2</w:t>
      </w:r>
      <w:r>
        <w:rPr>
          <w:rFonts w:hint="eastAsia" w:ascii="仿宋" w:hAnsi="仿宋" w:eastAsia="仿宋"/>
          <w:bCs/>
          <w:color w:val="000000"/>
          <w:kern w:val="0"/>
          <w:sz w:val="32"/>
          <w:szCs w:val="32"/>
        </w:rPr>
        <w:t>、能切实履行工作职责，按时按量保质完成上级交办各项工作任务；</w:t>
      </w:r>
      <w:r>
        <w:rPr>
          <w:rFonts w:ascii="仿宋" w:hAnsi="仿宋" w:eastAsia="仿宋"/>
          <w:bCs/>
          <w:color w:val="000000"/>
          <w:kern w:val="0"/>
          <w:sz w:val="32"/>
          <w:szCs w:val="32"/>
        </w:rPr>
        <w:t>3</w:t>
      </w:r>
      <w:r>
        <w:rPr>
          <w:rFonts w:hint="eastAsia" w:ascii="仿宋" w:hAnsi="仿宋" w:eastAsia="仿宋"/>
          <w:bCs/>
          <w:color w:val="000000"/>
          <w:kern w:val="0"/>
          <w:sz w:val="32"/>
          <w:szCs w:val="32"/>
        </w:rPr>
        <w:t>、紧密联系服务群众，妥善处理群众来信来访、化解社会矛盾；</w:t>
      </w:r>
      <w:r>
        <w:rPr>
          <w:rFonts w:ascii="仿宋" w:hAnsi="仿宋" w:eastAsia="仿宋"/>
          <w:bCs/>
          <w:color w:val="000000"/>
          <w:kern w:val="0"/>
          <w:sz w:val="32"/>
          <w:szCs w:val="32"/>
        </w:rPr>
        <w:t>4</w:t>
      </w:r>
      <w:r>
        <w:rPr>
          <w:rFonts w:hint="eastAsia" w:ascii="仿宋" w:hAnsi="仿宋" w:eastAsia="仿宋"/>
          <w:bCs/>
          <w:color w:val="000000"/>
          <w:kern w:val="0"/>
          <w:sz w:val="32"/>
          <w:szCs w:val="32"/>
        </w:rPr>
        <w:t>、加强党风政风建设，提高个人道德修养，杜绝有损群众利益的事件发生，达到协作部门、服务对象和社会公众满意。</w:t>
      </w:r>
    </w:p>
    <w:p>
      <w:pPr>
        <w:widowControl/>
        <w:ind w:firstLine="640" w:firstLineChars="200"/>
        <w:jc w:val="left"/>
        <w:rPr>
          <w:rFonts w:ascii="仿宋" w:hAnsi="仿宋" w:eastAsia="仿宋"/>
          <w:bCs/>
          <w:color w:val="000000"/>
          <w:kern w:val="0"/>
          <w:sz w:val="32"/>
          <w:szCs w:val="32"/>
        </w:rPr>
      </w:pPr>
      <w:r>
        <w:rPr>
          <w:rFonts w:ascii="仿宋" w:hAnsi="仿宋" w:eastAsia="仿宋"/>
          <w:bCs/>
          <w:color w:val="000000"/>
          <w:kern w:val="0"/>
          <w:sz w:val="32"/>
          <w:szCs w:val="32"/>
        </w:rPr>
        <w:t xml:space="preserve"> </w:t>
      </w:r>
      <w:r>
        <w:rPr>
          <w:rFonts w:hint="eastAsia" w:ascii="仿宋" w:hAnsi="仿宋" w:eastAsia="仿宋"/>
          <w:bCs/>
          <w:color w:val="000000"/>
          <w:kern w:val="0"/>
          <w:sz w:val="32"/>
          <w:szCs w:val="32"/>
        </w:rPr>
        <w:t>本部门在</w:t>
      </w:r>
      <w:r>
        <w:rPr>
          <w:rFonts w:hint="eastAsia" w:ascii="仿宋" w:hAnsi="仿宋" w:eastAsia="仿宋"/>
          <w:bCs/>
          <w:color w:val="000000"/>
          <w:kern w:val="0"/>
          <w:sz w:val="32"/>
          <w:szCs w:val="32"/>
          <w:lang w:val="en-US" w:eastAsia="zh-CN"/>
        </w:rPr>
        <w:t>2021</w:t>
      </w:r>
      <w:r>
        <w:rPr>
          <w:rFonts w:hint="eastAsia" w:ascii="仿宋" w:hAnsi="仿宋" w:eastAsia="仿宋"/>
          <w:bCs/>
          <w:color w:val="000000"/>
          <w:kern w:val="0"/>
          <w:sz w:val="32"/>
          <w:szCs w:val="32"/>
        </w:rPr>
        <w:t>年度部门决算中反映“大竹县代建项目运行经费”项目绩效目标实际完成情况。</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rPr>
        <w:t>“大竹县代建项目运行经费”绩效目标完成情况综述。项目全年预算数</w:t>
      </w:r>
      <w:r>
        <w:rPr>
          <w:rFonts w:hint="eastAsia" w:ascii="仿宋" w:hAnsi="仿宋" w:eastAsia="仿宋"/>
          <w:bCs/>
          <w:color w:val="000000"/>
          <w:kern w:val="0"/>
          <w:sz w:val="32"/>
          <w:szCs w:val="32"/>
          <w:lang w:val="en-US" w:eastAsia="zh-CN"/>
        </w:rPr>
        <w:t>60</w:t>
      </w:r>
      <w:r>
        <w:rPr>
          <w:rFonts w:hint="eastAsia" w:ascii="仿宋" w:hAnsi="仿宋" w:eastAsia="仿宋"/>
          <w:bCs/>
          <w:color w:val="000000"/>
          <w:kern w:val="0"/>
          <w:sz w:val="32"/>
          <w:szCs w:val="32"/>
        </w:rPr>
        <w:t>万元，执行数</w:t>
      </w:r>
      <w:r>
        <w:rPr>
          <w:rFonts w:hint="eastAsia" w:ascii="仿宋" w:hAnsi="仿宋" w:eastAsia="仿宋"/>
          <w:bCs/>
          <w:color w:val="000000"/>
          <w:kern w:val="0"/>
          <w:sz w:val="32"/>
          <w:szCs w:val="32"/>
          <w:lang w:val="en-US" w:eastAsia="zh-CN"/>
        </w:rPr>
        <w:t>60</w:t>
      </w:r>
      <w:r>
        <w:rPr>
          <w:rFonts w:hint="eastAsia" w:ascii="仿宋" w:hAnsi="仿宋" w:eastAsia="仿宋"/>
          <w:bCs/>
          <w:color w:val="000000"/>
          <w:kern w:val="0"/>
          <w:sz w:val="32"/>
          <w:szCs w:val="32"/>
        </w:rPr>
        <w:t>万元，完成预算的</w:t>
      </w:r>
      <w:r>
        <w:rPr>
          <w:rFonts w:ascii="仿宋" w:hAnsi="仿宋" w:eastAsia="仿宋"/>
          <w:bCs/>
          <w:color w:val="000000"/>
          <w:kern w:val="0"/>
          <w:sz w:val="32"/>
          <w:szCs w:val="32"/>
        </w:rPr>
        <w:t>100%</w:t>
      </w:r>
      <w:r>
        <w:rPr>
          <w:rFonts w:hint="eastAsia" w:ascii="仿宋" w:hAnsi="仿宋" w:eastAsia="仿宋"/>
          <w:bCs/>
          <w:color w:val="000000"/>
          <w:kern w:val="0"/>
          <w:sz w:val="32"/>
          <w:szCs w:val="32"/>
        </w:rPr>
        <w:t>。通过项目实施，全面完成</w:t>
      </w:r>
      <w:r>
        <w:rPr>
          <w:rFonts w:ascii="仿宋" w:hAnsi="仿宋" w:eastAsia="仿宋"/>
          <w:bCs/>
          <w:color w:val="000000"/>
          <w:kern w:val="0"/>
          <w:sz w:val="32"/>
          <w:szCs w:val="32"/>
        </w:rPr>
        <w:t>20</w:t>
      </w:r>
      <w:r>
        <w:rPr>
          <w:rFonts w:hint="eastAsia" w:ascii="仿宋" w:hAnsi="仿宋" w:eastAsia="仿宋"/>
          <w:bCs/>
          <w:color w:val="000000"/>
          <w:kern w:val="0"/>
          <w:sz w:val="32"/>
          <w:szCs w:val="32"/>
          <w:lang w:val="en-US" w:eastAsia="zh-CN"/>
        </w:rPr>
        <w:t>21</w:t>
      </w:r>
      <w:r>
        <w:rPr>
          <w:rFonts w:hint="eastAsia" w:ascii="仿宋" w:hAnsi="仿宋" w:eastAsia="仿宋"/>
          <w:bCs/>
          <w:color w:val="000000"/>
          <w:kern w:val="0"/>
          <w:sz w:val="32"/>
          <w:szCs w:val="32"/>
        </w:rPr>
        <w:t>年代建项目的计划进度。全面推进中央投资及省级政府投资项目的计划投资，确保完成了当年目标任务。在施工中防治超概算、超工期及确保质量安全的前提下，做好代建项目的管理工作。</w:t>
      </w:r>
    </w:p>
    <w:p>
      <w:pPr>
        <w:widowControl/>
        <w:ind w:firstLine="640" w:firstLineChars="200"/>
        <w:jc w:val="left"/>
        <w:rPr>
          <w:rFonts w:ascii="仿宋" w:hAnsi="仿宋" w:eastAsia="仿宋"/>
          <w:bCs/>
          <w:color w:val="000000"/>
          <w:kern w:val="0"/>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widowControl/>
        <w:ind w:firstLine="640" w:firstLineChars="200"/>
        <w:jc w:val="left"/>
        <w:rPr>
          <w:rFonts w:ascii="仿宋" w:hAnsi="仿宋" w:eastAsia="仿宋"/>
          <w:bCs/>
          <w:color w:val="000000"/>
          <w:kern w:val="0"/>
          <w:sz w:val="32"/>
          <w:szCs w:val="32"/>
        </w:rPr>
      </w:pPr>
      <w:r>
        <w:rPr>
          <w:rFonts w:hint="eastAsia" w:ascii="仿宋" w:hAnsi="仿宋" w:eastAsia="仿宋"/>
          <w:bCs/>
          <w:color w:val="000000"/>
          <w:kern w:val="0"/>
          <w:sz w:val="32"/>
          <w:szCs w:val="32"/>
        </w:rPr>
        <w:t>本单位按要求对</w:t>
      </w:r>
      <w:r>
        <w:rPr>
          <w:rFonts w:ascii="仿宋" w:hAnsi="仿宋" w:eastAsia="仿宋"/>
          <w:bCs/>
          <w:color w:val="000000"/>
          <w:kern w:val="0"/>
          <w:sz w:val="32"/>
          <w:szCs w:val="32"/>
        </w:rPr>
        <w:t>20</w:t>
      </w:r>
      <w:r>
        <w:rPr>
          <w:rFonts w:hint="eastAsia" w:ascii="仿宋" w:hAnsi="仿宋" w:eastAsia="仿宋"/>
          <w:bCs/>
          <w:color w:val="000000"/>
          <w:kern w:val="0"/>
          <w:sz w:val="32"/>
          <w:szCs w:val="32"/>
          <w:lang w:val="en-US" w:eastAsia="zh-CN"/>
        </w:rPr>
        <w:t>21</w:t>
      </w:r>
      <w:r>
        <w:rPr>
          <w:rFonts w:hint="eastAsia" w:ascii="仿宋" w:hAnsi="仿宋" w:eastAsia="仿宋"/>
          <w:bCs/>
          <w:color w:val="000000"/>
          <w:kern w:val="0"/>
          <w:sz w:val="32"/>
          <w:szCs w:val="32"/>
        </w:rPr>
        <w:t>年部门整体支出绩效评价情况开展自评，《大竹县政府投资非经营性项目代建管理中心</w:t>
      </w:r>
      <w:r>
        <w:rPr>
          <w:rFonts w:ascii="仿宋" w:hAnsi="仿宋" w:eastAsia="仿宋"/>
          <w:bCs/>
          <w:color w:val="000000"/>
          <w:kern w:val="0"/>
          <w:sz w:val="32"/>
          <w:szCs w:val="32"/>
        </w:rPr>
        <w:t>20</w:t>
      </w:r>
      <w:r>
        <w:rPr>
          <w:rFonts w:hint="eastAsia" w:ascii="仿宋" w:hAnsi="仿宋" w:eastAsia="仿宋"/>
          <w:bCs/>
          <w:color w:val="000000"/>
          <w:kern w:val="0"/>
          <w:sz w:val="32"/>
          <w:szCs w:val="32"/>
          <w:lang w:val="en-US" w:eastAsia="zh-CN"/>
        </w:rPr>
        <w:t>21</w:t>
      </w:r>
      <w:r>
        <w:rPr>
          <w:rFonts w:hint="eastAsia" w:ascii="仿宋" w:hAnsi="仿宋" w:eastAsia="仿宋"/>
          <w:bCs/>
          <w:color w:val="000000"/>
          <w:kern w:val="0"/>
          <w:sz w:val="32"/>
          <w:szCs w:val="32"/>
        </w:rPr>
        <w:t>年部门整体支出绩效评价报告》见附件。</w:t>
      </w:r>
    </w:p>
    <w:p>
      <w:pPr>
        <w:spacing w:line="580" w:lineRule="exact"/>
        <w:ind w:firstLine="640" w:firstLineChars="200"/>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51" w:name="_Toc15396613"/>
      <w:bookmarkStart w:id="52"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1"/>
      <w:bookmarkEnd w:id="52"/>
    </w:p>
    <w:p>
      <w:pPr>
        <w:pStyle w:val="23"/>
        <w:spacing w:line="560" w:lineRule="exact"/>
        <w:ind w:firstLine="640" w:firstLineChars="200"/>
        <w:rPr>
          <w:rFonts w:ascii="仿宋_GB2312" w:eastAsia="仿宋_GB2312"/>
          <w:sz w:val="32"/>
          <w:szCs w:val="32"/>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、社会保障和就业（</w:t>
      </w:r>
      <w:r>
        <w:rPr>
          <w:rFonts w:ascii="仿宋_GB2312" w:eastAsia="仿宋_GB2312"/>
          <w:sz w:val="32"/>
          <w:szCs w:val="32"/>
        </w:rPr>
        <w:t>208</w:t>
      </w:r>
      <w:r>
        <w:rPr>
          <w:rFonts w:hint="eastAsia" w:ascii="仿宋_GB2312" w:eastAsia="仿宋_GB2312"/>
          <w:sz w:val="32"/>
          <w:szCs w:val="32"/>
        </w:rPr>
        <w:t>）行政事业单位离退休（</w:t>
      </w:r>
      <w:r>
        <w:rPr>
          <w:rFonts w:ascii="仿宋_GB2312" w:eastAsia="仿宋_GB2312"/>
          <w:sz w:val="32"/>
          <w:szCs w:val="32"/>
        </w:rPr>
        <w:t>05</w:t>
      </w:r>
      <w:r>
        <w:rPr>
          <w:rFonts w:hint="eastAsia" w:ascii="仿宋_GB2312" w:eastAsia="仿宋_GB2312"/>
          <w:sz w:val="32"/>
          <w:szCs w:val="32"/>
        </w:rPr>
        <w:t>）机关事业单位基本养老保险缴费支出（</w:t>
      </w:r>
      <w:r>
        <w:rPr>
          <w:rFonts w:ascii="仿宋_GB2312" w:eastAsia="仿宋_GB2312"/>
          <w:sz w:val="32"/>
          <w:szCs w:val="32"/>
        </w:rPr>
        <w:t>05</w:t>
      </w:r>
      <w:r>
        <w:rPr>
          <w:rFonts w:hint="eastAsia" w:ascii="仿宋_GB2312" w:eastAsia="仿宋_GB2312"/>
          <w:sz w:val="32"/>
          <w:szCs w:val="32"/>
        </w:rPr>
        <w:t>）：指单位养老保险缴费支出。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、卫生健康（</w:t>
      </w:r>
      <w:r>
        <w:rPr>
          <w:rFonts w:ascii="仿宋_GB2312" w:eastAsia="仿宋_GB2312"/>
          <w:sz w:val="32"/>
          <w:szCs w:val="32"/>
        </w:rPr>
        <w:t>210</w:t>
      </w:r>
      <w:r>
        <w:rPr>
          <w:rFonts w:hint="eastAsia" w:ascii="仿宋_GB2312" w:eastAsia="仿宋_GB2312"/>
          <w:sz w:val="32"/>
          <w:szCs w:val="32"/>
        </w:rPr>
        <w:t>）行政事业单位医疗（</w:t>
      </w:r>
      <w:r>
        <w:rPr>
          <w:rFonts w:ascii="仿宋_GB2312" w:eastAsia="仿宋_GB2312"/>
          <w:sz w:val="32"/>
          <w:szCs w:val="32"/>
        </w:rPr>
        <w:t>11</w:t>
      </w:r>
      <w:r>
        <w:rPr>
          <w:rFonts w:hint="eastAsia" w:ascii="仿宋_GB2312" w:eastAsia="仿宋_GB2312"/>
          <w:sz w:val="32"/>
          <w:szCs w:val="32"/>
        </w:rPr>
        <w:t>）事业单位医疗（</w:t>
      </w:r>
      <w:r>
        <w:rPr>
          <w:rFonts w:ascii="仿宋_GB2312" w:eastAsia="仿宋_GB2312"/>
          <w:sz w:val="32"/>
          <w:szCs w:val="32"/>
        </w:rPr>
        <w:t>0</w:t>
      </w:r>
      <w:r>
        <w:rPr>
          <w:rFonts w:hint="eastAsia" w:ascii="仿宋_GB2312" w:eastAsia="仿宋_GB2312"/>
          <w:sz w:val="32"/>
          <w:szCs w:val="32"/>
          <w:lang w:val="en-US" w:eastAsia="zh-CN"/>
        </w:rPr>
        <w:t>2</w:t>
      </w:r>
      <w:r>
        <w:rPr>
          <w:rFonts w:hint="eastAsia" w:ascii="仿宋_GB2312" w:eastAsia="仿宋_GB2312"/>
          <w:sz w:val="32"/>
          <w:szCs w:val="32"/>
        </w:rPr>
        <w:t>）：用于医疗保险缴费。</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、城乡社区支出（</w:t>
      </w:r>
      <w:r>
        <w:rPr>
          <w:rFonts w:ascii="仿宋_GB2312" w:eastAsia="仿宋_GB2312"/>
          <w:sz w:val="32"/>
          <w:szCs w:val="32"/>
        </w:rPr>
        <w:t>212</w:t>
      </w:r>
      <w:r>
        <w:rPr>
          <w:rFonts w:hint="eastAsia" w:ascii="仿宋_GB2312" w:eastAsia="仿宋_GB2312"/>
          <w:sz w:val="32"/>
          <w:szCs w:val="32"/>
        </w:rPr>
        <w:t>）城乡社区管理事务（</w:t>
      </w:r>
      <w:r>
        <w:rPr>
          <w:rFonts w:ascii="仿宋_GB2312" w:eastAsia="仿宋_GB2312"/>
          <w:sz w:val="32"/>
          <w:szCs w:val="32"/>
        </w:rPr>
        <w:t>0</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工程建设管理</w:t>
      </w:r>
      <w:r>
        <w:rPr>
          <w:rFonts w:hint="eastAsia" w:ascii="仿宋_GB2312" w:eastAsia="仿宋_GB2312"/>
          <w:sz w:val="32"/>
          <w:szCs w:val="32"/>
        </w:rPr>
        <w:t>（</w:t>
      </w:r>
      <w:r>
        <w:rPr>
          <w:rFonts w:hint="eastAsia" w:ascii="仿宋_GB2312" w:eastAsia="仿宋_GB2312"/>
          <w:sz w:val="32"/>
          <w:szCs w:val="32"/>
          <w:lang w:val="en-US" w:eastAsia="zh-CN"/>
        </w:rPr>
        <w:t>06</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指反映调控建设市场运行、拟定建设市场法规、实施建筑工程质量、安全、工程勘察设计监管等方面的支出。</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、住房保障（</w:t>
      </w:r>
      <w:r>
        <w:rPr>
          <w:rFonts w:ascii="仿宋_GB2312" w:eastAsia="仿宋_GB2312"/>
          <w:sz w:val="32"/>
          <w:szCs w:val="32"/>
        </w:rPr>
        <w:t>221</w:t>
      </w:r>
      <w:r>
        <w:rPr>
          <w:rFonts w:hint="eastAsia" w:ascii="仿宋_GB2312" w:eastAsia="仿宋_GB2312"/>
          <w:sz w:val="32"/>
          <w:szCs w:val="32"/>
        </w:rPr>
        <w:t>）住房改革支出（</w:t>
      </w:r>
      <w:r>
        <w:rPr>
          <w:rFonts w:ascii="仿宋_GB2312" w:eastAsia="仿宋_GB2312"/>
          <w:sz w:val="32"/>
          <w:szCs w:val="32"/>
        </w:rPr>
        <w:t>02</w:t>
      </w:r>
      <w:r>
        <w:rPr>
          <w:rFonts w:hint="eastAsia" w:ascii="仿宋_GB2312" w:eastAsia="仿宋_GB2312"/>
          <w:sz w:val="32"/>
          <w:szCs w:val="32"/>
        </w:rPr>
        <w:t>）住房公积金（</w:t>
      </w:r>
      <w:r>
        <w:rPr>
          <w:rFonts w:ascii="仿宋_GB2312" w:eastAsia="仿宋_GB2312"/>
          <w:sz w:val="32"/>
          <w:szCs w:val="32"/>
        </w:rPr>
        <w:t>01</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支单位住房公积金缴费支出。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s="黑体"/>
          <w:sz w:val="32"/>
          <w:szCs w:val="32"/>
        </w:rPr>
      </w:pPr>
    </w:p>
    <w:p>
      <w:pPr>
        <w:spacing w:line="600" w:lineRule="exact"/>
        <w:jc w:val="center"/>
        <w:outlineLvl w:val="0"/>
        <w:rPr>
          <w:rFonts w:hint="eastAsia" w:ascii="黑体" w:hAnsi="黑体" w:eastAsia="黑体"/>
          <w:color w:val="auto"/>
          <w:sz w:val="44"/>
          <w:szCs w:val="44"/>
          <w:highlight w:val="none"/>
        </w:rPr>
      </w:pPr>
      <w:bookmarkStart w:id="53" w:name="_Toc15396614"/>
      <w:bookmarkStart w:id="54"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5"/>
          <w:rFonts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3"/>
    </w:p>
    <w:p>
      <w:pPr>
        <w:widowControl/>
        <w:spacing w:line="580" w:lineRule="exact"/>
        <w:contextualSpacing/>
        <w:jc w:val="center"/>
        <w:rPr>
          <w:rFonts w:hint="eastAsia" w:ascii="宋体" w:hAnsi="宋体" w:eastAsia="宋体"/>
          <w:b/>
          <w:sz w:val="44"/>
          <w:szCs w:val="44"/>
          <w:shd w:val="clear" w:color="auto" w:fill="FFFFFF"/>
        </w:rPr>
      </w:pPr>
      <w:bookmarkStart w:id="55" w:name="_Toc15396618"/>
      <w:r>
        <w:rPr>
          <w:rFonts w:hint="eastAsia" w:ascii="宋体" w:hAnsi="宋体" w:eastAsia="宋体"/>
          <w:b/>
          <w:sz w:val="44"/>
          <w:szCs w:val="44"/>
          <w:shd w:val="clear" w:color="auto" w:fill="FFFFFF"/>
          <w:lang w:val="en-US" w:eastAsia="zh-CN"/>
        </w:rPr>
        <w:t>大竹县政府投资非经营性项目代建管理中心</w:t>
      </w:r>
      <w:r>
        <w:rPr>
          <w:rFonts w:hint="eastAsia" w:ascii="宋体" w:hAnsi="宋体" w:eastAsia="宋体"/>
          <w:b/>
          <w:sz w:val="44"/>
          <w:szCs w:val="44"/>
          <w:shd w:val="clear" w:color="auto" w:fill="FFFFFF"/>
        </w:rPr>
        <w:t>20</w:t>
      </w:r>
      <w:r>
        <w:rPr>
          <w:rFonts w:hint="eastAsia" w:ascii="宋体" w:hAnsi="宋体" w:eastAsia="宋体"/>
          <w:b/>
          <w:sz w:val="44"/>
          <w:szCs w:val="44"/>
          <w:shd w:val="clear" w:color="auto" w:fill="FFFFFF"/>
          <w:lang w:val="en-US" w:eastAsia="zh-CN"/>
        </w:rPr>
        <w:t>22</w:t>
      </w:r>
      <w:r>
        <w:rPr>
          <w:rFonts w:hint="eastAsia" w:ascii="宋体" w:hAnsi="宋体" w:eastAsia="宋体"/>
          <w:b/>
          <w:sz w:val="44"/>
          <w:szCs w:val="44"/>
          <w:shd w:val="clear" w:color="auto" w:fill="FFFFFF"/>
        </w:rPr>
        <w:t>年部门整体支出绩效评价</w:t>
      </w:r>
    </w:p>
    <w:p>
      <w:pPr>
        <w:widowControl/>
        <w:spacing w:line="580" w:lineRule="exact"/>
        <w:contextualSpacing/>
        <w:jc w:val="center"/>
        <w:rPr>
          <w:rFonts w:ascii="黑体" w:hAnsi="宋体" w:eastAsia="黑体" w:cs="宋体"/>
          <w:color w:val="000000"/>
          <w:kern w:val="0"/>
          <w:sz w:val="44"/>
          <w:szCs w:val="44"/>
          <w:shd w:val="clear" w:color="auto" w:fill="FFFFFF"/>
        </w:rPr>
      </w:pPr>
      <w:r>
        <w:rPr>
          <w:rFonts w:hint="eastAsia" w:ascii="宋体" w:hAnsi="宋体" w:eastAsia="宋体"/>
          <w:b/>
          <w:sz w:val="44"/>
          <w:szCs w:val="44"/>
          <w:shd w:val="clear" w:color="auto" w:fill="FFFFFF"/>
          <w:lang w:val="en-US" w:eastAsia="zh-CN"/>
        </w:rPr>
        <w:t>自评</w:t>
      </w:r>
      <w:r>
        <w:rPr>
          <w:rFonts w:hint="eastAsia" w:ascii="宋体" w:hAnsi="宋体" w:eastAsia="宋体"/>
          <w:b/>
          <w:sz w:val="44"/>
          <w:szCs w:val="44"/>
          <w:shd w:val="clear" w:color="auto" w:fill="FFFFFF"/>
        </w:rPr>
        <w:t>报告</w:t>
      </w:r>
    </w:p>
    <w:p>
      <w:pPr>
        <w:widowControl/>
        <w:adjustRightInd w:val="0"/>
        <w:snapToGrid w:val="0"/>
        <w:spacing w:line="580" w:lineRule="exact"/>
        <w:ind w:firstLine="880" w:firstLineChars="200"/>
        <w:contextualSpacing/>
        <w:jc w:val="left"/>
        <w:rPr>
          <w:rFonts w:hint="eastAsia" w:ascii="黑体" w:hAnsi="宋体" w:eastAsia="黑体" w:cs="宋体"/>
          <w:color w:val="000000"/>
          <w:kern w:val="0"/>
          <w:sz w:val="44"/>
          <w:szCs w:val="44"/>
          <w:shd w:val="clear" w:color="auto" w:fill="FFFFFF"/>
        </w:rPr>
      </w:pPr>
    </w:p>
    <w:p>
      <w:pPr>
        <w:widowControl/>
        <w:adjustRightInd w:val="0"/>
        <w:snapToGrid w:val="0"/>
        <w:spacing w:line="580" w:lineRule="exact"/>
        <w:ind w:firstLine="643"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b/>
          <w:bCs/>
          <w:color w:val="000000"/>
          <w:kern w:val="0"/>
          <w:sz w:val="32"/>
          <w:szCs w:val="32"/>
          <w:lang w:val="en-US" w:eastAsia="zh-CN" w:bidi="ar-SA"/>
        </w:rPr>
        <w:t>一、</w:t>
      </w:r>
      <w:r>
        <w:rPr>
          <w:rFonts w:hint="eastAsia" w:ascii="仿宋_GB2312" w:hAnsi="Calibri" w:eastAsia="仿宋_GB2312" w:cs="仿宋"/>
          <w:b/>
          <w:bCs/>
          <w:color w:val="000000"/>
          <w:kern w:val="0"/>
          <w:sz w:val="32"/>
          <w:szCs w:val="32"/>
          <w:lang w:val="zh-CN" w:eastAsia="zh-CN" w:bidi="ar-SA"/>
        </w:rPr>
        <w:t>部门（单位）概况</w:t>
      </w:r>
    </w:p>
    <w:p>
      <w:pPr>
        <w:widowControl/>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（一）机构组成。</w:t>
      </w:r>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rightChars="0" w:firstLine="640" w:firstLineChars="200"/>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大竹县政府投资非经营性项目代建管理中心是财政全额拨款独立核算的正科级事业单位，</w:t>
      </w:r>
      <w:r>
        <w:rPr>
          <w:rFonts w:hint="eastAsia" w:ascii="仿宋_GB2312" w:hAnsi="Calibri" w:eastAsia="仿宋_GB2312" w:cs="仿宋"/>
          <w:color w:val="000000"/>
          <w:kern w:val="0"/>
          <w:sz w:val="32"/>
          <w:szCs w:val="32"/>
          <w:lang w:val="en-US" w:eastAsia="zh-CN" w:bidi="ar-SA"/>
        </w:rPr>
        <w:t>无下属单位。我中心2021年成立了预算绩效管理工作考核领导小组及工作小组，明确预算绩效管理职能到股室并有专人负责。</w:t>
      </w:r>
    </w:p>
    <w:p>
      <w:pPr>
        <w:widowControl/>
        <w:numPr>
          <w:ilvl w:val="0"/>
          <w:numId w:val="5"/>
        </w:numPr>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机构职能。</w:t>
      </w:r>
    </w:p>
    <w:p>
      <w:pPr>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大竹县政府投资非经营性项目代建管理中心基本职责是制定项目代建管理办法、实施细则、运行程序。负责项目立项后的项目建设管理。负责控制投资、质量和工期，防止超规模、超标准、超概算。组织项目竣工验收，移交使用单位。  </w:t>
      </w:r>
    </w:p>
    <w:p>
      <w:pPr>
        <w:widowControl/>
        <w:numPr>
          <w:ilvl w:val="0"/>
          <w:numId w:val="5"/>
        </w:numPr>
        <w:adjustRightInd w:val="0"/>
        <w:snapToGrid w:val="0"/>
        <w:spacing w:line="580" w:lineRule="exact"/>
        <w:ind w:left="0" w:leftChars="0"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人员概况。</w:t>
      </w:r>
    </w:p>
    <w:p>
      <w:pPr>
        <w:widowControl/>
        <w:spacing w:line="315" w:lineRule="atLeast"/>
        <w:ind w:firstLine="48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单位编制数18人。2021年末职工人数 18 人，其中：在职18人，比去年增加1人，原因是公招1人。</w:t>
      </w:r>
    </w:p>
    <w:p>
      <w:pPr>
        <w:widowControl/>
        <w:adjustRightInd w:val="0"/>
        <w:snapToGrid w:val="0"/>
        <w:spacing w:line="580" w:lineRule="exact"/>
        <w:ind w:firstLine="643" w:firstLineChars="200"/>
        <w:contextualSpacing/>
        <w:jc w:val="left"/>
        <w:rPr>
          <w:rFonts w:hint="eastAsia" w:ascii="仿宋_GB2312" w:hAnsi="Calibri" w:eastAsia="仿宋_GB2312" w:cs="仿宋"/>
          <w:b/>
          <w:bCs/>
          <w:color w:val="000000"/>
          <w:kern w:val="0"/>
          <w:sz w:val="32"/>
          <w:szCs w:val="32"/>
          <w:lang w:val="en-US" w:eastAsia="zh-CN" w:bidi="ar-SA"/>
        </w:rPr>
      </w:pPr>
      <w:r>
        <w:rPr>
          <w:rFonts w:hint="eastAsia" w:ascii="仿宋_GB2312" w:hAnsi="Calibri" w:eastAsia="仿宋_GB2312" w:cs="仿宋"/>
          <w:b/>
          <w:bCs/>
          <w:color w:val="000000"/>
          <w:kern w:val="0"/>
          <w:sz w:val="32"/>
          <w:szCs w:val="32"/>
          <w:lang w:val="en-US" w:eastAsia="zh-CN" w:bidi="ar-SA"/>
        </w:rPr>
        <w:t>二、部门财政资金收支情况</w:t>
      </w:r>
    </w:p>
    <w:p>
      <w:pPr>
        <w:widowControl/>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（一）部门财政资金收入情况。</w:t>
      </w:r>
    </w:p>
    <w:p>
      <w:pPr>
        <w:widowControl/>
        <w:spacing w:line="315" w:lineRule="atLeast"/>
        <w:ind w:firstLine="48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2021年收入年初预算安排为292.4667万元、决算收入为294.737万元。一般公共财政预算拨款收入为264.737万元，政府性基金预算财政拨款收入30万元。</w:t>
      </w:r>
    </w:p>
    <w:p>
      <w:pPr>
        <w:widowControl/>
        <w:numPr>
          <w:ilvl w:val="0"/>
          <w:numId w:val="6"/>
        </w:numPr>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部门财政资金支出情况。</w:t>
      </w:r>
    </w:p>
    <w:p>
      <w:pPr>
        <w:widowControl/>
        <w:spacing w:line="315" w:lineRule="atLeast"/>
        <w:ind w:firstLine="48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2021年决算支出为294.737万元。。一般公共财政预算拨款收入为264.737万元，政府性基金预算财政拨款收入30万元。2021年人员经费支出177.5435万元，公用经费支出27.1935万元，项目支出60万元。</w:t>
      </w:r>
    </w:p>
    <w:p>
      <w:pPr>
        <w:widowControl/>
        <w:adjustRightInd w:val="0"/>
        <w:snapToGrid w:val="0"/>
        <w:spacing w:line="580" w:lineRule="exact"/>
        <w:ind w:firstLine="643" w:firstLineChars="200"/>
        <w:contextualSpacing/>
        <w:jc w:val="left"/>
        <w:rPr>
          <w:rFonts w:hint="eastAsia" w:ascii="仿宋_GB2312" w:hAnsi="Calibri" w:eastAsia="仿宋_GB2312" w:cs="仿宋"/>
          <w:b/>
          <w:bCs/>
          <w:color w:val="000000"/>
          <w:kern w:val="0"/>
          <w:sz w:val="32"/>
          <w:szCs w:val="32"/>
          <w:lang w:val="en-US" w:eastAsia="zh-CN" w:bidi="ar-SA"/>
        </w:rPr>
      </w:pPr>
      <w:r>
        <w:rPr>
          <w:rFonts w:hint="eastAsia" w:ascii="仿宋_GB2312" w:hAnsi="Calibri" w:eastAsia="仿宋_GB2312" w:cs="仿宋"/>
          <w:b/>
          <w:bCs/>
          <w:color w:val="000000"/>
          <w:kern w:val="0"/>
          <w:sz w:val="32"/>
          <w:szCs w:val="32"/>
          <w:lang w:val="en-US" w:eastAsia="zh-CN" w:bidi="ar-SA"/>
        </w:rPr>
        <w:t>三、部门整体预算绩效管理情况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我中心2021年度整体支出预算绩效管理自评得分94分，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（一）部门预算项目绩效管理</w:t>
      </w:r>
      <w:r>
        <w:rPr>
          <w:rFonts w:hint="eastAsia" w:ascii="仿宋_GB2312" w:hAnsi="Calibri" w:eastAsia="仿宋_GB2312" w:cs="仿宋"/>
          <w:color w:val="000000"/>
          <w:kern w:val="0"/>
          <w:sz w:val="32"/>
          <w:szCs w:val="32"/>
          <w:lang w:val="en-US" w:eastAsia="zh-CN" w:bidi="ar-SA"/>
        </w:rPr>
        <w:t>得分40分</w:t>
      </w:r>
      <w:r>
        <w:rPr>
          <w:rFonts w:hint="eastAsia" w:ascii="仿宋_GB2312" w:hAnsi="Calibri" w:eastAsia="仿宋_GB2312" w:cs="仿宋"/>
          <w:color w:val="000000"/>
          <w:kern w:val="0"/>
          <w:sz w:val="32"/>
          <w:szCs w:val="32"/>
          <w:lang w:val="zh-CN" w:eastAsia="zh-CN" w:bidi="ar-SA"/>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640" w:firstLineChars="200"/>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目标管理得分15分，我中心及时成立了预算绩效管理工作考核领导小组和工作小组，绩效目标编制要素完整得；我中心绩效指标进行了细化量化，目标内容完整、标准合理；绩效目标纳入了办公会集体研究决策。动态调整得分10分，数量指标、质量指标、成本指标、经济效益指标。社会效益指标、生态效益指标、社会满意度指标都达到了预期目标，时效指标任务按期完成。日常公用经费类中差旅费、印刷费、培训费、办公费、公务接待费、水电费、劳务费、委托业务费等支出与预算金额偏差都控制在10%之内。绩效监控调整取消额与结余注销额均为零。2021年6月、9月、11月预算执行进度达到量化指标的标准。预算完成率得分15分，2021年12月预算执行进度达到了100%。2021年预算资金无结余。我中心2021年在审计监督、财政检查中未发现违规记录。</w:t>
      </w:r>
    </w:p>
    <w:p>
      <w:pPr>
        <w:widowControl/>
        <w:numPr>
          <w:ilvl w:val="0"/>
          <w:numId w:val="0"/>
        </w:numPr>
        <w:adjustRightInd w:val="0"/>
        <w:snapToGrid w:val="0"/>
        <w:spacing w:line="580" w:lineRule="exact"/>
        <w:ind w:leftChars="200"/>
        <w:contextualSpacing/>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w:t>
      </w:r>
      <w:r>
        <w:rPr>
          <w:rFonts w:hint="eastAsia" w:ascii="仿宋_GB2312" w:hAnsi="Calibri" w:eastAsia="仿宋_GB2312" w:cs="仿宋"/>
          <w:color w:val="000000"/>
          <w:kern w:val="0"/>
          <w:sz w:val="32"/>
          <w:szCs w:val="32"/>
          <w:lang w:val="en-US" w:eastAsia="zh-CN" w:bidi="ar-SA"/>
        </w:rPr>
        <w:t>二)</w:t>
      </w:r>
      <w:r>
        <w:rPr>
          <w:rFonts w:hint="eastAsia" w:ascii="仿宋_GB2312" w:hAnsi="Calibri" w:eastAsia="仿宋_GB2312" w:cs="仿宋"/>
          <w:color w:val="000000"/>
          <w:kern w:val="0"/>
          <w:sz w:val="32"/>
          <w:szCs w:val="32"/>
          <w:lang w:val="zh-CN" w:eastAsia="zh-CN" w:bidi="ar-SA"/>
        </w:rPr>
        <w:t>专项预算项目绩效管理</w:t>
      </w:r>
      <w:r>
        <w:rPr>
          <w:rFonts w:hint="eastAsia" w:ascii="仿宋_GB2312" w:hAnsi="Calibri" w:eastAsia="仿宋_GB2312" w:cs="仿宋"/>
          <w:color w:val="000000"/>
          <w:kern w:val="0"/>
          <w:sz w:val="32"/>
          <w:szCs w:val="32"/>
          <w:lang w:val="en-US" w:eastAsia="zh-CN" w:bidi="ar-SA"/>
        </w:rPr>
        <w:t>38分</w:t>
      </w:r>
    </w:p>
    <w:p>
      <w:pPr>
        <w:widowControl/>
        <w:numPr>
          <w:ilvl w:val="0"/>
          <w:numId w:val="0"/>
        </w:numPr>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我中心2021年</w:t>
      </w:r>
      <w:r>
        <w:rPr>
          <w:rFonts w:hint="eastAsia" w:ascii="仿宋_GB2312" w:hAnsi="Calibri" w:eastAsia="仿宋_GB2312" w:cs="仿宋"/>
          <w:color w:val="000000"/>
          <w:kern w:val="0"/>
          <w:sz w:val="32"/>
          <w:szCs w:val="32"/>
          <w:lang w:val="zh-CN" w:eastAsia="zh-CN" w:bidi="ar-SA"/>
        </w:rPr>
        <w:t>按照专项预算项目自评工作要求对本</w:t>
      </w:r>
      <w:r>
        <w:rPr>
          <w:rFonts w:hint="eastAsia" w:ascii="仿宋_GB2312" w:hAnsi="Calibri" w:eastAsia="仿宋_GB2312" w:cs="仿宋"/>
          <w:color w:val="000000"/>
          <w:kern w:val="0"/>
          <w:sz w:val="32"/>
          <w:szCs w:val="32"/>
          <w:lang w:val="en-US" w:eastAsia="zh-CN" w:bidi="ar-SA"/>
        </w:rPr>
        <w:t>单位</w:t>
      </w:r>
      <w:r>
        <w:rPr>
          <w:rFonts w:hint="eastAsia" w:ascii="仿宋_GB2312" w:hAnsi="Calibri" w:eastAsia="仿宋_GB2312" w:cs="仿宋"/>
          <w:color w:val="000000"/>
          <w:kern w:val="0"/>
          <w:sz w:val="32"/>
          <w:szCs w:val="32"/>
          <w:lang w:val="zh-CN" w:eastAsia="zh-CN" w:bidi="ar-SA"/>
        </w:rPr>
        <w:t>管理的专项预算项目进行自评并打分，</w:t>
      </w:r>
      <w:r>
        <w:rPr>
          <w:rFonts w:hint="eastAsia" w:ascii="仿宋_GB2312" w:hAnsi="Calibri" w:eastAsia="仿宋_GB2312" w:cs="仿宋"/>
          <w:color w:val="000000"/>
          <w:kern w:val="0"/>
          <w:sz w:val="32"/>
          <w:szCs w:val="32"/>
          <w:lang w:val="en-US" w:eastAsia="zh-CN" w:bidi="ar-SA"/>
        </w:rPr>
        <w:t>并</w:t>
      </w:r>
      <w:r>
        <w:rPr>
          <w:rFonts w:hint="eastAsia" w:ascii="仿宋_GB2312" w:hAnsi="Calibri" w:eastAsia="仿宋_GB2312" w:cs="仿宋"/>
          <w:color w:val="000000"/>
          <w:kern w:val="0"/>
          <w:sz w:val="32"/>
          <w:szCs w:val="32"/>
          <w:lang w:val="zh-CN" w:eastAsia="zh-CN" w:bidi="ar-SA"/>
        </w:rPr>
        <w:t>形成</w:t>
      </w:r>
      <w:r>
        <w:rPr>
          <w:rFonts w:hint="eastAsia" w:ascii="仿宋_GB2312" w:hAnsi="Calibri" w:eastAsia="仿宋_GB2312" w:cs="仿宋"/>
          <w:color w:val="000000"/>
          <w:kern w:val="0"/>
          <w:sz w:val="32"/>
          <w:szCs w:val="32"/>
          <w:lang w:val="en-US" w:eastAsia="zh-CN" w:bidi="ar-SA"/>
        </w:rPr>
        <w:t>了</w:t>
      </w:r>
      <w:r>
        <w:rPr>
          <w:rFonts w:hint="eastAsia" w:ascii="仿宋_GB2312" w:hAnsi="Calibri" w:eastAsia="仿宋_GB2312" w:cs="仿宋"/>
          <w:color w:val="000000"/>
          <w:kern w:val="0"/>
          <w:sz w:val="32"/>
          <w:szCs w:val="32"/>
          <w:lang w:val="zh-CN" w:eastAsia="zh-CN" w:bidi="ar-SA"/>
        </w:rPr>
        <w:t xml:space="preserve">自评报告。                                                                                                                                                                                     </w:t>
      </w:r>
    </w:p>
    <w:p>
      <w:pPr>
        <w:widowControl/>
        <w:numPr>
          <w:ilvl w:val="0"/>
          <w:numId w:val="6"/>
        </w:numPr>
        <w:adjustRightInd w:val="0"/>
        <w:snapToGrid w:val="0"/>
        <w:spacing w:line="580" w:lineRule="exact"/>
        <w:ind w:left="0" w:leftChars="0"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绩效结果应用</w:t>
      </w:r>
      <w:r>
        <w:rPr>
          <w:rFonts w:hint="eastAsia" w:ascii="仿宋_GB2312" w:hAnsi="Calibri" w:eastAsia="仿宋_GB2312" w:cs="仿宋"/>
          <w:color w:val="000000"/>
          <w:kern w:val="0"/>
          <w:sz w:val="32"/>
          <w:szCs w:val="32"/>
          <w:lang w:val="en-US" w:eastAsia="zh-CN" w:bidi="ar-SA"/>
        </w:rPr>
        <w:t>得分10分</w:t>
      </w:r>
      <w:r>
        <w:rPr>
          <w:rFonts w:hint="eastAsia" w:ascii="仿宋_GB2312" w:hAnsi="Calibri" w:eastAsia="仿宋_GB2312" w:cs="仿宋"/>
          <w:color w:val="000000"/>
          <w:kern w:val="0"/>
          <w:sz w:val="32"/>
          <w:szCs w:val="32"/>
          <w:lang w:val="zh-CN" w:eastAsia="zh-CN" w:bidi="ar-SA"/>
        </w:rPr>
        <w:t>。</w:t>
      </w:r>
    </w:p>
    <w:p>
      <w:pPr>
        <w:widowControl/>
        <w:adjustRightInd w:val="0"/>
        <w:snapToGrid w:val="0"/>
        <w:spacing w:line="580" w:lineRule="exact"/>
        <w:ind w:firstLine="640" w:firstLineChars="200"/>
        <w:contextualSpacing/>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我中心内设机构和单位绩效自评纳入考核体系，建立了对内设机构和单位预算与绩效挂钩机制。按要求将相关绩效信息进行了公开。针对绩效管理过程中（包括绩效目标核查、绩效监控核查和重点绩效评价）提出的问题进行了整改。在规定时间内向财政部门反馈应用绩效结果报告。</w:t>
      </w:r>
    </w:p>
    <w:p>
      <w:pPr>
        <w:widowControl/>
        <w:numPr>
          <w:ilvl w:val="0"/>
          <w:numId w:val="0"/>
        </w:numPr>
        <w:adjustRightInd w:val="0"/>
        <w:snapToGrid w:val="0"/>
        <w:spacing w:line="580" w:lineRule="exact"/>
        <w:ind w:firstLine="640" w:firstLineChars="200"/>
        <w:contextualSpacing/>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w:t>
      </w:r>
      <w:r>
        <w:rPr>
          <w:rFonts w:hint="eastAsia" w:ascii="仿宋_GB2312" w:hAnsi="Calibri" w:eastAsia="仿宋_GB2312" w:cs="仿宋"/>
          <w:color w:val="000000"/>
          <w:kern w:val="0"/>
          <w:sz w:val="32"/>
          <w:szCs w:val="32"/>
          <w:lang w:val="en-US" w:eastAsia="zh-CN" w:bidi="ar-SA"/>
        </w:rPr>
        <w:t>四）</w:t>
      </w:r>
      <w:r>
        <w:rPr>
          <w:rFonts w:hint="eastAsia" w:ascii="仿宋_GB2312" w:hAnsi="Calibri" w:eastAsia="仿宋_GB2312" w:cs="仿宋"/>
          <w:color w:val="000000"/>
          <w:kern w:val="0"/>
          <w:sz w:val="32"/>
          <w:szCs w:val="32"/>
          <w:lang w:val="zh-CN" w:eastAsia="zh-CN" w:bidi="ar-SA"/>
        </w:rPr>
        <w:t>自评质量</w:t>
      </w:r>
      <w:r>
        <w:rPr>
          <w:rFonts w:hint="eastAsia" w:ascii="仿宋_GB2312" w:hAnsi="Calibri" w:eastAsia="仿宋_GB2312" w:cs="仿宋"/>
          <w:color w:val="000000"/>
          <w:kern w:val="0"/>
          <w:sz w:val="32"/>
          <w:szCs w:val="32"/>
          <w:lang w:val="en-US" w:eastAsia="zh-CN" w:bidi="ar-SA"/>
        </w:rPr>
        <w:t>得分6分</w:t>
      </w:r>
    </w:p>
    <w:p>
      <w:pPr>
        <w:widowControl/>
        <w:numPr>
          <w:ilvl w:val="0"/>
          <w:numId w:val="0"/>
        </w:numPr>
        <w:adjustRightInd w:val="0"/>
        <w:snapToGrid w:val="0"/>
        <w:spacing w:line="580" w:lineRule="exact"/>
        <w:contextualSpacing/>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 xml:space="preserve">    自评质量得分6分，整体支出准确率差异在8%。</w:t>
      </w:r>
    </w:p>
    <w:p>
      <w:pPr>
        <w:widowControl/>
        <w:adjustRightInd w:val="0"/>
        <w:snapToGrid w:val="0"/>
        <w:spacing w:line="580" w:lineRule="exact"/>
        <w:ind w:firstLine="643" w:firstLineChars="200"/>
        <w:contextualSpacing/>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b/>
          <w:bCs/>
          <w:color w:val="000000"/>
          <w:kern w:val="0"/>
          <w:sz w:val="32"/>
          <w:szCs w:val="32"/>
          <w:lang w:val="en-US" w:eastAsia="zh-CN" w:bidi="ar-SA"/>
        </w:rPr>
        <w:t>四、评价结论及建议</w:t>
      </w:r>
    </w:p>
    <w:p>
      <w:pPr>
        <w:widowControl/>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（一）评价结论。</w:t>
      </w:r>
    </w:p>
    <w:p>
      <w:pPr>
        <w:widowControl/>
        <w:adjustRightInd w:val="0"/>
        <w:snapToGrid w:val="0"/>
        <w:spacing w:line="580" w:lineRule="exact"/>
        <w:ind w:firstLine="640" w:firstLineChars="200"/>
        <w:contextualSpacing/>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我中心2021年整体支出绩效评价工作，按目标管理、动态调整、绩效结果应用、自评质量等方面进行了全面梳理，实际工作中</w:t>
      </w:r>
      <w:r>
        <w:rPr>
          <w:rFonts w:hint="eastAsia" w:ascii="仿宋_GB2312" w:hAnsi="Calibri" w:eastAsia="仿宋_GB2312" w:cs="仿宋"/>
          <w:color w:val="000000"/>
          <w:kern w:val="0"/>
          <w:sz w:val="32"/>
          <w:szCs w:val="32"/>
          <w:lang w:val="zh-CN" w:eastAsia="zh-CN" w:bidi="ar-SA"/>
        </w:rPr>
        <w:t>全面完成</w:t>
      </w:r>
      <w:r>
        <w:rPr>
          <w:rFonts w:hint="eastAsia" w:ascii="仿宋_GB2312" w:hAnsi="Calibri" w:eastAsia="仿宋_GB2312" w:cs="仿宋"/>
          <w:color w:val="000000"/>
          <w:kern w:val="0"/>
          <w:sz w:val="32"/>
          <w:szCs w:val="32"/>
          <w:lang w:val="en-US" w:eastAsia="zh-CN" w:bidi="ar-SA"/>
        </w:rPr>
        <w:t>了</w:t>
      </w:r>
      <w:r>
        <w:rPr>
          <w:rFonts w:hint="eastAsia" w:ascii="仿宋_GB2312" w:hAnsi="Calibri" w:eastAsia="仿宋_GB2312" w:cs="仿宋"/>
          <w:color w:val="000000"/>
          <w:kern w:val="0"/>
          <w:sz w:val="32"/>
          <w:szCs w:val="32"/>
          <w:lang w:val="zh-CN" w:eastAsia="zh-CN" w:bidi="ar-SA"/>
        </w:rPr>
        <w:t>2021年代建项目的计划进度。对中央投资及省级政府投资项目的计划投资全面推进，确保当年完成目标任务。在施工中防治超概算、超工期及确保质量安全的前提下，做好代建项目的管理工作。</w:t>
      </w:r>
      <w:r>
        <w:rPr>
          <w:rFonts w:hint="eastAsia" w:ascii="仿宋_GB2312" w:hAnsi="Calibri" w:eastAsia="仿宋_GB2312" w:cs="仿宋"/>
          <w:color w:val="000000"/>
          <w:kern w:val="0"/>
          <w:sz w:val="32"/>
          <w:szCs w:val="32"/>
          <w:lang w:val="en-US" w:eastAsia="zh-CN" w:bidi="ar-SA"/>
        </w:rPr>
        <w:t>自评合格。</w:t>
      </w:r>
    </w:p>
    <w:p>
      <w:pPr>
        <w:widowControl/>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（二）存在问题。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项目管理和预算绩效管理制度切实可行，我中心也落实执行到位。但也存在一些不足之处，比如我们存在预算工作中要分两部分执行，所以执行当中难免出现不一致现象，必须加强内部控制和绩效管理的有机结合，从预算制定、执行到决算的良性互动和循环，严肃预算管理。</w:t>
      </w:r>
    </w:p>
    <w:p>
      <w:pPr>
        <w:widowControl/>
        <w:adjustRightInd w:val="0"/>
        <w:snapToGrid w:val="0"/>
        <w:spacing w:line="580" w:lineRule="exact"/>
        <w:ind w:firstLine="640" w:firstLineChars="200"/>
        <w:contextualSpacing/>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（三）改进建议。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right="0"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下一步我中心必须严格遵循先有预算、后有支出的原则，加强财务管理和内部控制监督制度。将对自评结果进行整理、归纳、分析，及时优化本单位后续项目和下一年度预算支出的方向和结构，合理配置资源，加强财务管理，同时不断补充绩效目标内容，完善项目管理办法，切实提高项目管理水平，提高财政资金使用效益和中心工作效</w:t>
      </w:r>
    </w:p>
    <w:p>
      <w:pPr>
        <w:widowControl/>
        <w:adjustRightInd w:val="0"/>
        <w:snapToGrid w:val="0"/>
        <w:spacing w:line="580" w:lineRule="exact"/>
        <w:ind w:firstLine="420" w:firstLineChars="200"/>
        <w:contextualSpacing/>
        <w:jc w:val="left"/>
        <w:rPr>
          <w:rFonts w:hint="default" w:ascii="仿宋_GB2312" w:hAnsi="宋体" w:cs="宋体"/>
          <w:color w:val="000000"/>
          <w:kern w:val="0"/>
          <w:szCs w:val="32"/>
          <w:shd w:val="clear" w:color="auto" w:fill="FFFFFF"/>
          <w:lang w:val="en-US" w:eastAsia="zh-CN"/>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4"/>
      <w:bookmarkEnd w:id="55"/>
      <w:bookmarkStart w:id="56"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6"/>
    </w:p>
    <w:p>
      <w:pPr>
        <w:pStyle w:val="4"/>
        <w:rPr>
          <w:rFonts w:ascii="仿宋" w:hAnsi="仿宋" w:eastAsia="仿宋"/>
          <w:color w:val="auto"/>
          <w:highlight w:val="none"/>
        </w:rPr>
      </w:pPr>
      <w:bookmarkStart w:id="57"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7"/>
    </w:p>
    <w:p>
      <w:pPr>
        <w:pStyle w:val="4"/>
        <w:rPr>
          <w:rFonts w:ascii="仿宋" w:hAnsi="仿宋" w:eastAsia="仿宋"/>
          <w:color w:val="auto"/>
          <w:highlight w:val="none"/>
        </w:rPr>
      </w:pPr>
      <w:bookmarkStart w:id="58"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8"/>
    </w:p>
    <w:p>
      <w:pPr>
        <w:pStyle w:val="4"/>
        <w:rPr>
          <w:rFonts w:ascii="仿宋" w:hAnsi="仿宋" w:eastAsia="仿宋"/>
          <w:b w:val="0"/>
          <w:color w:val="auto"/>
          <w:highlight w:val="none"/>
        </w:rPr>
      </w:pPr>
      <w:bookmarkStart w:id="59"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9"/>
    </w:p>
    <w:p>
      <w:pPr>
        <w:pStyle w:val="4"/>
        <w:rPr>
          <w:rStyle w:val="26"/>
          <w:rFonts w:ascii="仿宋" w:hAnsi="仿宋" w:eastAsia="仿宋"/>
          <w:b w:val="0"/>
          <w:bCs w:val="0"/>
          <w:color w:val="auto"/>
          <w:highlight w:val="none"/>
        </w:rPr>
      </w:pPr>
      <w:bookmarkStart w:id="60"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60"/>
      <w:bookmarkStart w:id="61"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61"/>
    </w:p>
    <w:p>
      <w:pPr>
        <w:pStyle w:val="4"/>
        <w:rPr>
          <w:rFonts w:ascii="仿宋" w:hAnsi="仿宋" w:eastAsia="仿宋"/>
          <w:color w:val="auto"/>
          <w:highlight w:val="none"/>
        </w:rPr>
      </w:pPr>
      <w:bookmarkStart w:id="62"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2"/>
    </w:p>
    <w:p>
      <w:pPr>
        <w:pStyle w:val="4"/>
        <w:rPr>
          <w:rFonts w:ascii="仿宋" w:hAnsi="仿宋" w:eastAsia="仿宋"/>
          <w:color w:val="auto"/>
          <w:highlight w:val="none"/>
        </w:rPr>
      </w:pPr>
      <w:bookmarkStart w:id="63"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3"/>
    </w:p>
    <w:p>
      <w:pPr>
        <w:pStyle w:val="4"/>
        <w:rPr>
          <w:rFonts w:ascii="仿宋" w:hAnsi="仿宋" w:eastAsia="仿宋"/>
          <w:color w:val="auto"/>
          <w:highlight w:val="none"/>
        </w:rPr>
      </w:pPr>
      <w:bookmarkStart w:id="64"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4"/>
    </w:p>
    <w:p>
      <w:pPr>
        <w:pStyle w:val="4"/>
        <w:rPr>
          <w:rFonts w:ascii="仿宋" w:hAnsi="仿宋" w:eastAsia="仿宋"/>
          <w:color w:val="auto"/>
          <w:highlight w:val="none"/>
        </w:rPr>
      </w:pPr>
      <w:bookmarkStart w:id="65"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5"/>
    </w:p>
    <w:p>
      <w:pPr>
        <w:pStyle w:val="4"/>
        <w:rPr>
          <w:rFonts w:ascii="仿宋" w:hAnsi="仿宋" w:eastAsia="仿宋"/>
          <w:color w:val="auto"/>
          <w:highlight w:val="none"/>
        </w:rPr>
      </w:pPr>
      <w:bookmarkStart w:id="66"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6"/>
    </w:p>
    <w:p>
      <w:pPr>
        <w:pStyle w:val="4"/>
        <w:rPr>
          <w:rFonts w:ascii="仿宋" w:hAnsi="仿宋" w:eastAsia="仿宋"/>
          <w:color w:val="auto"/>
          <w:highlight w:val="none"/>
        </w:rPr>
      </w:pPr>
      <w:bookmarkStart w:id="67"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7"/>
    </w:p>
    <w:p>
      <w:pPr>
        <w:pStyle w:val="4"/>
        <w:rPr>
          <w:rStyle w:val="26"/>
          <w:rFonts w:hint="eastAsia" w:ascii="仿宋" w:hAnsi="仿宋" w:eastAsia="仿宋"/>
          <w:b w:val="0"/>
          <w:bCs w:val="0"/>
          <w:color w:val="auto"/>
          <w:highlight w:val="none"/>
        </w:rPr>
      </w:pPr>
      <w:bookmarkStart w:id="68"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8"/>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6A3421C"/>
    <w:multiLevelType w:val="singleLevel"/>
    <w:tmpl w:val="D6A3421C"/>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4DCCB19"/>
    <w:multiLevelType w:val="singleLevel"/>
    <w:tmpl w:val="F4DCCB19"/>
    <w:lvl w:ilvl="0" w:tentative="0">
      <w:start w:val="1"/>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43D37160"/>
    <w:multiLevelType w:val="singleLevel"/>
    <w:tmpl w:val="43D37160"/>
    <w:lvl w:ilvl="0" w:tentative="0">
      <w:start w:val="2"/>
      <w:numFmt w:val="chineseCounting"/>
      <w:suff w:val="nothing"/>
      <w:lvlText w:val="（%1）"/>
      <w:lvlJc w:val="left"/>
      <w:rPr>
        <w:rFonts w:hint="eastAsia"/>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iOTRlNThlZDg5ODg0MjFmZDVlZWIxNThmZjU3OW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172585"/>
    <w:rsid w:val="0A2032A3"/>
    <w:rsid w:val="0B8A37D8"/>
    <w:rsid w:val="0D556819"/>
    <w:rsid w:val="0DE10B8D"/>
    <w:rsid w:val="0E746853"/>
    <w:rsid w:val="10C055FF"/>
    <w:rsid w:val="118107EC"/>
    <w:rsid w:val="11897D97"/>
    <w:rsid w:val="11DD6519"/>
    <w:rsid w:val="162669AE"/>
    <w:rsid w:val="16BB723D"/>
    <w:rsid w:val="18015F3F"/>
    <w:rsid w:val="18D0120F"/>
    <w:rsid w:val="19F968B4"/>
    <w:rsid w:val="1BE8440E"/>
    <w:rsid w:val="1D155CEE"/>
    <w:rsid w:val="204F5FA8"/>
    <w:rsid w:val="20F57F95"/>
    <w:rsid w:val="231B6BE4"/>
    <w:rsid w:val="240371BF"/>
    <w:rsid w:val="25C741E6"/>
    <w:rsid w:val="27842671"/>
    <w:rsid w:val="29FD04D3"/>
    <w:rsid w:val="2ABE7A3E"/>
    <w:rsid w:val="2EFA178C"/>
    <w:rsid w:val="30B46D73"/>
    <w:rsid w:val="319F7F4E"/>
    <w:rsid w:val="36FA7677"/>
    <w:rsid w:val="39AE70AB"/>
    <w:rsid w:val="3C0C0783"/>
    <w:rsid w:val="3F5C7D12"/>
    <w:rsid w:val="3F9F3A96"/>
    <w:rsid w:val="41C519CE"/>
    <w:rsid w:val="43E46F7E"/>
    <w:rsid w:val="493C27E9"/>
    <w:rsid w:val="496F39ED"/>
    <w:rsid w:val="49FF41D3"/>
    <w:rsid w:val="4BE068DB"/>
    <w:rsid w:val="4BF6002B"/>
    <w:rsid w:val="4ECE2238"/>
    <w:rsid w:val="51DB4B86"/>
    <w:rsid w:val="536223F4"/>
    <w:rsid w:val="55333C3E"/>
    <w:rsid w:val="55501DDF"/>
    <w:rsid w:val="56302085"/>
    <w:rsid w:val="5C524E6B"/>
    <w:rsid w:val="5DE62663"/>
    <w:rsid w:val="5FAC19D9"/>
    <w:rsid w:val="64CA39A1"/>
    <w:rsid w:val="65425D45"/>
    <w:rsid w:val="674E538D"/>
    <w:rsid w:val="6C4A05C8"/>
    <w:rsid w:val="6FBA3A60"/>
    <w:rsid w:val="71B03023"/>
    <w:rsid w:val="72734D90"/>
    <w:rsid w:val="79E7B28D"/>
    <w:rsid w:val="79EA6348"/>
    <w:rsid w:val="7A21770D"/>
    <w:rsid w:val="7E2F1A35"/>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99"/>
    <w:rPr>
      <w:rFonts w:eastAsia="仿宋_GB2312"/>
      <w:color w:val="auto"/>
      <w:szCs w:val="32"/>
      <w:lang w:eastAsia="zh-CN"/>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915;&#31639;&#26609;&#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915;&#31639;&#26609;&#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收入支出总体情况 </a:t>
            </a:r>
          </a:p>
        </c:rich>
      </c:tx>
      <c:layout>
        <c:manualLayout>
          <c:xMode val="edge"/>
          <c:yMode val="edge"/>
          <c:x val="0.317013888888889"/>
          <c:y val="0.0451388888888889"/>
        </c:manualLayout>
      </c:layout>
      <c:overlay val="0"/>
      <c:spPr>
        <a:noFill/>
        <a:ln>
          <a:noFill/>
        </a:ln>
        <a:effectLst/>
      </c:spPr>
    </c:title>
    <c:autoTitleDeleted val="0"/>
    <c:plotArea>
      <c:layout>
        <c:manualLayout>
          <c:layoutTarget val="inner"/>
          <c:xMode val="edge"/>
          <c:yMode val="edge"/>
          <c:x val="0.100083333333333"/>
          <c:y val="0.28587962962963"/>
          <c:w val="0.869361111111111"/>
          <c:h val="0.605648148148148"/>
        </c:manualLayout>
      </c:layout>
      <c:barChart>
        <c:barDir val="col"/>
        <c:grouping val="clustered"/>
        <c:varyColors val="0"/>
        <c:ser>
          <c:idx val="0"/>
          <c:order val="0"/>
          <c:tx>
            <c:strRef>
              <c:f>[决算柱状图.xlsx]Sheet1!$B$1:$B$2</c:f>
              <c:strCache>
                <c:ptCount val="1"/>
                <c:pt idx="0">
                  <c:v>收入支出总体情况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[决算柱状图.xlsx]Sheet1!$A$3:$A$4</c:f>
              <c:strCache>
                <c:ptCount val="2"/>
                <c:pt idx="0">
                  <c:v>2021年度收、支总计</c:v>
                </c:pt>
                <c:pt idx="1">
                  <c:v>2020年度收、支总计</c:v>
                </c:pt>
              </c:strCache>
            </c:strRef>
          </c:cat>
          <c:val>
            <c:numRef>
              <c:f>[决算柱状图.xlsx]Sheet1!$B$3:$B$4</c:f>
              <c:numCache>
                <c:formatCode>General</c:formatCode>
                <c:ptCount val="2"/>
                <c:pt idx="0">
                  <c:v>589.48</c:v>
                </c:pt>
                <c:pt idx="1">
                  <c:v>42196.78</c:v>
                </c:pt>
              </c:numCache>
            </c:numRef>
          </c:val>
        </c:ser>
        <c:dLbls>
          <c:showLegendKey val="0"/>
          <c:showVal val="1"/>
          <c:showCatName val="0"/>
          <c:showSerName val="0"/>
          <c:showPercent val="0"/>
          <c:showBubbleSize val="0"/>
        </c:dLbls>
        <c:gapWidth val="219"/>
        <c:overlap val="-27"/>
        <c:axId val="547647298"/>
        <c:axId val="860243856"/>
      </c:barChart>
      <c:catAx>
        <c:axId val="54764729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0243856"/>
        <c:crosses val="autoZero"/>
        <c:auto val="1"/>
        <c:lblAlgn val="ctr"/>
        <c:lblOffset val="100"/>
        <c:noMultiLvlLbl val="0"/>
      </c:catAx>
      <c:valAx>
        <c:axId val="860243856"/>
        <c:scaling>
          <c:orientation val="minMax"/>
          <c:max val="4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7647298"/>
        <c:crosses val="autoZero"/>
        <c:crossBetween val="between"/>
        <c:majorUnit val="5000"/>
      </c:valAx>
      <c:spPr>
        <a:noFill/>
        <a:ln>
          <a:noFill/>
        </a:ln>
        <a:effectLst/>
      </c:spPr>
    </c:plotArea>
    <c:legend>
      <c:legendPos val="t"/>
      <c:layout>
        <c:manualLayout>
          <c:xMode val="edge"/>
          <c:yMode val="edge"/>
          <c:x val="0.572222222222222"/>
          <c:y val="0.1574074074074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[1.xlsx]Sheet2!$B$1:$B$2</c:f>
              <c:strCache>
                <c:ptCount val="1"/>
                <c:pt idx="0">
                  <c:v>收入决算结构图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5863453815261"/>
                  <c:y val="-0.090604026845637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127475287783089"/>
                  <c:y val="0.078974131008664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[1.xlsx]Sheet2!$A$3:$A$4</c:f>
              <c:strCache>
                <c:ptCount val="2"/>
                <c:pt idx="0">
                  <c:v>一般公共预算财政拨款收入</c:v>
                </c:pt>
                <c:pt idx="1">
                  <c:v>政府性基金预算财政拨款收入</c:v>
                </c:pt>
              </c:strCache>
            </c:strRef>
          </c:cat>
          <c:val>
            <c:numRef>
              <c:f>[1.xlsx]Sheet2!$B$3:$B$4</c:f>
              <c:numCache>
                <c:formatCode>General</c:formatCode>
                <c:ptCount val="2"/>
                <c:pt idx="0">
                  <c:v>264.74</c:v>
                </c:pt>
                <c:pt idx="1">
                  <c:v>30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3125"/>
          <c:y val="0.0277777777777778"/>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[1.xlsx]Sheet3!$B$1:$B$2</c:f>
              <c:strCache>
                <c:ptCount val="1"/>
                <c:pt idx="0">
                  <c:v>支出决算结构图 （单位：万元）</c:v>
                </c:pt>
              </c:strCache>
            </c:strRef>
          </c:tx>
          <c:spPr/>
          <c:explosion val="0"/>
          <c:dPt>
            <c:idx val="0"/>
            <c:bubble3D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Lbls>
            <c:dLbl>
              <c:idx val="0"/>
              <c:layout>
                <c:manualLayout>
                  <c:x val="0.1"/>
                  <c:y val="-0.0763888888888889"/>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[1.xlsx]Sheet3!$A$3:$A$4</c:f>
              <c:strCache>
                <c:ptCount val="2"/>
                <c:pt idx="0">
                  <c:v>基本支出</c:v>
                </c:pt>
                <c:pt idx="1">
                  <c:v>项目支出</c:v>
                </c:pt>
              </c:strCache>
            </c:strRef>
          </c:cat>
          <c:val>
            <c:numRef>
              <c:f>[1.xlsx]Sheet3!$B$3:$B$4</c:f>
              <c:numCache>
                <c:formatCode>General</c:formatCode>
                <c:ptCount val="2"/>
                <c:pt idx="0">
                  <c:v>234.74</c:v>
                </c:pt>
                <c:pt idx="1">
                  <c:v>60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832083333333333"/>
          <c:y val="0.24618055555555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财政拨款收、支决算总计情况 </a:t>
            </a:r>
          </a:p>
        </c:rich>
      </c:tx>
      <c:layout/>
      <c:overlay val="0"/>
      <c:spPr>
        <a:noFill/>
        <a:ln>
          <a:noFill/>
        </a:ln>
        <a:effectLst/>
      </c:spPr>
    </c:title>
    <c:autoTitleDeleted val="0"/>
    <c:plotArea>
      <c:layout/>
      <c:barChart>
        <c:barDir val="col"/>
        <c:grouping val="clustered"/>
        <c:varyColors val="0"/>
        <c:ser>
          <c:idx val="0"/>
          <c:order val="0"/>
          <c:tx>
            <c:strRef>
              <c:f>[决算柱状图.xlsx]Sheet4!$B$1:$B$2</c:f>
              <c:strCache>
                <c:ptCount val="1"/>
                <c:pt idx="0">
                  <c:v>财政拨款收、支决算总计情况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[决算柱状图.xlsx]Sheet4!$A$3:$A$4</c:f>
              <c:strCache>
                <c:ptCount val="2"/>
                <c:pt idx="0">
                  <c:v>2021年财政拨款收、支总计</c:v>
                </c:pt>
                <c:pt idx="1">
                  <c:v>2020年财政拨款收、支总计</c:v>
                </c:pt>
              </c:strCache>
            </c:strRef>
          </c:cat>
          <c:val>
            <c:numRef>
              <c:f>[决算柱状图.xlsx]Sheet4!$B$3:$B$4</c:f>
              <c:numCache>
                <c:formatCode>General</c:formatCode>
                <c:ptCount val="2"/>
                <c:pt idx="0">
                  <c:v>589.48</c:v>
                </c:pt>
                <c:pt idx="1">
                  <c:v>42196.78</c:v>
                </c:pt>
              </c:numCache>
            </c:numRef>
          </c:val>
        </c:ser>
        <c:dLbls>
          <c:showLegendKey val="0"/>
          <c:showVal val="1"/>
          <c:showCatName val="0"/>
          <c:showSerName val="0"/>
          <c:showPercent val="0"/>
          <c:showBubbleSize val="0"/>
        </c:dLbls>
        <c:gapWidth val="219"/>
        <c:overlap val="-27"/>
        <c:axId val="205794967"/>
        <c:axId val="270108477"/>
      </c:barChart>
      <c:catAx>
        <c:axId val="20579496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0108477"/>
        <c:crosses val="autoZero"/>
        <c:auto val="1"/>
        <c:lblAlgn val="ctr"/>
        <c:lblOffset val="100"/>
        <c:noMultiLvlLbl val="0"/>
      </c:catAx>
      <c:valAx>
        <c:axId val="2701084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5794967"/>
        <c:crosses val="autoZero"/>
        <c:crossBetween val="between"/>
        <c:majorUnit val="5000"/>
      </c:valAx>
      <c:spPr>
        <a:noFill/>
        <a:ln>
          <a:noFill/>
        </a:ln>
        <a:effectLst/>
      </c:spPr>
    </c:plotArea>
    <c:legend>
      <c:legendPos val="t"/>
      <c:layout>
        <c:manualLayout>
          <c:xMode val="edge"/>
          <c:yMode val="edge"/>
          <c:x val="0.449305555555556"/>
          <c:y val="0.13310185185185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一般公共预算财政拨款支出变动情况 </a:t>
            </a:r>
          </a:p>
        </c:rich>
      </c:tx>
      <c:layout/>
      <c:overlay val="0"/>
      <c:spPr>
        <a:noFill/>
        <a:ln>
          <a:noFill/>
        </a:ln>
        <a:effectLst/>
      </c:spPr>
    </c:title>
    <c:autoTitleDeleted val="0"/>
    <c:plotArea>
      <c:layout/>
      <c:barChart>
        <c:barDir val="col"/>
        <c:grouping val="clustered"/>
        <c:varyColors val="0"/>
        <c:ser>
          <c:idx val="0"/>
          <c:order val="0"/>
          <c:tx>
            <c:strRef>
              <c:f>[1.xlsx]Sheet5!$B$1:$B$2</c:f>
              <c:strCache>
                <c:ptCount val="1"/>
                <c:pt idx="0">
                  <c:v>一般公共预算财政拨款支出变动情况 （单位：万元）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[1.xlsx]Sheet5!$A$3:$A$4</c:f>
              <c:strCache>
                <c:ptCount val="2"/>
                <c:pt idx="0">
                  <c:v>2021年一般公共预算财政拨款支出</c:v>
                </c:pt>
                <c:pt idx="1">
                  <c:v>2020年一般公共预算财政拨款支出</c:v>
                </c:pt>
              </c:strCache>
            </c:strRef>
          </c:cat>
          <c:val>
            <c:numRef>
              <c:f>[1.xlsx]Sheet5!$B$3:$B$4</c:f>
              <c:numCache>
                <c:formatCode>General</c:formatCode>
                <c:ptCount val="2"/>
                <c:pt idx="0">
                  <c:v>264.74</c:v>
                </c:pt>
                <c:pt idx="1">
                  <c:v>4874.28</c:v>
                </c:pt>
              </c:numCache>
            </c:numRef>
          </c:val>
        </c:ser>
        <c:dLbls>
          <c:showLegendKey val="0"/>
          <c:showVal val="1"/>
          <c:showCatName val="0"/>
          <c:showSerName val="0"/>
          <c:showPercent val="0"/>
          <c:showBubbleSize val="0"/>
        </c:dLbls>
        <c:gapWidth val="219"/>
        <c:overlap val="-27"/>
        <c:axId val="475645496"/>
        <c:axId val="462185933"/>
      </c:barChart>
      <c:catAx>
        <c:axId val="4756454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2185933"/>
        <c:crosses val="autoZero"/>
        <c:auto val="1"/>
        <c:lblAlgn val="ctr"/>
        <c:lblOffset val="100"/>
        <c:noMultiLvlLbl val="0"/>
      </c:catAx>
      <c:valAx>
        <c:axId val="46218593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645496"/>
        <c:crosses val="autoZero"/>
        <c:crossBetween val="between"/>
      </c:valAx>
      <c:spPr>
        <a:noFill/>
        <a:ln>
          <a:noFill/>
        </a:ln>
        <a:effectLst/>
      </c:spPr>
    </c:plotArea>
    <c:legend>
      <c:legendPos val="t"/>
      <c:layout>
        <c:manualLayout>
          <c:xMode val="edge"/>
          <c:yMode val="edge"/>
          <c:x val="0.374305555555556"/>
          <c:y val="0.150462962962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0827284165699"/>
          <c:y val="0.020199283942092"/>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[1.xlsx]Sheet6!$B$1:$B$2</c:f>
              <c:strCache>
                <c:ptCount val="1"/>
                <c:pt idx="0">
                  <c:v>一般公共预算支出决算结构情况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211951725804983"/>
                  <c:y val="0.111632423406418"/>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dLbl>
              <c:idx val="1"/>
              <c:layout>
                <c:manualLayout>
                  <c:x val="-0.00496113810938698"/>
                  <c:y val="0.375652071402615"/>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dLbl>
              <c:idx val="2"/>
              <c:layout>
                <c:manualLayout>
                  <c:x val="-0.234930448222566"/>
                  <c:y val="-0.125644329896907"/>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dLbl>
              <c:idx val="3"/>
              <c:layout>
                <c:manualLayout>
                  <c:x val="-0.186482158801535"/>
                  <c:y val="0.151676165238856"/>
                </c:manualLayout>
              </c:layout>
              <c:dLblPos val="bestFit"/>
              <c:showLegendKey val="1"/>
              <c:showVal val="1"/>
              <c:showCatName val="1"/>
              <c:showSerName val="1"/>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1"/>
            <c:showVal val="1"/>
            <c:showCatName val="1"/>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[1.xlsx]Sheet6!$A$3:$A$6</c:f>
              <c:strCache>
                <c:ptCount val="4"/>
                <c:pt idx="0">
                  <c:v>社会保障和就业支出</c:v>
                </c:pt>
                <c:pt idx="1">
                  <c:v>卫生健康支出</c:v>
                </c:pt>
                <c:pt idx="2">
                  <c:v>城乡社区支出</c:v>
                </c:pt>
                <c:pt idx="3">
                  <c:v>住房保障支出</c:v>
                </c:pt>
              </c:strCache>
            </c:strRef>
          </c:cat>
          <c:val>
            <c:numRef>
              <c:f>[1.xlsx]Sheet6!$B$3:$B$6</c:f>
              <c:numCache>
                <c:formatCode>General</c:formatCode>
                <c:ptCount val="4"/>
                <c:pt idx="0">
                  <c:v>18</c:v>
                </c:pt>
                <c:pt idx="1">
                  <c:v>8.22</c:v>
                </c:pt>
                <c:pt idx="2">
                  <c:v>225.02</c:v>
                </c:pt>
                <c:pt idx="3">
                  <c:v>13.5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“三公”经费支出决算结构情况 </a:t>
            </a:r>
          </a:p>
          <a:p>
            <a:pPr defTabSz="914400">
              <a:defRPr lang="zh-CN" sz="1400" b="0" i="0" u="none" strike="noStrike" kern="1200" spc="0" baseline="0">
                <a:solidFill>
                  <a:schemeClr val="tx1">
                    <a:lumMod val="65000"/>
                    <a:lumOff val="35000"/>
                  </a:schemeClr>
                </a:solidFill>
                <a:latin typeface="+mn-lt"/>
                <a:ea typeface="+mn-ea"/>
                <a:cs typeface="+mn-cs"/>
              </a:defRPr>
            </a:pPr>
            <a:r>
              <a:t> </a:t>
            </a:r>
            <a:r>
              <a:rPr lang="en-US" altLang="zh-CN"/>
              <a:t>                                                            </a:t>
            </a:r>
            <a:r>
              <a:t>（单位：万元）</a:t>
            </a:r>
          </a:p>
        </c:rich>
      </c:tx>
      <c:layout/>
      <c:overlay val="0"/>
      <c:spPr>
        <a:noFill/>
        <a:ln>
          <a:noFill/>
        </a:ln>
        <a:effectLst/>
      </c:spPr>
    </c:title>
    <c:autoTitleDeleted val="0"/>
    <c:plotArea>
      <c:layout/>
      <c:pieChart>
        <c:varyColors val="1"/>
        <c:ser>
          <c:idx val="0"/>
          <c:order val="0"/>
          <c:tx>
            <c:strRef>
              <c:f>[1.xlsx]Sheet7!$B$1:$B$2</c:f>
              <c:strCache>
                <c:ptCount val="1"/>
                <c:pt idx="0">
                  <c:v>“三公”经费支出决算结构情况 （单位：万元）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875"/>
                  <c:y val="0.0694444444444444"/>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1"/>
              <c:layout>
                <c:manualLayout>
                  <c:x val="0.26875"/>
                  <c:y val="0.107638888888889"/>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dLbl>
              <c:idx val="2"/>
              <c:layout>
                <c:manualLayout>
                  <c:x val="-0.00625082248043809"/>
                  <c:y val="-0.199437651237768"/>
                </c:manualLayout>
              </c:layout>
              <c:dLblPos val="bestFit"/>
              <c:showLegendKey val="1"/>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[1.xlsx]Sheet7!$A$3:$A$5</c:f>
              <c:strCache>
                <c:ptCount val="3"/>
                <c:pt idx="0">
                  <c:v>因公出国（境）费</c:v>
                </c:pt>
                <c:pt idx="1">
                  <c:v>公务用车购置及运行维护费</c:v>
                </c:pt>
                <c:pt idx="2">
                  <c:v>公务接待费</c:v>
                </c:pt>
              </c:strCache>
            </c:strRef>
          </c:cat>
          <c:val>
            <c:numRef>
              <c:f>[1.xlsx]Sheet7!$B$3:$B$5</c:f>
              <c:numCache>
                <c:formatCode>General</c:formatCode>
                <c:ptCount val="3"/>
                <c:pt idx="0">
                  <c:v>0</c:v>
                </c:pt>
                <c:pt idx="1">
                  <c:v>0</c:v>
                </c:pt>
                <c:pt idx="2">
                  <c:v>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6107</Words>
  <Characters>8857</Characters>
  <Lines>61</Lines>
  <Paragraphs>17</Paragraphs>
  <TotalTime>12</TotalTime>
  <ScaleCrop>false</ScaleCrop>
  <LinksUpToDate>false</LinksUpToDate>
  <CharactersWithSpaces>9076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2022-09-01T07:18:25Z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0012DA2E46A04465AE9C476D2E5247C4</vt:lpwstr>
  </property>
</Properties>
</file>