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auto"/>
          <w:sz w:val="21"/>
          <w:szCs w:val="21"/>
          <w:highlight w:val="none"/>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7193"/>
      <w:bookmarkStart w:id="2" w:name="_Toc15378441"/>
      <w:bookmarkStart w:id="3" w:name="_Toc15377425"/>
      <w:bookmarkStart w:id="4" w:name="_Toc15396475"/>
      <w:bookmarkStart w:id="5" w:name="_Toc15396597"/>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eastAsia="zh-CN"/>
        </w:rPr>
      </w:pPr>
      <w:bookmarkStart w:id="6" w:name="_Toc15377426"/>
      <w:bookmarkStart w:id="7" w:name="_Toc15378442"/>
      <w:bookmarkStart w:id="8" w:name="_Toc15396476"/>
      <w:bookmarkStart w:id="9" w:name="_Toc15377194"/>
      <w:bookmarkStart w:id="10" w:name="_Toc15396598"/>
      <w:r>
        <w:rPr>
          <w:rFonts w:hint="eastAsia" w:ascii="方正小标宋简体" w:hAnsi="方正小标宋简体" w:eastAsia="方正小标宋简体" w:cs="方正小标宋简体"/>
          <w:color w:val="auto"/>
          <w:sz w:val="72"/>
          <w:szCs w:val="72"/>
          <w:highlight w:val="none"/>
          <w:lang w:eastAsia="zh-CN"/>
        </w:rPr>
        <w:t>大竹县</w:t>
      </w:r>
      <w:bookmarkEnd w:id="0"/>
      <w:bookmarkStart w:id="11" w:name="_Toc15306268"/>
      <w:r>
        <w:rPr>
          <w:rFonts w:hint="eastAsia" w:ascii="方正小标宋简体" w:hAnsi="方正小标宋简体" w:eastAsia="方正小标宋简体" w:cs="方正小标宋简体"/>
          <w:color w:val="auto"/>
          <w:sz w:val="72"/>
          <w:szCs w:val="72"/>
          <w:highlight w:val="none"/>
          <w:lang w:eastAsia="zh-CN"/>
        </w:rPr>
        <w:t>杨通乡人民政府</w:t>
      </w: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2"/>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8</w:t>
      </w:r>
      <w:r>
        <w:rPr>
          <w:rFonts w:hint="eastAsia"/>
          <w:color w:val="auto"/>
          <w:highlight w:val="none"/>
        </w:rPr>
        <w:t>月</w:t>
      </w:r>
      <w:r>
        <w:rPr>
          <w:rFonts w:hint="eastAsia"/>
          <w:color w:val="auto"/>
          <w:highlight w:val="none"/>
          <w:lang w:val="en-US" w:eastAsia="zh-CN"/>
        </w:rPr>
        <w:t>25</w:t>
      </w:r>
      <w:r>
        <w:rPr>
          <w:rFonts w:hint="eastAsia"/>
          <w:color w:val="auto"/>
          <w:highlight w:val="none"/>
        </w:rPr>
        <w:t>日</w:t>
      </w:r>
    </w:p>
    <w:p>
      <w:pPr>
        <w:rPr>
          <w:color w:val="auto"/>
          <w:highlight w:val="none"/>
        </w:rPr>
      </w:pPr>
    </w:p>
    <w:p>
      <w:pPr>
        <w:pStyle w:val="2"/>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r>
        <w:rPr>
          <w:rFonts w:hint="eastAsia"/>
          <w:color w:val="auto"/>
          <w:sz w:val="24"/>
          <w:highlight w:val="none"/>
          <w:lang w:val="en-US" w:eastAsia="zh-CN"/>
        </w:rPr>
        <w:t>................................................4</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一、</w:t>
      </w:r>
      <w:r>
        <w:rPr>
          <w:rFonts w:hint="eastAsia"/>
          <w:color w:val="auto"/>
          <w:sz w:val="24"/>
          <w:highlight w:val="none"/>
          <w:lang w:eastAsia="zh-CN"/>
        </w:rPr>
        <w:t>主要职责</w:t>
      </w:r>
      <w:r>
        <w:rPr>
          <w:rFonts w:hint="eastAsia"/>
          <w:color w:val="auto"/>
          <w:sz w:val="24"/>
          <w:highlight w:val="none"/>
          <w:lang w:val="en-US" w:eastAsia="zh-CN"/>
        </w:rPr>
        <w:t>...................................................................................................4</w:t>
      </w:r>
    </w:p>
    <w:p>
      <w:pPr>
        <w:pStyle w:val="11"/>
        <w:adjustRightInd w:val="0"/>
        <w:snapToGrid w:val="0"/>
        <w:spacing w:line="440" w:lineRule="exact"/>
        <w:jc w:val="left"/>
        <w:rPr>
          <w:rFonts w:hint="default" w:eastAsia="宋体"/>
          <w:color w:val="auto"/>
          <w:lang w:val="en-US" w:eastAsia="zh-CN"/>
        </w:rPr>
      </w:pPr>
      <w:r>
        <w:rPr>
          <w:rFonts w:hint="eastAsia"/>
          <w:color w:val="auto"/>
          <w:sz w:val="24"/>
          <w:highlight w:val="none"/>
          <w:lang w:eastAsia="zh-CN"/>
        </w:rPr>
        <w:t>二</w:t>
      </w:r>
      <w:r>
        <w:rPr>
          <w:rFonts w:hint="eastAsia"/>
          <w:color w:val="auto"/>
          <w:sz w:val="24"/>
          <w:highlight w:val="none"/>
        </w:rPr>
        <w:t>、</w:t>
      </w:r>
      <w:r>
        <w:rPr>
          <w:rFonts w:hint="eastAsia"/>
          <w:color w:val="auto"/>
          <w:sz w:val="24"/>
          <w:highlight w:val="none"/>
          <w:lang w:eastAsia="zh-CN"/>
        </w:rPr>
        <w:t>机构设置</w:t>
      </w:r>
      <w:r>
        <w:rPr>
          <w:rFonts w:hint="eastAsia"/>
          <w:color w:val="auto"/>
          <w:sz w:val="24"/>
          <w:highlight w:val="none"/>
          <w:lang w:val="en-US" w:eastAsia="zh-CN"/>
        </w:rPr>
        <w:t>...................................................................................................5</w:t>
      </w:r>
    </w:p>
    <w:p>
      <w:pPr>
        <w:pStyle w:val="2"/>
        <w:adjustRightInd w:val="0"/>
        <w:snapToGrid w:val="0"/>
        <w:spacing w:before="0" w:line="440" w:lineRule="exact"/>
        <w:jc w:val="left"/>
        <w:rPr>
          <w:rFonts w:hint="default" w:eastAsia="仿宋"/>
          <w:color w:val="auto"/>
          <w:sz w:val="24"/>
          <w:szCs w:val="24"/>
          <w:highlight w:val="none"/>
          <w:lang w:val="en-US" w:eastAsia="zh-CN"/>
        </w:rPr>
      </w:pPr>
      <w:r>
        <w:rPr>
          <w:rFonts w:hint="eastAsia"/>
          <w:color w:val="auto"/>
          <w:sz w:val="24"/>
          <w:highlight w:val="none"/>
        </w:rPr>
        <w:t>第二部分</w:t>
      </w:r>
      <w:r>
        <w:rPr>
          <w:rFonts w:hint="eastAsia"/>
          <w:color w:val="auto"/>
          <w:sz w:val="24"/>
          <w:highlight w:val="none"/>
          <w:lang w:val="en-US" w:eastAsia="zh-CN"/>
        </w:rPr>
        <w:t xml:space="preserve"> 2022年度</w:t>
      </w:r>
      <w:r>
        <w:rPr>
          <w:rFonts w:hint="eastAsia"/>
          <w:color w:val="auto"/>
          <w:sz w:val="24"/>
          <w:highlight w:val="none"/>
          <w:lang w:eastAsia="zh-CN"/>
        </w:rPr>
        <w:t>单位</w:t>
      </w:r>
      <w:r>
        <w:rPr>
          <w:rFonts w:hint="eastAsia"/>
          <w:color w:val="auto"/>
          <w:sz w:val="24"/>
          <w:highlight w:val="none"/>
        </w:rPr>
        <w:t>决算情况说明</w:t>
      </w:r>
      <w:r>
        <w:rPr>
          <w:rFonts w:hint="eastAsia"/>
          <w:color w:val="auto"/>
          <w:sz w:val="24"/>
          <w:highlight w:val="none"/>
          <w:lang w:val="en-US" w:eastAsia="zh-CN"/>
        </w:rPr>
        <w:t>................................6</w:t>
      </w:r>
    </w:p>
    <w:p>
      <w:pPr>
        <w:pStyle w:val="11"/>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一、收入支出决算总体情况说明</w:t>
      </w:r>
      <w:r>
        <w:rPr>
          <w:rFonts w:hint="eastAsia"/>
          <w:color w:val="auto"/>
          <w:sz w:val="24"/>
          <w:highlight w:val="none"/>
          <w:lang w:val="en-US" w:eastAsia="zh-CN"/>
        </w:rPr>
        <w:t>...................................................................6</w:t>
      </w:r>
    </w:p>
    <w:p>
      <w:pPr>
        <w:pStyle w:val="11"/>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二、收入决算情况说明</w:t>
      </w:r>
      <w:r>
        <w:rPr>
          <w:rFonts w:hint="eastAsia"/>
          <w:color w:val="auto"/>
          <w:sz w:val="24"/>
          <w:highlight w:val="none"/>
          <w:lang w:val="en-US" w:eastAsia="zh-CN"/>
        </w:rPr>
        <w:t>...................................................................................6</w:t>
      </w:r>
    </w:p>
    <w:p>
      <w:pPr>
        <w:pStyle w:val="11"/>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三、支出决算情况说明</w:t>
      </w:r>
      <w:r>
        <w:rPr>
          <w:rFonts w:hint="eastAsia"/>
          <w:color w:val="auto"/>
          <w:sz w:val="24"/>
          <w:highlight w:val="none"/>
          <w:lang w:val="en-US" w:eastAsia="zh-CN"/>
        </w:rPr>
        <w:t>...................................................................................7</w:t>
      </w:r>
    </w:p>
    <w:p>
      <w:pPr>
        <w:pStyle w:val="11"/>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四、财政拨款收入支出决算总体情况说明</w:t>
      </w:r>
      <w:r>
        <w:rPr>
          <w:rFonts w:hint="eastAsia"/>
          <w:color w:val="auto"/>
          <w:sz w:val="24"/>
          <w:highlight w:val="none"/>
          <w:lang w:val="en-US" w:eastAsia="zh-CN"/>
        </w:rPr>
        <w:t>...................................................8</w:t>
      </w:r>
    </w:p>
    <w:p>
      <w:pPr>
        <w:pStyle w:val="11"/>
        <w:adjustRightInd w:val="0"/>
        <w:snapToGrid w:val="0"/>
        <w:spacing w:line="440" w:lineRule="exact"/>
        <w:jc w:val="left"/>
        <w:rPr>
          <w:rFonts w:hint="default"/>
          <w:color w:val="auto"/>
          <w:sz w:val="24"/>
          <w:highlight w:val="none"/>
          <w:lang w:val="en-US" w:eastAsia="zh-CN"/>
        </w:rPr>
      </w:pPr>
      <w:r>
        <w:rPr>
          <w:rFonts w:hint="eastAsia"/>
          <w:color w:val="auto"/>
          <w:sz w:val="24"/>
          <w:highlight w:val="none"/>
        </w:rPr>
        <w:t>五、一般公共预算财政拨款支出决算情况说明</w:t>
      </w:r>
      <w:r>
        <w:rPr>
          <w:rFonts w:hint="eastAsia"/>
          <w:color w:val="auto"/>
          <w:sz w:val="24"/>
          <w:highlight w:val="none"/>
          <w:lang w:val="en-US" w:eastAsia="zh-CN"/>
        </w:rPr>
        <w:t>...........................................9</w:t>
      </w:r>
    </w:p>
    <w:p>
      <w:pPr>
        <w:pStyle w:val="11"/>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六、一般公共预算财政拨款基本支出决算情况说明</w:t>
      </w:r>
      <w:r>
        <w:rPr>
          <w:rFonts w:hint="eastAsia"/>
          <w:color w:val="auto"/>
          <w:sz w:val="24"/>
          <w:highlight w:val="none"/>
          <w:lang w:val="en-US" w:eastAsia="zh-CN"/>
        </w:rPr>
        <w:t>.................................16</w:t>
      </w:r>
    </w:p>
    <w:p>
      <w:pPr>
        <w:pStyle w:val="11"/>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七、财政拨款</w:t>
      </w:r>
      <w:r>
        <w:rPr>
          <w:rFonts w:hint="eastAsia"/>
          <w:color w:val="auto"/>
          <w:sz w:val="24"/>
          <w:highlight w:val="none"/>
          <w:lang w:eastAsia="zh-CN"/>
        </w:rPr>
        <w:t>“</w:t>
      </w:r>
      <w:r>
        <w:rPr>
          <w:rFonts w:hint="eastAsia"/>
          <w:color w:val="auto"/>
          <w:sz w:val="24"/>
          <w:highlight w:val="none"/>
        </w:rPr>
        <w:t>三公”经费支出决算情况说明</w:t>
      </w:r>
      <w:r>
        <w:rPr>
          <w:rFonts w:hint="eastAsia"/>
          <w:color w:val="auto"/>
          <w:sz w:val="24"/>
          <w:highlight w:val="none"/>
          <w:lang w:val="en-US" w:eastAsia="zh-CN"/>
        </w:rPr>
        <w:t>.........................................17</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八、政府性基金预算支出决算情况说明</w:t>
      </w:r>
      <w:r>
        <w:rPr>
          <w:rFonts w:hint="eastAsia"/>
          <w:color w:val="auto"/>
          <w:sz w:val="24"/>
          <w:highlight w:val="none"/>
          <w:lang w:val="en-US" w:eastAsia="zh-CN"/>
        </w:rPr>
        <w:t>.....................................................19</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九、国有资本经营预算支出决算情况说明</w:t>
      </w:r>
      <w:r>
        <w:rPr>
          <w:rFonts w:hint="eastAsia"/>
          <w:color w:val="auto"/>
          <w:sz w:val="24"/>
          <w:highlight w:val="none"/>
          <w:lang w:val="en-US" w:eastAsia="zh-CN"/>
        </w:rPr>
        <w:t>.................................................19</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十、其他重要事项的情况说明</w:t>
      </w:r>
      <w:r>
        <w:rPr>
          <w:rFonts w:hint="eastAsia"/>
          <w:color w:val="auto"/>
          <w:sz w:val="24"/>
          <w:highlight w:val="none"/>
          <w:lang w:val="en-US" w:eastAsia="zh-CN"/>
        </w:rPr>
        <w:t>.....................................................................19</w:t>
      </w:r>
    </w:p>
    <w:p>
      <w:pPr>
        <w:pStyle w:val="2"/>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rPr>
          <w:rFonts w:hint="eastAsia"/>
          <w:color w:val="auto"/>
          <w:sz w:val="24"/>
          <w:highlight w:val="none"/>
          <w:lang w:val="en-US" w:eastAsia="zh-CN"/>
        </w:rPr>
        <w:t>...............................................22</w:t>
      </w:r>
    </w:p>
    <w:p>
      <w:pPr>
        <w:pStyle w:val="2"/>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rPr>
          <w:rFonts w:hint="eastAsia"/>
          <w:color w:val="auto"/>
          <w:sz w:val="24"/>
          <w:highlight w:val="none"/>
          <w:lang w:val="en-US" w:eastAsia="zh-CN"/>
        </w:rPr>
        <w:t>...................................................29</w:t>
      </w:r>
    </w:p>
    <w:p>
      <w:pPr>
        <w:pStyle w:val="2"/>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r>
        <w:rPr>
          <w:rFonts w:hint="eastAsia"/>
          <w:color w:val="auto"/>
          <w:sz w:val="24"/>
          <w:highlight w:val="none"/>
          <w:lang w:val="en-US" w:eastAsia="zh-CN"/>
        </w:rPr>
        <w:t>...................................................35</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一、收入支出决算总表</w:t>
      </w:r>
      <w:r>
        <w:rPr>
          <w:rFonts w:hint="eastAsia"/>
          <w:color w:val="auto"/>
          <w:sz w:val="24"/>
          <w:highlight w:val="none"/>
          <w:lang w:val="en-US" w:eastAsia="zh-CN"/>
        </w:rPr>
        <w:t>.................................................................................35</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二、收入决算表</w:t>
      </w:r>
      <w:r>
        <w:rPr>
          <w:rFonts w:hint="eastAsia"/>
          <w:color w:val="auto"/>
          <w:sz w:val="24"/>
          <w:highlight w:val="none"/>
          <w:lang w:val="en-US" w:eastAsia="zh-CN"/>
        </w:rPr>
        <w:t>.............................................................................................35</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三、支出决算表</w:t>
      </w:r>
      <w:r>
        <w:rPr>
          <w:rFonts w:hint="eastAsia"/>
          <w:color w:val="auto"/>
          <w:sz w:val="24"/>
          <w:highlight w:val="none"/>
          <w:lang w:val="en-US" w:eastAsia="zh-CN"/>
        </w:rPr>
        <w:t>.............................................................................................35</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四、财政拨款收入支出决算总表</w:t>
      </w:r>
      <w:r>
        <w:rPr>
          <w:rFonts w:hint="eastAsia"/>
          <w:color w:val="auto"/>
          <w:sz w:val="24"/>
          <w:highlight w:val="none"/>
          <w:lang w:val="en-US" w:eastAsia="zh-CN"/>
        </w:rPr>
        <w:t>.................................................................35</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五、财政拨款支出决算明细表</w:t>
      </w:r>
      <w:r>
        <w:rPr>
          <w:rFonts w:hint="eastAsia"/>
          <w:color w:val="auto"/>
          <w:sz w:val="24"/>
          <w:highlight w:val="none"/>
          <w:lang w:val="en-US" w:eastAsia="zh-CN"/>
        </w:rPr>
        <w:t>.....................................................................35</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六、一般公共预算财政拨款支出决算表</w:t>
      </w:r>
      <w:r>
        <w:rPr>
          <w:rFonts w:hint="eastAsia"/>
          <w:color w:val="auto"/>
          <w:sz w:val="24"/>
          <w:highlight w:val="none"/>
          <w:lang w:val="en-US" w:eastAsia="zh-CN"/>
        </w:rPr>
        <w:t>.....................................................35</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七、一般公共预算财政拨款支出决算明细表</w:t>
      </w:r>
      <w:r>
        <w:rPr>
          <w:rFonts w:hint="eastAsia"/>
          <w:color w:val="auto"/>
          <w:sz w:val="24"/>
          <w:highlight w:val="none"/>
          <w:lang w:val="en-US" w:eastAsia="zh-CN"/>
        </w:rPr>
        <w:t>.............................................35</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八、一般公共预算财政拨款基本支出决算</w:t>
      </w:r>
      <w:r>
        <w:rPr>
          <w:rFonts w:hint="eastAsia"/>
          <w:color w:val="auto"/>
          <w:sz w:val="24"/>
          <w:highlight w:val="none"/>
          <w:lang w:eastAsia="zh-CN"/>
        </w:rPr>
        <w:t>明细</w:t>
      </w:r>
      <w:r>
        <w:rPr>
          <w:rFonts w:hint="eastAsia"/>
          <w:color w:val="auto"/>
          <w:sz w:val="24"/>
          <w:highlight w:val="none"/>
        </w:rPr>
        <w:t>表</w:t>
      </w:r>
      <w:r>
        <w:rPr>
          <w:rFonts w:hint="eastAsia"/>
          <w:color w:val="auto"/>
          <w:sz w:val="24"/>
          <w:highlight w:val="none"/>
          <w:lang w:val="en-US" w:eastAsia="zh-CN"/>
        </w:rPr>
        <w:t>.....................................35</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九、一般公共预算财政拨款项目支出决算表</w:t>
      </w:r>
      <w:r>
        <w:rPr>
          <w:rFonts w:hint="eastAsia"/>
          <w:color w:val="auto"/>
          <w:sz w:val="24"/>
          <w:highlight w:val="none"/>
          <w:lang w:val="en-US" w:eastAsia="zh-CN"/>
        </w:rPr>
        <w:t>.............................................35</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十、政府性基金预算财政拨款收入支出决算表</w:t>
      </w:r>
      <w:r>
        <w:rPr>
          <w:rFonts w:hint="eastAsia"/>
          <w:color w:val="auto"/>
          <w:sz w:val="24"/>
          <w:highlight w:val="none"/>
          <w:lang w:val="en-US" w:eastAsia="zh-CN"/>
        </w:rPr>
        <w:t>.........................................35</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十一、国有资本经营预算财政拨款收入支出决算表</w:t>
      </w:r>
      <w:r>
        <w:rPr>
          <w:rFonts w:hint="eastAsia"/>
          <w:color w:val="auto"/>
          <w:sz w:val="24"/>
          <w:highlight w:val="none"/>
          <w:lang w:val="en-US" w:eastAsia="zh-CN"/>
        </w:rPr>
        <w:t>.................................35</w:t>
      </w:r>
    </w:p>
    <w:p>
      <w:pPr>
        <w:pStyle w:val="11"/>
        <w:adjustRightInd w:val="0"/>
        <w:snapToGrid w:val="0"/>
        <w:spacing w:line="440" w:lineRule="exact"/>
        <w:jc w:val="left"/>
        <w:rPr>
          <w:rFonts w:hint="default"/>
          <w:color w:val="auto"/>
          <w:sz w:val="24"/>
          <w:highlight w:val="none"/>
          <w:lang w:val="en-US"/>
        </w:rPr>
      </w:pPr>
      <w:r>
        <w:rPr>
          <w:rFonts w:hint="eastAsia"/>
          <w:color w:val="auto"/>
          <w:sz w:val="24"/>
          <w:highlight w:val="none"/>
        </w:rPr>
        <w:t>十二、</w:t>
      </w:r>
      <w:r>
        <w:rPr>
          <w:rFonts w:hint="eastAsia"/>
          <w:color w:val="auto"/>
          <w:sz w:val="24"/>
          <w:highlight w:val="none"/>
          <w:lang w:val="en-US" w:eastAsia="zh-CN"/>
        </w:rPr>
        <w:t>国有资本经营预算财政拨款支出决算表.........................................35</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十三、财政拨款“三公”经费支出决算表</w:t>
      </w:r>
      <w:r>
        <w:rPr>
          <w:rFonts w:hint="eastAsia"/>
          <w:color w:val="auto"/>
          <w:sz w:val="24"/>
          <w:highlight w:val="none"/>
          <w:lang w:val="en-US" w:eastAsia="zh-CN"/>
        </w:rPr>
        <w:t>.................................................35</w:t>
      </w:r>
    </w:p>
    <w:p>
      <w:pPr>
        <w:widowControl/>
        <w:adjustRightInd w:val="0"/>
        <w:snapToGrid w:val="0"/>
        <w:spacing w:line="440" w:lineRule="exact"/>
        <w:ind w:firstLine="1320" w:firstLineChars="550"/>
        <w:jc w:val="left"/>
        <w:rPr>
          <w:rFonts w:ascii="仿宋" w:hAnsi="仿宋" w:eastAsia="仿宋"/>
          <w:color w:val="auto"/>
          <w:sz w:val="24"/>
          <w:highlight w:val="none"/>
        </w:rPr>
      </w:pPr>
      <w:r>
        <w:rPr>
          <w:rFonts w:ascii="仿宋" w:hAnsi="仿宋" w:eastAsia="仿宋"/>
          <w:color w:val="auto"/>
          <w:sz w:val="24"/>
          <w:highlight w:val="none"/>
        </w:rPr>
        <w:t>(注：</w:t>
      </w:r>
      <w:r>
        <w:rPr>
          <w:rFonts w:hint="eastAsia" w:ascii="仿宋" w:hAnsi="仿宋" w:eastAsia="仿宋"/>
          <w:color w:val="auto"/>
          <w:sz w:val="24"/>
          <w:highlight w:val="none"/>
        </w:rPr>
        <w:t>请</w:t>
      </w:r>
      <w:r>
        <w:rPr>
          <w:rFonts w:hint="eastAsia" w:ascii="仿宋" w:hAnsi="仿宋" w:eastAsia="仿宋"/>
          <w:color w:val="auto"/>
          <w:sz w:val="24"/>
          <w:highlight w:val="none"/>
          <w:lang w:eastAsia="zh-CN"/>
        </w:rPr>
        <w:t>单位</w:t>
      </w:r>
      <w:r>
        <w:rPr>
          <w:rFonts w:hint="eastAsia" w:ascii="仿宋" w:hAnsi="仿宋" w:eastAsia="仿宋"/>
          <w:color w:val="auto"/>
          <w:sz w:val="24"/>
          <w:highlight w:val="none"/>
        </w:rPr>
        <w:t>根据实际注明页码</w:t>
      </w:r>
      <w:r>
        <w:rPr>
          <w:rFonts w:ascii="仿宋" w:hAnsi="仿宋" w:eastAsia="仿宋"/>
          <w:color w:val="auto"/>
          <w:sz w:val="24"/>
          <w:highlight w:val="none"/>
        </w:rPr>
        <w:t>)</w:t>
      </w:r>
    </w:p>
    <w:p>
      <w:pPr>
        <w:widowControl/>
        <w:spacing w:line="440" w:lineRule="exact"/>
        <w:jc w:val="left"/>
        <w:rPr>
          <w:rFonts w:ascii="仿宋" w:hAnsi="仿宋" w:eastAsia="仿宋"/>
          <w:bCs/>
          <w:color w:val="auto"/>
          <w:kern w:val="44"/>
          <w:sz w:val="24"/>
          <w:highlight w:val="none"/>
        </w:rPr>
      </w:pPr>
      <w:bookmarkStart w:id="12" w:name="_Toc15377196"/>
      <w:bookmarkStart w:id="13" w:name="_Toc15396599"/>
      <w:r>
        <w:rPr>
          <w:rFonts w:ascii="仿宋" w:hAnsi="仿宋" w:eastAsia="仿宋"/>
          <w:b/>
          <w:color w:val="auto"/>
          <w:sz w:val="24"/>
          <w:highlight w:val="none"/>
        </w:rPr>
        <w:br w:type="page"/>
      </w:r>
    </w:p>
    <w:p>
      <w:pPr>
        <w:pStyle w:val="3"/>
        <w:jc w:val="center"/>
        <w:rPr>
          <w:rStyle w:val="25"/>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5"/>
          <w:rFonts w:hint="eastAsia" w:ascii="黑体" w:hAnsi="黑体" w:eastAsia="黑体"/>
          <w:b w:val="0"/>
          <w:bCs w:val="0"/>
          <w:color w:val="auto"/>
          <w:highlight w:val="none"/>
        </w:rPr>
        <w:t>概况</w:t>
      </w:r>
      <w:bookmarkEnd w:id="12"/>
      <w:bookmarkEnd w:id="13"/>
    </w:p>
    <w:p>
      <w:pPr>
        <w:widowControl/>
        <w:jc w:val="left"/>
        <w:rPr>
          <w:rFonts w:ascii="黑体" w:eastAsia="黑体"/>
          <w:color w:val="auto"/>
          <w:sz w:val="32"/>
          <w:szCs w:val="32"/>
          <w:highlight w:val="none"/>
        </w:rPr>
      </w:pPr>
    </w:p>
    <w:p>
      <w:pPr>
        <w:pStyle w:val="4"/>
        <w:numPr>
          <w:ilvl w:val="0"/>
          <w:numId w:val="1"/>
        </w:numPr>
        <w:rPr>
          <w:rStyle w:val="26"/>
          <w:rFonts w:hint="eastAsia" w:ascii="黑体" w:hAnsi="黑体" w:eastAsia="黑体"/>
          <w:b w:val="0"/>
          <w:bCs w:val="0"/>
          <w:color w:val="auto"/>
          <w:highlight w:val="none"/>
          <w:lang w:eastAsia="zh-CN"/>
        </w:rPr>
      </w:pPr>
      <w:bookmarkStart w:id="14" w:name="_Toc15377197"/>
      <w:bookmarkStart w:id="15" w:name="_Toc15396600"/>
      <w:r>
        <w:rPr>
          <w:rStyle w:val="26"/>
          <w:rFonts w:hint="eastAsia" w:ascii="黑体" w:hAnsi="黑体" w:eastAsia="黑体"/>
          <w:b w:val="0"/>
          <w:bCs w:val="0"/>
          <w:color w:val="auto"/>
          <w:highlight w:val="none"/>
          <w:lang w:eastAsia="zh-CN"/>
        </w:rPr>
        <w:t>主要职责</w:t>
      </w:r>
    </w:p>
    <w:p>
      <w:pPr>
        <w:pStyle w:val="5"/>
        <w:bidi w:val="0"/>
        <w:rPr>
          <w:rFonts w:hint="eastAsia"/>
        </w:rPr>
      </w:pPr>
      <w:bookmarkStart w:id="16" w:name="_Toc4716"/>
      <w:bookmarkStart w:id="17" w:name="_Toc2847"/>
      <w:r>
        <w:rPr>
          <w:rFonts w:hint="eastAsia"/>
        </w:rPr>
        <w:t>（一）主要职能。</w:t>
      </w:r>
      <w:bookmarkEnd w:id="16"/>
      <w:bookmarkEnd w:id="17"/>
    </w:p>
    <w:p>
      <w:pPr>
        <w:pStyle w:val="11"/>
        <w:adjustRightInd w:val="0"/>
        <w:snapToGrid w:val="0"/>
        <w:spacing w:line="578" w:lineRule="exact"/>
        <w:ind w:left="0" w:leftChars="0" w:firstLine="640" w:firstLineChars="200"/>
        <w:jc w:val="left"/>
        <w:rPr>
          <w:rFonts w:hint="eastAsia" w:ascii="仿宋_GB2312" w:hAnsi="仿宋_GB2312" w:eastAsia="仿宋_GB2312" w:cs="仿宋_GB2312"/>
          <w:bCs/>
          <w:color w:val="000000"/>
          <w:sz w:val="32"/>
          <w:szCs w:val="32"/>
        </w:rPr>
      </w:pPr>
      <w:r>
        <w:rPr>
          <w:rFonts w:hint="eastAsia" w:ascii="Times New Roman" w:hAnsi="Times New Roman" w:eastAsia="仿宋_GB2312" w:cs="Times New Roman"/>
          <w:color w:val="auto"/>
          <w:kern w:val="2"/>
          <w:sz w:val="32"/>
          <w:szCs w:val="32"/>
          <w:lang w:val="en-US" w:eastAsia="zh-CN" w:bidi="ar-SA"/>
        </w:rPr>
        <w:t>贯彻党的路线、方针、政策，执行本级党代会、人民代表大会的决议和县委、</w:t>
      </w:r>
      <w:r>
        <w:rPr>
          <w:rFonts w:hint="eastAsia" w:eastAsia="仿宋_GB2312" w:cs="Times New Roman"/>
          <w:color w:val="auto"/>
          <w:kern w:val="2"/>
          <w:sz w:val="32"/>
          <w:szCs w:val="32"/>
          <w:lang w:val="en-US" w:eastAsia="zh-CN" w:bidi="ar-SA"/>
        </w:rPr>
        <w:t>县</w:t>
      </w:r>
      <w:r>
        <w:rPr>
          <w:rFonts w:hint="eastAsia" w:ascii="Times New Roman" w:hAnsi="Times New Roman" w:eastAsia="仿宋_GB2312" w:cs="Times New Roman"/>
          <w:color w:val="auto"/>
          <w:kern w:val="2"/>
          <w:sz w:val="32"/>
          <w:szCs w:val="32"/>
          <w:lang w:val="en-US" w:eastAsia="zh-CN" w:bidi="ar-SA"/>
        </w:rPr>
        <w:t>政府的决定和命令，承担促进经济发展、加强社会管理、搞好公共服务、维护社会稳定和巩固基层政权，推动物质文明、政治文明、精神文明协调发展。</w:t>
      </w:r>
    </w:p>
    <w:p>
      <w:pPr>
        <w:pStyle w:val="5"/>
        <w:bidi w:val="0"/>
        <w:rPr>
          <w:rFonts w:hint="eastAsia"/>
        </w:rPr>
      </w:pPr>
      <w:bookmarkStart w:id="18" w:name="_Toc538"/>
      <w:bookmarkStart w:id="19" w:name="_Toc10080"/>
      <w:r>
        <w:rPr>
          <w:rFonts w:hint="eastAsia"/>
        </w:rPr>
        <w:t>（二）202</w:t>
      </w:r>
      <w:r>
        <w:rPr>
          <w:rFonts w:hint="eastAsia"/>
          <w:lang w:val="en-US" w:eastAsia="zh-CN"/>
        </w:rPr>
        <w:t>2</w:t>
      </w:r>
      <w:r>
        <w:rPr>
          <w:rFonts w:hint="eastAsia"/>
        </w:rPr>
        <w:t>年重点工作完成情况</w:t>
      </w:r>
      <w:bookmarkEnd w:id="18"/>
      <w:bookmarkEnd w:id="19"/>
    </w:p>
    <w:p>
      <w:pPr>
        <w:pageBreakBefore w:val="0"/>
        <w:numPr>
          <w:ilvl w:val="0"/>
          <w:numId w:val="0"/>
        </w:numPr>
        <w:kinsoku/>
        <w:wordWrap/>
        <w:overflowPunct/>
        <w:topLinePunct w:val="0"/>
        <w:autoSpaceDE/>
        <w:autoSpaceDN/>
        <w:bidi w:val="0"/>
        <w:spacing w:line="578" w:lineRule="exact"/>
        <w:ind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1、加快对各村乡村振兴战略的建设，突出产业结构调整，推进农业产业转型升级。突出转型创新，促进经济发展提质增效。充分利用各种政策支持，发展相关产业。　</w:t>
      </w:r>
    </w:p>
    <w:p>
      <w:pPr>
        <w:pageBreakBefore w:val="0"/>
        <w:numPr>
          <w:ilvl w:val="0"/>
          <w:numId w:val="0"/>
        </w:numPr>
        <w:kinsoku/>
        <w:wordWrap/>
        <w:overflowPunct/>
        <w:topLinePunct w:val="0"/>
        <w:autoSpaceDE/>
        <w:autoSpaceDN/>
        <w:bidi w:val="0"/>
        <w:spacing w:line="578" w:lineRule="exact"/>
        <w:ind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2、发展科教文卫、广电体育事业、计生工作；加强民政、社会保障福利事业和养老保险等工作。强化乡财政的监督职能，加强运维资金、一事一议、项目资金和农村“三资”监管，实现国有资产、集体资产保值增值，推进村级一事一议项目有序推进，加快农村道路建设。</w:t>
      </w:r>
    </w:p>
    <w:p>
      <w:pPr>
        <w:pStyle w:val="6"/>
        <w:pageBreakBefore w:val="0"/>
        <w:kinsoku/>
        <w:wordWrap/>
        <w:overflowPunct/>
        <w:topLinePunct w:val="0"/>
        <w:autoSpaceDE/>
        <w:autoSpaceDN/>
        <w:bidi w:val="0"/>
        <w:adjustRightInd w:val="0"/>
        <w:snapToGrid w:val="0"/>
        <w:spacing w:before="93" w:line="578" w:lineRule="exact"/>
        <w:ind w:firstLine="672" w:firstLineChars="210"/>
        <w:textAlignment w:val="auto"/>
        <w:outlineLvl w:val="2"/>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bookmarkStart w:id="20" w:name="_Toc30099"/>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3、完善乡场镇基础设施建设，改善场镇的周边环境。</w:t>
      </w:r>
      <w:bookmarkEnd w:id="20"/>
    </w:p>
    <w:p>
      <w:pPr>
        <w:rPr>
          <w:rFonts w:hint="eastAsia"/>
        </w:rPr>
      </w:pPr>
    </w:p>
    <w:p>
      <w:pPr>
        <w:rPr>
          <w:rFonts w:hint="eastAsia"/>
          <w:lang w:eastAsia="zh-CN"/>
        </w:rPr>
      </w:pPr>
    </w:p>
    <w:p>
      <w:pPr>
        <w:pStyle w:val="4"/>
        <w:numPr>
          <w:ilvl w:val="0"/>
          <w:numId w:val="0"/>
        </w:numPr>
        <w:rPr>
          <w:rFonts w:hint="eastAsia" w:ascii="黑体" w:hAnsi="黑体" w:eastAsia="黑体"/>
          <w:b w:val="0"/>
          <w:color w:val="auto"/>
          <w:highlight w:val="none"/>
          <w:lang w:val="en-US" w:eastAsia="zh-CN"/>
        </w:rPr>
      </w:pPr>
      <w:r>
        <w:rPr>
          <w:rFonts w:hint="eastAsia" w:ascii="黑体" w:hAnsi="黑体" w:eastAsia="黑体"/>
          <w:b w:val="0"/>
          <w:color w:val="auto"/>
          <w:highlight w:val="none"/>
          <w:lang w:val="en-US" w:eastAsia="zh-CN"/>
        </w:rPr>
        <w:t>二、机构设置</w:t>
      </w:r>
    </w:p>
    <w:p>
      <w:pPr>
        <w:pStyle w:val="16"/>
        <w:ind w:firstLine="640" w:firstLineChars="200"/>
        <w:rPr>
          <w:rFonts w:hint="default"/>
          <w:lang w:val="en-US" w:eastAsia="zh-CN"/>
        </w:rPr>
      </w:pP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杨通乡</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人民政府下属二级预算单位</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0</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个，其中行政单位</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0</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个，事业单位</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0</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个。</w:t>
      </w:r>
    </w:p>
    <w:p>
      <w:pPr>
        <w:widowControl/>
        <w:jc w:val="left"/>
        <w:rPr>
          <w:rFonts w:ascii="仿宋" w:hAnsi="仿宋" w:eastAsia="仿宋"/>
          <w:color w:val="auto"/>
          <w:kern w:val="0"/>
          <w:sz w:val="32"/>
          <w:szCs w:val="32"/>
          <w:highlight w:val="none"/>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br w:type="page"/>
      </w:r>
      <w:bookmarkEnd w:id="14"/>
      <w:bookmarkEnd w:id="15"/>
    </w:p>
    <w:p>
      <w:pPr>
        <w:pStyle w:val="3"/>
        <w:ind w:right="440"/>
        <w:jc w:val="center"/>
        <w:rPr>
          <w:rStyle w:val="25"/>
          <w:rFonts w:ascii="黑体" w:hAnsi="黑体" w:eastAsia="黑体"/>
          <w:b w:val="0"/>
          <w:bCs/>
          <w:color w:val="auto"/>
          <w:highlight w:val="none"/>
        </w:rPr>
      </w:pPr>
      <w:bookmarkStart w:id="21" w:name="_Toc15396602"/>
      <w:bookmarkStart w:id="22"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5"/>
          <w:rFonts w:hint="eastAsia" w:ascii="黑体" w:hAnsi="黑体" w:eastAsia="黑体"/>
          <w:b w:val="0"/>
          <w:bCs/>
          <w:color w:val="auto"/>
          <w:highlight w:val="none"/>
          <w:lang w:eastAsia="zh-CN"/>
        </w:rPr>
        <w:t>单位</w:t>
      </w:r>
      <w:r>
        <w:rPr>
          <w:rStyle w:val="25"/>
          <w:rFonts w:hint="eastAsia" w:ascii="黑体" w:hAnsi="黑体" w:eastAsia="黑体"/>
          <w:b w:val="0"/>
          <w:bCs/>
          <w:color w:val="auto"/>
          <w:highlight w:val="none"/>
        </w:rPr>
        <w:t>决算情况说明</w:t>
      </w:r>
      <w:bookmarkEnd w:id="21"/>
      <w:bookmarkEnd w:id="22"/>
    </w:p>
    <w:p>
      <w:pPr>
        <w:rPr>
          <w:color w:val="auto"/>
          <w:highlight w:val="none"/>
        </w:rPr>
      </w:pPr>
    </w:p>
    <w:p>
      <w:pPr>
        <w:pStyle w:val="24"/>
        <w:numPr>
          <w:ilvl w:val="0"/>
          <w:numId w:val="2"/>
        </w:numPr>
        <w:spacing w:line="600" w:lineRule="exact"/>
        <w:ind w:firstLineChars="0"/>
        <w:outlineLvl w:val="1"/>
        <w:rPr>
          <w:rStyle w:val="26"/>
          <w:rFonts w:ascii="黑体" w:hAnsi="黑体" w:eastAsia="黑体"/>
          <w:b w:val="0"/>
          <w:color w:val="auto"/>
          <w:highlight w:val="none"/>
        </w:rPr>
      </w:pPr>
      <w:bookmarkStart w:id="23" w:name="_Toc15396603"/>
      <w:bookmarkStart w:id="24" w:name="_Toc15377205"/>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入支出决算总体情况说明</w:t>
      </w:r>
      <w:bookmarkEnd w:id="23"/>
      <w:bookmarkEnd w:id="24"/>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w:t>
      </w:r>
      <w:r>
        <w:rPr>
          <w:rFonts w:hint="eastAsia" w:ascii="Times New Roman" w:hAnsi="Times New Roman" w:eastAsia="仿宋_GB2312" w:cs="Times New Roman"/>
          <w:color w:val="auto"/>
          <w:sz w:val="32"/>
          <w:szCs w:val="32"/>
          <w:highlight w:val="none"/>
        </w:rPr>
        <w:t>收入</w:t>
      </w:r>
      <w:r>
        <w:rPr>
          <w:rFonts w:hint="eastAsia" w:ascii="仿宋" w:hAnsi="仿宋" w:eastAsia="仿宋"/>
          <w:color w:val="auto"/>
          <w:sz w:val="32"/>
          <w:szCs w:val="32"/>
          <w:highlight w:val="none"/>
        </w:rPr>
        <w:t>总计</w:t>
      </w:r>
      <w:r>
        <w:rPr>
          <w:rFonts w:hint="eastAsia" w:ascii="仿宋" w:hAnsi="仿宋" w:eastAsia="仿宋"/>
          <w:color w:val="auto"/>
          <w:sz w:val="32"/>
          <w:szCs w:val="32"/>
          <w:highlight w:val="none"/>
          <w:lang w:val="en-US" w:eastAsia="zh-CN"/>
        </w:rPr>
        <w:t>899.85</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年相比，减少</w:t>
      </w:r>
      <w:r>
        <w:rPr>
          <w:rFonts w:hint="eastAsia" w:ascii="仿宋" w:hAnsi="仿宋" w:eastAsia="仿宋"/>
          <w:color w:val="auto"/>
          <w:sz w:val="32"/>
          <w:szCs w:val="32"/>
          <w:highlight w:val="none"/>
          <w:lang w:val="en-US" w:eastAsia="zh-CN"/>
        </w:rPr>
        <w:t>303.39</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13.83</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Times New Roman" w:hAnsi="Times New Roman" w:eastAsia="仿宋_GB2312" w:cs="Times New Roman"/>
          <w:color w:val="auto"/>
          <w:sz w:val="32"/>
          <w:szCs w:val="32"/>
          <w:highlight w:val="none"/>
          <w:lang w:val="en-US" w:eastAsia="zh-CN"/>
        </w:rPr>
        <w:t>项目经费减少。2</w:t>
      </w:r>
      <w:r>
        <w:rPr>
          <w:rFonts w:hint="eastAsia" w:ascii="仿宋" w:hAnsi="仿宋" w:eastAsia="仿宋"/>
          <w:color w:val="auto"/>
          <w:sz w:val="32"/>
          <w:szCs w:val="32"/>
          <w:highlight w:val="none"/>
        </w:rPr>
        <w:t>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w:t>
      </w:r>
      <w:r>
        <w:rPr>
          <w:rFonts w:hint="eastAsia" w:ascii="Times New Roman" w:hAnsi="Times New Roman" w:eastAsia="仿宋_GB2312" w:cs="Times New Roman"/>
          <w:color w:val="auto"/>
          <w:sz w:val="32"/>
          <w:szCs w:val="32"/>
          <w:highlight w:val="none"/>
          <w:lang w:eastAsia="zh-CN"/>
        </w:rPr>
        <w:t>支出</w:t>
      </w:r>
      <w:r>
        <w:rPr>
          <w:rFonts w:hint="eastAsia" w:ascii="仿宋" w:hAnsi="仿宋" w:eastAsia="仿宋"/>
          <w:color w:val="auto"/>
          <w:sz w:val="32"/>
          <w:szCs w:val="32"/>
          <w:highlight w:val="none"/>
        </w:rPr>
        <w:t>总计1217.39万元。与20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lang w:val="en-US" w:eastAsia="zh-CN"/>
        </w:rPr>
        <w:t>173.07</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增长</w:t>
      </w:r>
      <w:r>
        <w:rPr>
          <w:rFonts w:hint="eastAsia" w:ascii="仿宋" w:hAnsi="仿宋" w:eastAsia="仿宋"/>
          <w:color w:val="auto"/>
          <w:sz w:val="32"/>
          <w:szCs w:val="32"/>
          <w:highlight w:val="none"/>
          <w:lang w:val="en-US" w:eastAsia="zh-CN"/>
        </w:rPr>
        <w:t>16.57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Times New Roman" w:hAnsi="Times New Roman" w:eastAsia="仿宋_GB2312" w:cs="Times New Roman"/>
          <w:color w:val="auto"/>
          <w:sz w:val="32"/>
          <w:szCs w:val="32"/>
          <w:highlight w:val="none"/>
          <w:lang w:val="en-US" w:eastAsia="zh-CN"/>
        </w:rPr>
        <w:t>人员增加，基本支出增加。</w:t>
      </w:r>
    </w:p>
    <w:p>
      <w:pPr>
        <w:pStyle w:val="16"/>
        <w:snapToGrid/>
        <w:spacing w:after="471" w:afterLines="150" w:afterAutospacing="0" w:line="360" w:lineRule="auto"/>
      </w:pPr>
      <w:r>
        <w:rPr>
          <w:rFonts w:hint="eastAsia" w:ascii="仿宋" w:hAnsi="仿宋" w:eastAsia="仿宋"/>
          <w:color w:val="auto"/>
          <w:sz w:val="32"/>
          <w:szCs w:val="32"/>
          <w:highlight w:val="none"/>
          <w:lang w:eastAsia="zh-CN"/>
        </w:rPr>
        <w:drawing>
          <wp:anchor distT="0" distB="0" distL="114300" distR="114300" simplePos="0" relativeHeight="251659264" behindDoc="0" locked="0" layoutInCell="1" allowOverlap="1">
            <wp:simplePos x="0" y="0"/>
            <wp:positionH relativeFrom="column">
              <wp:posOffset>5080</wp:posOffset>
            </wp:positionH>
            <wp:positionV relativeFrom="paragraph">
              <wp:posOffset>84455</wp:posOffset>
            </wp:positionV>
            <wp:extent cx="5256530" cy="2988310"/>
            <wp:effectExtent l="5080" t="4445" r="15240" b="17145"/>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color w:val="auto"/>
          <w:sz w:val="32"/>
          <w:szCs w:val="32"/>
          <w:highlight w:val="none"/>
          <w:lang w:val="en-US" w:eastAsia="zh-CN"/>
        </w:rPr>
        <w:t xml:space="preserve">     </w:t>
      </w: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pStyle w:val="24"/>
        <w:numPr>
          <w:ilvl w:val="0"/>
          <w:numId w:val="2"/>
        </w:numPr>
        <w:spacing w:line="600" w:lineRule="exact"/>
        <w:ind w:firstLineChars="0"/>
        <w:outlineLvl w:val="1"/>
        <w:rPr>
          <w:rStyle w:val="26"/>
          <w:rFonts w:ascii="黑体" w:hAnsi="黑体" w:eastAsia="黑体"/>
          <w:b w:val="0"/>
          <w:color w:val="auto"/>
          <w:highlight w:val="none"/>
        </w:rPr>
      </w:pPr>
      <w:bookmarkStart w:id="25" w:name="_Toc15377206"/>
      <w:bookmarkStart w:id="26" w:name="_Toc15396604"/>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入决算情况说明</w:t>
      </w:r>
      <w:bookmarkEnd w:id="25"/>
      <w:bookmarkEnd w:id="26"/>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899.85</w:t>
      </w:r>
      <w:r>
        <w:rPr>
          <w:rFonts w:hint="eastAsia" w:ascii="仿宋" w:hAnsi="仿宋" w:eastAsia="仿宋"/>
          <w:color w:val="auto"/>
          <w:sz w:val="32"/>
          <w:szCs w:val="32"/>
          <w:highlight w:val="none"/>
        </w:rPr>
        <w:t>万元，其中：一般公共预算财政拨款收入740.93万元，占</w:t>
      </w:r>
      <w:r>
        <w:rPr>
          <w:rFonts w:hint="eastAsia" w:ascii="仿宋" w:hAnsi="仿宋" w:eastAsia="仿宋"/>
          <w:color w:val="auto"/>
          <w:sz w:val="32"/>
          <w:szCs w:val="32"/>
          <w:highlight w:val="none"/>
          <w:lang w:val="en-US" w:eastAsia="zh-CN"/>
        </w:rPr>
        <w:t>82.34</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；政府性基金预算财政拨款收入158.92万元，占</w:t>
      </w:r>
      <w:r>
        <w:rPr>
          <w:rFonts w:hint="eastAsia" w:ascii="仿宋" w:hAnsi="仿宋" w:eastAsia="仿宋"/>
          <w:color w:val="auto"/>
          <w:sz w:val="32"/>
          <w:szCs w:val="32"/>
          <w:highlight w:val="none"/>
          <w:lang w:val="en-US" w:eastAsia="zh-CN"/>
        </w:rPr>
        <w:t>17.66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3" w:firstLineChars="200"/>
        <w:outlineLvl w:val="1"/>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01表</w:t>
      </w:r>
      <w:r>
        <w:rPr>
          <w:rFonts w:hint="eastAsia" w:ascii="仿宋" w:hAnsi="仿宋" w:eastAsia="仿宋"/>
          <w:b/>
          <w:color w:val="auto"/>
          <w:sz w:val="32"/>
          <w:szCs w:val="32"/>
          <w:highlight w:val="none"/>
          <w:lang w:eastAsia="zh-CN"/>
        </w:rPr>
        <w:t>，仅罗列本单位涉及的收入。</w:t>
      </w:r>
      <w:r>
        <w:rPr>
          <w:rFonts w:ascii="仿宋" w:hAnsi="仿宋" w:eastAsia="仿宋"/>
          <w:b/>
          <w:color w:val="auto"/>
          <w:sz w:val="32"/>
          <w:szCs w:val="32"/>
          <w:highlight w:val="none"/>
        </w:rPr>
        <w:t>）</w:t>
      </w:r>
    </w:p>
    <w:p>
      <w:pPr>
        <w:pStyle w:val="16"/>
        <w:rPr>
          <w:rFonts w:ascii="仿宋" w:hAnsi="仿宋" w:eastAsia="仿宋"/>
          <w:color w:val="auto"/>
          <w:sz w:val="32"/>
          <w:szCs w:val="32"/>
          <w:highlight w:val="none"/>
        </w:rPr>
      </w:pPr>
    </w:p>
    <w:p>
      <w:r>
        <w:rPr>
          <w:rFonts w:hint="eastAsia" w:ascii="仿宋" w:hAnsi="仿宋" w:eastAsia="仿宋"/>
          <w:color w:val="auto"/>
          <w:sz w:val="32"/>
          <w:szCs w:val="32"/>
          <w:highlight w:val="none"/>
          <w:lang w:eastAsia="zh-CN"/>
        </w:rPr>
        <w:drawing>
          <wp:inline distT="0" distB="0" distL="114300" distR="114300">
            <wp:extent cx="5256530" cy="2988310"/>
            <wp:effectExtent l="5080" t="4445" r="15240" b="1714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1600" w:firstLineChars="500"/>
        <w:rPr>
          <w:rFonts w:hint="eastAsia" w:ascii="仿宋" w:hAnsi="仿宋" w:eastAsia="仿宋"/>
          <w:color w:val="auto"/>
          <w:sz w:val="32"/>
          <w:szCs w:val="32"/>
          <w:highlight w:val="none"/>
        </w:rPr>
      </w:pPr>
    </w:p>
    <w:p>
      <w:pPr>
        <w:spacing w:line="600" w:lineRule="exact"/>
        <w:ind w:firstLine="1600" w:firstLineChars="5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（图2：收入决算结构图）（饼状图）</w:t>
      </w:r>
    </w:p>
    <w:p>
      <w:pPr>
        <w:pStyle w:val="16"/>
      </w:pPr>
    </w:p>
    <w:p/>
    <w:p>
      <w:pPr>
        <w:pStyle w:val="24"/>
        <w:numPr>
          <w:ilvl w:val="0"/>
          <w:numId w:val="2"/>
        </w:numPr>
        <w:spacing w:line="600" w:lineRule="exact"/>
        <w:ind w:firstLineChars="0"/>
        <w:outlineLvl w:val="1"/>
        <w:rPr>
          <w:rStyle w:val="26"/>
          <w:rFonts w:ascii="黑体" w:hAnsi="黑体" w:eastAsia="黑体"/>
          <w:b w:val="0"/>
          <w:color w:val="auto"/>
          <w:highlight w:val="none"/>
        </w:rPr>
      </w:pPr>
      <w:bookmarkStart w:id="27" w:name="_Toc15377207"/>
      <w:bookmarkStart w:id="28" w:name="_Toc15396605"/>
      <w:r>
        <w:rPr>
          <w:rFonts w:hint="eastAsia" w:ascii="黑体" w:hAnsi="黑体" w:eastAsia="黑体"/>
          <w:color w:val="auto"/>
          <w:sz w:val="32"/>
          <w:szCs w:val="32"/>
          <w:highlight w:val="none"/>
        </w:rPr>
        <w:t>支</w:t>
      </w:r>
      <w:r>
        <w:rPr>
          <w:rStyle w:val="26"/>
          <w:rFonts w:hint="eastAsia" w:ascii="黑体" w:hAnsi="黑体" w:eastAsia="黑体"/>
          <w:b w:val="0"/>
          <w:color w:val="auto"/>
          <w:highlight w:val="none"/>
        </w:rPr>
        <w:t>出决算情况说明</w:t>
      </w:r>
      <w:bookmarkEnd w:id="27"/>
      <w:bookmarkEnd w:id="28"/>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1217.39</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638.07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52.41</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579.32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47.59</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3" w:firstLineChars="200"/>
        <w:outlineLvl w:val="1"/>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04</w:t>
      </w:r>
      <w:r>
        <w:rPr>
          <w:rFonts w:hint="eastAsia" w:ascii="仿宋" w:hAnsi="仿宋" w:eastAsia="仿宋"/>
          <w:b/>
          <w:color w:val="auto"/>
          <w:sz w:val="32"/>
          <w:szCs w:val="32"/>
          <w:highlight w:val="none"/>
        </w:rPr>
        <w:t>表</w:t>
      </w:r>
      <w:r>
        <w:rPr>
          <w:rFonts w:hint="eastAsia" w:ascii="仿宋" w:hAnsi="仿宋" w:eastAsia="仿宋"/>
          <w:b/>
          <w:color w:val="auto"/>
          <w:sz w:val="32"/>
          <w:szCs w:val="32"/>
          <w:highlight w:val="none"/>
          <w:lang w:eastAsia="zh-CN"/>
        </w:rPr>
        <w:t>，仅罗列本单位涉及的支出。</w:t>
      </w:r>
      <w:r>
        <w:rPr>
          <w:rFonts w:hint="eastAsia" w:ascii="仿宋" w:hAnsi="仿宋" w:eastAsia="仿宋"/>
          <w:b/>
          <w:color w:val="auto"/>
          <w:sz w:val="32"/>
          <w:szCs w:val="32"/>
          <w:highlight w:val="none"/>
        </w:rPr>
        <w:t>）</w:t>
      </w:r>
    </w:p>
    <w:p>
      <w:pPr>
        <w:spacing w:line="600" w:lineRule="exact"/>
        <w:rPr>
          <w:rFonts w:hint="eastAsia" w:ascii="仿宋" w:hAnsi="仿宋" w:eastAsia="仿宋"/>
          <w:color w:val="auto"/>
          <w:sz w:val="32"/>
          <w:szCs w:val="32"/>
          <w:highlight w:val="none"/>
          <w:shd w:val="pct10" w:color="auto" w:fill="FFFFFF"/>
          <w:lang w:eastAsia="zh-CN"/>
        </w:rPr>
      </w:pPr>
      <w:r>
        <w:rPr>
          <w:rFonts w:hint="eastAsia" w:ascii="仿宋" w:hAnsi="仿宋" w:eastAsia="仿宋"/>
          <w:color w:val="auto"/>
          <w:sz w:val="32"/>
          <w:szCs w:val="32"/>
          <w:highlight w:val="none"/>
          <w:shd w:val="pct10" w:color="auto" w:fill="FFFFFF"/>
          <w:lang w:eastAsia="zh-CN"/>
        </w:rPr>
        <w:drawing>
          <wp:anchor distT="0" distB="0" distL="114300" distR="114300" simplePos="0" relativeHeight="251660288" behindDoc="0" locked="0" layoutInCell="1" allowOverlap="1">
            <wp:simplePos x="0" y="0"/>
            <wp:positionH relativeFrom="column">
              <wp:posOffset>67945</wp:posOffset>
            </wp:positionH>
            <wp:positionV relativeFrom="paragraph">
              <wp:posOffset>242570</wp:posOffset>
            </wp:positionV>
            <wp:extent cx="5256530" cy="2845435"/>
            <wp:effectExtent l="4445" t="4445" r="15875" b="762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jc w:val="center"/>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（图3：支出决算结构图）（饼状图）</w:t>
      </w:r>
    </w:p>
    <w:p>
      <w:pPr>
        <w:pStyle w:val="16"/>
      </w:pPr>
    </w:p>
    <w:p>
      <w:pPr>
        <w:spacing w:line="600" w:lineRule="exact"/>
        <w:ind w:firstLine="640" w:firstLineChars="200"/>
        <w:outlineLvl w:val="1"/>
        <w:rPr>
          <w:rStyle w:val="26"/>
          <w:rFonts w:ascii="黑体" w:hAnsi="黑体" w:eastAsia="黑体"/>
          <w:b w:val="0"/>
          <w:color w:val="auto"/>
          <w:highlight w:val="none"/>
        </w:rPr>
      </w:pPr>
      <w:bookmarkStart w:id="29" w:name="_Toc15396606"/>
      <w:bookmarkStart w:id="30" w:name="_Toc15377208"/>
      <w:r>
        <w:rPr>
          <w:rFonts w:hint="eastAsia" w:ascii="黑体" w:hAnsi="黑体" w:eastAsia="黑体"/>
          <w:color w:val="auto"/>
          <w:sz w:val="32"/>
          <w:szCs w:val="32"/>
          <w:highlight w:val="none"/>
        </w:rPr>
        <w:t>四、财</w:t>
      </w:r>
      <w:r>
        <w:rPr>
          <w:rStyle w:val="26"/>
          <w:rFonts w:hint="eastAsia" w:ascii="黑体" w:hAnsi="黑体" w:eastAsia="黑体"/>
          <w:b w:val="0"/>
          <w:color w:val="auto"/>
          <w:highlight w:val="none"/>
        </w:rPr>
        <w:t>政拨款收入支出决算总体情况说明</w:t>
      </w:r>
      <w:bookmarkEnd w:id="29"/>
      <w:bookmarkEnd w:id="30"/>
    </w:p>
    <w:p>
      <w:pPr>
        <w:spacing w:line="600" w:lineRule="exact"/>
        <w:ind w:firstLine="640"/>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w:t>
      </w:r>
      <w:r>
        <w:rPr>
          <w:rFonts w:hint="eastAsia" w:ascii="仿宋" w:hAnsi="仿宋" w:eastAsia="仿宋"/>
          <w:color w:val="auto"/>
          <w:sz w:val="32"/>
          <w:szCs w:val="32"/>
          <w:highlight w:val="none"/>
          <w:lang w:eastAsia="zh-CN"/>
        </w:rPr>
        <w:t>收入</w:t>
      </w:r>
      <w:r>
        <w:rPr>
          <w:rFonts w:hint="eastAsia" w:ascii="仿宋" w:hAnsi="仿宋" w:eastAsia="仿宋"/>
          <w:color w:val="auto"/>
          <w:sz w:val="32"/>
          <w:szCs w:val="32"/>
          <w:highlight w:val="none"/>
        </w:rPr>
        <w:t>总计899.85万元。与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w:t>
      </w:r>
      <w:r>
        <w:rPr>
          <w:rFonts w:hint="eastAsia" w:ascii="仿宋" w:hAnsi="仿宋" w:eastAsia="仿宋"/>
          <w:color w:val="auto"/>
          <w:sz w:val="32"/>
          <w:szCs w:val="32"/>
          <w:highlight w:val="none"/>
          <w:lang w:eastAsia="zh-CN"/>
        </w:rPr>
        <w:t>入</w:t>
      </w:r>
      <w:r>
        <w:rPr>
          <w:rFonts w:hint="eastAsia" w:ascii="仿宋" w:hAnsi="仿宋" w:eastAsia="仿宋"/>
          <w:color w:val="auto"/>
          <w:sz w:val="32"/>
          <w:szCs w:val="32"/>
          <w:highlight w:val="none"/>
        </w:rPr>
        <w:t>总计减少</w:t>
      </w:r>
      <w:r>
        <w:rPr>
          <w:rFonts w:hint="eastAsia" w:ascii="仿宋" w:hAnsi="仿宋" w:eastAsia="仿宋"/>
          <w:color w:val="auto"/>
          <w:sz w:val="32"/>
          <w:szCs w:val="32"/>
          <w:highlight w:val="none"/>
          <w:lang w:val="en-US" w:eastAsia="zh-CN"/>
        </w:rPr>
        <w:t>144.47</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13.83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Times New Roman" w:hAnsi="Times New Roman" w:eastAsia="仿宋_GB2312" w:cs="Times New Roman"/>
          <w:color w:val="auto"/>
          <w:sz w:val="32"/>
          <w:szCs w:val="32"/>
          <w:highlight w:val="none"/>
        </w:rPr>
        <w:t>本年度财政拨款总支出合计</w:t>
      </w:r>
      <w:r>
        <w:rPr>
          <w:rFonts w:hint="eastAsia" w:eastAsia="仿宋_GB2312" w:cs="Times New Roman"/>
          <w:color w:val="auto"/>
          <w:sz w:val="32"/>
          <w:szCs w:val="32"/>
          <w:highlight w:val="none"/>
          <w:lang w:val="en-US" w:eastAsia="zh-CN"/>
        </w:rPr>
        <w:t>1217.39</w:t>
      </w:r>
      <w:r>
        <w:rPr>
          <w:rFonts w:hint="eastAsia" w:ascii="Times New Roman" w:hAnsi="Times New Roman" w:eastAsia="仿宋_GB2312" w:cs="Times New Roman"/>
          <w:color w:val="auto"/>
          <w:sz w:val="32"/>
          <w:szCs w:val="32"/>
          <w:highlight w:val="none"/>
        </w:rPr>
        <w:t>万元，</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总计</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lang w:val="en-US" w:eastAsia="zh-CN"/>
        </w:rPr>
        <w:t>173.07</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增长</w:t>
      </w:r>
      <w:r>
        <w:rPr>
          <w:rFonts w:hint="eastAsia" w:ascii="仿宋" w:hAnsi="仿宋" w:eastAsia="仿宋"/>
          <w:color w:val="auto"/>
          <w:sz w:val="32"/>
          <w:szCs w:val="32"/>
          <w:highlight w:val="none"/>
          <w:lang w:val="en-US" w:eastAsia="zh-CN"/>
        </w:rPr>
        <w:t>16.57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Times New Roman" w:hAnsi="Times New Roman" w:eastAsia="仿宋_GB2312" w:cs="Times New Roman"/>
          <w:color w:val="auto"/>
          <w:sz w:val="32"/>
          <w:szCs w:val="32"/>
          <w:highlight w:val="none"/>
        </w:rPr>
        <w:t>人员变动经费增加、政府性基础设施建设项目和对企业补助项目</w:t>
      </w:r>
      <w:r>
        <w:rPr>
          <w:rFonts w:hint="eastAsia" w:eastAsia="仿宋_GB2312" w:cs="Times New Roman"/>
          <w:color w:val="auto"/>
          <w:sz w:val="32"/>
          <w:szCs w:val="32"/>
          <w:highlight w:val="none"/>
          <w:lang w:eastAsia="zh-CN"/>
        </w:rPr>
        <w:t>减少</w:t>
      </w:r>
      <w:r>
        <w:rPr>
          <w:rFonts w:hint="eastAsia" w:ascii="Times New Roman" w:hAnsi="Times New Roman" w:eastAsia="仿宋_GB2312" w:cs="Times New Roman"/>
          <w:color w:val="auto"/>
          <w:sz w:val="32"/>
          <w:szCs w:val="32"/>
          <w:highlight w:val="none"/>
        </w:rPr>
        <w:t>。</w:t>
      </w: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01-1</w:t>
      </w:r>
      <w:r>
        <w:rPr>
          <w:rFonts w:hint="eastAsia" w:ascii="仿宋" w:hAnsi="仿宋" w:eastAsia="仿宋"/>
          <w:b/>
          <w:color w:val="auto"/>
          <w:sz w:val="32"/>
          <w:szCs w:val="32"/>
          <w:highlight w:val="none"/>
        </w:rPr>
        <w:t>表</w:t>
      </w:r>
      <w:r>
        <w:rPr>
          <w:rFonts w:ascii="仿宋" w:hAnsi="仿宋" w:eastAsia="仿宋"/>
          <w:b/>
          <w:color w:val="auto"/>
          <w:sz w:val="32"/>
          <w:szCs w:val="32"/>
          <w:highlight w:val="none"/>
        </w:rPr>
        <w:t>）</w:t>
      </w:r>
    </w:p>
    <w:p>
      <w:pPr>
        <w:spacing w:line="600" w:lineRule="exact"/>
        <w:rPr>
          <w:rFonts w:hint="eastAsia" w:ascii="仿宋" w:hAnsi="仿宋" w:eastAsia="仿宋"/>
          <w:color w:val="auto"/>
          <w:sz w:val="32"/>
          <w:szCs w:val="32"/>
          <w:highlight w:val="none"/>
          <w:lang w:eastAsia="zh-CN"/>
        </w:rPr>
      </w:pPr>
    </w:p>
    <w:p>
      <w:pPr>
        <w:spacing w:line="600" w:lineRule="exact"/>
        <w:rPr>
          <w:rFonts w:hint="eastAsia" w:ascii="仿宋" w:hAnsi="仿宋" w:eastAsia="仿宋"/>
          <w:color w:val="auto"/>
          <w:sz w:val="32"/>
          <w:szCs w:val="32"/>
          <w:highlight w:val="none"/>
        </w:rPr>
      </w:pPr>
    </w:p>
    <w:p>
      <w:pPr>
        <w:pStyle w:val="16"/>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inline distT="0" distB="0" distL="114300" distR="114300">
            <wp:extent cx="5218430" cy="2827020"/>
            <wp:effectExtent l="4445" t="4445" r="15875" b="698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16"/>
        <w:rPr>
          <w:rFonts w:hint="eastAsia"/>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spacing w:line="600" w:lineRule="exact"/>
        <w:ind w:firstLine="640"/>
        <w:rPr>
          <w:rFonts w:ascii="仿宋" w:hAnsi="仿宋" w:eastAsia="仿宋"/>
          <w:b/>
          <w:color w:val="auto"/>
          <w:sz w:val="32"/>
          <w:szCs w:val="32"/>
          <w:highlight w:val="none"/>
        </w:rPr>
      </w:pPr>
    </w:p>
    <w:p>
      <w:pPr>
        <w:spacing w:line="600" w:lineRule="exact"/>
        <w:ind w:firstLine="640" w:firstLineChars="200"/>
        <w:outlineLvl w:val="1"/>
        <w:rPr>
          <w:rStyle w:val="26"/>
          <w:rFonts w:ascii="黑体" w:hAnsi="黑体" w:eastAsia="黑体"/>
          <w:b w:val="0"/>
          <w:color w:val="auto"/>
          <w:highlight w:val="none"/>
        </w:rPr>
      </w:pPr>
      <w:bookmarkStart w:id="31" w:name="_Toc15396607"/>
      <w:bookmarkStart w:id="32"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般公共预算财政拨款支出决算情况说明</w:t>
      </w:r>
      <w:bookmarkEnd w:id="31"/>
      <w:bookmarkEnd w:id="32"/>
    </w:p>
    <w:p>
      <w:pPr>
        <w:spacing w:line="600" w:lineRule="exact"/>
        <w:ind w:firstLine="643" w:firstLineChars="200"/>
        <w:outlineLvl w:val="2"/>
        <w:rPr>
          <w:rFonts w:ascii="仿宋" w:hAnsi="仿宋" w:eastAsia="仿宋"/>
          <w:b/>
          <w:color w:val="auto"/>
          <w:sz w:val="32"/>
          <w:szCs w:val="32"/>
          <w:highlight w:val="none"/>
        </w:rPr>
      </w:pPr>
      <w:bookmarkStart w:id="33" w:name="_Toc15377210"/>
      <w:r>
        <w:rPr>
          <w:rFonts w:hint="eastAsia" w:ascii="仿宋" w:hAnsi="仿宋" w:eastAsia="仿宋"/>
          <w:b/>
          <w:color w:val="auto"/>
          <w:sz w:val="32"/>
          <w:szCs w:val="32"/>
          <w:highlight w:val="none"/>
        </w:rPr>
        <w:t>（一）一般公共预算财政拨款支出决算总体情况</w:t>
      </w:r>
      <w:bookmarkEnd w:id="33"/>
    </w:p>
    <w:p>
      <w:pPr>
        <w:spacing w:line="600" w:lineRule="exact"/>
        <w:ind w:firstLine="640" w:firstLineChars="200"/>
        <w:rPr>
          <w:rFonts w:hint="eastAsia" w:ascii="Times New Roman" w:hAnsi="Times New Roman" w:eastAsia="仿宋_GB2312" w:cs="Times New Roman"/>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1217.39</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支出增加</w:t>
      </w:r>
      <w:r>
        <w:rPr>
          <w:rFonts w:hint="eastAsia" w:ascii="仿宋" w:hAnsi="仿宋" w:eastAsia="仿宋"/>
          <w:color w:val="auto"/>
          <w:sz w:val="32"/>
          <w:szCs w:val="32"/>
          <w:highlight w:val="none"/>
          <w:lang w:val="en-US" w:eastAsia="zh-CN"/>
        </w:rPr>
        <w:t>173.07</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增长</w:t>
      </w:r>
      <w:r>
        <w:rPr>
          <w:rFonts w:hint="eastAsia" w:ascii="仿宋" w:hAnsi="仿宋" w:eastAsia="仿宋"/>
          <w:color w:val="auto"/>
          <w:sz w:val="32"/>
          <w:szCs w:val="32"/>
          <w:highlight w:val="none"/>
          <w:lang w:val="en-US" w:eastAsia="zh-CN"/>
        </w:rPr>
        <w:t>16.57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Times New Roman" w:hAnsi="Times New Roman" w:eastAsia="仿宋_GB2312" w:cs="Times New Roman"/>
          <w:color w:val="auto"/>
          <w:sz w:val="32"/>
          <w:szCs w:val="32"/>
          <w:highlight w:val="none"/>
        </w:rPr>
        <w:t>人员变动经费增加、政府性基础设施建设项目和对企业补助项目</w:t>
      </w:r>
      <w:r>
        <w:rPr>
          <w:rFonts w:hint="eastAsia" w:eastAsia="仿宋_GB2312" w:cs="Times New Roman"/>
          <w:color w:val="auto"/>
          <w:sz w:val="32"/>
          <w:szCs w:val="32"/>
          <w:highlight w:val="none"/>
          <w:lang w:eastAsia="zh-CN"/>
        </w:rPr>
        <w:t>减少</w:t>
      </w:r>
      <w:r>
        <w:rPr>
          <w:rFonts w:hint="eastAsia" w:ascii="Times New Roman" w:hAnsi="Times New Roman" w:eastAsia="仿宋_GB2312" w:cs="Times New Roman"/>
          <w:color w:val="auto"/>
          <w:sz w:val="32"/>
          <w:szCs w:val="32"/>
          <w:highlight w:val="none"/>
        </w:rPr>
        <w:t>。</w:t>
      </w:r>
    </w:p>
    <w:p>
      <w:pPr>
        <w:pStyle w:val="16"/>
        <w:rPr>
          <w:rFonts w:hint="eastAsia" w:ascii="Times New Roman" w:hAnsi="Times New Roman" w:eastAsia="仿宋_GB2312" w:cs="Times New Roman"/>
          <w:color w:val="auto"/>
          <w:sz w:val="32"/>
          <w:szCs w:val="32"/>
          <w:highlight w:val="none"/>
        </w:rPr>
      </w:pPr>
    </w:p>
    <w:p>
      <w:pPr>
        <w:rPr>
          <w:rFonts w:hint="eastAsia" w:ascii="Times New Roman" w:hAnsi="Times New Roman" w:eastAsia="仿宋_GB2312" w:cs="Times New Roman"/>
          <w:color w:val="auto"/>
          <w:sz w:val="32"/>
          <w:szCs w:val="32"/>
          <w:highlight w:val="none"/>
        </w:rPr>
      </w:pPr>
    </w:p>
    <w:p>
      <w:pPr>
        <w:pStyle w:val="16"/>
        <w:rPr>
          <w:rFonts w:hint="eastAsia" w:ascii="Times New Roman" w:hAnsi="Times New Roman" w:eastAsia="仿宋_GB2312" w:cs="Times New Roman"/>
          <w:color w:val="auto"/>
          <w:sz w:val="32"/>
          <w:szCs w:val="32"/>
          <w:highlight w:val="none"/>
        </w:rPr>
      </w:pPr>
    </w:p>
    <w:p>
      <w:pP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drawing>
          <wp:inline distT="0" distB="0" distL="114300" distR="114300">
            <wp:extent cx="5256530" cy="3216275"/>
            <wp:effectExtent l="4445" t="4445" r="15875" b="1778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34" w:name="_Toc15377211"/>
      <w:r>
        <w:rPr>
          <w:rFonts w:hint="eastAsia" w:ascii="仿宋" w:hAnsi="仿宋" w:eastAsia="仿宋"/>
          <w:b/>
          <w:color w:val="auto"/>
          <w:sz w:val="32"/>
          <w:szCs w:val="32"/>
          <w:highlight w:val="none"/>
        </w:rPr>
        <w:t>（二）一般公共预算财政拨款支出决算结构情况</w:t>
      </w:r>
      <w:bookmarkEnd w:id="34"/>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1217.39</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w:t>
      </w:r>
      <w:r>
        <w:rPr>
          <w:rFonts w:hint="eastAsia" w:ascii="Times New Roman" w:hAnsi="Times New Roman" w:eastAsia="仿宋_GB2312" w:cs="Times New Roman"/>
          <w:color w:val="auto"/>
          <w:sz w:val="32"/>
          <w:szCs w:val="32"/>
          <w:highlight w:val="none"/>
        </w:rPr>
        <w:t>（类）</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252.54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20.74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文化旅游体育与传媒</w:t>
      </w:r>
      <w:r>
        <w:rPr>
          <w:rFonts w:hint="eastAsia" w:ascii="Times New Roman" w:hAnsi="Times New Roman" w:eastAsia="仿宋_GB2312" w:cs="Times New Roman"/>
          <w:color w:val="auto"/>
          <w:sz w:val="32"/>
          <w:szCs w:val="32"/>
          <w:highlight w:val="none"/>
        </w:rPr>
        <w:t>（类）</w:t>
      </w:r>
      <w:r>
        <w:rPr>
          <w:rFonts w:hint="eastAsia" w:ascii="仿宋" w:hAnsi="仿宋" w:eastAsia="仿宋"/>
          <w:b/>
          <w:bCs/>
          <w:color w:val="auto"/>
          <w:sz w:val="32"/>
          <w:szCs w:val="32"/>
          <w:highlight w:val="none"/>
        </w:rPr>
        <w:t>支出</w:t>
      </w:r>
      <w:r>
        <w:rPr>
          <w:rFonts w:hint="eastAsia" w:ascii="仿宋" w:hAnsi="仿宋" w:eastAsia="仿宋"/>
          <w:b/>
          <w:bCs/>
          <w:color w:val="auto"/>
          <w:sz w:val="32"/>
          <w:szCs w:val="32"/>
          <w:highlight w:val="none"/>
          <w:lang w:val="en-US" w:eastAsia="zh-CN"/>
        </w:rPr>
        <w:t>3</w:t>
      </w:r>
      <w:r>
        <w:rPr>
          <w:rFonts w:hint="eastAsia" w:ascii="仿宋" w:hAnsi="仿宋" w:eastAsia="仿宋"/>
          <w:b/>
          <w:bCs/>
          <w:color w:val="auto"/>
          <w:sz w:val="32"/>
          <w:szCs w:val="32"/>
          <w:highlight w:val="none"/>
        </w:rPr>
        <w:t>万元，占</w:t>
      </w:r>
      <w:r>
        <w:rPr>
          <w:rFonts w:hint="eastAsia" w:ascii="仿宋" w:hAnsi="仿宋" w:eastAsia="仿宋"/>
          <w:b/>
          <w:bCs/>
          <w:color w:val="auto"/>
          <w:sz w:val="32"/>
          <w:szCs w:val="32"/>
          <w:highlight w:val="none"/>
          <w:lang w:val="en-US" w:eastAsia="zh-CN"/>
        </w:rPr>
        <w:t>0.25</w:t>
      </w:r>
      <w:r>
        <w:rPr>
          <w:rFonts w:ascii="仿宋" w:hAnsi="仿宋" w:eastAsia="仿宋"/>
          <w:b/>
          <w:bCs/>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Times New Roman" w:hAnsi="Times New Roman" w:eastAsia="仿宋_GB2312" w:cs="Times New Roman"/>
          <w:color w:val="auto"/>
          <w:sz w:val="32"/>
          <w:szCs w:val="32"/>
          <w:highlight w:val="none"/>
        </w:rPr>
        <w:t>（类）</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rPr>
        <w:t>49.58万元，占</w:t>
      </w:r>
      <w:r>
        <w:rPr>
          <w:rFonts w:hint="eastAsia" w:ascii="仿宋" w:hAnsi="仿宋" w:eastAsia="仿宋"/>
          <w:color w:val="auto"/>
          <w:sz w:val="32"/>
          <w:szCs w:val="32"/>
          <w:highlight w:val="none"/>
          <w:lang w:val="en-US" w:eastAsia="zh-CN"/>
        </w:rPr>
        <w:t>4.07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w:t>
      </w:r>
      <w:r>
        <w:rPr>
          <w:rFonts w:hint="eastAsia" w:ascii="Times New Roman" w:hAnsi="Times New Roman" w:eastAsia="仿宋_GB2312" w:cs="Times New Roman"/>
          <w:color w:val="auto"/>
          <w:sz w:val="32"/>
          <w:szCs w:val="32"/>
          <w:highlight w:val="none"/>
        </w:rPr>
        <w:t>（类）</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rPr>
        <w:t>17.43万元，占</w:t>
      </w:r>
      <w:r>
        <w:rPr>
          <w:rFonts w:hint="eastAsia" w:ascii="仿宋" w:hAnsi="仿宋" w:eastAsia="仿宋"/>
          <w:color w:val="auto"/>
          <w:sz w:val="32"/>
          <w:szCs w:val="32"/>
          <w:highlight w:val="none"/>
          <w:lang w:val="en-US" w:eastAsia="zh-CN"/>
        </w:rPr>
        <w:t>1.43</w:t>
      </w:r>
      <w:r>
        <w:rPr>
          <w:rFonts w:ascii="仿宋" w:hAnsi="仿宋" w:eastAsia="仿宋"/>
          <w:color w:val="auto"/>
          <w:sz w:val="32"/>
          <w:szCs w:val="32"/>
          <w:highlight w:val="none"/>
        </w:rPr>
        <w:t>%</w:t>
      </w:r>
      <w:r>
        <w:rPr>
          <w:rFonts w:hint="eastAsia" w:ascii="仿宋" w:hAnsi="仿宋" w:eastAsia="仿宋"/>
          <w:color w:val="auto"/>
          <w:sz w:val="32"/>
          <w:szCs w:val="32"/>
          <w:highlight w:val="none"/>
        </w:rPr>
        <w:t>；城乡社区</w:t>
      </w:r>
      <w:r>
        <w:rPr>
          <w:rFonts w:hint="eastAsia" w:ascii="Times New Roman" w:hAnsi="Times New Roman" w:eastAsia="仿宋_GB2312" w:cs="Times New Roman"/>
          <w:color w:val="auto"/>
          <w:sz w:val="32"/>
          <w:szCs w:val="32"/>
          <w:highlight w:val="none"/>
        </w:rPr>
        <w:t>（类）</w:t>
      </w:r>
      <w:r>
        <w:rPr>
          <w:rFonts w:hint="eastAsia" w:ascii="仿宋" w:hAnsi="仿宋" w:eastAsia="仿宋"/>
          <w:color w:val="auto"/>
          <w:sz w:val="32"/>
          <w:szCs w:val="32"/>
          <w:highlight w:val="none"/>
        </w:rPr>
        <w:t>支出178.96万元，占</w:t>
      </w:r>
      <w:r>
        <w:rPr>
          <w:rFonts w:hint="eastAsia" w:ascii="仿宋" w:hAnsi="仿宋" w:eastAsia="仿宋"/>
          <w:color w:val="auto"/>
          <w:sz w:val="32"/>
          <w:szCs w:val="32"/>
          <w:highlight w:val="none"/>
          <w:lang w:val="en-US" w:eastAsia="zh-CN"/>
        </w:rPr>
        <w:t>14.7</w:t>
      </w:r>
      <w:r>
        <w:rPr>
          <w:rFonts w:ascii="仿宋" w:hAnsi="仿宋" w:eastAsia="仿宋"/>
          <w:color w:val="auto"/>
          <w:sz w:val="32"/>
          <w:szCs w:val="32"/>
          <w:highlight w:val="none"/>
        </w:rPr>
        <w:t>%</w:t>
      </w:r>
      <w:r>
        <w:rPr>
          <w:rFonts w:hint="eastAsia" w:ascii="仿宋" w:hAnsi="仿宋" w:eastAsia="仿宋"/>
          <w:color w:val="auto"/>
          <w:sz w:val="32"/>
          <w:szCs w:val="32"/>
          <w:highlight w:val="none"/>
        </w:rPr>
        <w:t>；农林水</w:t>
      </w:r>
      <w:r>
        <w:rPr>
          <w:rFonts w:hint="eastAsia" w:ascii="Times New Roman" w:hAnsi="Times New Roman" w:eastAsia="仿宋_GB2312" w:cs="Times New Roman"/>
          <w:color w:val="auto"/>
          <w:sz w:val="32"/>
          <w:szCs w:val="32"/>
          <w:highlight w:val="none"/>
        </w:rPr>
        <w:t>（类）</w:t>
      </w:r>
      <w:r>
        <w:rPr>
          <w:rFonts w:hint="eastAsia" w:ascii="仿宋" w:hAnsi="仿宋" w:eastAsia="仿宋"/>
          <w:color w:val="auto"/>
          <w:sz w:val="32"/>
          <w:szCs w:val="32"/>
          <w:highlight w:val="none"/>
        </w:rPr>
        <w:t>支出456.74万元，占</w:t>
      </w:r>
      <w:r>
        <w:rPr>
          <w:rFonts w:hint="eastAsia" w:ascii="仿宋" w:hAnsi="仿宋" w:eastAsia="仿宋"/>
          <w:color w:val="auto"/>
          <w:sz w:val="32"/>
          <w:szCs w:val="32"/>
          <w:highlight w:val="none"/>
          <w:lang w:val="en-US" w:eastAsia="zh-CN"/>
        </w:rPr>
        <w:t>37.52</w:t>
      </w:r>
      <w:r>
        <w:rPr>
          <w:rFonts w:ascii="仿宋" w:hAnsi="仿宋" w:eastAsia="仿宋"/>
          <w:color w:val="auto"/>
          <w:sz w:val="32"/>
          <w:szCs w:val="32"/>
          <w:highlight w:val="none"/>
        </w:rPr>
        <w:t>%</w:t>
      </w:r>
      <w:r>
        <w:rPr>
          <w:rFonts w:hint="eastAsia" w:ascii="仿宋" w:hAnsi="仿宋" w:eastAsia="仿宋"/>
          <w:color w:val="auto"/>
          <w:sz w:val="32"/>
          <w:szCs w:val="32"/>
          <w:highlight w:val="none"/>
        </w:rPr>
        <w:t>；交通运输</w:t>
      </w:r>
      <w:r>
        <w:rPr>
          <w:rFonts w:hint="eastAsia" w:ascii="Times New Roman" w:hAnsi="Times New Roman" w:eastAsia="仿宋_GB2312" w:cs="Times New Roman"/>
          <w:color w:val="auto"/>
          <w:sz w:val="32"/>
          <w:szCs w:val="32"/>
          <w:highlight w:val="none"/>
        </w:rPr>
        <w:t>（类）</w:t>
      </w:r>
      <w:r>
        <w:rPr>
          <w:rFonts w:hint="eastAsia" w:ascii="仿宋" w:hAnsi="仿宋" w:eastAsia="仿宋"/>
          <w:color w:val="auto"/>
          <w:sz w:val="32"/>
          <w:szCs w:val="32"/>
          <w:highlight w:val="none"/>
        </w:rPr>
        <w:t>支出11.16万元，占</w:t>
      </w:r>
      <w:r>
        <w:rPr>
          <w:rFonts w:hint="eastAsia" w:ascii="仿宋" w:hAnsi="仿宋" w:eastAsia="仿宋"/>
          <w:color w:val="auto"/>
          <w:sz w:val="32"/>
          <w:szCs w:val="32"/>
          <w:highlight w:val="none"/>
          <w:lang w:val="en-US" w:eastAsia="zh-CN"/>
        </w:rPr>
        <w:t>0.92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w:t>
      </w:r>
      <w:r>
        <w:rPr>
          <w:rFonts w:hint="eastAsia" w:ascii="Times New Roman" w:hAnsi="Times New Roman" w:eastAsia="仿宋_GB2312" w:cs="Times New Roman"/>
          <w:color w:val="auto"/>
          <w:sz w:val="32"/>
          <w:szCs w:val="32"/>
          <w:highlight w:val="none"/>
        </w:rPr>
        <w:t>（类）</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rPr>
        <w:t>26.98万元，占</w:t>
      </w:r>
      <w:r>
        <w:rPr>
          <w:rFonts w:hint="eastAsia" w:ascii="仿宋" w:hAnsi="仿宋" w:eastAsia="仿宋"/>
          <w:color w:val="auto"/>
          <w:sz w:val="32"/>
          <w:szCs w:val="32"/>
          <w:highlight w:val="none"/>
          <w:lang w:val="en-US" w:eastAsia="zh-CN"/>
        </w:rPr>
        <w:t>2.22</w:t>
      </w:r>
      <w:r>
        <w:rPr>
          <w:rFonts w:ascii="仿宋" w:hAnsi="仿宋" w:eastAsia="仿宋"/>
          <w:color w:val="auto"/>
          <w:sz w:val="32"/>
          <w:szCs w:val="32"/>
          <w:highlight w:val="none"/>
        </w:rPr>
        <w:t>%</w:t>
      </w:r>
      <w:r>
        <w:rPr>
          <w:rFonts w:hint="eastAsia" w:ascii="仿宋" w:hAnsi="仿宋" w:eastAsia="仿宋"/>
          <w:color w:val="auto"/>
          <w:sz w:val="32"/>
          <w:szCs w:val="32"/>
          <w:highlight w:val="none"/>
        </w:rPr>
        <w:t>；灾害防治及应急管理</w:t>
      </w:r>
      <w:r>
        <w:rPr>
          <w:rFonts w:hint="eastAsia" w:ascii="Times New Roman" w:hAnsi="Times New Roman" w:eastAsia="仿宋_GB2312" w:cs="Times New Roman"/>
          <w:color w:val="auto"/>
          <w:sz w:val="32"/>
          <w:szCs w:val="32"/>
          <w:highlight w:val="none"/>
        </w:rPr>
        <w:t>（类）</w:t>
      </w:r>
      <w:r>
        <w:rPr>
          <w:rFonts w:hint="eastAsia" w:ascii="仿宋" w:hAnsi="仿宋" w:eastAsia="仿宋"/>
          <w:color w:val="auto"/>
          <w:sz w:val="32"/>
          <w:szCs w:val="32"/>
          <w:highlight w:val="none"/>
        </w:rPr>
        <w:t>支出29万元，占</w:t>
      </w:r>
      <w:r>
        <w:rPr>
          <w:rFonts w:hint="eastAsia" w:ascii="仿宋" w:hAnsi="仿宋" w:eastAsia="仿宋"/>
          <w:color w:val="auto"/>
          <w:sz w:val="32"/>
          <w:szCs w:val="32"/>
          <w:highlight w:val="none"/>
          <w:lang w:val="en-US" w:eastAsia="zh-CN"/>
        </w:rPr>
        <w:t>2.38</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；其他支出</w:t>
      </w:r>
      <w:r>
        <w:rPr>
          <w:rFonts w:hint="eastAsia" w:ascii="仿宋" w:hAnsi="仿宋" w:eastAsia="仿宋"/>
          <w:color w:val="auto"/>
          <w:sz w:val="32"/>
          <w:szCs w:val="32"/>
          <w:highlight w:val="none"/>
          <w:lang w:val="en-US" w:eastAsia="zh-CN"/>
        </w:rPr>
        <w:t>192.00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15.77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rPr>
          <w:rFonts w:hint="eastAsia" w:ascii="仿宋" w:hAnsi="仿宋" w:eastAsia="仿宋"/>
          <w:b/>
          <w:color w:val="auto"/>
          <w:sz w:val="32"/>
          <w:szCs w:val="32"/>
          <w:highlight w:val="none"/>
        </w:rPr>
      </w:pP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注：数据来源于财决</w:t>
      </w:r>
      <w:r>
        <w:rPr>
          <w:rFonts w:hint="eastAsia" w:ascii="仿宋" w:hAnsi="仿宋" w:eastAsia="仿宋"/>
          <w:b/>
          <w:color w:val="auto"/>
          <w:sz w:val="32"/>
          <w:szCs w:val="32"/>
          <w:highlight w:val="none"/>
          <w:lang w:val="en-US" w:eastAsia="zh-CN"/>
        </w:rPr>
        <w:t>01-1表，仅</w:t>
      </w:r>
      <w:r>
        <w:rPr>
          <w:rFonts w:hint="eastAsia" w:ascii="仿宋" w:hAnsi="仿宋" w:eastAsia="仿宋"/>
          <w:b/>
          <w:color w:val="auto"/>
          <w:sz w:val="32"/>
          <w:szCs w:val="32"/>
          <w:highlight w:val="none"/>
        </w:rPr>
        <w:t>罗列</w:t>
      </w:r>
      <w:r>
        <w:rPr>
          <w:rFonts w:hint="eastAsia" w:ascii="仿宋" w:hAnsi="仿宋" w:eastAsia="仿宋"/>
          <w:b/>
          <w:color w:val="auto"/>
          <w:sz w:val="32"/>
          <w:szCs w:val="32"/>
          <w:highlight w:val="none"/>
          <w:lang w:eastAsia="zh-CN"/>
        </w:rPr>
        <w:t>本单位涉及的</w:t>
      </w:r>
      <w:r>
        <w:rPr>
          <w:rFonts w:hint="eastAsia" w:ascii="仿宋" w:hAnsi="仿宋" w:eastAsia="仿宋"/>
          <w:b/>
          <w:color w:val="auto"/>
          <w:sz w:val="32"/>
          <w:szCs w:val="32"/>
          <w:highlight w:val="none"/>
        </w:rPr>
        <w:t>全部功能分类科目，至类级。）</w:t>
      </w:r>
    </w:p>
    <w:p>
      <w:pPr>
        <w:spacing w:line="600" w:lineRule="exact"/>
        <w:ind w:firstLine="640"/>
        <w:rPr>
          <w:rFonts w:ascii="仿宋" w:hAnsi="仿宋" w:eastAsia="仿宋"/>
          <w:color w:val="auto"/>
          <w:sz w:val="32"/>
          <w:szCs w:val="32"/>
          <w:highlight w:val="none"/>
        </w:rPr>
      </w:pPr>
    </w:p>
    <w:p>
      <w:pPr>
        <w:pStyle w:val="16"/>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inline distT="0" distB="0" distL="114300" distR="114300">
            <wp:extent cx="5256530" cy="3673475"/>
            <wp:effectExtent l="4445" t="4445" r="15875" b="1778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16"/>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35" w:name="_Toc15377212"/>
      <w:r>
        <w:rPr>
          <w:rFonts w:hint="eastAsia" w:ascii="仿宋" w:hAnsi="仿宋" w:eastAsia="仿宋"/>
          <w:b/>
          <w:color w:val="auto"/>
          <w:sz w:val="32"/>
          <w:szCs w:val="32"/>
          <w:highlight w:val="none"/>
        </w:rPr>
        <w:t>（三）一般公共预算财政拨款支出决算具体情况</w:t>
      </w:r>
      <w:bookmarkEnd w:id="35"/>
    </w:p>
    <w:p>
      <w:pPr>
        <w:spacing w:line="600" w:lineRule="exact"/>
        <w:ind w:firstLine="643" w:firstLineChars="200"/>
        <w:outlineLvl w:val="2"/>
        <w:rPr>
          <w:rFonts w:ascii="仿宋" w:hAnsi="仿宋" w:eastAsia="仿宋"/>
          <w:color w:val="auto"/>
          <w:sz w:val="32"/>
          <w:szCs w:val="32"/>
          <w:highlight w:val="none"/>
        </w:rPr>
      </w:pPr>
      <w:bookmarkStart w:id="36" w:name="_Toc15378460"/>
      <w:bookmarkStart w:id="37" w:name="_Toc15377213"/>
      <w:bookmarkStart w:id="38"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1217.39万元</w:t>
      </w:r>
      <w:r>
        <w:rPr>
          <w:rFonts w:hint="eastAsia" w:ascii="仿宋" w:hAnsi="仿宋" w:eastAsia="仿宋"/>
          <w:color w:val="auto"/>
          <w:sz w:val="32"/>
          <w:szCs w:val="32"/>
          <w:highlight w:val="none"/>
        </w:rPr>
        <w:t>，</w:t>
      </w:r>
      <w:r>
        <w:rPr>
          <w:rStyle w:val="14"/>
          <w:rFonts w:hint="eastAsia" w:ascii="仿宋" w:hAnsi="仿宋" w:eastAsia="仿宋"/>
          <w:bCs/>
          <w:color w:val="auto"/>
          <w:sz w:val="32"/>
          <w:szCs w:val="32"/>
          <w:highlight w:val="none"/>
        </w:rPr>
        <w:t>完成预算</w:t>
      </w:r>
      <w:r>
        <w:rPr>
          <w:rStyle w:val="14"/>
          <w:rFonts w:hint="eastAsia" w:ascii="仿宋" w:hAnsi="仿宋" w:eastAsia="仿宋"/>
          <w:bCs/>
          <w:color w:val="auto"/>
          <w:sz w:val="32"/>
          <w:szCs w:val="32"/>
          <w:highlight w:val="none"/>
          <w:lang w:val="en-US" w:eastAsia="zh-CN"/>
        </w:rPr>
        <w:t>100</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。其中：</w:t>
      </w:r>
      <w:bookmarkEnd w:id="36"/>
      <w:bookmarkEnd w:id="37"/>
      <w:bookmarkEnd w:id="38"/>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3" w:firstLineChars="200"/>
        <w:textAlignment w:val="auto"/>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rPr>
        <w:t>一般公共服务（类）政府办公厅（室）及相关机构事务（款）行政运行（项）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203.48</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3" w:firstLineChars="200"/>
        <w:textAlignment w:val="auto"/>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rPr>
        <w:t>一般公共服务（类）政府办公厅（室）及相关机构事务（款）信访事务（项）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6</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决算数等于预算数</w:t>
      </w:r>
      <w:r>
        <w:rPr>
          <w:rStyle w:val="14"/>
          <w:rFonts w:hint="eastAsia" w:ascii="仿宋" w:hAnsi="仿宋" w:eastAsia="仿宋"/>
          <w:b w:val="0"/>
          <w:bCs/>
          <w:color w:val="auto"/>
          <w:sz w:val="32"/>
          <w:szCs w:val="32"/>
          <w:highlight w:val="none"/>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3" w:firstLineChars="200"/>
        <w:textAlignment w:val="auto"/>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rPr>
        <w:t>一般公共服务（类）政府办公厅（室）及相关机构事务（款）其他政府办公厅（室）及相关机构事务支出（项）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22.75</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决算数等于预算数</w:t>
      </w:r>
      <w:r>
        <w:rPr>
          <w:rStyle w:val="14"/>
          <w:rFonts w:hint="eastAsia" w:ascii="仿宋" w:hAnsi="仿宋" w:eastAsia="仿宋"/>
          <w:b w:val="0"/>
          <w:bCs/>
          <w:color w:val="auto"/>
          <w:sz w:val="32"/>
          <w:szCs w:val="32"/>
          <w:highlight w:val="none"/>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3" w:firstLineChars="200"/>
        <w:textAlignment w:val="auto"/>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rPr>
        <w:t>一般公共服务（类）纪检监察事务（款）一般行政管理事务（项）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决算数等于预算数</w:t>
      </w:r>
      <w:r>
        <w:rPr>
          <w:rStyle w:val="14"/>
          <w:rFonts w:hint="eastAsia" w:ascii="仿宋" w:hAnsi="仿宋" w:eastAsia="仿宋"/>
          <w:b w:val="0"/>
          <w:bCs/>
          <w:color w:val="auto"/>
          <w:sz w:val="32"/>
          <w:szCs w:val="32"/>
          <w:highlight w:val="none"/>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3" w:firstLineChars="200"/>
        <w:textAlignment w:val="auto"/>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rPr>
        <w:t>一般公共服务（类）纪检监察事务（款）其他纪检监察事务支出（项）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6</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决算数等于预算数</w:t>
      </w:r>
      <w:r>
        <w:rPr>
          <w:rStyle w:val="14"/>
          <w:rFonts w:hint="eastAsia" w:ascii="仿宋" w:hAnsi="仿宋" w:eastAsia="仿宋"/>
          <w:b w:val="0"/>
          <w:bCs/>
          <w:color w:val="auto"/>
          <w:sz w:val="32"/>
          <w:szCs w:val="32"/>
          <w:highlight w:val="none"/>
        </w:rPr>
        <w:t>。</w:t>
      </w:r>
    </w:p>
    <w:p>
      <w:pPr>
        <w:pStyle w:val="16"/>
        <w:keepNext w:val="0"/>
        <w:keepLines w:val="0"/>
        <w:pageBreakBefore w:val="0"/>
        <w:widowControl w:val="0"/>
        <w:numPr>
          <w:ilvl w:val="0"/>
          <w:numId w:val="3"/>
        </w:numPr>
        <w:kinsoku/>
        <w:wordWrap/>
        <w:overflowPunct/>
        <w:topLinePunct w:val="0"/>
        <w:autoSpaceDE/>
        <w:autoSpaceDN/>
        <w:bidi w:val="0"/>
        <w:adjustRightInd/>
        <w:snapToGrid/>
        <w:ind w:firstLine="643" w:firstLineChars="200"/>
        <w:textAlignment w:val="auto"/>
        <w:rPr>
          <w:sz w:val="32"/>
          <w:szCs w:val="32"/>
        </w:rPr>
      </w:pPr>
      <w:r>
        <w:rPr>
          <w:rStyle w:val="14"/>
          <w:rFonts w:hint="eastAsia" w:ascii="仿宋" w:hAnsi="仿宋" w:eastAsia="仿宋"/>
          <w:bCs/>
          <w:color w:val="auto"/>
          <w:sz w:val="32"/>
          <w:szCs w:val="32"/>
          <w:highlight w:val="none"/>
        </w:rPr>
        <w:t>一般公共服务（类）群众团体事务（款）其他群众团体事务支出（项）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决算数等于预算数</w:t>
      </w:r>
      <w:r>
        <w:rPr>
          <w:rStyle w:val="14"/>
          <w:rFonts w:hint="eastAsia" w:ascii="仿宋" w:hAnsi="仿宋" w:eastAsia="仿宋"/>
          <w:b w:val="0"/>
          <w:bCs/>
          <w:color w:val="auto"/>
          <w:sz w:val="32"/>
          <w:szCs w:val="32"/>
          <w:highlight w:val="none"/>
        </w:rPr>
        <w:t>。</w:t>
      </w:r>
    </w:p>
    <w:p>
      <w:pPr>
        <w:numPr>
          <w:ilvl w:val="0"/>
          <w:numId w:val="3"/>
        </w:numPr>
        <w:ind w:left="0" w:leftChars="0"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rPr>
        <w:t>一般公共服务（类）党委办公厅（室）及相关机构事务（款）其他党委办公厅（室）及相关机构事务支出（项）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6</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决算数等于预算数</w:t>
      </w:r>
      <w:r>
        <w:rPr>
          <w:rStyle w:val="14"/>
          <w:rFonts w:hint="eastAsia" w:ascii="仿宋" w:hAnsi="仿宋" w:eastAsia="仿宋"/>
          <w:b w:val="0"/>
          <w:bCs/>
          <w:color w:val="auto"/>
          <w:sz w:val="32"/>
          <w:szCs w:val="32"/>
          <w:highlight w:val="none"/>
        </w:rPr>
        <w:t>。</w:t>
      </w:r>
    </w:p>
    <w:p>
      <w:pPr>
        <w:pStyle w:val="16"/>
        <w:numPr>
          <w:ilvl w:val="0"/>
          <w:numId w:val="3"/>
        </w:numPr>
        <w:ind w:left="0" w:leftChars="0" w:firstLine="643" w:firstLineChars="200"/>
        <w:rPr>
          <w:rFonts w:hint="default"/>
          <w:lang w:val="en-US" w:eastAsia="zh-CN"/>
        </w:rPr>
      </w:pPr>
      <w:r>
        <w:rPr>
          <w:rStyle w:val="14"/>
          <w:rFonts w:hint="eastAsia" w:ascii="仿宋" w:hAnsi="仿宋" w:eastAsia="仿宋"/>
          <w:bCs/>
          <w:color w:val="auto"/>
          <w:sz w:val="32"/>
          <w:szCs w:val="32"/>
          <w:highlight w:val="none"/>
        </w:rPr>
        <w:t>一般公共服务（类）组织事务（款</w:t>
      </w:r>
      <w:r>
        <w:rPr>
          <w:rStyle w:val="14"/>
          <w:rFonts w:hint="eastAsia" w:ascii="仿宋" w:hAnsi="仿宋" w:eastAsia="仿宋"/>
          <w:bCs/>
          <w:color w:val="auto"/>
          <w:sz w:val="32"/>
          <w:szCs w:val="32"/>
          <w:highlight w:val="none"/>
          <w:lang w:eastAsia="zh-CN"/>
        </w:rPr>
        <w:t>）</w:t>
      </w:r>
      <w:r>
        <w:rPr>
          <w:rStyle w:val="14"/>
          <w:rFonts w:hint="eastAsia" w:ascii="仿宋" w:hAnsi="仿宋" w:eastAsia="仿宋"/>
          <w:bCs/>
          <w:color w:val="auto"/>
          <w:sz w:val="32"/>
          <w:szCs w:val="32"/>
          <w:highlight w:val="none"/>
        </w:rPr>
        <w:t>其他组织事务支出（项）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4.3</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决算数等于预算数</w:t>
      </w:r>
      <w:r>
        <w:rPr>
          <w:rStyle w:val="14"/>
          <w:rFonts w:hint="eastAsia" w:ascii="仿宋" w:hAnsi="仿宋" w:eastAsia="仿宋"/>
          <w:b w:val="0"/>
          <w:bCs/>
          <w:color w:val="auto"/>
          <w:sz w:val="32"/>
          <w:szCs w:val="32"/>
          <w:highlight w:val="none"/>
        </w:rPr>
        <w:t>。</w:t>
      </w:r>
    </w:p>
    <w:p>
      <w:pPr>
        <w:numPr>
          <w:ilvl w:val="0"/>
          <w:numId w:val="3"/>
        </w:numPr>
        <w:ind w:left="0" w:leftChars="0"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rPr>
        <w:t>文化旅游体育与传媒支出（类）文化和旅游（款）  文化展示及纪念机构（项）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3</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决算数等于预算数</w:t>
      </w:r>
      <w:r>
        <w:rPr>
          <w:rStyle w:val="14"/>
          <w:rFonts w:hint="eastAsia" w:ascii="仿宋" w:hAnsi="仿宋" w:eastAsia="仿宋"/>
          <w:b w:val="0"/>
          <w:bCs/>
          <w:color w:val="auto"/>
          <w:sz w:val="32"/>
          <w:szCs w:val="32"/>
          <w:highlight w:val="none"/>
        </w:rPr>
        <w:t>。</w:t>
      </w:r>
    </w:p>
    <w:p>
      <w:pPr>
        <w:pStyle w:val="16"/>
        <w:numPr>
          <w:ilvl w:val="0"/>
          <w:numId w:val="3"/>
        </w:numPr>
        <w:ind w:left="0" w:leftChars="0" w:firstLine="643" w:firstLineChars="200"/>
        <w:rPr>
          <w:rFonts w:hint="default"/>
          <w:lang w:val="en-US" w:eastAsia="zh-CN"/>
        </w:rPr>
      </w:pPr>
      <w:r>
        <w:rPr>
          <w:rStyle w:val="14"/>
          <w:rFonts w:hint="eastAsia" w:ascii="仿宋" w:hAnsi="仿宋" w:eastAsia="仿宋"/>
          <w:bCs/>
          <w:color w:val="auto"/>
          <w:sz w:val="32"/>
          <w:szCs w:val="32"/>
          <w:highlight w:val="none"/>
        </w:rPr>
        <w:t>社会保障和就业支出（类）行政事业单位养老支出（款</w:t>
      </w:r>
      <w:r>
        <w:rPr>
          <w:rStyle w:val="14"/>
          <w:rFonts w:hint="eastAsia" w:ascii="仿宋" w:hAnsi="仿宋" w:eastAsia="仿宋"/>
          <w:bCs/>
          <w:color w:val="auto"/>
          <w:sz w:val="32"/>
          <w:szCs w:val="32"/>
          <w:highlight w:val="none"/>
          <w:lang w:eastAsia="zh-CN"/>
        </w:rPr>
        <w:t>）</w:t>
      </w:r>
      <w:r>
        <w:rPr>
          <w:rStyle w:val="14"/>
          <w:rFonts w:hint="eastAsia" w:ascii="仿宋" w:hAnsi="仿宋" w:eastAsia="仿宋"/>
          <w:bCs/>
          <w:color w:val="auto"/>
          <w:sz w:val="32"/>
          <w:szCs w:val="32"/>
          <w:highlight w:val="none"/>
        </w:rPr>
        <w:t>行政单位离退休（项）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11</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决算数等于预算数</w:t>
      </w:r>
      <w:r>
        <w:rPr>
          <w:rStyle w:val="14"/>
          <w:rFonts w:hint="eastAsia" w:ascii="仿宋" w:hAnsi="仿宋" w:eastAsia="仿宋"/>
          <w:b w:val="0"/>
          <w:bCs/>
          <w:color w:val="auto"/>
          <w:sz w:val="32"/>
          <w:szCs w:val="32"/>
          <w:highlight w:val="none"/>
        </w:rPr>
        <w:t>。</w:t>
      </w:r>
    </w:p>
    <w:p>
      <w:pPr>
        <w:pStyle w:val="16"/>
        <w:numPr>
          <w:ilvl w:val="0"/>
          <w:numId w:val="3"/>
        </w:numPr>
        <w:ind w:left="0" w:leftChars="0" w:firstLine="643" w:firstLineChars="200"/>
        <w:rPr>
          <w:rFonts w:hint="default"/>
          <w:lang w:val="en-US" w:eastAsia="zh-CN"/>
        </w:rPr>
      </w:pPr>
      <w:r>
        <w:rPr>
          <w:rStyle w:val="14"/>
          <w:rFonts w:hint="eastAsia" w:ascii="仿宋" w:hAnsi="仿宋" w:eastAsia="仿宋"/>
          <w:bCs/>
          <w:color w:val="auto"/>
          <w:sz w:val="32"/>
          <w:szCs w:val="32"/>
          <w:highlight w:val="none"/>
        </w:rPr>
        <w:t>社会保障和就业支出（类）行政事业单位养老支出（款</w:t>
      </w:r>
      <w:r>
        <w:rPr>
          <w:rStyle w:val="14"/>
          <w:rFonts w:hint="eastAsia" w:ascii="仿宋" w:hAnsi="仿宋" w:eastAsia="仿宋"/>
          <w:bCs/>
          <w:color w:val="auto"/>
          <w:sz w:val="32"/>
          <w:szCs w:val="32"/>
          <w:highlight w:val="none"/>
          <w:lang w:eastAsia="zh-CN"/>
        </w:rPr>
        <w:t>）</w:t>
      </w:r>
      <w:r>
        <w:rPr>
          <w:rStyle w:val="14"/>
          <w:rFonts w:hint="eastAsia" w:ascii="仿宋" w:hAnsi="仿宋" w:eastAsia="仿宋"/>
          <w:bCs/>
          <w:color w:val="auto"/>
          <w:sz w:val="32"/>
          <w:szCs w:val="32"/>
          <w:highlight w:val="none"/>
        </w:rPr>
        <w:t>机关事业单位基本养老保险缴费支出（项）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20.01</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决算数等于预算数</w:t>
      </w:r>
      <w:r>
        <w:rPr>
          <w:rStyle w:val="14"/>
          <w:rFonts w:hint="eastAsia" w:ascii="仿宋" w:hAnsi="仿宋" w:eastAsia="仿宋"/>
          <w:b w:val="0"/>
          <w:bCs/>
          <w:color w:val="auto"/>
          <w:sz w:val="32"/>
          <w:szCs w:val="32"/>
          <w:highlight w:val="none"/>
        </w:rPr>
        <w:t>。</w:t>
      </w:r>
    </w:p>
    <w:p>
      <w:pPr>
        <w:pStyle w:val="16"/>
        <w:numPr>
          <w:ilvl w:val="0"/>
          <w:numId w:val="3"/>
        </w:numPr>
        <w:ind w:left="0" w:leftChars="0" w:firstLine="643" w:firstLineChars="200"/>
        <w:rPr>
          <w:rFonts w:hint="default"/>
          <w:lang w:val="en-US" w:eastAsia="zh-CN"/>
        </w:rPr>
      </w:pPr>
      <w:r>
        <w:rPr>
          <w:rStyle w:val="14"/>
          <w:rFonts w:hint="eastAsia" w:ascii="仿宋" w:hAnsi="仿宋" w:eastAsia="仿宋"/>
          <w:bCs/>
          <w:color w:val="auto"/>
          <w:sz w:val="32"/>
          <w:szCs w:val="32"/>
          <w:highlight w:val="none"/>
        </w:rPr>
        <w:t>社会保障和就业支出（类）就业补助（款</w:t>
      </w:r>
      <w:r>
        <w:rPr>
          <w:rStyle w:val="14"/>
          <w:rFonts w:hint="eastAsia" w:ascii="仿宋" w:hAnsi="仿宋" w:eastAsia="仿宋"/>
          <w:bCs/>
          <w:color w:val="auto"/>
          <w:sz w:val="32"/>
          <w:szCs w:val="32"/>
          <w:highlight w:val="none"/>
          <w:lang w:eastAsia="zh-CN"/>
        </w:rPr>
        <w:t>）</w:t>
      </w:r>
      <w:r>
        <w:rPr>
          <w:rStyle w:val="14"/>
          <w:rFonts w:hint="eastAsia" w:ascii="仿宋" w:hAnsi="仿宋" w:eastAsia="仿宋"/>
          <w:bCs/>
          <w:color w:val="auto"/>
          <w:sz w:val="32"/>
          <w:szCs w:val="32"/>
          <w:highlight w:val="none"/>
        </w:rPr>
        <w:t>公益性岗位补贴（项）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13.76</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决算数等于预算数</w:t>
      </w:r>
      <w:r>
        <w:rPr>
          <w:rStyle w:val="14"/>
          <w:rFonts w:hint="eastAsia" w:ascii="仿宋" w:hAnsi="仿宋" w:eastAsia="仿宋"/>
          <w:b w:val="0"/>
          <w:bCs/>
          <w:color w:val="auto"/>
          <w:sz w:val="32"/>
          <w:szCs w:val="32"/>
          <w:highlight w:val="none"/>
        </w:rPr>
        <w:t>。</w:t>
      </w:r>
    </w:p>
    <w:p>
      <w:pPr>
        <w:pStyle w:val="16"/>
        <w:numPr>
          <w:ilvl w:val="0"/>
          <w:numId w:val="3"/>
        </w:numPr>
        <w:ind w:left="0" w:leftChars="0" w:firstLine="643" w:firstLineChars="200"/>
        <w:rPr>
          <w:rFonts w:hint="default"/>
          <w:lang w:val="en-US" w:eastAsia="zh-CN"/>
        </w:rPr>
      </w:pPr>
      <w:r>
        <w:rPr>
          <w:rStyle w:val="14"/>
          <w:rFonts w:hint="eastAsia" w:ascii="仿宋" w:hAnsi="仿宋" w:eastAsia="仿宋"/>
          <w:bCs/>
          <w:color w:val="auto"/>
          <w:sz w:val="32"/>
          <w:szCs w:val="32"/>
          <w:highlight w:val="none"/>
        </w:rPr>
        <w:t>社会保障和就业支出（类）抚恤（款</w:t>
      </w:r>
      <w:r>
        <w:rPr>
          <w:rStyle w:val="14"/>
          <w:rFonts w:hint="eastAsia" w:ascii="仿宋" w:hAnsi="仿宋" w:eastAsia="仿宋"/>
          <w:bCs/>
          <w:color w:val="auto"/>
          <w:sz w:val="32"/>
          <w:szCs w:val="32"/>
          <w:highlight w:val="none"/>
          <w:lang w:eastAsia="zh-CN"/>
        </w:rPr>
        <w:t>）</w:t>
      </w:r>
      <w:r>
        <w:rPr>
          <w:rStyle w:val="14"/>
          <w:rFonts w:hint="eastAsia" w:ascii="仿宋" w:hAnsi="仿宋" w:eastAsia="仿宋"/>
          <w:bCs/>
          <w:color w:val="auto"/>
          <w:sz w:val="32"/>
          <w:szCs w:val="32"/>
          <w:highlight w:val="none"/>
        </w:rPr>
        <w:t>死亡抚恤（项）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2.59</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决算数等于预算数</w:t>
      </w:r>
      <w:r>
        <w:rPr>
          <w:rStyle w:val="14"/>
          <w:rFonts w:hint="eastAsia" w:ascii="仿宋" w:hAnsi="仿宋" w:eastAsia="仿宋"/>
          <w:b w:val="0"/>
          <w:bCs/>
          <w:color w:val="auto"/>
          <w:sz w:val="32"/>
          <w:szCs w:val="32"/>
          <w:highlight w:val="none"/>
        </w:rPr>
        <w:t>。</w:t>
      </w:r>
    </w:p>
    <w:p>
      <w:pPr>
        <w:pStyle w:val="16"/>
        <w:numPr>
          <w:ilvl w:val="0"/>
          <w:numId w:val="3"/>
        </w:numPr>
        <w:ind w:left="0" w:leftChars="0" w:firstLine="643" w:firstLineChars="200"/>
        <w:rPr>
          <w:rFonts w:hint="default"/>
          <w:lang w:val="en-US" w:eastAsia="zh-CN"/>
        </w:rPr>
      </w:pPr>
      <w:r>
        <w:rPr>
          <w:rStyle w:val="14"/>
          <w:rFonts w:hint="eastAsia" w:ascii="仿宋" w:hAnsi="仿宋" w:eastAsia="仿宋"/>
          <w:bCs/>
          <w:color w:val="auto"/>
          <w:sz w:val="32"/>
          <w:szCs w:val="32"/>
          <w:highlight w:val="none"/>
        </w:rPr>
        <w:t>社会保障和就业支出（类）其他社会保障和就业支出（款</w:t>
      </w:r>
      <w:r>
        <w:rPr>
          <w:rStyle w:val="14"/>
          <w:rFonts w:hint="eastAsia" w:ascii="仿宋" w:hAnsi="仿宋" w:eastAsia="仿宋"/>
          <w:bCs/>
          <w:color w:val="auto"/>
          <w:sz w:val="32"/>
          <w:szCs w:val="32"/>
          <w:highlight w:val="none"/>
          <w:lang w:eastAsia="zh-CN"/>
        </w:rPr>
        <w:t>）</w:t>
      </w:r>
      <w:r>
        <w:rPr>
          <w:rStyle w:val="14"/>
          <w:rFonts w:hint="eastAsia" w:ascii="仿宋" w:hAnsi="仿宋" w:eastAsia="仿宋"/>
          <w:bCs/>
          <w:color w:val="auto"/>
          <w:sz w:val="32"/>
          <w:szCs w:val="32"/>
          <w:highlight w:val="none"/>
        </w:rPr>
        <w:t>其他社会保障和就业支出（项）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2.22</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决算数等于预算数</w:t>
      </w:r>
      <w:r>
        <w:rPr>
          <w:rStyle w:val="14"/>
          <w:rFonts w:hint="eastAsia" w:ascii="仿宋" w:hAnsi="仿宋" w:eastAsia="仿宋"/>
          <w:b w:val="0"/>
          <w:bCs/>
          <w:color w:val="auto"/>
          <w:sz w:val="32"/>
          <w:szCs w:val="32"/>
          <w:highlight w:val="none"/>
        </w:rPr>
        <w:t>。</w:t>
      </w:r>
    </w:p>
    <w:p>
      <w:pPr>
        <w:pStyle w:val="16"/>
        <w:numPr>
          <w:ilvl w:val="0"/>
          <w:numId w:val="3"/>
        </w:numPr>
        <w:ind w:left="0" w:leftChars="0" w:firstLine="643" w:firstLineChars="200"/>
        <w:rPr>
          <w:rFonts w:hint="default"/>
          <w:lang w:val="en-US" w:eastAsia="zh-CN"/>
        </w:rPr>
      </w:pPr>
      <w:r>
        <w:rPr>
          <w:rStyle w:val="14"/>
          <w:rFonts w:hint="eastAsia" w:ascii="仿宋" w:hAnsi="仿宋" w:eastAsia="仿宋"/>
          <w:bCs/>
          <w:color w:val="auto"/>
          <w:sz w:val="32"/>
          <w:szCs w:val="32"/>
          <w:highlight w:val="none"/>
        </w:rPr>
        <w:t>卫生健康支出（类）行政事业单位医疗（款</w:t>
      </w:r>
      <w:r>
        <w:rPr>
          <w:rStyle w:val="14"/>
          <w:rFonts w:hint="eastAsia" w:ascii="仿宋" w:hAnsi="仿宋" w:eastAsia="仿宋"/>
          <w:bCs/>
          <w:color w:val="auto"/>
          <w:sz w:val="32"/>
          <w:szCs w:val="32"/>
          <w:highlight w:val="none"/>
          <w:lang w:eastAsia="zh-CN"/>
        </w:rPr>
        <w:t>）</w:t>
      </w:r>
      <w:r>
        <w:rPr>
          <w:rStyle w:val="14"/>
          <w:rFonts w:hint="eastAsia" w:ascii="仿宋" w:hAnsi="仿宋" w:eastAsia="仿宋"/>
          <w:bCs/>
          <w:color w:val="auto"/>
          <w:sz w:val="32"/>
          <w:szCs w:val="32"/>
          <w:highlight w:val="none"/>
        </w:rPr>
        <w:t>行政单位医疗（项）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7.83</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决算数等于预算数</w:t>
      </w:r>
      <w:r>
        <w:rPr>
          <w:rStyle w:val="14"/>
          <w:rFonts w:hint="eastAsia" w:ascii="仿宋" w:hAnsi="仿宋" w:eastAsia="仿宋"/>
          <w:b w:val="0"/>
          <w:bCs/>
          <w:color w:val="auto"/>
          <w:sz w:val="32"/>
          <w:szCs w:val="32"/>
          <w:highlight w:val="none"/>
        </w:rPr>
        <w:t>。</w:t>
      </w:r>
    </w:p>
    <w:p>
      <w:pPr>
        <w:pStyle w:val="16"/>
        <w:numPr>
          <w:ilvl w:val="0"/>
          <w:numId w:val="3"/>
        </w:numPr>
        <w:ind w:left="0" w:leftChars="0" w:firstLine="643" w:firstLineChars="200"/>
        <w:rPr>
          <w:rFonts w:hint="default"/>
          <w:lang w:val="en-US" w:eastAsia="zh-CN"/>
        </w:rPr>
      </w:pPr>
      <w:r>
        <w:rPr>
          <w:rStyle w:val="14"/>
          <w:rFonts w:hint="eastAsia" w:ascii="仿宋" w:hAnsi="仿宋" w:eastAsia="仿宋"/>
          <w:bCs/>
          <w:color w:val="auto"/>
          <w:sz w:val="32"/>
          <w:szCs w:val="32"/>
          <w:highlight w:val="none"/>
        </w:rPr>
        <w:t>卫生健康支出（类）行政事业单位医疗（款</w:t>
      </w:r>
      <w:r>
        <w:rPr>
          <w:rStyle w:val="14"/>
          <w:rFonts w:hint="eastAsia" w:ascii="仿宋" w:hAnsi="仿宋" w:eastAsia="仿宋"/>
          <w:bCs/>
          <w:color w:val="auto"/>
          <w:sz w:val="32"/>
          <w:szCs w:val="32"/>
          <w:highlight w:val="none"/>
          <w:lang w:eastAsia="zh-CN"/>
        </w:rPr>
        <w:t>）</w:t>
      </w:r>
      <w:r>
        <w:rPr>
          <w:rStyle w:val="14"/>
          <w:rFonts w:hint="eastAsia" w:ascii="仿宋" w:hAnsi="仿宋" w:eastAsia="仿宋"/>
          <w:bCs/>
          <w:color w:val="auto"/>
          <w:sz w:val="32"/>
          <w:szCs w:val="32"/>
          <w:highlight w:val="none"/>
        </w:rPr>
        <w:t>事业单位医疗（项）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w:t>
      </w:r>
      <w:r>
        <w:rPr>
          <w:rStyle w:val="14"/>
          <w:rFonts w:hint="eastAsia" w:ascii="仿宋" w:hAnsi="仿宋" w:eastAsia="仿宋"/>
          <w:b w:val="0"/>
          <w:bCs/>
          <w:color w:val="auto"/>
          <w:sz w:val="32"/>
          <w:szCs w:val="32"/>
          <w:highlight w:val="none"/>
          <w:lang w:val="en-US" w:eastAsia="zh-CN"/>
        </w:rPr>
        <w:t>5.19</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决算数等于预算数</w:t>
      </w:r>
      <w:r>
        <w:rPr>
          <w:rStyle w:val="14"/>
          <w:rFonts w:hint="eastAsia" w:ascii="仿宋" w:hAnsi="仿宋" w:eastAsia="仿宋"/>
          <w:b w:val="0"/>
          <w:bCs/>
          <w:color w:val="auto"/>
          <w:sz w:val="32"/>
          <w:szCs w:val="32"/>
          <w:highlight w:val="none"/>
        </w:rPr>
        <w:t>。</w:t>
      </w:r>
    </w:p>
    <w:p>
      <w:pPr>
        <w:pStyle w:val="16"/>
        <w:numPr>
          <w:ilvl w:val="0"/>
          <w:numId w:val="3"/>
        </w:numPr>
        <w:ind w:left="0" w:leftChars="0" w:firstLine="643" w:firstLineChars="200"/>
        <w:rPr>
          <w:rFonts w:hint="default"/>
          <w:lang w:val="en-US" w:eastAsia="zh-CN"/>
        </w:rPr>
      </w:pPr>
      <w:r>
        <w:rPr>
          <w:rStyle w:val="14"/>
          <w:rFonts w:hint="eastAsia" w:ascii="仿宋" w:hAnsi="仿宋" w:eastAsia="仿宋"/>
          <w:bCs/>
          <w:color w:val="auto"/>
          <w:sz w:val="32"/>
          <w:szCs w:val="32"/>
          <w:highlight w:val="none"/>
        </w:rPr>
        <w:t>卫生健康支出（类）行政事业单位医疗（款</w:t>
      </w:r>
      <w:r>
        <w:rPr>
          <w:rStyle w:val="14"/>
          <w:rFonts w:hint="eastAsia" w:ascii="仿宋" w:hAnsi="仿宋" w:eastAsia="仿宋"/>
          <w:bCs/>
          <w:color w:val="auto"/>
          <w:sz w:val="32"/>
          <w:szCs w:val="32"/>
          <w:highlight w:val="none"/>
          <w:lang w:eastAsia="zh-CN"/>
        </w:rPr>
        <w:t>）</w:t>
      </w:r>
      <w:r>
        <w:rPr>
          <w:rStyle w:val="14"/>
          <w:rFonts w:hint="eastAsia" w:ascii="仿宋" w:hAnsi="仿宋" w:eastAsia="仿宋"/>
          <w:bCs/>
          <w:color w:val="auto"/>
          <w:sz w:val="32"/>
          <w:szCs w:val="32"/>
          <w:highlight w:val="none"/>
        </w:rPr>
        <w:t>公务员医疗补助（项）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4.4</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p>
    <w:p>
      <w:pPr>
        <w:numPr>
          <w:ilvl w:val="0"/>
          <w:numId w:val="3"/>
        </w:numPr>
        <w:ind w:left="0" w:leftChars="0"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rPr>
        <w:t>城乡社区支出（类）城乡社区管理事务（款</w:t>
      </w:r>
      <w:r>
        <w:rPr>
          <w:rStyle w:val="14"/>
          <w:rFonts w:hint="eastAsia" w:ascii="仿宋" w:hAnsi="仿宋" w:eastAsia="仿宋"/>
          <w:bCs/>
          <w:color w:val="auto"/>
          <w:sz w:val="32"/>
          <w:szCs w:val="32"/>
          <w:highlight w:val="none"/>
          <w:lang w:eastAsia="zh-CN"/>
        </w:rPr>
        <w:t>）</w:t>
      </w:r>
      <w:r>
        <w:rPr>
          <w:rStyle w:val="14"/>
          <w:rFonts w:hint="eastAsia" w:ascii="仿宋" w:hAnsi="仿宋" w:eastAsia="仿宋"/>
          <w:bCs/>
          <w:color w:val="auto"/>
          <w:sz w:val="32"/>
          <w:szCs w:val="32"/>
          <w:highlight w:val="none"/>
        </w:rPr>
        <w:t>其他城乡社区管理事务支出（项）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2.38</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决算数等于预算数</w:t>
      </w:r>
      <w:r>
        <w:rPr>
          <w:rStyle w:val="14"/>
          <w:rFonts w:hint="eastAsia" w:ascii="仿宋" w:hAnsi="仿宋" w:eastAsia="仿宋"/>
          <w:b w:val="0"/>
          <w:bCs/>
          <w:color w:val="auto"/>
          <w:sz w:val="32"/>
          <w:szCs w:val="32"/>
          <w:highlight w:val="none"/>
        </w:rPr>
        <w:t>。</w:t>
      </w:r>
    </w:p>
    <w:p>
      <w:pPr>
        <w:pStyle w:val="16"/>
        <w:numPr>
          <w:ilvl w:val="0"/>
          <w:numId w:val="3"/>
        </w:numPr>
        <w:ind w:left="0" w:leftChars="0" w:firstLine="643" w:firstLineChars="200"/>
        <w:rPr>
          <w:rFonts w:hint="default"/>
          <w:lang w:val="en-US" w:eastAsia="zh-CN"/>
        </w:rPr>
      </w:pPr>
      <w:r>
        <w:rPr>
          <w:rStyle w:val="14"/>
          <w:rFonts w:hint="eastAsia" w:ascii="仿宋" w:hAnsi="仿宋" w:eastAsia="仿宋"/>
          <w:bCs/>
          <w:color w:val="auto"/>
          <w:sz w:val="32"/>
          <w:szCs w:val="32"/>
          <w:highlight w:val="none"/>
        </w:rPr>
        <w:t>城乡社区支出（类）城乡社区环境卫生（款</w:t>
      </w:r>
      <w:r>
        <w:rPr>
          <w:rStyle w:val="14"/>
          <w:rFonts w:hint="eastAsia" w:ascii="仿宋" w:hAnsi="仿宋" w:eastAsia="仿宋"/>
          <w:bCs/>
          <w:color w:val="auto"/>
          <w:sz w:val="32"/>
          <w:szCs w:val="32"/>
          <w:highlight w:val="none"/>
          <w:lang w:eastAsia="zh-CN"/>
        </w:rPr>
        <w:t>）</w:t>
      </w:r>
      <w:r>
        <w:rPr>
          <w:rStyle w:val="14"/>
          <w:rFonts w:hint="eastAsia" w:ascii="仿宋" w:hAnsi="仿宋" w:eastAsia="仿宋"/>
          <w:bCs/>
          <w:color w:val="auto"/>
          <w:sz w:val="32"/>
          <w:szCs w:val="32"/>
          <w:highlight w:val="none"/>
        </w:rPr>
        <w:t>城乡社区环境卫生（项）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21</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决算数等于预算数</w:t>
      </w:r>
      <w:r>
        <w:rPr>
          <w:rStyle w:val="14"/>
          <w:rFonts w:hint="eastAsia" w:ascii="仿宋" w:hAnsi="仿宋" w:eastAsia="仿宋"/>
          <w:b w:val="0"/>
          <w:bCs/>
          <w:color w:val="auto"/>
          <w:sz w:val="32"/>
          <w:szCs w:val="32"/>
          <w:highlight w:val="none"/>
        </w:rPr>
        <w:t>。</w:t>
      </w:r>
    </w:p>
    <w:p>
      <w:pPr>
        <w:numPr>
          <w:ilvl w:val="0"/>
          <w:numId w:val="3"/>
        </w:numPr>
        <w:ind w:left="0" w:leftChars="0"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rPr>
        <w:t>城乡社区支出（类）其他城乡社区支出（款</w:t>
      </w:r>
      <w:r>
        <w:rPr>
          <w:rStyle w:val="14"/>
          <w:rFonts w:hint="eastAsia" w:ascii="仿宋" w:hAnsi="仿宋" w:eastAsia="仿宋"/>
          <w:bCs/>
          <w:color w:val="auto"/>
          <w:sz w:val="32"/>
          <w:szCs w:val="32"/>
          <w:highlight w:val="none"/>
          <w:lang w:eastAsia="zh-CN"/>
        </w:rPr>
        <w:t>）</w:t>
      </w:r>
      <w:r>
        <w:rPr>
          <w:rStyle w:val="14"/>
          <w:rFonts w:hint="eastAsia" w:ascii="仿宋" w:hAnsi="仿宋" w:eastAsia="仿宋"/>
          <w:bCs/>
          <w:color w:val="auto"/>
          <w:sz w:val="32"/>
          <w:szCs w:val="32"/>
          <w:highlight w:val="none"/>
        </w:rPr>
        <w:t>其他城乡社区支出（项）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4.66</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决算数等于预算数</w:t>
      </w:r>
      <w:r>
        <w:rPr>
          <w:rStyle w:val="14"/>
          <w:rFonts w:hint="eastAsia" w:ascii="仿宋" w:hAnsi="仿宋" w:eastAsia="仿宋"/>
          <w:b w:val="0"/>
          <w:bCs/>
          <w:color w:val="auto"/>
          <w:sz w:val="32"/>
          <w:szCs w:val="32"/>
          <w:highlight w:val="none"/>
        </w:rPr>
        <w:t>。</w:t>
      </w:r>
    </w:p>
    <w:p>
      <w:pPr>
        <w:pStyle w:val="16"/>
        <w:numPr>
          <w:ilvl w:val="0"/>
          <w:numId w:val="3"/>
        </w:numPr>
        <w:ind w:left="0" w:leftChars="0" w:firstLine="643" w:firstLineChars="200"/>
        <w:rPr>
          <w:rFonts w:hint="default"/>
          <w:lang w:val="en-US" w:eastAsia="zh-CN"/>
        </w:rPr>
      </w:pPr>
      <w:r>
        <w:rPr>
          <w:rStyle w:val="14"/>
          <w:rFonts w:hint="eastAsia" w:ascii="仿宋" w:hAnsi="仿宋" w:eastAsia="仿宋"/>
          <w:bCs/>
          <w:color w:val="auto"/>
          <w:sz w:val="32"/>
          <w:szCs w:val="32"/>
          <w:highlight w:val="none"/>
        </w:rPr>
        <w:t>农林水支出（类）农业农村（款</w:t>
      </w:r>
      <w:r>
        <w:rPr>
          <w:rStyle w:val="14"/>
          <w:rFonts w:hint="eastAsia" w:ascii="仿宋" w:hAnsi="仿宋" w:eastAsia="仿宋"/>
          <w:bCs/>
          <w:color w:val="auto"/>
          <w:sz w:val="32"/>
          <w:szCs w:val="32"/>
          <w:highlight w:val="none"/>
          <w:lang w:eastAsia="zh-CN"/>
        </w:rPr>
        <w:t>）</w:t>
      </w:r>
      <w:r>
        <w:rPr>
          <w:rStyle w:val="14"/>
          <w:rFonts w:hint="eastAsia" w:ascii="仿宋" w:hAnsi="仿宋" w:eastAsia="仿宋"/>
          <w:bCs/>
          <w:color w:val="auto"/>
          <w:sz w:val="32"/>
          <w:szCs w:val="32"/>
          <w:highlight w:val="none"/>
        </w:rPr>
        <w:t>事业运行（项）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96.49</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决算数等于预算数</w:t>
      </w:r>
      <w:r>
        <w:rPr>
          <w:rStyle w:val="14"/>
          <w:rFonts w:hint="eastAsia" w:ascii="仿宋" w:hAnsi="仿宋" w:eastAsia="仿宋"/>
          <w:b w:val="0"/>
          <w:bCs/>
          <w:color w:val="auto"/>
          <w:sz w:val="32"/>
          <w:szCs w:val="32"/>
          <w:highlight w:val="none"/>
        </w:rPr>
        <w:t>。</w:t>
      </w:r>
    </w:p>
    <w:p>
      <w:pPr>
        <w:numPr>
          <w:ilvl w:val="0"/>
          <w:numId w:val="3"/>
        </w:numPr>
        <w:ind w:left="0" w:leftChars="0"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rPr>
        <w:t>农林水支出（类）农业农村（款</w:t>
      </w:r>
      <w:r>
        <w:rPr>
          <w:rStyle w:val="14"/>
          <w:rFonts w:hint="eastAsia" w:ascii="仿宋" w:hAnsi="仿宋" w:eastAsia="仿宋"/>
          <w:bCs/>
          <w:color w:val="auto"/>
          <w:sz w:val="32"/>
          <w:szCs w:val="32"/>
          <w:highlight w:val="none"/>
          <w:lang w:eastAsia="zh-CN"/>
        </w:rPr>
        <w:t>）</w:t>
      </w:r>
      <w:r>
        <w:rPr>
          <w:rStyle w:val="14"/>
          <w:rFonts w:hint="eastAsia" w:ascii="仿宋" w:hAnsi="仿宋" w:eastAsia="仿宋"/>
          <w:bCs/>
          <w:color w:val="auto"/>
          <w:sz w:val="32"/>
          <w:szCs w:val="32"/>
          <w:highlight w:val="none"/>
        </w:rPr>
        <w:t>农村道路建设（项）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149.5</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决算数等于预算数</w:t>
      </w:r>
      <w:r>
        <w:rPr>
          <w:rStyle w:val="14"/>
          <w:rFonts w:hint="eastAsia" w:ascii="仿宋" w:hAnsi="仿宋" w:eastAsia="仿宋"/>
          <w:b w:val="0"/>
          <w:bCs/>
          <w:color w:val="auto"/>
          <w:sz w:val="32"/>
          <w:szCs w:val="32"/>
          <w:highlight w:val="none"/>
        </w:rPr>
        <w:t>。</w:t>
      </w:r>
    </w:p>
    <w:p>
      <w:pPr>
        <w:numPr>
          <w:ilvl w:val="0"/>
          <w:numId w:val="3"/>
        </w:numPr>
        <w:ind w:left="0" w:leftChars="0"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rPr>
        <w:t>农林水支出（类）农业农村（款</w:t>
      </w:r>
      <w:r>
        <w:rPr>
          <w:rStyle w:val="14"/>
          <w:rFonts w:hint="eastAsia" w:ascii="仿宋" w:hAnsi="仿宋" w:eastAsia="仿宋"/>
          <w:bCs/>
          <w:color w:val="auto"/>
          <w:sz w:val="32"/>
          <w:szCs w:val="32"/>
          <w:highlight w:val="none"/>
          <w:lang w:eastAsia="zh-CN"/>
        </w:rPr>
        <w:t>）</w:t>
      </w:r>
      <w:r>
        <w:rPr>
          <w:rStyle w:val="14"/>
          <w:rFonts w:hint="eastAsia" w:ascii="仿宋" w:hAnsi="仿宋" w:eastAsia="仿宋"/>
          <w:bCs/>
          <w:color w:val="auto"/>
          <w:sz w:val="32"/>
          <w:szCs w:val="32"/>
          <w:highlight w:val="none"/>
        </w:rPr>
        <w:t>其他农业农村支出（项）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2.71</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决算数等于预算数</w:t>
      </w:r>
      <w:r>
        <w:rPr>
          <w:rStyle w:val="14"/>
          <w:rFonts w:hint="eastAsia" w:ascii="仿宋" w:hAnsi="仿宋" w:eastAsia="仿宋"/>
          <w:b w:val="0"/>
          <w:bCs/>
          <w:color w:val="auto"/>
          <w:sz w:val="32"/>
          <w:szCs w:val="32"/>
          <w:highlight w:val="none"/>
        </w:rPr>
        <w:t>。</w:t>
      </w:r>
    </w:p>
    <w:p>
      <w:pPr>
        <w:numPr>
          <w:ilvl w:val="0"/>
          <w:numId w:val="3"/>
        </w:numPr>
        <w:ind w:left="0" w:leftChars="0"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rPr>
        <w:t>农林水支出（类）巩固脱贫衔接乡村振兴（款</w:t>
      </w:r>
      <w:r>
        <w:rPr>
          <w:rStyle w:val="14"/>
          <w:rFonts w:hint="eastAsia" w:ascii="仿宋" w:hAnsi="仿宋" w:eastAsia="仿宋"/>
          <w:bCs/>
          <w:color w:val="auto"/>
          <w:sz w:val="32"/>
          <w:szCs w:val="32"/>
          <w:highlight w:val="none"/>
          <w:lang w:eastAsia="zh-CN"/>
        </w:rPr>
        <w:t>）其他</w:t>
      </w:r>
      <w:r>
        <w:rPr>
          <w:rStyle w:val="14"/>
          <w:rFonts w:hint="eastAsia" w:ascii="仿宋" w:hAnsi="仿宋" w:eastAsia="仿宋"/>
          <w:bCs/>
          <w:color w:val="auto"/>
          <w:sz w:val="32"/>
          <w:szCs w:val="32"/>
          <w:highlight w:val="none"/>
        </w:rPr>
        <w:t>巩固脱贫衔接乡村振兴（项）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4.57</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决算数等于预算数</w:t>
      </w:r>
      <w:r>
        <w:rPr>
          <w:rStyle w:val="14"/>
          <w:rFonts w:hint="eastAsia" w:ascii="仿宋" w:hAnsi="仿宋" w:eastAsia="仿宋"/>
          <w:b w:val="0"/>
          <w:bCs/>
          <w:color w:val="auto"/>
          <w:sz w:val="32"/>
          <w:szCs w:val="32"/>
          <w:highlight w:val="none"/>
        </w:rPr>
        <w:t>。</w:t>
      </w:r>
    </w:p>
    <w:p>
      <w:pPr>
        <w:numPr>
          <w:ilvl w:val="0"/>
          <w:numId w:val="3"/>
        </w:numPr>
        <w:ind w:left="0" w:leftChars="0"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rPr>
        <w:t>农林水支出（类）农村综合改革（款</w:t>
      </w:r>
      <w:r>
        <w:rPr>
          <w:rStyle w:val="14"/>
          <w:rFonts w:hint="eastAsia" w:ascii="仿宋" w:hAnsi="仿宋" w:eastAsia="仿宋"/>
          <w:bCs/>
          <w:color w:val="auto"/>
          <w:sz w:val="32"/>
          <w:szCs w:val="32"/>
          <w:highlight w:val="none"/>
          <w:lang w:eastAsia="zh-CN"/>
        </w:rPr>
        <w:t>）</w:t>
      </w:r>
      <w:r>
        <w:rPr>
          <w:rStyle w:val="14"/>
          <w:rFonts w:hint="eastAsia" w:ascii="仿宋" w:hAnsi="仿宋" w:eastAsia="仿宋"/>
          <w:bCs/>
          <w:color w:val="auto"/>
          <w:sz w:val="32"/>
          <w:szCs w:val="32"/>
          <w:highlight w:val="none"/>
        </w:rPr>
        <w:t>对村级公益事业建设的补助（项）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26</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决算数等于预算数</w:t>
      </w:r>
      <w:r>
        <w:rPr>
          <w:rStyle w:val="14"/>
          <w:rFonts w:hint="eastAsia" w:ascii="仿宋" w:hAnsi="仿宋" w:eastAsia="仿宋"/>
          <w:b w:val="0"/>
          <w:bCs/>
          <w:color w:val="auto"/>
          <w:sz w:val="32"/>
          <w:szCs w:val="32"/>
          <w:highlight w:val="none"/>
        </w:rPr>
        <w:t>。</w:t>
      </w:r>
    </w:p>
    <w:p>
      <w:pPr>
        <w:numPr>
          <w:ilvl w:val="0"/>
          <w:numId w:val="3"/>
        </w:numPr>
        <w:ind w:left="0" w:leftChars="0"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rPr>
        <w:t>农林水支出（类）农村综合改革（款</w:t>
      </w:r>
      <w:r>
        <w:rPr>
          <w:rStyle w:val="14"/>
          <w:rFonts w:hint="eastAsia" w:ascii="仿宋" w:hAnsi="仿宋" w:eastAsia="仿宋"/>
          <w:bCs/>
          <w:color w:val="auto"/>
          <w:sz w:val="32"/>
          <w:szCs w:val="32"/>
          <w:highlight w:val="none"/>
          <w:lang w:eastAsia="zh-CN"/>
        </w:rPr>
        <w:t>）</w:t>
      </w:r>
      <w:r>
        <w:rPr>
          <w:rStyle w:val="14"/>
          <w:rFonts w:hint="eastAsia" w:ascii="仿宋" w:hAnsi="仿宋" w:eastAsia="仿宋"/>
          <w:bCs/>
          <w:color w:val="auto"/>
          <w:sz w:val="32"/>
          <w:szCs w:val="32"/>
          <w:highlight w:val="none"/>
        </w:rPr>
        <w:t>对村民委员会和村党支部的补助（项）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165.48</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决算数等于预算数</w:t>
      </w:r>
      <w:r>
        <w:rPr>
          <w:rStyle w:val="14"/>
          <w:rFonts w:hint="eastAsia" w:ascii="仿宋" w:hAnsi="仿宋" w:eastAsia="仿宋"/>
          <w:b w:val="0"/>
          <w:bCs/>
          <w:color w:val="auto"/>
          <w:sz w:val="32"/>
          <w:szCs w:val="32"/>
          <w:highlight w:val="none"/>
        </w:rPr>
        <w:t>。</w:t>
      </w:r>
    </w:p>
    <w:p>
      <w:pPr>
        <w:numPr>
          <w:ilvl w:val="0"/>
          <w:numId w:val="3"/>
        </w:numPr>
        <w:ind w:left="0" w:leftChars="0"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rPr>
        <w:t>农林水支出（类）农村综合改革（款</w:t>
      </w:r>
      <w:r>
        <w:rPr>
          <w:rStyle w:val="14"/>
          <w:rFonts w:hint="eastAsia" w:ascii="仿宋" w:hAnsi="仿宋" w:eastAsia="仿宋"/>
          <w:bCs/>
          <w:color w:val="auto"/>
          <w:sz w:val="32"/>
          <w:szCs w:val="32"/>
          <w:highlight w:val="none"/>
          <w:lang w:eastAsia="zh-CN"/>
        </w:rPr>
        <w:t>）</w:t>
      </w:r>
      <w:r>
        <w:rPr>
          <w:rStyle w:val="14"/>
          <w:rFonts w:hint="eastAsia" w:ascii="仿宋" w:hAnsi="仿宋" w:eastAsia="仿宋"/>
          <w:bCs/>
          <w:color w:val="auto"/>
          <w:sz w:val="32"/>
          <w:szCs w:val="32"/>
          <w:highlight w:val="none"/>
        </w:rPr>
        <w:t>农村综合改革示范试点补助（项）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12</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决算数等于预算数</w:t>
      </w:r>
      <w:r>
        <w:rPr>
          <w:rStyle w:val="14"/>
          <w:rFonts w:hint="eastAsia" w:ascii="仿宋" w:hAnsi="仿宋" w:eastAsia="仿宋"/>
          <w:b w:val="0"/>
          <w:bCs/>
          <w:color w:val="auto"/>
          <w:sz w:val="32"/>
          <w:szCs w:val="32"/>
          <w:highlight w:val="none"/>
        </w:rPr>
        <w:t>。</w:t>
      </w:r>
    </w:p>
    <w:p>
      <w:pPr>
        <w:numPr>
          <w:ilvl w:val="0"/>
          <w:numId w:val="3"/>
        </w:numPr>
        <w:ind w:left="0" w:leftChars="0"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rPr>
        <w:t>交通运输支出（类）公路水路运输（款</w:t>
      </w:r>
      <w:r>
        <w:rPr>
          <w:rStyle w:val="14"/>
          <w:rFonts w:hint="eastAsia" w:ascii="仿宋" w:hAnsi="仿宋" w:eastAsia="仿宋"/>
          <w:bCs/>
          <w:color w:val="auto"/>
          <w:sz w:val="32"/>
          <w:szCs w:val="32"/>
          <w:highlight w:val="none"/>
          <w:lang w:eastAsia="zh-CN"/>
        </w:rPr>
        <w:t>）</w:t>
      </w:r>
      <w:r>
        <w:rPr>
          <w:rStyle w:val="14"/>
          <w:rFonts w:hint="eastAsia" w:ascii="仿宋" w:hAnsi="仿宋" w:eastAsia="仿宋"/>
          <w:bCs/>
          <w:color w:val="auto"/>
          <w:sz w:val="32"/>
          <w:szCs w:val="32"/>
          <w:highlight w:val="none"/>
        </w:rPr>
        <w:t>公路养护（项）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8.16</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决算数等于预算数</w:t>
      </w:r>
      <w:r>
        <w:rPr>
          <w:rStyle w:val="14"/>
          <w:rFonts w:hint="eastAsia" w:ascii="仿宋" w:hAnsi="仿宋" w:eastAsia="仿宋"/>
          <w:b w:val="0"/>
          <w:bCs/>
          <w:color w:val="auto"/>
          <w:sz w:val="32"/>
          <w:szCs w:val="32"/>
          <w:highlight w:val="none"/>
        </w:rPr>
        <w:t>。</w:t>
      </w:r>
    </w:p>
    <w:p>
      <w:pPr>
        <w:numPr>
          <w:ilvl w:val="0"/>
          <w:numId w:val="3"/>
        </w:numPr>
        <w:ind w:left="0" w:leftChars="0"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rPr>
        <w:t>交通运输支出（类）行政事业单位医疗（款</w:t>
      </w:r>
      <w:r>
        <w:rPr>
          <w:rStyle w:val="14"/>
          <w:rFonts w:hint="eastAsia" w:ascii="仿宋" w:hAnsi="仿宋" w:eastAsia="仿宋"/>
          <w:bCs/>
          <w:color w:val="auto"/>
          <w:sz w:val="32"/>
          <w:szCs w:val="32"/>
          <w:highlight w:val="none"/>
          <w:lang w:eastAsia="zh-CN"/>
        </w:rPr>
        <w:t>）</w:t>
      </w:r>
      <w:r>
        <w:rPr>
          <w:rStyle w:val="14"/>
          <w:rFonts w:hint="eastAsia" w:ascii="仿宋" w:hAnsi="仿宋" w:eastAsia="仿宋"/>
          <w:bCs/>
          <w:color w:val="auto"/>
          <w:sz w:val="32"/>
          <w:szCs w:val="32"/>
          <w:highlight w:val="none"/>
        </w:rPr>
        <w:t>其他公路水路运输支出（项）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3</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决算数等于预算数</w:t>
      </w:r>
      <w:r>
        <w:rPr>
          <w:rStyle w:val="14"/>
          <w:rFonts w:hint="eastAsia" w:ascii="仿宋" w:hAnsi="仿宋" w:eastAsia="仿宋"/>
          <w:b w:val="0"/>
          <w:bCs/>
          <w:color w:val="auto"/>
          <w:sz w:val="32"/>
          <w:szCs w:val="32"/>
          <w:highlight w:val="none"/>
        </w:rPr>
        <w:t>。</w:t>
      </w:r>
    </w:p>
    <w:p>
      <w:pPr>
        <w:numPr>
          <w:ilvl w:val="0"/>
          <w:numId w:val="3"/>
        </w:numPr>
        <w:ind w:left="0" w:leftChars="0"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rPr>
        <w:t>住房保障支出（类）住房改革支出（款</w:t>
      </w:r>
      <w:r>
        <w:rPr>
          <w:rStyle w:val="14"/>
          <w:rFonts w:hint="eastAsia" w:ascii="仿宋" w:hAnsi="仿宋" w:eastAsia="仿宋"/>
          <w:bCs/>
          <w:color w:val="auto"/>
          <w:sz w:val="32"/>
          <w:szCs w:val="32"/>
          <w:highlight w:val="none"/>
          <w:lang w:eastAsia="zh-CN"/>
        </w:rPr>
        <w:t>）</w:t>
      </w:r>
      <w:r>
        <w:rPr>
          <w:rStyle w:val="14"/>
          <w:rFonts w:hint="eastAsia" w:ascii="仿宋" w:hAnsi="仿宋" w:eastAsia="仿宋"/>
          <w:bCs/>
          <w:color w:val="auto"/>
          <w:sz w:val="32"/>
          <w:szCs w:val="32"/>
          <w:highlight w:val="none"/>
        </w:rPr>
        <w:t>住房公积金（项）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26.98</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决算数等于预算数</w:t>
      </w:r>
      <w:r>
        <w:rPr>
          <w:rStyle w:val="14"/>
          <w:rFonts w:hint="eastAsia" w:ascii="仿宋" w:hAnsi="仿宋" w:eastAsia="仿宋"/>
          <w:b w:val="0"/>
          <w:bCs/>
          <w:color w:val="auto"/>
          <w:sz w:val="32"/>
          <w:szCs w:val="32"/>
          <w:highlight w:val="none"/>
        </w:rPr>
        <w:t>。</w:t>
      </w:r>
    </w:p>
    <w:p>
      <w:pPr>
        <w:numPr>
          <w:ilvl w:val="0"/>
          <w:numId w:val="3"/>
        </w:numPr>
        <w:ind w:left="0" w:leftChars="0"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rPr>
        <w:t>灾害防治及应急管理支出（类）其他灾害防治及应急管理支出（款</w:t>
      </w:r>
      <w:r>
        <w:rPr>
          <w:rStyle w:val="14"/>
          <w:rFonts w:hint="eastAsia" w:ascii="仿宋" w:hAnsi="仿宋" w:eastAsia="仿宋"/>
          <w:bCs/>
          <w:color w:val="auto"/>
          <w:sz w:val="32"/>
          <w:szCs w:val="32"/>
          <w:highlight w:val="none"/>
          <w:lang w:eastAsia="zh-CN"/>
        </w:rPr>
        <w:t>）</w:t>
      </w:r>
      <w:r>
        <w:rPr>
          <w:rStyle w:val="14"/>
          <w:rFonts w:hint="eastAsia" w:ascii="仿宋" w:hAnsi="仿宋" w:eastAsia="仿宋"/>
          <w:bCs/>
          <w:color w:val="auto"/>
          <w:sz w:val="32"/>
          <w:szCs w:val="32"/>
          <w:highlight w:val="none"/>
        </w:rPr>
        <w:t>其他灾害防治及应急管理支出（项）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29</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决算数等于预算数</w:t>
      </w:r>
      <w:r>
        <w:rPr>
          <w:rStyle w:val="14"/>
          <w:rFonts w:hint="eastAsia" w:ascii="仿宋" w:hAnsi="仿宋" w:eastAsia="仿宋"/>
          <w:b w:val="0"/>
          <w:bCs/>
          <w:color w:val="auto"/>
          <w:sz w:val="32"/>
          <w:szCs w:val="32"/>
          <w:highlight w:val="none"/>
        </w:rPr>
        <w:t>。</w:t>
      </w:r>
    </w:p>
    <w:p>
      <w:pPr>
        <w:numPr>
          <w:ilvl w:val="0"/>
          <w:numId w:val="3"/>
        </w:numPr>
        <w:ind w:left="0" w:leftChars="0"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rPr>
        <w:t>其他支出（类）其他支出（款</w:t>
      </w:r>
      <w:r>
        <w:rPr>
          <w:rStyle w:val="14"/>
          <w:rFonts w:hint="eastAsia" w:ascii="仿宋" w:hAnsi="仿宋" w:eastAsia="仿宋"/>
          <w:bCs/>
          <w:color w:val="auto"/>
          <w:sz w:val="32"/>
          <w:szCs w:val="32"/>
          <w:highlight w:val="none"/>
          <w:lang w:eastAsia="zh-CN"/>
        </w:rPr>
        <w:t>）</w:t>
      </w:r>
      <w:r>
        <w:rPr>
          <w:rStyle w:val="14"/>
          <w:rFonts w:hint="eastAsia" w:ascii="仿宋" w:hAnsi="仿宋" w:eastAsia="仿宋"/>
          <w:bCs/>
          <w:color w:val="auto"/>
          <w:sz w:val="32"/>
          <w:szCs w:val="32"/>
          <w:highlight w:val="none"/>
        </w:rPr>
        <w:t>其他支出（项）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184</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决算数等于预算数</w:t>
      </w:r>
      <w:r>
        <w:rPr>
          <w:rStyle w:val="14"/>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w:t>
      </w:r>
      <w:r>
        <w:rPr>
          <w:rFonts w:hint="eastAsia" w:ascii="仿宋" w:hAnsi="仿宋" w:eastAsia="仿宋"/>
          <w:b/>
          <w:color w:val="auto"/>
          <w:sz w:val="32"/>
          <w:szCs w:val="32"/>
          <w:highlight w:val="none"/>
        </w:rPr>
        <w:t>1-1表</w:t>
      </w:r>
      <w:r>
        <w:rPr>
          <w:rFonts w:hint="eastAsia" w:ascii="仿宋" w:hAnsi="仿宋" w:eastAsia="仿宋"/>
          <w:b/>
          <w:color w:val="auto"/>
          <w:sz w:val="32"/>
          <w:szCs w:val="32"/>
          <w:highlight w:val="none"/>
          <w:lang w:eastAsia="zh-CN"/>
        </w:rPr>
        <w:t>和财决</w:t>
      </w:r>
      <w:r>
        <w:rPr>
          <w:rFonts w:hint="eastAsia" w:ascii="仿宋" w:hAnsi="仿宋" w:eastAsia="仿宋"/>
          <w:b/>
          <w:color w:val="auto"/>
          <w:sz w:val="32"/>
          <w:szCs w:val="32"/>
          <w:highlight w:val="none"/>
          <w:lang w:val="en-US" w:eastAsia="zh-CN"/>
        </w:rPr>
        <w:t>08表</w:t>
      </w: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仅</w:t>
      </w:r>
      <w:r>
        <w:rPr>
          <w:rFonts w:hint="eastAsia" w:ascii="仿宋" w:hAnsi="仿宋" w:eastAsia="仿宋"/>
          <w:b/>
          <w:color w:val="auto"/>
          <w:sz w:val="32"/>
          <w:szCs w:val="32"/>
          <w:highlight w:val="none"/>
        </w:rPr>
        <w:t>罗列</w:t>
      </w:r>
      <w:r>
        <w:rPr>
          <w:rFonts w:hint="eastAsia" w:ascii="仿宋" w:hAnsi="仿宋" w:eastAsia="仿宋"/>
          <w:b/>
          <w:color w:val="auto"/>
          <w:sz w:val="32"/>
          <w:szCs w:val="32"/>
          <w:highlight w:val="none"/>
          <w:lang w:eastAsia="zh-CN"/>
        </w:rPr>
        <w:t>本单位涉及的</w:t>
      </w:r>
      <w:r>
        <w:rPr>
          <w:rFonts w:hint="eastAsia" w:ascii="仿宋" w:hAnsi="仿宋" w:eastAsia="仿宋"/>
          <w:b/>
          <w:color w:val="auto"/>
          <w:sz w:val="32"/>
          <w:szCs w:val="32"/>
          <w:highlight w:val="none"/>
        </w:rPr>
        <w:t>全部功能分类科目</w:t>
      </w:r>
      <w:r>
        <w:rPr>
          <w:rFonts w:hint="eastAsia" w:ascii="仿宋" w:hAnsi="仿宋" w:eastAsia="仿宋"/>
          <w:b/>
          <w:color w:val="auto"/>
          <w:sz w:val="32"/>
          <w:szCs w:val="32"/>
          <w:highlight w:val="none"/>
          <w:lang w:eastAsia="zh-CN"/>
        </w:rPr>
        <w:t>，</w:t>
      </w:r>
      <w:r>
        <w:rPr>
          <w:rFonts w:hint="eastAsia" w:ascii="仿宋" w:hAnsi="仿宋" w:eastAsia="仿宋"/>
          <w:b/>
          <w:color w:val="auto"/>
          <w:sz w:val="32"/>
          <w:szCs w:val="32"/>
          <w:highlight w:val="none"/>
        </w:rPr>
        <w:t>至项级。上述“预算”口径为</w:t>
      </w:r>
      <w:r>
        <w:rPr>
          <w:rFonts w:hint="eastAsia" w:ascii="仿宋" w:hAnsi="仿宋" w:eastAsia="仿宋"/>
          <w:b/>
          <w:color w:val="auto"/>
          <w:sz w:val="32"/>
          <w:szCs w:val="32"/>
          <w:highlight w:val="none"/>
          <w:lang w:eastAsia="zh-CN"/>
        </w:rPr>
        <w:t>全年预算</w:t>
      </w:r>
      <w:r>
        <w:rPr>
          <w:rFonts w:hint="eastAsia" w:ascii="仿宋" w:hAnsi="仿宋" w:eastAsia="仿宋"/>
          <w:b/>
          <w:color w:val="auto"/>
          <w:sz w:val="32"/>
          <w:szCs w:val="32"/>
          <w:highlight w:val="none"/>
        </w:rPr>
        <w:t>数。增减变动原因为决算数</w:t>
      </w:r>
      <w:r>
        <w:rPr>
          <w:rFonts w:ascii="仿宋" w:hAnsi="仿宋" w:eastAsia="仿宋"/>
          <w:b/>
          <w:color w:val="auto"/>
          <w:sz w:val="32"/>
          <w:szCs w:val="32"/>
          <w:highlight w:val="none"/>
        </w:rPr>
        <w:t>&lt;</w:t>
      </w:r>
      <w:r>
        <w:rPr>
          <w:rFonts w:hint="eastAsia" w:ascii="仿宋" w:hAnsi="仿宋" w:eastAsia="仿宋"/>
          <w:b/>
          <w:color w:val="auto"/>
          <w:sz w:val="32"/>
          <w:szCs w:val="32"/>
          <w:highlight w:val="none"/>
        </w:rPr>
        <w:t>项级</w:t>
      </w:r>
      <w:r>
        <w:rPr>
          <w:rFonts w:ascii="仿宋" w:hAnsi="仿宋" w:eastAsia="仿宋"/>
          <w:b/>
          <w:color w:val="auto"/>
          <w:sz w:val="32"/>
          <w:szCs w:val="32"/>
          <w:highlight w:val="none"/>
        </w:rPr>
        <w:t>&gt;</w:t>
      </w:r>
      <w:r>
        <w:rPr>
          <w:rFonts w:hint="eastAsia" w:ascii="仿宋" w:hAnsi="仿宋" w:eastAsia="仿宋"/>
          <w:b/>
          <w:color w:val="auto"/>
          <w:sz w:val="32"/>
          <w:szCs w:val="32"/>
          <w:highlight w:val="none"/>
        </w:rPr>
        <w:t>和</w:t>
      </w:r>
      <w:r>
        <w:rPr>
          <w:rFonts w:hint="eastAsia" w:ascii="仿宋" w:hAnsi="仿宋" w:eastAsia="仿宋"/>
          <w:b/>
          <w:color w:val="auto"/>
          <w:sz w:val="32"/>
          <w:szCs w:val="32"/>
          <w:highlight w:val="none"/>
          <w:lang w:eastAsia="zh-CN"/>
        </w:rPr>
        <w:t>全年预算</w:t>
      </w:r>
      <w:r>
        <w:rPr>
          <w:rFonts w:hint="eastAsia" w:ascii="仿宋" w:hAnsi="仿宋" w:eastAsia="仿宋"/>
          <w:b/>
          <w:color w:val="auto"/>
          <w:sz w:val="32"/>
          <w:szCs w:val="32"/>
          <w:highlight w:val="none"/>
        </w:rPr>
        <w:t>数</w:t>
      </w:r>
      <w:r>
        <w:rPr>
          <w:rFonts w:ascii="仿宋" w:hAnsi="仿宋" w:eastAsia="仿宋"/>
          <w:b/>
          <w:color w:val="auto"/>
          <w:sz w:val="32"/>
          <w:szCs w:val="32"/>
          <w:highlight w:val="none"/>
        </w:rPr>
        <w:t>&lt;</w:t>
      </w:r>
      <w:r>
        <w:rPr>
          <w:rFonts w:hint="eastAsia" w:ascii="仿宋" w:hAnsi="仿宋" w:eastAsia="仿宋"/>
          <w:b/>
          <w:color w:val="auto"/>
          <w:sz w:val="32"/>
          <w:szCs w:val="32"/>
          <w:highlight w:val="none"/>
        </w:rPr>
        <w:t>项级</w:t>
      </w:r>
      <w:r>
        <w:rPr>
          <w:rFonts w:ascii="仿宋" w:hAnsi="仿宋" w:eastAsia="仿宋"/>
          <w:b/>
          <w:color w:val="auto"/>
          <w:sz w:val="32"/>
          <w:szCs w:val="32"/>
          <w:highlight w:val="none"/>
        </w:rPr>
        <w:t>&gt;</w:t>
      </w:r>
      <w:r>
        <w:rPr>
          <w:rFonts w:hint="eastAsia" w:ascii="仿宋" w:hAnsi="仿宋" w:eastAsia="仿宋"/>
          <w:b/>
          <w:color w:val="auto"/>
          <w:sz w:val="32"/>
          <w:szCs w:val="32"/>
          <w:highlight w:val="none"/>
        </w:rPr>
        <w:t>比较，与预算数持</w:t>
      </w:r>
      <w:r>
        <w:rPr>
          <w:rFonts w:hint="eastAsia" w:ascii="仿宋" w:hAnsi="仿宋" w:eastAsia="仿宋"/>
          <w:b/>
          <w:color w:val="auto"/>
          <w:sz w:val="32"/>
          <w:szCs w:val="32"/>
          <w:highlight w:val="none"/>
          <w:lang w:eastAsia="zh-CN"/>
        </w:rPr>
        <w:t>相等</w:t>
      </w:r>
      <w:r>
        <w:rPr>
          <w:rFonts w:hint="eastAsia" w:ascii="仿宋" w:hAnsi="仿宋" w:eastAsia="仿宋"/>
          <w:b/>
          <w:color w:val="auto"/>
          <w:sz w:val="32"/>
          <w:szCs w:val="32"/>
          <w:highlight w:val="none"/>
        </w:rPr>
        <w:t>可以不写原因。）</w:t>
      </w:r>
    </w:p>
    <w:p>
      <w:pPr>
        <w:spacing w:line="600" w:lineRule="exact"/>
        <w:ind w:firstLine="640"/>
        <w:rPr>
          <w:rFonts w:ascii="仿宋" w:hAnsi="仿宋" w:eastAsia="仿宋"/>
          <w:b/>
          <w:color w:val="auto"/>
          <w:sz w:val="32"/>
          <w:szCs w:val="32"/>
          <w:highlight w:val="none"/>
        </w:rPr>
      </w:pPr>
    </w:p>
    <w:p>
      <w:pPr>
        <w:tabs>
          <w:tab w:val="right" w:pos="8306"/>
        </w:tabs>
        <w:spacing w:line="600" w:lineRule="exact"/>
        <w:ind w:firstLine="640"/>
        <w:outlineLvl w:val="1"/>
        <w:rPr>
          <w:rStyle w:val="26"/>
          <w:color w:val="auto"/>
          <w:highlight w:val="none"/>
        </w:rPr>
      </w:pPr>
      <w:bookmarkStart w:id="39" w:name="_Toc15396608"/>
      <w:bookmarkStart w:id="40"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般公共预算财政拨款基本支出决算情况说明</w:t>
      </w:r>
      <w:bookmarkEnd w:id="39"/>
      <w:bookmarkEnd w:id="40"/>
      <w:r>
        <w:rPr>
          <w:rStyle w:val="26"/>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638.07</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548.29</w:t>
      </w:r>
      <w:r>
        <w:rPr>
          <w:rFonts w:hint="eastAsia" w:ascii="仿宋" w:hAnsi="仿宋" w:eastAsia="仿宋"/>
          <w:color w:val="auto"/>
          <w:sz w:val="32"/>
          <w:szCs w:val="32"/>
          <w:highlight w:val="none"/>
        </w:rPr>
        <w:t>万元，主要包括：基本工资</w:t>
      </w:r>
      <w:r>
        <w:rPr>
          <w:rFonts w:hint="eastAsia" w:ascii="仿宋" w:hAnsi="仿宋" w:eastAsia="仿宋"/>
          <w:color w:val="auto"/>
          <w:sz w:val="32"/>
          <w:szCs w:val="32"/>
          <w:highlight w:val="none"/>
          <w:lang w:val="en-US" w:eastAsia="zh-CN"/>
        </w:rPr>
        <w:t>101.65万元</w:t>
      </w:r>
      <w:r>
        <w:rPr>
          <w:rFonts w:hint="eastAsia" w:ascii="仿宋" w:hAnsi="仿宋" w:eastAsia="仿宋"/>
          <w:color w:val="auto"/>
          <w:sz w:val="32"/>
          <w:szCs w:val="32"/>
          <w:highlight w:val="none"/>
        </w:rPr>
        <w:t>、津贴补贴</w:t>
      </w:r>
      <w:r>
        <w:rPr>
          <w:rFonts w:hint="eastAsia" w:ascii="仿宋" w:hAnsi="仿宋" w:eastAsia="仿宋"/>
          <w:color w:val="auto"/>
          <w:sz w:val="32"/>
          <w:szCs w:val="32"/>
          <w:highlight w:val="none"/>
          <w:lang w:val="en-US" w:eastAsia="zh-CN"/>
        </w:rPr>
        <w:t>46.57</w:t>
      </w:r>
      <w:r>
        <w:rPr>
          <w:rFonts w:hint="eastAsia" w:ascii="仿宋" w:hAnsi="仿宋" w:eastAsia="仿宋"/>
          <w:color w:val="auto"/>
          <w:sz w:val="32"/>
          <w:szCs w:val="32"/>
          <w:highlight w:val="none"/>
        </w:rPr>
        <w:t>万元、奖金</w:t>
      </w:r>
      <w:r>
        <w:rPr>
          <w:rFonts w:hint="eastAsia" w:ascii="仿宋" w:hAnsi="仿宋" w:eastAsia="仿宋"/>
          <w:color w:val="auto"/>
          <w:sz w:val="32"/>
          <w:szCs w:val="32"/>
          <w:highlight w:val="none"/>
          <w:lang w:val="en-US" w:eastAsia="zh-CN"/>
        </w:rPr>
        <w:t>5.86</w:t>
      </w:r>
      <w:r>
        <w:rPr>
          <w:rFonts w:hint="eastAsia" w:ascii="仿宋" w:hAnsi="仿宋" w:eastAsia="仿宋"/>
          <w:color w:val="auto"/>
          <w:sz w:val="32"/>
          <w:szCs w:val="32"/>
          <w:highlight w:val="none"/>
        </w:rPr>
        <w:t>万元、绩效工资</w:t>
      </w:r>
      <w:r>
        <w:rPr>
          <w:rFonts w:hint="eastAsia" w:ascii="仿宋" w:hAnsi="仿宋" w:eastAsia="仿宋"/>
          <w:color w:val="auto"/>
          <w:sz w:val="32"/>
          <w:szCs w:val="32"/>
          <w:highlight w:val="none"/>
          <w:lang w:val="en-US" w:eastAsia="zh-CN"/>
        </w:rPr>
        <w:t>42.33</w:t>
      </w:r>
      <w:r>
        <w:rPr>
          <w:rFonts w:hint="eastAsia" w:ascii="仿宋" w:hAnsi="仿宋" w:eastAsia="仿宋"/>
          <w:color w:val="auto"/>
          <w:sz w:val="32"/>
          <w:szCs w:val="32"/>
          <w:highlight w:val="none"/>
        </w:rPr>
        <w:t>万元、机关事业单位基本养老保险缴费</w:t>
      </w:r>
      <w:r>
        <w:rPr>
          <w:rFonts w:hint="eastAsia" w:ascii="仿宋" w:hAnsi="仿宋" w:eastAsia="仿宋"/>
          <w:color w:val="auto"/>
          <w:sz w:val="32"/>
          <w:szCs w:val="32"/>
          <w:highlight w:val="none"/>
          <w:lang w:val="en-US" w:eastAsia="zh-CN"/>
        </w:rPr>
        <w:t>20.01</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职工基本医疗保险缴费</w:t>
      </w:r>
      <w:r>
        <w:rPr>
          <w:rFonts w:hint="eastAsia" w:ascii="仿宋" w:hAnsi="仿宋" w:eastAsia="仿宋"/>
          <w:color w:val="auto"/>
          <w:sz w:val="32"/>
          <w:szCs w:val="32"/>
          <w:highlight w:val="none"/>
          <w:lang w:val="en-US" w:eastAsia="zh-CN"/>
        </w:rPr>
        <w:t>13.03</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、公务员医疗补助缴费</w:t>
      </w:r>
      <w:r>
        <w:rPr>
          <w:rFonts w:hint="eastAsia" w:ascii="仿宋" w:hAnsi="仿宋" w:eastAsia="仿宋"/>
          <w:color w:val="auto"/>
          <w:sz w:val="32"/>
          <w:szCs w:val="32"/>
          <w:highlight w:val="none"/>
          <w:lang w:val="en-US" w:eastAsia="zh-CN"/>
        </w:rPr>
        <w:t>4.40</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其他工资福利支出</w:t>
      </w:r>
      <w:r>
        <w:rPr>
          <w:rFonts w:hint="eastAsia" w:ascii="仿宋" w:hAnsi="仿宋" w:eastAsia="仿宋"/>
          <w:color w:val="auto"/>
          <w:sz w:val="32"/>
          <w:szCs w:val="32"/>
          <w:highlight w:val="none"/>
          <w:lang w:val="en-US" w:eastAsia="zh-CN"/>
        </w:rPr>
        <w:t>100.58</w:t>
      </w:r>
      <w:r>
        <w:rPr>
          <w:rFonts w:hint="eastAsia" w:ascii="仿宋" w:hAnsi="仿宋" w:eastAsia="仿宋"/>
          <w:color w:val="auto"/>
          <w:sz w:val="32"/>
          <w:szCs w:val="32"/>
          <w:highlight w:val="none"/>
        </w:rPr>
        <w:t>万元、抚恤金</w:t>
      </w:r>
      <w:r>
        <w:rPr>
          <w:rFonts w:hint="eastAsia" w:ascii="仿宋" w:hAnsi="仿宋" w:eastAsia="仿宋"/>
          <w:color w:val="auto"/>
          <w:sz w:val="32"/>
          <w:szCs w:val="32"/>
          <w:highlight w:val="none"/>
          <w:lang w:val="en-US" w:eastAsia="zh-CN"/>
        </w:rPr>
        <w:t>2.59</w:t>
      </w:r>
      <w:r>
        <w:rPr>
          <w:rFonts w:hint="eastAsia" w:ascii="仿宋" w:hAnsi="仿宋" w:eastAsia="仿宋"/>
          <w:color w:val="auto"/>
          <w:sz w:val="32"/>
          <w:szCs w:val="32"/>
          <w:highlight w:val="none"/>
        </w:rPr>
        <w:t>万元、生活补助</w:t>
      </w:r>
      <w:r>
        <w:rPr>
          <w:rFonts w:hint="eastAsia" w:ascii="仿宋" w:hAnsi="仿宋" w:eastAsia="仿宋"/>
          <w:color w:val="auto"/>
          <w:sz w:val="32"/>
          <w:szCs w:val="32"/>
          <w:highlight w:val="none"/>
          <w:lang w:val="en-US" w:eastAsia="zh-CN"/>
        </w:rPr>
        <w:t>176.47</w:t>
      </w:r>
      <w:r>
        <w:rPr>
          <w:rFonts w:hint="eastAsia" w:ascii="仿宋" w:hAnsi="仿宋" w:eastAsia="仿宋"/>
          <w:color w:val="auto"/>
          <w:sz w:val="32"/>
          <w:szCs w:val="32"/>
          <w:highlight w:val="none"/>
        </w:rPr>
        <w:t>万元、奖励金</w:t>
      </w:r>
      <w:r>
        <w:rPr>
          <w:rFonts w:hint="eastAsia" w:ascii="仿宋" w:hAnsi="仿宋" w:eastAsia="仿宋"/>
          <w:color w:val="auto"/>
          <w:sz w:val="32"/>
          <w:szCs w:val="32"/>
          <w:highlight w:val="none"/>
          <w:lang w:val="en-US" w:eastAsia="zh-CN"/>
        </w:rPr>
        <w:t>0.012</w:t>
      </w:r>
      <w:r>
        <w:rPr>
          <w:rFonts w:hint="eastAsia" w:ascii="仿宋" w:hAnsi="仿宋" w:eastAsia="仿宋"/>
          <w:color w:val="auto"/>
          <w:sz w:val="32"/>
          <w:szCs w:val="32"/>
          <w:highlight w:val="none"/>
        </w:rPr>
        <w:t>万元、住房公积金</w:t>
      </w:r>
      <w:r>
        <w:rPr>
          <w:rFonts w:hint="eastAsia" w:ascii="仿宋" w:hAnsi="仿宋" w:eastAsia="仿宋"/>
          <w:color w:val="auto"/>
          <w:sz w:val="32"/>
          <w:szCs w:val="32"/>
          <w:highlight w:val="none"/>
          <w:lang w:val="en-US" w:eastAsia="zh-CN"/>
        </w:rPr>
        <w:t>26.98</w:t>
      </w:r>
      <w:r>
        <w:rPr>
          <w:rFonts w:hint="eastAsia" w:ascii="仿宋" w:hAnsi="仿宋" w:eastAsia="仿宋"/>
          <w:color w:val="auto"/>
          <w:sz w:val="32"/>
          <w:szCs w:val="32"/>
          <w:highlight w:val="none"/>
        </w:rPr>
        <w:t>万元、其他对个人和家庭的补助支出</w:t>
      </w:r>
      <w:r>
        <w:rPr>
          <w:rFonts w:hint="eastAsia" w:ascii="仿宋" w:hAnsi="仿宋" w:eastAsia="仿宋"/>
          <w:color w:val="auto"/>
          <w:sz w:val="32"/>
          <w:szCs w:val="32"/>
          <w:highlight w:val="none"/>
          <w:lang w:val="en-US" w:eastAsia="zh-CN"/>
        </w:rPr>
        <w:t>7.8</w:t>
      </w:r>
      <w:r>
        <w:rPr>
          <w:rFonts w:hint="eastAsia" w:ascii="仿宋" w:hAnsi="仿宋" w:eastAsia="仿宋"/>
          <w:color w:val="auto"/>
          <w:sz w:val="32"/>
          <w:szCs w:val="32"/>
          <w:highlight w:val="none"/>
        </w:rPr>
        <w:t>万元等。</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89.78</w:t>
      </w:r>
      <w:r>
        <w:rPr>
          <w:rFonts w:hint="eastAsia" w:ascii="仿宋" w:hAnsi="仿宋" w:eastAsia="仿宋"/>
          <w:color w:val="auto"/>
          <w:sz w:val="32"/>
          <w:szCs w:val="32"/>
          <w:highlight w:val="none"/>
        </w:rPr>
        <w:t>万元，主要包括：办公费</w:t>
      </w:r>
      <w:r>
        <w:rPr>
          <w:rFonts w:hint="eastAsia" w:ascii="仿宋" w:hAnsi="仿宋" w:eastAsia="仿宋"/>
          <w:color w:val="auto"/>
          <w:sz w:val="32"/>
          <w:szCs w:val="32"/>
          <w:highlight w:val="none"/>
          <w:lang w:val="en-US" w:eastAsia="zh-CN"/>
        </w:rPr>
        <w:t>5.41</w:t>
      </w:r>
      <w:r>
        <w:rPr>
          <w:rFonts w:hint="eastAsia" w:ascii="仿宋" w:hAnsi="仿宋" w:eastAsia="仿宋"/>
          <w:color w:val="auto"/>
          <w:sz w:val="32"/>
          <w:szCs w:val="32"/>
          <w:highlight w:val="none"/>
        </w:rPr>
        <w:t>万元、印刷费</w:t>
      </w:r>
      <w:r>
        <w:rPr>
          <w:rFonts w:hint="eastAsia" w:ascii="仿宋" w:hAnsi="仿宋" w:eastAsia="仿宋"/>
          <w:color w:val="auto"/>
          <w:sz w:val="32"/>
          <w:szCs w:val="32"/>
          <w:highlight w:val="none"/>
          <w:lang w:val="en-US" w:eastAsia="zh-CN"/>
        </w:rPr>
        <w:t>9</w:t>
      </w:r>
      <w:r>
        <w:rPr>
          <w:rFonts w:hint="eastAsia" w:ascii="仿宋" w:hAnsi="仿宋" w:eastAsia="仿宋"/>
          <w:color w:val="auto"/>
          <w:sz w:val="32"/>
          <w:szCs w:val="32"/>
          <w:highlight w:val="none"/>
        </w:rPr>
        <w:t>万元、咨询费</w:t>
      </w:r>
      <w:r>
        <w:rPr>
          <w:rFonts w:hint="eastAsia" w:ascii="仿宋" w:hAnsi="仿宋" w:eastAsia="仿宋"/>
          <w:color w:val="auto"/>
          <w:sz w:val="32"/>
          <w:szCs w:val="32"/>
          <w:highlight w:val="none"/>
          <w:lang w:val="en-US" w:eastAsia="zh-CN"/>
        </w:rPr>
        <w:t>5</w:t>
      </w:r>
      <w:r>
        <w:rPr>
          <w:rFonts w:hint="eastAsia" w:ascii="仿宋" w:hAnsi="仿宋" w:eastAsia="仿宋"/>
          <w:color w:val="auto"/>
          <w:sz w:val="32"/>
          <w:szCs w:val="32"/>
          <w:highlight w:val="none"/>
        </w:rPr>
        <w:t>万元、手续费</w:t>
      </w:r>
      <w:r>
        <w:rPr>
          <w:rFonts w:hint="eastAsia" w:ascii="仿宋" w:hAnsi="仿宋" w:eastAsia="仿宋"/>
          <w:color w:val="auto"/>
          <w:sz w:val="32"/>
          <w:szCs w:val="32"/>
          <w:highlight w:val="none"/>
          <w:lang w:val="en-US" w:eastAsia="zh-CN"/>
        </w:rPr>
        <w:t>0.1</w:t>
      </w:r>
      <w:r>
        <w:rPr>
          <w:rFonts w:hint="eastAsia" w:ascii="仿宋" w:hAnsi="仿宋" w:eastAsia="仿宋"/>
          <w:color w:val="auto"/>
          <w:sz w:val="32"/>
          <w:szCs w:val="32"/>
          <w:highlight w:val="none"/>
        </w:rPr>
        <w:t>万元、水费</w:t>
      </w:r>
      <w:r>
        <w:rPr>
          <w:rFonts w:hint="eastAsia" w:ascii="仿宋" w:hAnsi="仿宋" w:eastAsia="仿宋"/>
          <w:color w:val="auto"/>
          <w:sz w:val="32"/>
          <w:szCs w:val="32"/>
          <w:highlight w:val="none"/>
          <w:lang w:val="en-US" w:eastAsia="zh-CN"/>
        </w:rPr>
        <w:t>0.5</w:t>
      </w:r>
      <w:r>
        <w:rPr>
          <w:rFonts w:hint="eastAsia" w:ascii="仿宋" w:hAnsi="仿宋" w:eastAsia="仿宋"/>
          <w:color w:val="auto"/>
          <w:sz w:val="32"/>
          <w:szCs w:val="32"/>
          <w:highlight w:val="none"/>
        </w:rPr>
        <w:t>万元、电费</w:t>
      </w:r>
      <w:r>
        <w:rPr>
          <w:rFonts w:hint="eastAsia" w:ascii="仿宋" w:hAnsi="仿宋" w:eastAsia="仿宋"/>
          <w:color w:val="auto"/>
          <w:sz w:val="32"/>
          <w:szCs w:val="32"/>
          <w:highlight w:val="none"/>
          <w:lang w:val="en-US" w:eastAsia="zh-CN"/>
        </w:rPr>
        <w:t>3.87</w:t>
      </w:r>
      <w:r>
        <w:rPr>
          <w:rFonts w:hint="eastAsia" w:ascii="仿宋" w:hAnsi="仿宋" w:eastAsia="仿宋"/>
          <w:color w:val="auto"/>
          <w:sz w:val="32"/>
          <w:szCs w:val="32"/>
          <w:highlight w:val="none"/>
        </w:rPr>
        <w:t>万元、邮电费</w:t>
      </w:r>
      <w:r>
        <w:rPr>
          <w:rFonts w:hint="eastAsia" w:ascii="仿宋" w:hAnsi="仿宋" w:eastAsia="仿宋"/>
          <w:color w:val="auto"/>
          <w:sz w:val="32"/>
          <w:szCs w:val="32"/>
          <w:highlight w:val="none"/>
          <w:lang w:val="en-US" w:eastAsia="zh-CN"/>
        </w:rPr>
        <w:t>4</w:t>
      </w:r>
      <w:r>
        <w:rPr>
          <w:rFonts w:hint="eastAsia" w:ascii="仿宋" w:hAnsi="仿宋" w:eastAsia="仿宋"/>
          <w:color w:val="auto"/>
          <w:sz w:val="32"/>
          <w:szCs w:val="32"/>
          <w:highlight w:val="none"/>
        </w:rPr>
        <w:t>万元、差旅费</w:t>
      </w:r>
      <w:r>
        <w:rPr>
          <w:rFonts w:hint="eastAsia" w:ascii="仿宋" w:hAnsi="仿宋" w:eastAsia="仿宋"/>
          <w:color w:val="auto"/>
          <w:sz w:val="32"/>
          <w:szCs w:val="32"/>
          <w:highlight w:val="none"/>
          <w:lang w:val="en-US" w:eastAsia="zh-CN"/>
        </w:rPr>
        <w:t>2.5</w:t>
      </w:r>
      <w:r>
        <w:rPr>
          <w:rFonts w:hint="eastAsia" w:ascii="仿宋" w:hAnsi="仿宋" w:eastAsia="仿宋"/>
          <w:color w:val="auto"/>
          <w:sz w:val="32"/>
          <w:szCs w:val="32"/>
          <w:highlight w:val="none"/>
        </w:rPr>
        <w:t>万元、会议费</w:t>
      </w:r>
      <w:r>
        <w:rPr>
          <w:rFonts w:hint="eastAsia" w:ascii="仿宋" w:hAnsi="仿宋" w:eastAsia="仿宋"/>
          <w:color w:val="auto"/>
          <w:sz w:val="32"/>
          <w:szCs w:val="32"/>
          <w:highlight w:val="none"/>
          <w:lang w:val="en-US" w:eastAsia="zh-CN"/>
        </w:rPr>
        <w:t>0.5</w:t>
      </w:r>
      <w:r>
        <w:rPr>
          <w:rFonts w:hint="eastAsia" w:ascii="仿宋" w:hAnsi="仿宋" w:eastAsia="仿宋"/>
          <w:color w:val="auto"/>
          <w:sz w:val="32"/>
          <w:szCs w:val="32"/>
          <w:highlight w:val="none"/>
        </w:rPr>
        <w:t>万元、培训费</w:t>
      </w: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rPr>
        <w:t>万元、公务接待费</w:t>
      </w:r>
      <w:r>
        <w:rPr>
          <w:rFonts w:hint="eastAsia" w:ascii="仿宋" w:hAnsi="仿宋" w:eastAsia="仿宋"/>
          <w:color w:val="auto"/>
          <w:sz w:val="32"/>
          <w:szCs w:val="32"/>
          <w:highlight w:val="none"/>
          <w:lang w:val="en-US" w:eastAsia="zh-CN"/>
        </w:rPr>
        <w:t>7</w:t>
      </w:r>
      <w:r>
        <w:rPr>
          <w:rFonts w:hint="eastAsia" w:ascii="仿宋" w:hAnsi="仿宋" w:eastAsia="仿宋"/>
          <w:color w:val="auto"/>
          <w:sz w:val="32"/>
          <w:szCs w:val="32"/>
          <w:highlight w:val="none"/>
        </w:rPr>
        <w:t>万元、劳务费</w:t>
      </w:r>
      <w:r>
        <w:rPr>
          <w:rFonts w:hint="eastAsia" w:ascii="仿宋" w:hAnsi="仿宋" w:eastAsia="仿宋"/>
          <w:color w:val="auto"/>
          <w:sz w:val="32"/>
          <w:szCs w:val="32"/>
          <w:highlight w:val="none"/>
          <w:lang w:val="en-US" w:eastAsia="zh-CN"/>
        </w:rPr>
        <w:t>9</w:t>
      </w:r>
      <w:r>
        <w:rPr>
          <w:rFonts w:hint="eastAsia" w:ascii="仿宋" w:hAnsi="仿宋" w:eastAsia="仿宋"/>
          <w:color w:val="auto"/>
          <w:sz w:val="32"/>
          <w:szCs w:val="32"/>
          <w:highlight w:val="none"/>
        </w:rPr>
        <w:t>万元、工会经费</w:t>
      </w:r>
      <w:r>
        <w:rPr>
          <w:rFonts w:hint="eastAsia" w:ascii="仿宋" w:hAnsi="仿宋" w:eastAsia="仿宋"/>
          <w:color w:val="auto"/>
          <w:sz w:val="32"/>
          <w:szCs w:val="32"/>
          <w:highlight w:val="none"/>
          <w:lang w:val="en-US" w:eastAsia="zh-CN"/>
        </w:rPr>
        <w:t>3.89</w:t>
      </w:r>
      <w:r>
        <w:rPr>
          <w:rFonts w:hint="eastAsia" w:ascii="仿宋" w:hAnsi="仿宋" w:eastAsia="仿宋"/>
          <w:color w:val="auto"/>
          <w:sz w:val="32"/>
          <w:szCs w:val="32"/>
          <w:highlight w:val="none"/>
        </w:rPr>
        <w:t>万元、其他交通费</w:t>
      </w:r>
      <w:r>
        <w:rPr>
          <w:rFonts w:hint="eastAsia" w:ascii="仿宋" w:hAnsi="仿宋" w:eastAsia="仿宋"/>
          <w:color w:val="auto"/>
          <w:sz w:val="32"/>
          <w:szCs w:val="32"/>
          <w:highlight w:val="none"/>
          <w:lang w:val="en-US" w:eastAsia="zh-CN"/>
        </w:rPr>
        <w:t>11.51</w:t>
      </w:r>
      <w:r>
        <w:rPr>
          <w:rFonts w:hint="eastAsia" w:ascii="仿宋" w:hAnsi="仿宋" w:eastAsia="仿宋"/>
          <w:color w:val="auto"/>
          <w:sz w:val="32"/>
          <w:szCs w:val="32"/>
          <w:highlight w:val="none"/>
        </w:rPr>
        <w:t>万元、其他商品和服务支出</w:t>
      </w:r>
      <w:r>
        <w:rPr>
          <w:rFonts w:hint="eastAsia" w:ascii="仿宋" w:hAnsi="仿宋" w:eastAsia="仿宋"/>
          <w:color w:val="auto"/>
          <w:sz w:val="32"/>
          <w:szCs w:val="32"/>
          <w:highlight w:val="none"/>
          <w:lang w:val="en-US" w:eastAsia="zh-CN"/>
        </w:rPr>
        <w:t>26.50</w:t>
      </w:r>
      <w:r>
        <w:rPr>
          <w:rFonts w:hint="eastAsia" w:ascii="仿宋" w:hAnsi="仿宋" w:eastAsia="仿宋"/>
          <w:color w:val="auto"/>
          <w:sz w:val="32"/>
          <w:szCs w:val="32"/>
          <w:highlight w:val="none"/>
        </w:rPr>
        <w:t>万元等。</w:t>
      </w:r>
    </w:p>
    <w:p>
      <w:pPr>
        <w:spacing w:line="600" w:lineRule="exact"/>
        <w:ind w:firstLine="645"/>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w:t>
      </w:r>
      <w:r>
        <w:rPr>
          <w:rFonts w:hint="eastAsia" w:ascii="仿宋" w:hAnsi="仿宋" w:eastAsia="仿宋"/>
          <w:b/>
          <w:color w:val="auto"/>
          <w:sz w:val="32"/>
          <w:szCs w:val="32"/>
          <w:highlight w:val="none"/>
        </w:rPr>
        <w:t>7表</w:t>
      </w:r>
      <w:r>
        <w:rPr>
          <w:rFonts w:hint="eastAsia" w:ascii="仿宋" w:hAnsi="仿宋" w:eastAsia="仿宋"/>
          <w:b/>
          <w:color w:val="auto"/>
          <w:sz w:val="32"/>
          <w:szCs w:val="32"/>
          <w:highlight w:val="none"/>
          <w:lang w:eastAsia="zh-CN"/>
        </w:rPr>
        <w:t>和财决</w:t>
      </w:r>
      <w:r>
        <w:rPr>
          <w:rFonts w:hint="eastAsia" w:ascii="仿宋" w:hAnsi="仿宋" w:eastAsia="仿宋"/>
          <w:b/>
          <w:color w:val="auto"/>
          <w:sz w:val="32"/>
          <w:szCs w:val="32"/>
          <w:highlight w:val="none"/>
          <w:lang w:val="en-US" w:eastAsia="zh-CN"/>
        </w:rPr>
        <w:t>08-1表</w:t>
      </w: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仅罗列</w:t>
      </w:r>
      <w:r>
        <w:rPr>
          <w:rFonts w:hint="eastAsia" w:ascii="仿宋" w:hAnsi="仿宋" w:eastAsia="仿宋"/>
          <w:b/>
          <w:color w:val="auto"/>
          <w:sz w:val="32"/>
          <w:szCs w:val="32"/>
          <w:highlight w:val="none"/>
        </w:rPr>
        <w:t>本</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实际支出</w:t>
      </w:r>
      <w:r>
        <w:rPr>
          <w:rFonts w:hint="eastAsia" w:ascii="仿宋" w:hAnsi="仿宋" w:eastAsia="仿宋"/>
          <w:b/>
          <w:color w:val="auto"/>
          <w:sz w:val="32"/>
          <w:szCs w:val="32"/>
          <w:highlight w:val="none"/>
          <w:lang w:eastAsia="zh-CN"/>
        </w:rPr>
        <w:t>涉及的</w:t>
      </w:r>
      <w:r>
        <w:rPr>
          <w:rFonts w:hint="eastAsia" w:ascii="仿宋" w:hAnsi="仿宋" w:eastAsia="仿宋"/>
          <w:b/>
          <w:color w:val="auto"/>
          <w:sz w:val="32"/>
          <w:szCs w:val="32"/>
          <w:highlight w:val="none"/>
        </w:rPr>
        <w:t>经济分类科目。）</w:t>
      </w:r>
    </w:p>
    <w:p>
      <w:pPr>
        <w:spacing w:line="600" w:lineRule="exact"/>
        <w:ind w:firstLine="640"/>
        <w:rPr>
          <w:rFonts w:ascii="仿宋" w:hAnsi="仿宋" w:eastAsia="仿宋"/>
          <w:b/>
          <w:color w:val="auto"/>
          <w:sz w:val="32"/>
          <w:szCs w:val="32"/>
          <w:highlight w:val="none"/>
        </w:rPr>
      </w:pPr>
    </w:p>
    <w:p>
      <w:pPr>
        <w:spacing w:line="600" w:lineRule="exact"/>
        <w:ind w:firstLine="640"/>
        <w:outlineLvl w:val="1"/>
        <w:rPr>
          <w:rStyle w:val="26"/>
          <w:rFonts w:ascii="黑体" w:hAnsi="黑体" w:eastAsia="黑体"/>
          <w:b w:val="0"/>
          <w:color w:val="auto"/>
          <w:highlight w:val="none"/>
        </w:rPr>
      </w:pPr>
      <w:bookmarkStart w:id="41" w:name="_Toc15396609"/>
      <w:bookmarkStart w:id="42" w:name="_Toc15377215"/>
      <w:r>
        <w:rPr>
          <w:rFonts w:hint="eastAsia" w:ascii="黑体" w:eastAsia="黑体"/>
          <w:color w:val="auto"/>
          <w:sz w:val="32"/>
          <w:szCs w:val="32"/>
          <w:highlight w:val="none"/>
        </w:rPr>
        <w:t>七、</w:t>
      </w:r>
      <w:r>
        <w:rPr>
          <w:rStyle w:val="26"/>
          <w:rFonts w:hint="eastAsia" w:ascii="黑体" w:hAnsi="黑体" w:eastAsia="黑体"/>
          <w:b w:val="0"/>
          <w:color w:val="auto"/>
          <w:highlight w:val="none"/>
        </w:rPr>
        <w:t>财政拨款</w:t>
      </w:r>
      <w:r>
        <w:rPr>
          <w:rStyle w:val="26"/>
          <w:rFonts w:hint="eastAsia" w:ascii="黑体" w:hAnsi="黑体" w:eastAsia="黑体"/>
          <w:color w:val="auto"/>
          <w:highlight w:val="none"/>
        </w:rPr>
        <w:t>“</w:t>
      </w:r>
      <w:r>
        <w:rPr>
          <w:rStyle w:val="26"/>
          <w:rFonts w:hint="eastAsia" w:ascii="黑体" w:hAnsi="黑体" w:eastAsia="黑体"/>
          <w:b w:val="0"/>
          <w:color w:val="auto"/>
          <w:highlight w:val="none"/>
        </w:rPr>
        <w:t>三公”经费支出决算情况说明</w:t>
      </w:r>
      <w:bookmarkEnd w:id="41"/>
      <w:bookmarkEnd w:id="42"/>
    </w:p>
    <w:p>
      <w:pPr>
        <w:spacing w:line="600" w:lineRule="exact"/>
        <w:ind w:firstLine="640"/>
        <w:outlineLvl w:val="2"/>
        <w:rPr>
          <w:rFonts w:ascii="仿宋" w:hAnsi="仿宋" w:eastAsia="仿宋"/>
          <w:b/>
          <w:color w:val="auto"/>
          <w:sz w:val="32"/>
          <w:szCs w:val="32"/>
          <w:highlight w:val="none"/>
        </w:rPr>
      </w:pPr>
      <w:bookmarkStart w:id="43" w:name="_Toc15377216"/>
      <w:r>
        <w:rPr>
          <w:rFonts w:hint="eastAsia" w:ascii="仿宋" w:hAnsi="仿宋" w:eastAsia="仿宋"/>
          <w:b/>
          <w:color w:val="auto"/>
          <w:sz w:val="32"/>
          <w:szCs w:val="32"/>
          <w:highlight w:val="none"/>
        </w:rPr>
        <w:t>（一）“三公”经费财政拨款支出决算总体情况说明</w:t>
      </w:r>
      <w:bookmarkEnd w:id="43"/>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7</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w:t>
      </w:r>
      <w:r>
        <w:rPr>
          <w:rFonts w:hint="eastAsia" w:ascii="仿宋" w:hAnsi="仿宋" w:eastAsia="仿宋"/>
          <w:color w:val="auto"/>
          <w:sz w:val="32"/>
          <w:szCs w:val="32"/>
          <w:highlight w:val="none"/>
          <w:lang w:val="en-US" w:eastAsia="zh-CN"/>
        </w:rPr>
        <w:t>减少0.08万元，下降1.14%。</w:t>
      </w:r>
      <w:r>
        <w:rPr>
          <w:rFonts w:hint="eastAsia" w:ascii="仿宋" w:hAnsi="仿宋" w:eastAsia="仿宋"/>
          <w:color w:val="auto"/>
          <w:sz w:val="32"/>
          <w:szCs w:val="32"/>
          <w:highlight w:val="none"/>
        </w:rPr>
        <w:t>决算数与预算数</w:t>
      </w:r>
      <w:r>
        <w:rPr>
          <w:rFonts w:hint="eastAsia" w:ascii="仿宋" w:hAnsi="仿宋" w:eastAsia="仿宋"/>
          <w:color w:val="auto"/>
          <w:sz w:val="32"/>
          <w:szCs w:val="32"/>
          <w:highlight w:val="none"/>
          <w:lang w:eastAsia="zh-CN"/>
        </w:rPr>
        <w:t>相等</w:t>
      </w:r>
      <w:r>
        <w:rPr>
          <w:rFonts w:hint="eastAsia" w:ascii="仿宋" w:hAnsi="仿宋" w:eastAsia="仿宋"/>
          <w:color w:val="auto"/>
          <w:sz w:val="32"/>
          <w:szCs w:val="32"/>
          <w:highlight w:val="none"/>
        </w:rPr>
        <w:t>。</w:t>
      </w:r>
    </w:p>
    <w:p>
      <w:pPr>
        <w:spacing w:line="600" w:lineRule="exact"/>
        <w:ind w:firstLine="640"/>
        <w:rPr>
          <w:rFonts w:ascii="仿宋" w:hAnsi="仿宋" w:eastAsia="仿宋"/>
          <w:b/>
          <w:color w:val="auto"/>
          <w:sz w:val="32"/>
          <w:szCs w:val="32"/>
          <w:highlight w:val="none"/>
        </w:rPr>
      </w:pPr>
      <w:r>
        <w:rPr>
          <w:rFonts w:hint="eastAsia" w:ascii="仿宋" w:hAnsi="仿宋" w:eastAsia="仿宋"/>
          <w:b/>
          <w:color w:val="auto"/>
          <w:sz w:val="32"/>
          <w:szCs w:val="32"/>
          <w:highlight w:val="none"/>
        </w:rPr>
        <w:t>（注：上述“预算”口径为</w:t>
      </w:r>
      <w:r>
        <w:rPr>
          <w:rFonts w:hint="eastAsia" w:ascii="仿宋" w:hAnsi="仿宋" w:eastAsia="仿宋"/>
          <w:b/>
          <w:color w:val="auto"/>
          <w:sz w:val="32"/>
          <w:szCs w:val="32"/>
          <w:highlight w:val="none"/>
          <w:lang w:eastAsia="zh-CN"/>
        </w:rPr>
        <w:t>全年预算</w:t>
      </w:r>
      <w:r>
        <w:rPr>
          <w:rFonts w:hint="eastAsia" w:ascii="仿宋" w:hAnsi="仿宋" w:eastAsia="仿宋"/>
          <w:b/>
          <w:color w:val="auto"/>
          <w:sz w:val="32"/>
          <w:szCs w:val="32"/>
          <w:highlight w:val="none"/>
        </w:rPr>
        <w:t>数，包括</w:t>
      </w:r>
      <w:r>
        <w:rPr>
          <w:rFonts w:hint="eastAsia" w:ascii="仿宋" w:hAnsi="仿宋" w:eastAsia="仿宋"/>
          <w:b/>
          <w:color w:val="auto"/>
          <w:sz w:val="32"/>
          <w:szCs w:val="32"/>
          <w:highlight w:val="none"/>
          <w:lang w:eastAsia="zh-CN"/>
        </w:rPr>
        <w:t>一般公共预算和</w:t>
      </w:r>
      <w:r>
        <w:rPr>
          <w:rFonts w:hint="eastAsia" w:ascii="仿宋" w:hAnsi="仿宋" w:eastAsia="仿宋"/>
          <w:b/>
          <w:color w:val="auto"/>
          <w:sz w:val="32"/>
          <w:szCs w:val="32"/>
          <w:highlight w:val="none"/>
        </w:rPr>
        <w:t>政府性基金</w:t>
      </w:r>
      <w:r>
        <w:rPr>
          <w:rFonts w:hint="eastAsia" w:ascii="仿宋" w:hAnsi="仿宋" w:eastAsia="仿宋"/>
          <w:b/>
          <w:color w:val="auto"/>
          <w:sz w:val="32"/>
          <w:szCs w:val="32"/>
          <w:highlight w:val="none"/>
          <w:lang w:eastAsia="zh-CN"/>
        </w:rPr>
        <w:t>预算财政拨款</w:t>
      </w:r>
      <w:r>
        <w:rPr>
          <w:rFonts w:hint="eastAsia" w:ascii="仿宋" w:hAnsi="仿宋" w:eastAsia="仿宋"/>
          <w:b/>
          <w:color w:val="auto"/>
          <w:sz w:val="32"/>
          <w:szCs w:val="32"/>
          <w:highlight w:val="none"/>
        </w:rPr>
        <w:t>支出决算情况。）</w:t>
      </w:r>
    </w:p>
    <w:p>
      <w:pPr>
        <w:spacing w:line="600" w:lineRule="exact"/>
        <w:ind w:firstLine="640"/>
        <w:outlineLvl w:val="2"/>
        <w:rPr>
          <w:rFonts w:ascii="仿宋" w:hAnsi="仿宋" w:eastAsia="仿宋"/>
          <w:b/>
          <w:color w:val="auto"/>
          <w:sz w:val="32"/>
          <w:szCs w:val="32"/>
          <w:highlight w:val="none"/>
        </w:rPr>
      </w:pPr>
      <w:bookmarkStart w:id="44" w:name="_Toc15377217"/>
      <w:r>
        <w:rPr>
          <w:rFonts w:hint="eastAsia" w:ascii="仿宋" w:hAnsi="仿宋" w:eastAsia="仿宋"/>
          <w:b/>
          <w:color w:val="auto"/>
          <w:sz w:val="32"/>
          <w:szCs w:val="32"/>
          <w:highlight w:val="none"/>
        </w:rPr>
        <w:t>（二）“三公”经费财政拨款支出决算具体情况说明</w:t>
      </w:r>
      <w:bookmarkEnd w:id="44"/>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16"/>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inline distT="0" distB="0" distL="114300" distR="114300">
            <wp:extent cx="5256530" cy="2988310"/>
            <wp:effectExtent l="5080" t="4445" r="15240" b="171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16"/>
      </w:pPr>
    </w:p>
    <w:p>
      <w:pPr>
        <w:spacing w:line="60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人。因公出国（境）支出决算比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减少</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万元，增长</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下降</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Times New Roman" w:hAnsi="Times New Roman" w:eastAsia="仿宋_GB2312" w:cs="Times New Roman"/>
          <w:color w:val="auto"/>
          <w:kern w:val="2"/>
          <w:sz w:val="32"/>
          <w:szCs w:val="32"/>
          <w:highlight w:val="none"/>
          <w:lang w:val="en-US" w:eastAsia="zh-CN" w:bidi="ar-SA"/>
        </w:rPr>
        <w:t>没有安排因公出国（境）工作</w:t>
      </w:r>
      <w:r>
        <w:rPr>
          <w:rFonts w:hint="eastAsia" w:ascii="仿宋_GB2312" w:eastAsia="仿宋_GB2312"/>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减少</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万元，增长</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下降</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Times New Roman" w:hAnsi="Times New Roman" w:eastAsia="仿宋_GB2312" w:cs="Times New Roman"/>
          <w:color w:val="auto"/>
          <w:kern w:val="2"/>
          <w:sz w:val="32"/>
          <w:szCs w:val="32"/>
          <w:highlight w:val="none"/>
          <w:lang w:val="en-US" w:eastAsia="zh-CN" w:bidi="ar-SA"/>
        </w:rPr>
        <w:t>本单位没有购置公务车辆</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万元，主要用于</w:t>
      </w:r>
      <w:r>
        <w:rPr>
          <w:rFonts w:hint="eastAsia" w:ascii="Times New Roman" w:hAnsi="Times New Roman" w:eastAsia="仿宋_GB2312" w:cs="Times New Roman"/>
          <w:color w:val="auto"/>
          <w:kern w:val="2"/>
          <w:sz w:val="32"/>
          <w:szCs w:val="32"/>
          <w:highlight w:val="none"/>
          <w:lang w:val="en-US" w:eastAsia="zh-CN" w:bidi="ar-SA"/>
        </w:rPr>
        <w:t>乡镇机关基本运行、下村等工作所需的公务用车燃料费、维修费、过路过桥费、保险费等支出。</w:t>
      </w: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万元。主要用于</w:t>
      </w:r>
      <w:r>
        <w:rPr>
          <w:rFonts w:hint="eastAsia" w:ascii="Times New Roman" w:hAnsi="Times New Roman" w:eastAsia="仿宋_GB2312" w:cs="Times New Roman"/>
          <w:color w:val="auto"/>
          <w:kern w:val="2"/>
          <w:sz w:val="32"/>
          <w:szCs w:val="32"/>
          <w:highlight w:val="none"/>
          <w:lang w:val="en-US" w:eastAsia="zh-CN" w:bidi="ar-SA"/>
        </w:rPr>
        <w:t>乡镇机关基本运行、下村</w:t>
      </w:r>
      <w:r>
        <w:rPr>
          <w:rFonts w:hint="eastAsia" w:ascii="仿宋_GB2312" w:eastAsia="仿宋_GB2312"/>
          <w:color w:val="auto"/>
          <w:sz w:val="32"/>
          <w:szCs w:val="32"/>
          <w:highlight w:val="none"/>
        </w:rPr>
        <w:t>（具体工作）等所需的公务用车燃料费、维修费、过路过桥费、保险费等支出。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0.08</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1.14</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公务接待人数、次数减少</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7</w:t>
      </w:r>
      <w:r>
        <w:rPr>
          <w:rFonts w:hint="eastAsia" w:ascii="仿宋_GB2312" w:eastAsia="仿宋_GB2312"/>
          <w:color w:val="auto"/>
          <w:sz w:val="32"/>
          <w:szCs w:val="32"/>
          <w:highlight w:val="none"/>
        </w:rPr>
        <w:t>万元，主要用于</w:t>
      </w:r>
      <w:r>
        <w:rPr>
          <w:rFonts w:hint="eastAsia" w:ascii="Times New Roman" w:hAnsi="Times New Roman" w:eastAsia="仿宋_GB2312" w:cs="Times New Roman"/>
          <w:color w:val="auto"/>
          <w:kern w:val="2"/>
          <w:sz w:val="32"/>
          <w:szCs w:val="32"/>
          <w:highlight w:val="none"/>
          <w:lang w:val="en-US" w:eastAsia="zh-CN" w:bidi="ar-SA"/>
        </w:rPr>
        <w:t>执行公务、开展业务活动开支的交通费、住宿费、用餐费等</w:t>
      </w:r>
      <w:r>
        <w:rPr>
          <w:rFonts w:hint="eastAsia" w:ascii="仿宋_GB2312" w:eastAsia="仿宋_GB2312"/>
          <w:color w:val="auto"/>
          <w:sz w:val="32"/>
          <w:szCs w:val="32"/>
          <w:highlight w:val="none"/>
        </w:rPr>
        <w:t>。国内公务接待</w:t>
      </w:r>
      <w:r>
        <w:rPr>
          <w:rFonts w:hint="eastAsia" w:ascii="仿宋_GB2312" w:eastAsia="仿宋_GB2312"/>
          <w:color w:val="auto"/>
          <w:sz w:val="32"/>
          <w:szCs w:val="32"/>
          <w:highlight w:val="none"/>
          <w:lang w:val="en-US" w:eastAsia="zh-CN"/>
        </w:rPr>
        <w:t>215</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1570</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万元，具体内容包括：</w:t>
      </w:r>
      <w:r>
        <w:rPr>
          <w:rFonts w:hint="eastAsia" w:ascii="仿宋" w:hAnsi="仿宋" w:eastAsia="仿宋" w:cs="仿宋_GB2312"/>
          <w:sz w:val="32"/>
          <w:szCs w:val="32"/>
        </w:rPr>
        <w:t>主要用于开展</w:t>
      </w:r>
      <w:r>
        <w:rPr>
          <w:rFonts w:hint="eastAsia" w:ascii="仿宋" w:hAnsi="仿宋" w:eastAsia="仿宋" w:cs="仿宋_GB2312"/>
          <w:sz w:val="32"/>
          <w:szCs w:val="32"/>
          <w:lang w:val="en-US" w:eastAsia="zh-CN"/>
        </w:rPr>
        <w:t>巩固</w:t>
      </w:r>
      <w:r>
        <w:rPr>
          <w:rFonts w:hint="eastAsia" w:ascii="仿宋" w:hAnsi="仿宋" w:eastAsia="仿宋"/>
          <w:color w:val="000000"/>
          <w:sz w:val="32"/>
          <w:szCs w:val="32"/>
        </w:rPr>
        <w:t>脱贫攻坚检查工作检查接待</w:t>
      </w:r>
      <w:r>
        <w:rPr>
          <w:rFonts w:hint="eastAsia" w:ascii="仿宋" w:hAnsi="仿宋" w:eastAsia="仿宋"/>
          <w:color w:val="000000"/>
          <w:sz w:val="32"/>
          <w:szCs w:val="32"/>
          <w:lang w:val="en-US" w:eastAsia="zh-CN"/>
        </w:rPr>
        <w:t>1.3</w:t>
      </w:r>
      <w:r>
        <w:rPr>
          <w:rFonts w:hint="eastAsia" w:ascii="仿宋" w:hAnsi="仿宋" w:eastAsia="仿宋"/>
          <w:color w:val="000000"/>
          <w:sz w:val="32"/>
          <w:szCs w:val="32"/>
        </w:rPr>
        <w:t>万元、环境整治工作检查接待1.3万元、交通安全工作检查接待0.</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万元、信访维稳工作检查接待</w:t>
      </w:r>
      <w:r>
        <w:rPr>
          <w:rFonts w:hint="eastAsia" w:ascii="仿宋" w:hAnsi="仿宋" w:eastAsia="仿宋"/>
          <w:color w:val="000000"/>
          <w:sz w:val="32"/>
          <w:szCs w:val="32"/>
          <w:lang w:val="en-US" w:eastAsia="zh-CN"/>
        </w:rPr>
        <w:t>1.1</w:t>
      </w:r>
      <w:r>
        <w:rPr>
          <w:rFonts w:hint="eastAsia" w:ascii="仿宋" w:hAnsi="仿宋" w:eastAsia="仿宋"/>
          <w:color w:val="000000"/>
          <w:sz w:val="32"/>
          <w:szCs w:val="32"/>
        </w:rPr>
        <w:t>万元、党建工作检查接待0.</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万元、计生工作检查接待0.</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万元、财政工作检查接待</w:t>
      </w:r>
      <w:r>
        <w:rPr>
          <w:rFonts w:hint="eastAsia" w:ascii="仿宋" w:hAnsi="仿宋" w:eastAsia="仿宋"/>
          <w:color w:val="000000"/>
          <w:sz w:val="32"/>
          <w:szCs w:val="32"/>
          <w:lang w:val="en-US" w:eastAsia="zh-CN"/>
        </w:rPr>
        <w:t>1.0</w:t>
      </w:r>
      <w:r>
        <w:rPr>
          <w:rFonts w:hint="eastAsia" w:ascii="仿宋" w:hAnsi="仿宋" w:eastAsia="仿宋"/>
          <w:color w:val="000000"/>
          <w:sz w:val="32"/>
          <w:szCs w:val="32"/>
        </w:rPr>
        <w:t>万元、畜禽防疫工作检查接待0.</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万元等工作</w:t>
      </w:r>
      <w:bookmarkStart w:id="72" w:name="_GoBack"/>
      <w:bookmarkEnd w:id="72"/>
      <w:r>
        <w:rPr>
          <w:rFonts w:hint="eastAsia" w:ascii="仿宋_GB2312" w:eastAsia="仿宋_GB2312"/>
          <w:color w:val="auto"/>
          <w:sz w:val="32"/>
          <w:szCs w:val="32"/>
          <w:highlight w:val="none"/>
        </w:rPr>
        <w:t>。</w:t>
      </w:r>
    </w:p>
    <w:p>
      <w:pPr>
        <w:spacing w:line="600" w:lineRule="exact"/>
        <w:ind w:firstLine="643" w:firstLineChars="200"/>
        <w:rPr>
          <w:rFonts w:ascii="仿宋_GB2312" w:eastAsia="仿宋_GB2312"/>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w:t>
      </w:r>
      <w:r>
        <w:rPr>
          <w:rFonts w:hint="eastAsia" w:ascii="仿宋_GB2312" w:eastAsia="仿宋_GB2312"/>
          <w:color w:val="auto"/>
          <w:sz w:val="32"/>
          <w:szCs w:val="32"/>
          <w:highlight w:val="none"/>
          <w:lang w:eastAsia="zh-CN"/>
        </w:rPr>
        <w:t>次（不包括陪同人员）</w:t>
      </w:r>
      <w:r>
        <w:rPr>
          <w:rFonts w:hint="eastAsia" w:ascii="仿宋_GB2312" w:eastAsia="仿宋_GB2312"/>
          <w:color w:val="auto"/>
          <w:sz w:val="32"/>
          <w:szCs w:val="32"/>
          <w:highlight w:val="none"/>
        </w:rPr>
        <w:t>，共计支出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outlineLvl w:val="1"/>
        <w:rPr>
          <w:rFonts w:ascii="黑体" w:eastAsia="黑体"/>
          <w:color w:val="auto"/>
          <w:sz w:val="32"/>
          <w:szCs w:val="32"/>
          <w:highlight w:val="none"/>
        </w:rPr>
      </w:pPr>
      <w:bookmarkStart w:id="45" w:name="_Toc15377218"/>
      <w:bookmarkStart w:id="46" w:name="_Toc15396610"/>
    </w:p>
    <w:p>
      <w:pPr>
        <w:spacing w:line="600" w:lineRule="exact"/>
        <w:ind w:firstLine="640"/>
        <w:outlineLvl w:val="1"/>
        <w:rPr>
          <w:rStyle w:val="26"/>
          <w:rFonts w:ascii="黑体" w:hAnsi="黑体" w:eastAsia="黑体"/>
          <w:color w:val="auto"/>
          <w:highlight w:val="none"/>
        </w:rPr>
      </w:pPr>
      <w:r>
        <w:rPr>
          <w:rFonts w:hint="eastAsia" w:ascii="黑体" w:eastAsia="黑体"/>
          <w:color w:val="auto"/>
          <w:sz w:val="32"/>
          <w:szCs w:val="32"/>
          <w:highlight w:val="none"/>
        </w:rPr>
        <w:t>八、</w:t>
      </w:r>
      <w:r>
        <w:rPr>
          <w:rStyle w:val="26"/>
          <w:rFonts w:hint="eastAsia" w:ascii="黑体" w:hAnsi="黑体" w:eastAsia="黑体"/>
          <w:b w:val="0"/>
          <w:color w:val="auto"/>
          <w:highlight w:val="none"/>
        </w:rPr>
        <w:t>政府性基金预算支出决算情况说明</w:t>
      </w:r>
      <w:bookmarkEnd w:id="45"/>
      <w:bookmarkEnd w:id="46"/>
    </w:p>
    <w:p>
      <w:pPr>
        <w:spacing w:line="600" w:lineRule="exact"/>
        <w:ind w:firstLine="640"/>
        <w:rPr>
          <w:rFonts w:hint="eastAsia" w:eastAsia="仿宋_GB2312" w:cs="Times New Roman"/>
          <w:color w:val="auto"/>
          <w:kern w:val="2"/>
          <w:sz w:val="32"/>
          <w:szCs w:val="32"/>
          <w:highlight w:val="none"/>
          <w:lang w:val="en-US" w:eastAsia="zh-CN" w:bidi="ar-SA"/>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158.92</w:t>
      </w:r>
      <w:r>
        <w:rPr>
          <w:rFonts w:hint="eastAsia" w:ascii="仿宋_GB2312" w:eastAsia="仿宋_GB2312"/>
          <w:color w:val="auto"/>
          <w:sz w:val="32"/>
          <w:szCs w:val="32"/>
          <w:highlight w:val="none"/>
        </w:rPr>
        <w:t>万元。</w:t>
      </w:r>
      <w:r>
        <w:rPr>
          <w:rFonts w:hint="eastAsia" w:ascii="Times New Roman" w:hAnsi="Times New Roman" w:eastAsia="仿宋_GB2312" w:cs="Times New Roman"/>
          <w:color w:val="auto"/>
          <w:kern w:val="2"/>
          <w:sz w:val="32"/>
          <w:szCs w:val="32"/>
          <w:highlight w:val="none"/>
          <w:lang w:val="en-US" w:eastAsia="zh-CN" w:bidi="ar-SA"/>
        </w:rPr>
        <w:t>与202</w:t>
      </w:r>
      <w:r>
        <w:rPr>
          <w:rFonts w:hint="eastAsia" w:eastAsia="仿宋_GB2312" w:cs="Times New Roman"/>
          <w:color w:val="auto"/>
          <w:kern w:val="2"/>
          <w:sz w:val="32"/>
          <w:szCs w:val="32"/>
          <w:highlight w:val="none"/>
          <w:lang w:val="en-US" w:eastAsia="zh-CN" w:bidi="ar-SA"/>
        </w:rPr>
        <w:t>1</w:t>
      </w:r>
      <w:r>
        <w:rPr>
          <w:rFonts w:hint="eastAsia" w:ascii="Times New Roman" w:hAnsi="Times New Roman" w:eastAsia="仿宋_GB2312" w:cs="Times New Roman"/>
          <w:color w:val="auto"/>
          <w:kern w:val="2"/>
          <w:sz w:val="32"/>
          <w:szCs w:val="32"/>
          <w:highlight w:val="none"/>
          <w:lang w:val="en-US" w:eastAsia="zh-CN" w:bidi="ar-SA"/>
        </w:rPr>
        <w:t>年政府性基金预算拨款支出</w:t>
      </w:r>
      <w:r>
        <w:rPr>
          <w:rFonts w:hint="eastAsia" w:eastAsia="仿宋_GB2312" w:cs="Times New Roman"/>
          <w:color w:val="auto"/>
          <w:kern w:val="2"/>
          <w:sz w:val="32"/>
          <w:szCs w:val="32"/>
          <w:highlight w:val="none"/>
          <w:lang w:val="en-US" w:eastAsia="zh-CN" w:bidi="ar-SA"/>
        </w:rPr>
        <w:t>0</w:t>
      </w:r>
      <w:r>
        <w:rPr>
          <w:rFonts w:hint="eastAsia" w:ascii="Times New Roman" w:hAnsi="Times New Roman" w:eastAsia="仿宋_GB2312" w:cs="Times New Roman"/>
          <w:color w:val="auto"/>
          <w:kern w:val="2"/>
          <w:sz w:val="32"/>
          <w:szCs w:val="32"/>
          <w:highlight w:val="none"/>
          <w:lang w:val="en-US" w:eastAsia="zh-CN" w:bidi="ar-SA"/>
        </w:rPr>
        <w:t>万元相比政府性基金预算财政拨款支出</w:t>
      </w:r>
      <w:r>
        <w:rPr>
          <w:rFonts w:hint="eastAsia" w:eastAsia="仿宋_GB2312" w:cs="Times New Roman"/>
          <w:color w:val="auto"/>
          <w:kern w:val="2"/>
          <w:sz w:val="32"/>
          <w:szCs w:val="32"/>
          <w:highlight w:val="none"/>
          <w:lang w:val="en-US" w:eastAsia="zh-CN" w:bidi="ar-SA"/>
        </w:rPr>
        <w:t>增加158.92</w:t>
      </w:r>
      <w:r>
        <w:rPr>
          <w:rFonts w:hint="eastAsia" w:ascii="Times New Roman" w:hAnsi="Times New Roman" w:eastAsia="仿宋_GB2312" w:cs="Times New Roman"/>
          <w:color w:val="auto"/>
          <w:kern w:val="2"/>
          <w:sz w:val="32"/>
          <w:szCs w:val="32"/>
          <w:highlight w:val="none"/>
          <w:lang w:val="en-US" w:eastAsia="zh-CN" w:bidi="ar-SA"/>
        </w:rPr>
        <w:t>万元，</w:t>
      </w:r>
      <w:r>
        <w:rPr>
          <w:rFonts w:hint="eastAsia" w:eastAsia="仿宋_GB2312" w:cs="Times New Roman"/>
          <w:color w:val="auto"/>
          <w:kern w:val="2"/>
          <w:sz w:val="32"/>
          <w:szCs w:val="32"/>
          <w:highlight w:val="none"/>
          <w:lang w:val="en-US" w:eastAsia="zh-CN" w:bidi="ar-SA"/>
        </w:rPr>
        <w:t>增加</w:t>
      </w:r>
      <w:r>
        <w:rPr>
          <w:rFonts w:hint="eastAsia" w:ascii="Times New Roman" w:hAnsi="Times New Roman" w:eastAsia="仿宋_GB2312" w:cs="Times New Roman"/>
          <w:color w:val="auto"/>
          <w:kern w:val="2"/>
          <w:sz w:val="32"/>
          <w:szCs w:val="32"/>
          <w:highlight w:val="none"/>
          <w:lang w:val="en-US" w:eastAsia="zh-CN" w:bidi="ar-SA"/>
        </w:rPr>
        <w:t>100%。主要变动原因是本年度政府性基金基础设施建设项目支出</w:t>
      </w:r>
      <w:r>
        <w:rPr>
          <w:rFonts w:hint="eastAsia" w:eastAsia="仿宋_GB2312" w:cs="Times New Roman"/>
          <w:color w:val="auto"/>
          <w:kern w:val="2"/>
          <w:sz w:val="32"/>
          <w:szCs w:val="32"/>
          <w:highlight w:val="none"/>
          <w:lang w:val="en-US" w:eastAsia="zh-CN" w:bidi="ar-SA"/>
        </w:rPr>
        <w:t>增加。</w:t>
      </w:r>
    </w:p>
    <w:p>
      <w:pPr>
        <w:spacing w:line="600" w:lineRule="exact"/>
        <w:ind w:firstLine="645"/>
        <w:rPr>
          <w:rFonts w:hint="default"/>
          <w:lang w:val="en-US"/>
        </w:rPr>
      </w:pPr>
      <w:r>
        <w:rPr>
          <w:rFonts w:hint="eastAsia" w:cs="Times New Roman"/>
          <w:color w:val="auto"/>
          <w:kern w:val="2"/>
          <w:sz w:val="32"/>
          <w:szCs w:val="32"/>
          <w:highlight w:val="none"/>
          <w:lang w:val="en-US" w:eastAsia="zh-CN" w:bidi="ar-SA"/>
        </w:rPr>
        <w:t xml:space="preserve">    </w:t>
      </w:r>
      <w:r>
        <w:rPr>
          <w:rFonts w:hint="eastAsia" w:ascii="Times New Roman" w:hAnsi="Times New Roman" w:eastAsia="仿宋_GB2312" w:cs="Times New Roman"/>
          <w:color w:val="auto"/>
          <w:kern w:val="2"/>
          <w:sz w:val="32"/>
          <w:szCs w:val="32"/>
          <w:highlight w:val="none"/>
          <w:lang w:val="en-US" w:eastAsia="zh-CN" w:bidi="ar-SA"/>
        </w:rPr>
        <w:t>2021年政府性基金预算支出决算数为</w:t>
      </w:r>
      <w:r>
        <w:rPr>
          <w:rFonts w:hint="eastAsia" w:eastAsia="仿宋_GB2312" w:cs="Times New Roman"/>
          <w:color w:val="auto"/>
          <w:kern w:val="2"/>
          <w:sz w:val="32"/>
          <w:szCs w:val="32"/>
          <w:highlight w:val="none"/>
          <w:lang w:val="en-US" w:eastAsia="zh-CN" w:bidi="ar-SA"/>
        </w:rPr>
        <w:t>158.92</w:t>
      </w:r>
      <w:r>
        <w:rPr>
          <w:rFonts w:hint="eastAsia" w:ascii="Times New Roman" w:hAnsi="Times New Roman" w:eastAsia="仿宋_GB2312" w:cs="Times New Roman"/>
          <w:color w:val="auto"/>
          <w:kern w:val="2"/>
          <w:sz w:val="32"/>
          <w:szCs w:val="32"/>
          <w:highlight w:val="none"/>
          <w:lang w:val="en-US" w:eastAsia="zh-CN" w:bidi="ar-SA"/>
        </w:rPr>
        <w:t>万元，完成预算100%。</w:t>
      </w:r>
    </w:p>
    <w:p>
      <w:pPr>
        <w:spacing w:line="600" w:lineRule="exact"/>
        <w:ind w:firstLine="640"/>
        <w:rPr>
          <w:rFonts w:ascii="仿宋_GB2312" w:eastAsia="仿宋_GB2312"/>
          <w:color w:val="auto"/>
          <w:sz w:val="32"/>
          <w:szCs w:val="32"/>
          <w:highlight w:val="none"/>
        </w:rPr>
      </w:pPr>
    </w:p>
    <w:p>
      <w:pPr>
        <w:numPr>
          <w:ilvl w:val="0"/>
          <w:numId w:val="4"/>
        </w:numPr>
        <w:spacing w:line="600" w:lineRule="exact"/>
        <w:ind w:firstLine="640"/>
        <w:outlineLvl w:val="1"/>
        <w:rPr>
          <w:rStyle w:val="26"/>
          <w:rFonts w:ascii="黑体" w:hAnsi="黑体" w:eastAsia="黑体"/>
          <w:b w:val="0"/>
          <w:color w:val="auto"/>
          <w:highlight w:val="none"/>
        </w:rPr>
      </w:pPr>
      <w:bookmarkStart w:id="47" w:name="_Toc15377219"/>
      <w:bookmarkStart w:id="48" w:name="_Toc15396611"/>
      <w:r>
        <w:rPr>
          <w:rStyle w:val="26"/>
          <w:rFonts w:hint="eastAsia" w:ascii="黑体" w:hAnsi="黑体" w:eastAsia="黑体"/>
          <w:b w:val="0"/>
          <w:color w:val="auto"/>
          <w:highlight w:val="none"/>
        </w:rPr>
        <w:t>国有资本经营预算支出决算情况说明</w:t>
      </w:r>
      <w:bookmarkEnd w:id="47"/>
      <w:bookmarkEnd w:id="48"/>
    </w:p>
    <w:p>
      <w:pPr>
        <w:spacing w:line="600" w:lineRule="exact"/>
        <w:ind w:firstLine="645"/>
        <w:rPr>
          <w:rFonts w:hint="eastAsia" w:ascii="Times New Roman" w:hAnsi="Times New Roman" w:eastAsia="仿宋_GB2312" w:cs="Times New Roman"/>
          <w:color w:val="auto"/>
          <w:kern w:val="2"/>
          <w:sz w:val="32"/>
          <w:szCs w:val="32"/>
          <w:highlight w:val="none"/>
          <w:lang w:val="en-US" w:eastAsia="zh-CN" w:bidi="ar-SA"/>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p>
    <w:p>
      <w:pPr>
        <w:spacing w:line="580" w:lineRule="exact"/>
        <w:jc w:val="center"/>
        <w:rPr>
          <w:rFonts w:ascii="方正小标宋简体" w:hAnsi="方正小标宋简体" w:eastAsia="方正小标宋简体" w:cs="方正小标宋简体"/>
          <w:color w:val="auto"/>
          <w:sz w:val="44"/>
          <w:szCs w:val="44"/>
          <w:highlight w:val="none"/>
        </w:rPr>
      </w:pPr>
    </w:p>
    <w:p>
      <w:pPr>
        <w:numPr>
          <w:ilvl w:val="0"/>
          <w:numId w:val="4"/>
        </w:numPr>
        <w:spacing w:line="600" w:lineRule="exact"/>
        <w:ind w:firstLine="640"/>
        <w:outlineLvl w:val="1"/>
        <w:rPr>
          <w:rStyle w:val="26"/>
          <w:rFonts w:hint="eastAsia" w:ascii="黑体" w:hAnsi="黑体" w:eastAsia="黑体"/>
          <w:b w:val="0"/>
          <w:color w:val="auto"/>
          <w:highlight w:val="none"/>
        </w:rPr>
      </w:pPr>
      <w:bookmarkStart w:id="49" w:name="_Toc15396612"/>
      <w:bookmarkStart w:id="50" w:name="_Toc15377221"/>
      <w:r>
        <w:rPr>
          <w:rStyle w:val="26"/>
          <w:rFonts w:hint="eastAsia" w:ascii="黑体" w:hAnsi="黑体" w:eastAsia="黑体"/>
          <w:b w:val="0"/>
          <w:color w:val="auto"/>
          <w:highlight w:val="none"/>
        </w:rPr>
        <w:t>其他重要事项的情况说明</w:t>
      </w:r>
      <w:bookmarkEnd w:id="49"/>
      <w:bookmarkEnd w:id="50"/>
    </w:p>
    <w:p>
      <w:pPr>
        <w:spacing w:line="600" w:lineRule="exact"/>
        <w:ind w:firstLine="643" w:firstLineChars="200"/>
        <w:outlineLvl w:val="2"/>
        <w:rPr>
          <w:rFonts w:ascii="仿宋" w:hAnsi="仿宋" w:eastAsia="仿宋"/>
          <w:color w:val="auto"/>
          <w:sz w:val="32"/>
          <w:szCs w:val="32"/>
          <w:highlight w:val="none"/>
        </w:rPr>
      </w:pPr>
      <w:bookmarkStart w:id="51" w:name="_Toc15377222"/>
      <w:r>
        <w:rPr>
          <w:rFonts w:hint="eastAsia" w:ascii="仿宋" w:hAnsi="仿宋" w:eastAsia="仿宋"/>
          <w:b/>
          <w:color w:val="auto"/>
          <w:sz w:val="32"/>
          <w:szCs w:val="32"/>
          <w:highlight w:val="none"/>
        </w:rPr>
        <w:t>（一）机关运行经费支出情况</w:t>
      </w:r>
      <w:bookmarkEnd w:id="51"/>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Times New Roman" w:hAnsi="Times New Roman" w:eastAsia="仿宋_GB2312" w:cs="Times New Roman"/>
          <w:color w:val="auto"/>
          <w:kern w:val="2"/>
          <w:sz w:val="32"/>
          <w:szCs w:val="32"/>
          <w:highlight w:val="none"/>
          <w:lang w:val="en-US" w:eastAsia="zh-CN" w:bidi="ar-SA"/>
        </w:rPr>
        <w:t>杨通乡人民政府</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89.78</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119.8</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57.16</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Times New Roman" w:hAnsi="Times New Roman" w:eastAsia="仿宋_GB2312" w:cs="Times New Roman"/>
          <w:color w:val="auto"/>
          <w:kern w:val="2"/>
          <w:sz w:val="32"/>
          <w:szCs w:val="32"/>
          <w:highlight w:val="none"/>
          <w:lang w:val="en-US" w:eastAsia="zh-CN" w:bidi="ar-SA"/>
        </w:rPr>
        <w:t>公务业务支出</w:t>
      </w:r>
      <w:r>
        <w:rPr>
          <w:rFonts w:hint="eastAsia" w:eastAsia="仿宋_GB2312" w:cs="Times New Roman"/>
          <w:color w:val="auto"/>
          <w:kern w:val="2"/>
          <w:sz w:val="32"/>
          <w:szCs w:val="32"/>
          <w:highlight w:val="none"/>
          <w:lang w:val="en-US" w:eastAsia="zh-CN" w:bidi="ar-SA"/>
        </w:rPr>
        <w:t>减少。</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52" w:name="_Toc15377223"/>
      <w:r>
        <w:rPr>
          <w:rFonts w:hint="eastAsia" w:ascii="仿宋" w:hAnsi="仿宋" w:eastAsia="仿宋"/>
          <w:b/>
          <w:color w:val="auto"/>
          <w:sz w:val="32"/>
          <w:szCs w:val="32"/>
          <w:highlight w:val="none"/>
        </w:rPr>
        <w:t>（二）政府采购支出情况</w:t>
      </w:r>
      <w:bookmarkEnd w:id="52"/>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Times New Roman" w:hAnsi="Times New Roman" w:eastAsia="仿宋_GB2312" w:cs="Times New Roman"/>
          <w:color w:val="auto"/>
          <w:kern w:val="2"/>
          <w:sz w:val="32"/>
          <w:szCs w:val="32"/>
          <w:highlight w:val="none"/>
          <w:lang w:val="en-US" w:eastAsia="zh-CN" w:bidi="ar-SA"/>
        </w:rPr>
        <w:t>杨通乡人民</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万元。授予中小企业合同金额</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53" w:name="_Toc15377224"/>
      <w:r>
        <w:rPr>
          <w:rFonts w:hint="eastAsia" w:ascii="仿宋" w:hAnsi="仿宋" w:eastAsia="仿宋"/>
          <w:b/>
          <w:color w:val="auto"/>
          <w:sz w:val="32"/>
          <w:szCs w:val="32"/>
          <w:highlight w:val="none"/>
        </w:rPr>
        <w:t>（三）国有资产占有使用情况</w:t>
      </w:r>
      <w:bookmarkEnd w:id="53"/>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Times New Roman" w:hAnsi="Times New Roman" w:eastAsia="仿宋_GB2312" w:cs="Times New Roman"/>
          <w:color w:val="auto"/>
          <w:kern w:val="2"/>
          <w:sz w:val="32"/>
          <w:szCs w:val="32"/>
          <w:highlight w:val="none"/>
          <w:lang w:val="en-US" w:eastAsia="zh-CN" w:bidi="ar-SA"/>
        </w:rPr>
        <w:t>大竹县杨通乡人民政府</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w:t>
      </w:r>
      <w:r>
        <w:rPr>
          <w:rFonts w:hint="eastAsia" w:ascii="仿宋" w:hAnsi="仿宋" w:eastAsia="仿宋"/>
          <w:b/>
          <w:color w:val="auto"/>
          <w:sz w:val="32"/>
          <w:szCs w:val="32"/>
          <w:highlight w:val="none"/>
          <w:lang w:eastAsia="zh-CN"/>
        </w:rPr>
        <w:t>于</w:t>
      </w:r>
      <w:r>
        <w:rPr>
          <w:rFonts w:hint="eastAsia" w:ascii="仿宋" w:hAnsi="仿宋" w:eastAsia="仿宋"/>
          <w:b/>
          <w:color w:val="auto"/>
          <w:sz w:val="32"/>
          <w:szCs w:val="32"/>
          <w:highlight w:val="none"/>
        </w:rPr>
        <w:t>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表，按</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决算报表填报数据罗列车辆情况。）</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pStyle w:val="6"/>
        <w:ind w:firstLine="640" w:firstLineChars="200"/>
        <w:rPr>
          <w:color w:val="0000FF"/>
          <w:highlight w:val="yellow"/>
        </w:rPr>
      </w:pPr>
      <w:r>
        <w:rPr>
          <w:rFonts w:hint="eastAsia" w:ascii="仿宋_GB2312" w:hAnsi="仿宋_GB2312" w:eastAsia="仿宋_GB2312" w:cs="仿宋_GB2312"/>
          <w:color w:val="auto"/>
          <w:sz w:val="32"/>
          <w:szCs w:val="32"/>
          <w:highlight w:val="none"/>
        </w:rPr>
        <w:t>根据预算绩效管理要求，本单位在202</w:t>
      </w:r>
      <w:r>
        <w:rPr>
          <w:rFonts w:hint="eastAsia"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年度预算编制阶段，组织对</w:t>
      </w:r>
      <w:r>
        <w:rPr>
          <w:rFonts w:hint="eastAsia" w:ascii="仿宋_GB2312" w:hAnsi="仿宋_GB2312" w:eastAsia="仿宋_GB2312" w:cs="仿宋_GB2312"/>
          <w:color w:val="auto"/>
          <w:sz w:val="32"/>
          <w:szCs w:val="32"/>
          <w:highlight w:val="none"/>
        </w:rPr>
        <w:t>大庙寨红色文化旅游村落建设房屋拆迁补偿资金项目（项目名称）等</w:t>
      </w:r>
      <w:r>
        <w:rPr>
          <w:rFonts w:hint="eastAsia"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个项目开展了预算事前绩效评估，对</w:t>
      </w:r>
      <w:r>
        <w:rPr>
          <w:rFonts w:hint="eastAsia" w:hAnsi="仿宋_GB2312" w:cs="仿宋_GB2312"/>
          <w:color w:val="auto"/>
          <w:sz w:val="32"/>
          <w:szCs w:val="32"/>
          <w:highlight w:val="none"/>
          <w:lang w:val="en-US" w:eastAsia="zh-CN"/>
        </w:rPr>
        <w:t>58</w:t>
      </w:r>
      <w:r>
        <w:rPr>
          <w:rFonts w:hint="eastAsia" w:ascii="仿宋_GB2312" w:hAnsi="仿宋_GB2312" w:eastAsia="仿宋_GB2312" w:cs="仿宋_GB2312"/>
          <w:color w:val="auto"/>
          <w:sz w:val="32"/>
          <w:szCs w:val="32"/>
          <w:highlight w:val="none"/>
        </w:rPr>
        <w:t>个项目编制了绩效目标，预算执行过程中，选取</w:t>
      </w:r>
      <w:r>
        <w:rPr>
          <w:rFonts w:hint="eastAsia" w:hAnsi="仿宋_GB2312" w:cs="仿宋_GB2312"/>
          <w:color w:val="auto"/>
          <w:sz w:val="32"/>
          <w:szCs w:val="32"/>
          <w:highlight w:val="none"/>
          <w:lang w:val="en-US" w:eastAsia="zh-CN"/>
        </w:rPr>
        <w:t>28</w:t>
      </w:r>
      <w:r>
        <w:rPr>
          <w:rFonts w:hint="eastAsia" w:ascii="仿宋_GB2312" w:hAnsi="仿宋_GB2312" w:eastAsia="仿宋_GB2312" w:cs="仿宋_GB2312"/>
          <w:color w:val="auto"/>
          <w:sz w:val="32"/>
          <w:szCs w:val="32"/>
          <w:highlight w:val="none"/>
        </w:rPr>
        <w:t>个项目开展绩效监控，组织对</w:t>
      </w:r>
      <w:r>
        <w:rPr>
          <w:rFonts w:hint="eastAsia"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个项目开展绩效自评，绩效自评表详见</w:t>
      </w:r>
      <w:r>
        <w:rPr>
          <w:rFonts w:hint="eastAsia" w:hAnsi="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附件</w:t>
      </w:r>
      <w:r>
        <w:rPr>
          <w:rFonts w:hint="eastAsia" w:ascii="仿宋_GB2312" w:hAnsi="仿宋_GB2312" w:eastAsia="仿宋_GB2312" w:cs="仿宋_GB2312"/>
          <w:color w:val="0000FF"/>
          <w:sz w:val="32"/>
          <w:szCs w:val="32"/>
          <w:highlight w:val="none"/>
        </w:rPr>
        <w:t>。</w:t>
      </w:r>
    </w:p>
    <w:p>
      <w:pPr>
        <w:autoSpaceDE w:val="0"/>
        <w:autoSpaceDN w:val="0"/>
        <w:adjustRightInd w:val="0"/>
        <w:spacing w:line="600" w:lineRule="exact"/>
        <w:ind w:firstLine="643"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仿宋_GB2312" w:eastAsia="仿宋_GB2312"/>
          <w:b/>
          <w:color w:val="auto"/>
          <w:sz w:val="32"/>
          <w:szCs w:val="32"/>
          <w:highlight w:val="none"/>
          <w:lang w:val="en-US" w:eastAsia="zh-CN"/>
        </w:rPr>
        <w:t xml:space="preserve">    </w:t>
      </w:r>
      <w:r>
        <w:rPr>
          <w:rFonts w:hint="eastAsia" w:ascii="Times New Roman" w:hAnsi="Times New Roman" w:eastAsia="仿宋_GB2312" w:cs="Times New Roman"/>
          <w:color w:val="auto"/>
          <w:kern w:val="2"/>
          <w:sz w:val="32"/>
          <w:szCs w:val="32"/>
          <w:highlight w:val="none"/>
          <w:lang w:val="en-US" w:eastAsia="zh-CN" w:bidi="ar-SA"/>
        </w:rPr>
        <w:t>本部门按要求对202</w:t>
      </w:r>
      <w:r>
        <w:rPr>
          <w:rFonts w:hint="eastAsia" w:eastAsia="仿宋_GB2312" w:cs="Times New Roman"/>
          <w:color w:val="auto"/>
          <w:kern w:val="2"/>
          <w:sz w:val="32"/>
          <w:szCs w:val="32"/>
          <w:highlight w:val="none"/>
          <w:lang w:val="en-US" w:eastAsia="zh-CN" w:bidi="ar-SA"/>
        </w:rPr>
        <w:t>2</w:t>
      </w:r>
      <w:r>
        <w:rPr>
          <w:rFonts w:hint="eastAsia" w:ascii="Times New Roman" w:hAnsi="Times New Roman" w:eastAsia="仿宋_GB2312" w:cs="Times New Roman"/>
          <w:color w:val="auto"/>
          <w:kern w:val="2"/>
          <w:sz w:val="32"/>
          <w:szCs w:val="32"/>
          <w:highlight w:val="none"/>
          <w:lang w:val="en-US" w:eastAsia="zh-CN" w:bidi="ar-SA"/>
        </w:rPr>
        <w:t>年部门整体支出开展绩效自评，从评价情况来看杨通乡人民政府部门预算编制质量提升明显。坚持以收定支、量入为出，有多少钱办多少事的原则，没有依据的莫须有的收入不能作为单位收入，严禁通过各种收支项目，虚列单位收支要求预算单位要按照优先保民生、保运转、保重点的原则编制预算，切实做到先人员、后公用、再项目，部门预算的科学性、合理性、使用性、可操作性有效提高。</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5"/>
        </w:numPr>
        <w:spacing w:line="600" w:lineRule="exact"/>
        <w:ind w:firstLine="660" w:firstLineChars="150"/>
        <w:jc w:val="center"/>
        <w:outlineLvl w:val="0"/>
        <w:rPr>
          <w:rStyle w:val="25"/>
          <w:rFonts w:ascii="黑体" w:hAnsi="黑体" w:eastAsia="黑体"/>
          <w:b w:val="0"/>
          <w:color w:val="auto"/>
          <w:highlight w:val="none"/>
        </w:rPr>
      </w:pPr>
      <w:bookmarkStart w:id="54" w:name="_Toc15377225"/>
      <w:bookmarkStart w:id="55" w:name="_Toc15396613"/>
      <w:r>
        <w:rPr>
          <w:rFonts w:hint="eastAsia" w:ascii="黑体" w:hAnsi="黑体" w:eastAsia="黑体"/>
          <w:color w:val="auto"/>
          <w:sz w:val="44"/>
          <w:szCs w:val="44"/>
          <w:highlight w:val="none"/>
        </w:rPr>
        <w:t>名</w:t>
      </w:r>
      <w:r>
        <w:rPr>
          <w:rStyle w:val="25"/>
          <w:rFonts w:hint="eastAsia" w:ascii="黑体" w:hAnsi="黑体" w:eastAsia="黑体"/>
          <w:b w:val="0"/>
          <w:color w:val="auto"/>
          <w:highlight w:val="none"/>
        </w:rPr>
        <w:t>词解释</w:t>
      </w:r>
      <w:bookmarkEnd w:id="54"/>
      <w:bookmarkEnd w:id="55"/>
    </w:p>
    <w:p>
      <w:pPr>
        <w:spacing w:line="600" w:lineRule="exact"/>
        <w:jc w:val="left"/>
        <w:rPr>
          <w:rFonts w:ascii="宋体"/>
          <w:b/>
          <w:color w:val="auto"/>
          <w:sz w:val="44"/>
          <w:szCs w:val="44"/>
          <w:highlight w:val="none"/>
        </w:rPr>
      </w:pP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事业收入：指事业单位开展专业业务活动及辅助活动取得的收入。如…（二级预算单位事业收入情况）等。</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经营收入：指事业单位在专业业务活动及其辅助活动之外开展非独立核算经营活动取得的收入。如…（二级预算单位经营收入情况）等。</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其他收入：指单位取得的除上述收入以外的各项收入。主要是…（收入类型）等。</w:t>
      </w:r>
      <w:r>
        <w:rPr>
          <w:rFonts w:ascii="仿宋_GB2312" w:eastAsia="仿宋_GB2312"/>
          <w:color w:val="auto"/>
          <w:sz w:val="32"/>
          <w:szCs w:val="32"/>
          <w:highlight w:val="none"/>
        </w:rPr>
        <w:t xml:space="preserve"> </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年末结转和结余：指单位按有关规定结转到下年或以后年度继续使用的资金。</w:t>
      </w:r>
    </w:p>
    <w:p>
      <w:pPr>
        <w:autoSpaceDE w:val="0"/>
        <w:autoSpaceDN w:val="0"/>
        <w:adjustRightInd w:val="0"/>
        <w:spacing w:line="600" w:lineRule="exact"/>
        <w:ind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eastAsia="仿宋_GB2312" w:cs="Times New Roman"/>
          <w:color w:val="auto"/>
          <w:kern w:val="2"/>
          <w:sz w:val="32"/>
          <w:szCs w:val="32"/>
          <w:highlight w:val="none"/>
          <w:lang w:val="en-US" w:eastAsia="zh-CN" w:bidi="ar-SA"/>
        </w:rPr>
        <w:t>9</w:t>
      </w:r>
      <w:r>
        <w:rPr>
          <w:rFonts w:hint="eastAsia" w:ascii="Times New Roman" w:hAnsi="Times New Roman" w:eastAsia="仿宋_GB2312" w:cs="Times New Roman"/>
          <w:color w:val="auto"/>
          <w:kern w:val="2"/>
          <w:sz w:val="32"/>
          <w:szCs w:val="32"/>
          <w:highlight w:val="none"/>
          <w:lang w:val="en-US" w:eastAsia="zh-CN" w:bidi="ar-SA"/>
        </w:rPr>
        <w:t>.一般公共服务（201）政府办公厅（室）及相关机构事务（03）行政运行（01）：指反映行政单位（包括实行公务员管理的事业单位）的基本支出；</w:t>
      </w:r>
    </w:p>
    <w:p>
      <w:pPr>
        <w:autoSpaceDE w:val="0"/>
        <w:autoSpaceDN w:val="0"/>
        <w:adjustRightInd w:val="0"/>
        <w:spacing w:line="600" w:lineRule="exact"/>
        <w:ind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w:t>
      </w:r>
      <w:r>
        <w:rPr>
          <w:rFonts w:hint="eastAsia" w:eastAsia="仿宋_GB2312" w:cs="Times New Roman"/>
          <w:color w:val="auto"/>
          <w:kern w:val="2"/>
          <w:sz w:val="32"/>
          <w:szCs w:val="32"/>
          <w:highlight w:val="none"/>
          <w:lang w:val="en-US" w:eastAsia="zh-CN" w:bidi="ar-SA"/>
        </w:rPr>
        <w:t>0</w:t>
      </w:r>
      <w:r>
        <w:rPr>
          <w:rFonts w:hint="eastAsia" w:ascii="Times New Roman" w:hAnsi="Times New Roman" w:eastAsia="仿宋_GB2312" w:cs="Times New Roman"/>
          <w:color w:val="auto"/>
          <w:kern w:val="2"/>
          <w:sz w:val="32"/>
          <w:szCs w:val="32"/>
          <w:highlight w:val="none"/>
          <w:lang w:val="en-US" w:eastAsia="zh-CN" w:bidi="ar-SA"/>
        </w:rPr>
        <w:t>.一般公共服务（201）政府办公厅（室）及相机构事务（03）一般行政管理事务（0</w:t>
      </w:r>
      <w:r>
        <w:rPr>
          <w:rFonts w:hint="eastAsia" w:eastAsia="仿宋_GB2312" w:cs="Times New Roman"/>
          <w:color w:val="auto"/>
          <w:kern w:val="2"/>
          <w:sz w:val="32"/>
          <w:szCs w:val="32"/>
          <w:highlight w:val="none"/>
          <w:lang w:val="en-US" w:eastAsia="zh-CN" w:bidi="ar-SA"/>
        </w:rPr>
        <w:t>8）</w:t>
      </w:r>
      <w:r>
        <w:rPr>
          <w:rFonts w:hint="eastAsia" w:ascii="Times New Roman" w:hAnsi="Times New Roman" w:eastAsia="仿宋_GB2312" w:cs="Times New Roman"/>
          <w:color w:val="auto"/>
          <w:kern w:val="2"/>
          <w:sz w:val="32"/>
          <w:szCs w:val="32"/>
          <w:highlight w:val="none"/>
          <w:lang w:val="en-US" w:eastAsia="zh-CN" w:bidi="ar-SA"/>
        </w:rPr>
        <w:t>：</w:t>
      </w:r>
      <w:r>
        <w:rPr>
          <w:rFonts w:hint="eastAsia" w:eastAsia="仿宋_GB2312" w:cs="Times New Roman"/>
          <w:color w:val="auto"/>
          <w:kern w:val="2"/>
          <w:sz w:val="32"/>
          <w:szCs w:val="32"/>
          <w:highlight w:val="none"/>
          <w:lang w:val="en-US" w:eastAsia="zh-CN" w:bidi="ar-SA"/>
        </w:rPr>
        <w:t>反映行政单位(包括实行公务员管理的事业单位)未单独设置项级科目的其他项目支出</w:t>
      </w:r>
      <w:r>
        <w:rPr>
          <w:rFonts w:hint="eastAsia" w:ascii="Times New Roman" w:hAnsi="Times New Roman" w:eastAsia="仿宋_GB2312" w:cs="Times New Roman"/>
          <w:color w:val="auto"/>
          <w:kern w:val="2"/>
          <w:sz w:val="32"/>
          <w:szCs w:val="32"/>
          <w:highlight w:val="none"/>
          <w:lang w:val="en-US" w:eastAsia="zh-CN" w:bidi="ar-SA"/>
        </w:rPr>
        <w:t>；</w:t>
      </w:r>
    </w:p>
    <w:p>
      <w:pPr>
        <w:pStyle w:val="6"/>
        <w:rPr>
          <w:rFonts w:hint="default"/>
          <w:color w:val="auto"/>
          <w:lang w:val="en-US" w:eastAsia="zh-CN"/>
        </w:rPr>
      </w:pPr>
      <w:r>
        <w:rPr>
          <w:rFonts w:hint="eastAsia" w:ascii="Times New Roman" w:cs="Times New Roman"/>
          <w:color w:val="auto"/>
          <w:kern w:val="2"/>
          <w:sz w:val="32"/>
          <w:szCs w:val="32"/>
          <w:highlight w:val="none"/>
          <w:lang w:val="en-US" w:eastAsia="zh-CN" w:bidi="ar-SA"/>
        </w:rPr>
        <w:t xml:space="preserve">    11.</w:t>
      </w:r>
      <w:r>
        <w:rPr>
          <w:rFonts w:hint="eastAsia" w:ascii="Times New Roman" w:hAnsi="Times New Roman" w:eastAsia="仿宋_GB2312" w:cs="Times New Roman"/>
          <w:color w:val="auto"/>
          <w:kern w:val="2"/>
          <w:sz w:val="32"/>
          <w:szCs w:val="32"/>
          <w:highlight w:val="none"/>
          <w:lang w:val="en-US" w:eastAsia="zh-CN" w:bidi="ar-SA"/>
        </w:rPr>
        <w:t>一般公共服务（201）政府办公厅（室）及相机构事务（03）其他政府办公厅（室）及相关机构事务支出（</w:t>
      </w:r>
      <w:r>
        <w:rPr>
          <w:rFonts w:hint="eastAsia" w:ascii="Times New Roman" w:cs="Times New Roman"/>
          <w:color w:val="auto"/>
          <w:kern w:val="2"/>
          <w:sz w:val="32"/>
          <w:szCs w:val="32"/>
          <w:highlight w:val="none"/>
          <w:lang w:val="en-US" w:eastAsia="zh-CN" w:bidi="ar-SA"/>
        </w:rPr>
        <w:t>99</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w:t>
      </w:r>
      <w:r>
        <w:rPr>
          <w:rFonts w:hint="eastAsia" w:eastAsia="仿宋_GB2312" w:cs="Times New Roman"/>
          <w:color w:val="auto"/>
          <w:kern w:val="2"/>
          <w:sz w:val="32"/>
          <w:szCs w:val="32"/>
          <w:highlight w:val="none"/>
          <w:lang w:val="en-US" w:eastAsia="zh-CN" w:bidi="ar-SA"/>
        </w:rPr>
        <w:t>反映除上述项目以外的其他政府办公厅 (室) 及相关机构事务支出</w:t>
      </w:r>
      <w:r>
        <w:rPr>
          <w:rFonts w:hint="eastAsia" w:ascii="Times New Roman" w:hAnsi="Times New Roman" w:eastAsia="仿宋_GB2312" w:cs="Times New Roman"/>
          <w:color w:val="auto"/>
          <w:kern w:val="2"/>
          <w:sz w:val="32"/>
          <w:szCs w:val="32"/>
          <w:highlight w:val="none"/>
          <w:lang w:val="en-US" w:eastAsia="zh-CN" w:bidi="ar-SA"/>
        </w:rPr>
        <w:t>；</w:t>
      </w:r>
    </w:p>
    <w:p>
      <w:pPr>
        <w:autoSpaceDE w:val="0"/>
        <w:autoSpaceDN w:val="0"/>
        <w:adjustRightInd w:val="0"/>
        <w:spacing w:line="600" w:lineRule="exact"/>
        <w:ind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12.一般公共服务（201）纪检监察事务（</w:t>
      </w:r>
      <w:r>
        <w:rPr>
          <w:rFonts w:hint="eastAsia" w:eastAsia="仿宋_GB2312" w:cs="Times New Roman"/>
          <w:color w:val="auto"/>
          <w:kern w:val="2"/>
          <w:sz w:val="32"/>
          <w:szCs w:val="32"/>
          <w:highlight w:val="none"/>
          <w:lang w:val="en-US" w:eastAsia="zh-CN" w:bidi="ar-SA"/>
        </w:rPr>
        <w:t>11</w:t>
      </w:r>
      <w:r>
        <w:rPr>
          <w:rFonts w:hint="eastAsia" w:ascii="Times New Roman" w:hAnsi="Times New Roman" w:eastAsia="仿宋_GB2312" w:cs="Times New Roman"/>
          <w:color w:val="auto"/>
          <w:kern w:val="2"/>
          <w:sz w:val="32"/>
          <w:szCs w:val="32"/>
          <w:highlight w:val="none"/>
          <w:lang w:val="en-US" w:eastAsia="zh-CN" w:bidi="ar-SA"/>
        </w:rPr>
        <w:t>）一般行政管理事务（0</w:t>
      </w:r>
      <w:r>
        <w:rPr>
          <w:rFonts w:hint="eastAsia" w:eastAsia="仿宋_GB2312" w:cs="Times New Roman"/>
          <w:color w:val="auto"/>
          <w:kern w:val="2"/>
          <w:sz w:val="32"/>
          <w:szCs w:val="32"/>
          <w:highlight w:val="none"/>
          <w:lang w:val="en-US" w:eastAsia="zh-CN" w:bidi="ar-SA"/>
        </w:rPr>
        <w:t>2</w:t>
      </w:r>
      <w:r>
        <w:rPr>
          <w:rFonts w:hint="eastAsia" w:ascii="Times New Roman" w:hAnsi="Times New Roman" w:eastAsia="仿宋_GB2312" w:cs="Times New Roman"/>
          <w:color w:val="auto"/>
          <w:kern w:val="2"/>
          <w:sz w:val="32"/>
          <w:szCs w:val="32"/>
          <w:highlight w:val="none"/>
          <w:lang w:val="en-US" w:eastAsia="zh-CN" w:bidi="ar-SA"/>
        </w:rPr>
        <w:t>）：</w:t>
      </w:r>
      <w:r>
        <w:rPr>
          <w:rFonts w:hint="eastAsia" w:eastAsia="仿宋_GB2312" w:cs="Times New Roman"/>
          <w:color w:val="auto"/>
          <w:kern w:val="2"/>
          <w:sz w:val="32"/>
          <w:szCs w:val="32"/>
          <w:highlight w:val="none"/>
          <w:lang w:val="en-US" w:eastAsia="zh-CN" w:bidi="ar-SA"/>
        </w:rPr>
        <w:t>反映行政单位 (包括实行公务员管理的事业单位) 未单独设置项级科目的其他项目支出</w:t>
      </w:r>
      <w:r>
        <w:rPr>
          <w:rFonts w:hint="eastAsia" w:ascii="Times New Roman" w:hAnsi="Times New Roman" w:eastAsia="仿宋_GB2312" w:cs="Times New Roman"/>
          <w:color w:val="auto"/>
          <w:kern w:val="2"/>
          <w:sz w:val="32"/>
          <w:szCs w:val="32"/>
          <w:highlight w:val="none"/>
          <w:lang w:val="en-US" w:eastAsia="zh-CN" w:bidi="ar-SA"/>
        </w:rPr>
        <w:t>；</w:t>
      </w:r>
    </w:p>
    <w:p>
      <w:pPr>
        <w:autoSpaceDE w:val="0"/>
        <w:autoSpaceDN w:val="0"/>
        <w:adjustRightInd w:val="0"/>
        <w:spacing w:line="600" w:lineRule="exact"/>
        <w:ind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13. 一般公共服务（201）纪检监察事务（</w:t>
      </w:r>
      <w:r>
        <w:rPr>
          <w:rFonts w:hint="eastAsia" w:eastAsia="仿宋_GB2312" w:cs="Times New Roman"/>
          <w:color w:val="auto"/>
          <w:kern w:val="2"/>
          <w:sz w:val="32"/>
          <w:szCs w:val="32"/>
          <w:highlight w:val="none"/>
          <w:lang w:val="en-US" w:eastAsia="zh-CN" w:bidi="ar-SA"/>
        </w:rPr>
        <w:t>11</w:t>
      </w:r>
      <w:r>
        <w:rPr>
          <w:rFonts w:hint="eastAsia" w:ascii="Times New Roman" w:hAnsi="Times New Roman" w:eastAsia="仿宋_GB2312" w:cs="Times New Roman"/>
          <w:color w:val="auto"/>
          <w:kern w:val="2"/>
          <w:sz w:val="32"/>
          <w:szCs w:val="32"/>
          <w:highlight w:val="none"/>
          <w:lang w:val="en-US" w:eastAsia="zh-CN" w:bidi="ar-SA"/>
        </w:rPr>
        <w:t>）其他纪检监察事务支出（</w:t>
      </w:r>
      <w:r>
        <w:rPr>
          <w:rFonts w:hint="eastAsia" w:eastAsia="仿宋_GB2312" w:cs="Times New Roman"/>
          <w:color w:val="auto"/>
          <w:kern w:val="2"/>
          <w:sz w:val="32"/>
          <w:szCs w:val="32"/>
          <w:highlight w:val="none"/>
          <w:lang w:val="en-US" w:eastAsia="zh-CN" w:bidi="ar-SA"/>
        </w:rPr>
        <w:t>99</w:t>
      </w:r>
      <w:r>
        <w:rPr>
          <w:rFonts w:hint="eastAsia" w:ascii="Times New Roman" w:hAnsi="Times New Roman" w:eastAsia="仿宋_GB2312" w:cs="Times New Roman"/>
          <w:color w:val="auto"/>
          <w:kern w:val="2"/>
          <w:sz w:val="32"/>
          <w:szCs w:val="32"/>
          <w:highlight w:val="none"/>
          <w:lang w:val="en-US" w:eastAsia="zh-CN" w:bidi="ar-SA"/>
        </w:rPr>
        <w:t>）：</w:t>
      </w:r>
      <w:r>
        <w:rPr>
          <w:rFonts w:hint="eastAsia" w:eastAsia="仿宋_GB2312" w:cs="Times New Roman"/>
          <w:color w:val="auto"/>
          <w:kern w:val="2"/>
          <w:sz w:val="32"/>
          <w:szCs w:val="32"/>
          <w:highlight w:val="none"/>
          <w:lang w:val="en-US" w:eastAsia="zh-CN" w:bidi="ar-SA"/>
        </w:rPr>
        <w:t>反映除上述项目以外其他纪检监察事务方面的支出</w:t>
      </w:r>
      <w:r>
        <w:rPr>
          <w:rFonts w:hint="eastAsia" w:ascii="Times New Roman" w:hAnsi="Times New Roman" w:eastAsia="仿宋_GB2312" w:cs="Times New Roman"/>
          <w:color w:val="auto"/>
          <w:kern w:val="2"/>
          <w:sz w:val="32"/>
          <w:szCs w:val="32"/>
          <w:highlight w:val="none"/>
          <w:lang w:val="en-US" w:eastAsia="zh-CN" w:bidi="ar-SA"/>
        </w:rPr>
        <w:t>；</w:t>
      </w:r>
    </w:p>
    <w:p>
      <w:pPr>
        <w:autoSpaceDE w:val="0"/>
        <w:autoSpaceDN w:val="0"/>
        <w:adjustRightInd w:val="0"/>
        <w:spacing w:line="600" w:lineRule="exact"/>
        <w:ind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w:t>
      </w:r>
      <w:r>
        <w:rPr>
          <w:rFonts w:hint="eastAsia" w:eastAsia="仿宋_GB2312" w:cs="Times New Roman"/>
          <w:color w:val="auto"/>
          <w:kern w:val="2"/>
          <w:sz w:val="32"/>
          <w:szCs w:val="32"/>
          <w:highlight w:val="none"/>
          <w:lang w:val="en-US" w:eastAsia="zh-CN" w:bidi="ar-SA"/>
        </w:rPr>
        <w:t>4</w:t>
      </w:r>
      <w:r>
        <w:rPr>
          <w:rFonts w:hint="eastAsia" w:ascii="Times New Roman" w:hAnsi="Times New Roman" w:eastAsia="仿宋_GB2312" w:cs="Times New Roman"/>
          <w:color w:val="auto"/>
          <w:kern w:val="2"/>
          <w:sz w:val="32"/>
          <w:szCs w:val="32"/>
          <w:highlight w:val="none"/>
          <w:lang w:val="en-US" w:eastAsia="zh-CN" w:bidi="ar-SA"/>
        </w:rPr>
        <w:t>. 一般公共服务（201）群众团体事务（29）其他群众团体事务支出（99）：反映除上述项目以外其他用于群众团体事务方面的支出；</w:t>
      </w:r>
    </w:p>
    <w:p>
      <w:pPr>
        <w:autoSpaceDE w:val="0"/>
        <w:autoSpaceDN w:val="0"/>
        <w:adjustRightInd w:val="0"/>
        <w:spacing w:line="600" w:lineRule="exact"/>
        <w:ind w:firstLine="640" w:firstLineChars="200"/>
        <w:jc w:val="left"/>
        <w:rPr>
          <w:rFonts w:hint="default" w:eastAsia="仿宋_GB2312" w:cs="Times New Roman"/>
          <w:color w:val="auto"/>
          <w:kern w:val="2"/>
          <w:sz w:val="32"/>
          <w:szCs w:val="32"/>
          <w:highlight w:val="none"/>
          <w:lang w:val="en-US" w:eastAsia="zh-CN" w:bidi="ar-SA"/>
        </w:rPr>
      </w:pPr>
      <w:r>
        <w:rPr>
          <w:rFonts w:hint="eastAsia" w:eastAsia="仿宋_GB2312" w:cs="Times New Roman"/>
          <w:color w:val="auto"/>
          <w:kern w:val="2"/>
          <w:sz w:val="32"/>
          <w:szCs w:val="32"/>
          <w:highlight w:val="none"/>
          <w:lang w:val="en-US" w:eastAsia="zh-CN" w:bidi="ar-SA"/>
        </w:rPr>
        <w:t>15.</w:t>
      </w:r>
      <w:r>
        <w:rPr>
          <w:rFonts w:hint="eastAsia" w:ascii="Times New Roman" w:hAnsi="Times New Roman" w:eastAsia="仿宋_GB2312" w:cs="Times New Roman"/>
          <w:color w:val="auto"/>
          <w:kern w:val="2"/>
          <w:sz w:val="32"/>
          <w:szCs w:val="32"/>
          <w:highlight w:val="none"/>
          <w:lang w:val="en-US" w:eastAsia="zh-CN" w:bidi="ar-SA"/>
        </w:rPr>
        <w:t>一般公共服务（201）党委办公厅（室）及相关机构事务（</w:t>
      </w:r>
      <w:r>
        <w:rPr>
          <w:rFonts w:hint="eastAsia" w:eastAsia="仿宋_GB2312" w:cs="Times New Roman"/>
          <w:color w:val="auto"/>
          <w:kern w:val="2"/>
          <w:sz w:val="32"/>
          <w:szCs w:val="32"/>
          <w:highlight w:val="none"/>
          <w:lang w:val="en-US" w:eastAsia="zh-CN" w:bidi="ar-SA"/>
        </w:rPr>
        <w:t>31）</w:t>
      </w:r>
      <w:r>
        <w:rPr>
          <w:rFonts w:hint="eastAsia" w:ascii="Times New Roman" w:hAnsi="Times New Roman" w:eastAsia="仿宋_GB2312" w:cs="Times New Roman"/>
          <w:color w:val="auto"/>
          <w:kern w:val="2"/>
          <w:sz w:val="32"/>
          <w:szCs w:val="32"/>
          <w:highlight w:val="none"/>
          <w:lang w:val="en-US" w:eastAsia="zh-CN" w:bidi="ar-SA"/>
        </w:rPr>
        <w:t>其他党委办公厅（室）及相关机构事务支出（</w:t>
      </w:r>
      <w:r>
        <w:rPr>
          <w:rFonts w:hint="eastAsia" w:eastAsia="仿宋_GB2312" w:cs="Times New Roman"/>
          <w:color w:val="auto"/>
          <w:kern w:val="2"/>
          <w:sz w:val="32"/>
          <w:szCs w:val="32"/>
          <w:highlight w:val="none"/>
          <w:lang w:val="en-US" w:eastAsia="zh-CN" w:bidi="ar-SA"/>
        </w:rPr>
        <w:t>99</w:t>
      </w:r>
      <w:r>
        <w:rPr>
          <w:rFonts w:hint="eastAsia" w:ascii="Times New Roman" w:hAnsi="Times New Roman" w:eastAsia="仿宋_GB2312" w:cs="Times New Roman"/>
          <w:color w:val="auto"/>
          <w:kern w:val="2"/>
          <w:sz w:val="32"/>
          <w:szCs w:val="32"/>
          <w:highlight w:val="none"/>
          <w:lang w:val="en-US" w:eastAsia="zh-CN" w:bidi="ar-SA"/>
        </w:rPr>
        <w:t>）：</w:t>
      </w:r>
      <w:r>
        <w:rPr>
          <w:rFonts w:hint="eastAsia" w:eastAsia="仿宋_GB2312" w:cs="Times New Roman"/>
          <w:color w:val="auto"/>
          <w:kern w:val="2"/>
          <w:sz w:val="32"/>
          <w:szCs w:val="32"/>
          <w:highlight w:val="none"/>
          <w:lang w:val="en-US" w:eastAsia="zh-CN" w:bidi="ar-SA"/>
        </w:rPr>
        <w:t>反映除上述项目以外其他用于党委办公厅 (室) 及相关机构事务支出</w:t>
      </w:r>
      <w:r>
        <w:rPr>
          <w:rFonts w:hint="eastAsia" w:ascii="Times New Roman" w:hAnsi="Times New Roman" w:eastAsia="仿宋_GB2312" w:cs="Times New Roman"/>
          <w:color w:val="auto"/>
          <w:kern w:val="2"/>
          <w:sz w:val="32"/>
          <w:szCs w:val="32"/>
          <w:highlight w:val="none"/>
          <w:lang w:val="en-US" w:eastAsia="zh-CN" w:bidi="ar-SA"/>
        </w:rPr>
        <w:t>；</w:t>
      </w:r>
    </w:p>
    <w:p>
      <w:pPr>
        <w:autoSpaceDE w:val="0"/>
        <w:autoSpaceDN w:val="0"/>
        <w:adjustRightInd w:val="0"/>
        <w:spacing w:line="600" w:lineRule="exact"/>
        <w:ind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w:t>
      </w:r>
      <w:r>
        <w:rPr>
          <w:rFonts w:hint="eastAsia" w:eastAsia="仿宋_GB2312" w:cs="Times New Roman"/>
          <w:color w:val="auto"/>
          <w:kern w:val="2"/>
          <w:sz w:val="32"/>
          <w:szCs w:val="32"/>
          <w:highlight w:val="none"/>
          <w:lang w:val="en-US" w:eastAsia="zh-CN" w:bidi="ar-SA"/>
        </w:rPr>
        <w:t>6</w:t>
      </w:r>
      <w:r>
        <w:rPr>
          <w:rFonts w:hint="eastAsia" w:ascii="Times New Roman" w:hAnsi="Times New Roman" w:eastAsia="仿宋_GB2312" w:cs="Times New Roman"/>
          <w:color w:val="auto"/>
          <w:kern w:val="2"/>
          <w:sz w:val="32"/>
          <w:szCs w:val="32"/>
          <w:highlight w:val="none"/>
          <w:lang w:val="en-US" w:eastAsia="zh-CN" w:bidi="ar-SA"/>
        </w:rPr>
        <w:t>. 一般公共服务（201）组织事务（32）其他组织事务支出（99）：反映除上述项目以外其他用于中国共产党组织部门的事务支出；</w:t>
      </w:r>
    </w:p>
    <w:p>
      <w:pPr>
        <w:autoSpaceDE w:val="0"/>
        <w:autoSpaceDN w:val="0"/>
        <w:adjustRightInd w:val="0"/>
        <w:spacing w:line="600" w:lineRule="exact"/>
        <w:ind w:firstLine="640" w:firstLineChars="200"/>
        <w:jc w:val="left"/>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17.文化体育与传媒支出（207）文化和旅游（01）文化展示及纪念机构（</w:t>
      </w:r>
      <w:r>
        <w:rPr>
          <w:rFonts w:hint="eastAsia" w:eastAsia="仿宋_GB2312" w:cs="Times New Roman"/>
          <w:color w:val="auto"/>
          <w:kern w:val="2"/>
          <w:sz w:val="32"/>
          <w:szCs w:val="32"/>
          <w:highlight w:val="none"/>
          <w:lang w:val="en-US" w:eastAsia="zh-CN" w:bidi="ar-SA"/>
        </w:rPr>
        <w:t>05</w:t>
      </w:r>
      <w:r>
        <w:rPr>
          <w:rFonts w:hint="eastAsia" w:ascii="Times New Roman" w:hAnsi="Times New Roman" w:eastAsia="仿宋_GB2312" w:cs="Times New Roman"/>
          <w:color w:val="auto"/>
          <w:kern w:val="2"/>
          <w:sz w:val="32"/>
          <w:szCs w:val="32"/>
          <w:highlight w:val="none"/>
          <w:lang w:val="en-US" w:eastAsia="zh-CN" w:bidi="ar-SA"/>
        </w:rPr>
        <w:t>）：</w:t>
      </w:r>
      <w:r>
        <w:rPr>
          <w:rFonts w:hint="eastAsia" w:eastAsia="仿宋_GB2312" w:cs="Times New Roman"/>
          <w:color w:val="auto"/>
          <w:kern w:val="2"/>
          <w:sz w:val="32"/>
          <w:szCs w:val="32"/>
          <w:highlight w:val="none"/>
          <w:lang w:val="en-US" w:eastAsia="zh-CN" w:bidi="ar-SA"/>
        </w:rPr>
        <w:t>反映各类艺术展览馆、文化名人纪念馆 (碑) 的支出；</w:t>
      </w:r>
    </w:p>
    <w:p>
      <w:pPr>
        <w:autoSpaceDE w:val="0"/>
        <w:autoSpaceDN w:val="0"/>
        <w:adjustRightInd w:val="0"/>
        <w:spacing w:line="600" w:lineRule="exact"/>
        <w:ind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18. 社会保障和就业支出（208）行政事业单位离退休（05）  行政单位离退休（0</w:t>
      </w:r>
      <w:r>
        <w:rPr>
          <w:rFonts w:hint="eastAsia" w:eastAsia="仿宋_GB2312" w:cs="Times New Roman"/>
          <w:color w:val="auto"/>
          <w:kern w:val="2"/>
          <w:sz w:val="32"/>
          <w:szCs w:val="32"/>
          <w:highlight w:val="none"/>
          <w:lang w:val="en-US" w:eastAsia="zh-CN" w:bidi="ar-SA"/>
        </w:rPr>
        <w:t>1</w:t>
      </w:r>
      <w:r>
        <w:rPr>
          <w:rFonts w:hint="eastAsia" w:ascii="Times New Roman" w:hAnsi="Times New Roman" w:eastAsia="仿宋_GB2312" w:cs="Times New Roman"/>
          <w:color w:val="auto"/>
          <w:kern w:val="2"/>
          <w:sz w:val="32"/>
          <w:szCs w:val="32"/>
          <w:highlight w:val="none"/>
          <w:lang w:val="en-US" w:eastAsia="zh-CN" w:bidi="ar-SA"/>
        </w:rPr>
        <w:t>）</w:t>
      </w:r>
      <w:r>
        <w:rPr>
          <w:rFonts w:hint="eastAsia" w:eastAsia="仿宋_GB2312" w:cs="Times New Roman"/>
          <w:color w:val="auto"/>
          <w:kern w:val="2"/>
          <w:sz w:val="32"/>
          <w:szCs w:val="32"/>
          <w:highlight w:val="none"/>
          <w:lang w:val="en-US" w:eastAsia="zh-CN" w:bidi="ar-SA"/>
        </w:rPr>
        <w:t>：反映实行归口管理的行政单位 (包括实行公务员管理的事业单位) 开支的离退休经费</w:t>
      </w:r>
      <w:r>
        <w:rPr>
          <w:rFonts w:hint="eastAsia" w:ascii="Times New Roman" w:hAnsi="Times New Roman" w:eastAsia="仿宋_GB2312" w:cs="Times New Roman"/>
          <w:color w:val="auto"/>
          <w:kern w:val="2"/>
          <w:sz w:val="32"/>
          <w:szCs w:val="32"/>
          <w:highlight w:val="none"/>
          <w:lang w:val="en-US" w:eastAsia="zh-CN" w:bidi="ar-SA"/>
        </w:rPr>
        <w:t>；</w:t>
      </w:r>
    </w:p>
    <w:p>
      <w:pPr>
        <w:autoSpaceDE w:val="0"/>
        <w:autoSpaceDN w:val="0"/>
        <w:adjustRightInd w:val="0"/>
        <w:spacing w:line="600" w:lineRule="exact"/>
        <w:ind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19.社会保障和就业支出（208）行政事业单位离退休（05）机关事业单位基本养老保险缴费支出（05）：反映机关事业单位实施养老保险制度由单位缴纳的基本养老保险费支出；</w:t>
      </w:r>
    </w:p>
    <w:p>
      <w:pPr>
        <w:autoSpaceDE w:val="0"/>
        <w:autoSpaceDN w:val="0"/>
        <w:adjustRightInd w:val="0"/>
        <w:spacing w:line="600" w:lineRule="exact"/>
        <w:ind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2</w:t>
      </w:r>
      <w:r>
        <w:rPr>
          <w:rFonts w:hint="eastAsia" w:eastAsia="仿宋_GB2312" w:cs="Times New Roman"/>
          <w:color w:val="auto"/>
          <w:kern w:val="2"/>
          <w:sz w:val="32"/>
          <w:szCs w:val="32"/>
          <w:highlight w:val="none"/>
          <w:lang w:val="en-US" w:eastAsia="zh-CN" w:bidi="ar-SA"/>
        </w:rPr>
        <w:t>0</w:t>
      </w:r>
      <w:r>
        <w:rPr>
          <w:rFonts w:hint="eastAsia" w:ascii="Times New Roman" w:hAnsi="Times New Roman" w:eastAsia="仿宋_GB2312" w:cs="Times New Roman"/>
          <w:color w:val="auto"/>
          <w:kern w:val="2"/>
          <w:sz w:val="32"/>
          <w:szCs w:val="32"/>
          <w:highlight w:val="none"/>
          <w:lang w:val="en-US" w:eastAsia="zh-CN" w:bidi="ar-SA"/>
        </w:rPr>
        <w:t>. 社会保障和就业支出（208）就业补助（07）公益性岗位补贴（05）：反映对符合条件人员参加在公益性岗位就业给予的岗位补贴支出；</w:t>
      </w:r>
    </w:p>
    <w:p>
      <w:pPr>
        <w:autoSpaceDE w:val="0"/>
        <w:autoSpaceDN w:val="0"/>
        <w:adjustRightInd w:val="0"/>
        <w:spacing w:line="600" w:lineRule="exact"/>
        <w:ind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2</w:t>
      </w:r>
      <w:r>
        <w:rPr>
          <w:rFonts w:hint="eastAsia" w:eastAsia="仿宋_GB2312" w:cs="Times New Roman"/>
          <w:color w:val="auto"/>
          <w:kern w:val="2"/>
          <w:sz w:val="32"/>
          <w:szCs w:val="32"/>
          <w:highlight w:val="none"/>
          <w:lang w:val="en-US" w:eastAsia="zh-CN" w:bidi="ar-SA"/>
        </w:rPr>
        <w:t>1</w:t>
      </w:r>
      <w:r>
        <w:rPr>
          <w:rFonts w:hint="eastAsia" w:ascii="Times New Roman" w:hAnsi="Times New Roman" w:eastAsia="仿宋_GB2312" w:cs="Times New Roman"/>
          <w:color w:val="auto"/>
          <w:kern w:val="2"/>
          <w:sz w:val="32"/>
          <w:szCs w:val="32"/>
          <w:highlight w:val="none"/>
          <w:lang w:val="en-US" w:eastAsia="zh-CN" w:bidi="ar-SA"/>
        </w:rPr>
        <w:t>. 社会保障和就业支出（208）抚恤（08）死亡抚恤（01）：反映按规定用于烈士和牺牲、病故人员家属的一次性和定期抚恤金以及丧葬补助费；</w:t>
      </w:r>
    </w:p>
    <w:p>
      <w:pPr>
        <w:autoSpaceDE w:val="0"/>
        <w:autoSpaceDN w:val="0"/>
        <w:adjustRightInd w:val="0"/>
        <w:spacing w:line="600" w:lineRule="exact"/>
        <w:ind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2</w:t>
      </w:r>
      <w:r>
        <w:rPr>
          <w:rFonts w:hint="eastAsia" w:eastAsia="仿宋_GB2312" w:cs="Times New Roman"/>
          <w:color w:val="auto"/>
          <w:kern w:val="2"/>
          <w:sz w:val="32"/>
          <w:szCs w:val="32"/>
          <w:highlight w:val="none"/>
          <w:lang w:val="en-US" w:eastAsia="zh-CN" w:bidi="ar-SA"/>
        </w:rPr>
        <w:t>2</w:t>
      </w:r>
      <w:r>
        <w:rPr>
          <w:rFonts w:hint="eastAsia" w:ascii="Times New Roman" w:hAnsi="Times New Roman" w:eastAsia="仿宋_GB2312" w:cs="Times New Roman"/>
          <w:color w:val="auto"/>
          <w:kern w:val="2"/>
          <w:sz w:val="32"/>
          <w:szCs w:val="32"/>
          <w:highlight w:val="none"/>
          <w:lang w:val="en-US" w:eastAsia="zh-CN" w:bidi="ar-SA"/>
        </w:rPr>
        <w:t>. 社会保障和就业支出（208）其他社会保障和就业支出（99）其他社会保障和就业支出（</w:t>
      </w:r>
      <w:r>
        <w:rPr>
          <w:rFonts w:hint="eastAsia" w:eastAsia="仿宋_GB2312" w:cs="Times New Roman"/>
          <w:color w:val="auto"/>
          <w:kern w:val="2"/>
          <w:sz w:val="32"/>
          <w:szCs w:val="32"/>
          <w:highlight w:val="none"/>
          <w:lang w:val="en-US" w:eastAsia="zh-CN" w:bidi="ar-SA"/>
        </w:rPr>
        <w:t>99</w:t>
      </w:r>
      <w:r>
        <w:rPr>
          <w:rFonts w:hint="eastAsia" w:ascii="Times New Roman" w:hAnsi="Times New Roman" w:eastAsia="仿宋_GB2312" w:cs="Times New Roman"/>
          <w:color w:val="auto"/>
          <w:kern w:val="2"/>
          <w:sz w:val="32"/>
          <w:szCs w:val="32"/>
          <w:highlight w:val="none"/>
          <w:lang w:val="en-US" w:eastAsia="zh-CN" w:bidi="ar-SA"/>
        </w:rPr>
        <w:t>）：反映除上述项目以外其他用于社会保障和就业方面的支出；</w:t>
      </w:r>
    </w:p>
    <w:p>
      <w:pPr>
        <w:autoSpaceDE w:val="0"/>
        <w:autoSpaceDN w:val="0"/>
        <w:adjustRightInd w:val="0"/>
        <w:spacing w:line="600" w:lineRule="exact"/>
        <w:ind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2</w:t>
      </w:r>
      <w:r>
        <w:rPr>
          <w:rFonts w:hint="eastAsia" w:eastAsia="仿宋_GB2312" w:cs="Times New Roman"/>
          <w:color w:val="auto"/>
          <w:kern w:val="2"/>
          <w:sz w:val="32"/>
          <w:szCs w:val="32"/>
          <w:highlight w:val="none"/>
          <w:lang w:val="en-US" w:eastAsia="zh-CN" w:bidi="ar-SA"/>
        </w:rPr>
        <w:t>3</w:t>
      </w:r>
      <w:r>
        <w:rPr>
          <w:rFonts w:hint="eastAsia" w:ascii="Times New Roman" w:hAnsi="Times New Roman" w:eastAsia="仿宋_GB2312" w:cs="Times New Roman"/>
          <w:color w:val="auto"/>
          <w:kern w:val="2"/>
          <w:sz w:val="32"/>
          <w:szCs w:val="32"/>
          <w:highlight w:val="none"/>
          <w:lang w:val="en-US" w:eastAsia="zh-CN" w:bidi="ar-SA"/>
        </w:rPr>
        <w:t>.卫生健康支出（210）行政事业单位医疗（</w:t>
      </w:r>
      <w:r>
        <w:rPr>
          <w:rFonts w:hint="eastAsia" w:eastAsia="仿宋_GB2312" w:cs="Times New Roman"/>
          <w:color w:val="auto"/>
          <w:kern w:val="2"/>
          <w:sz w:val="32"/>
          <w:szCs w:val="32"/>
          <w:highlight w:val="none"/>
          <w:lang w:val="en-US" w:eastAsia="zh-CN" w:bidi="ar-SA"/>
        </w:rPr>
        <w:t>11</w:t>
      </w:r>
      <w:r>
        <w:rPr>
          <w:rFonts w:hint="eastAsia" w:ascii="Times New Roman" w:hAnsi="Times New Roman" w:eastAsia="仿宋_GB2312" w:cs="Times New Roman"/>
          <w:color w:val="auto"/>
          <w:kern w:val="2"/>
          <w:sz w:val="32"/>
          <w:szCs w:val="32"/>
          <w:highlight w:val="none"/>
          <w:lang w:val="en-US" w:eastAsia="zh-CN" w:bidi="ar-SA"/>
        </w:rPr>
        <w:t>）行政单位医疗（</w:t>
      </w:r>
      <w:r>
        <w:rPr>
          <w:rFonts w:hint="eastAsia" w:eastAsia="仿宋_GB2312" w:cs="Times New Roman"/>
          <w:color w:val="auto"/>
          <w:kern w:val="2"/>
          <w:sz w:val="32"/>
          <w:szCs w:val="32"/>
          <w:highlight w:val="none"/>
          <w:lang w:val="en-US" w:eastAsia="zh-CN" w:bidi="ar-SA"/>
        </w:rPr>
        <w:t>01</w:t>
      </w:r>
      <w:r>
        <w:rPr>
          <w:rFonts w:hint="eastAsia" w:ascii="Times New Roman" w:hAnsi="Times New Roman" w:eastAsia="仿宋_GB2312" w:cs="Times New Roman"/>
          <w:color w:val="auto"/>
          <w:kern w:val="2"/>
          <w:sz w:val="32"/>
          <w:szCs w:val="32"/>
          <w:highlight w:val="none"/>
          <w:lang w:val="en-US" w:eastAsia="zh-CN" w:bidi="ar-SA"/>
        </w:rPr>
        <w:t>）：</w:t>
      </w:r>
      <w:r>
        <w:rPr>
          <w:rFonts w:hint="eastAsia" w:eastAsia="仿宋_GB2312" w:cs="Times New Roman"/>
          <w:color w:val="auto"/>
          <w:kern w:val="2"/>
          <w:sz w:val="32"/>
          <w:szCs w:val="32"/>
          <w:highlight w:val="none"/>
          <w:lang w:val="en-US" w:eastAsia="zh-CN" w:bidi="ar-SA"/>
        </w:rPr>
        <w:t>反映财政部门集中安排的行政单位基本医疗保险缴费经费，未参加医疗保险的行政单位的公费医疗经费，按国家规定享受离休人员、红军老战士待遇人员的医疗经费</w:t>
      </w:r>
      <w:r>
        <w:rPr>
          <w:rFonts w:hint="eastAsia" w:ascii="Times New Roman" w:hAnsi="Times New Roman" w:eastAsia="仿宋_GB2312" w:cs="Times New Roman"/>
          <w:color w:val="auto"/>
          <w:kern w:val="2"/>
          <w:sz w:val="32"/>
          <w:szCs w:val="32"/>
          <w:highlight w:val="none"/>
          <w:lang w:val="en-US" w:eastAsia="zh-CN" w:bidi="ar-SA"/>
        </w:rPr>
        <w:t>；</w:t>
      </w:r>
    </w:p>
    <w:p>
      <w:pPr>
        <w:autoSpaceDE w:val="0"/>
        <w:autoSpaceDN w:val="0"/>
        <w:adjustRightInd w:val="0"/>
        <w:spacing w:line="600" w:lineRule="exact"/>
        <w:ind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2</w:t>
      </w:r>
      <w:r>
        <w:rPr>
          <w:rFonts w:hint="eastAsia" w:eastAsia="仿宋_GB2312" w:cs="Times New Roman"/>
          <w:color w:val="auto"/>
          <w:kern w:val="2"/>
          <w:sz w:val="32"/>
          <w:szCs w:val="32"/>
          <w:highlight w:val="none"/>
          <w:lang w:val="en-US" w:eastAsia="zh-CN" w:bidi="ar-SA"/>
        </w:rPr>
        <w:t>4</w:t>
      </w:r>
      <w:r>
        <w:rPr>
          <w:rFonts w:hint="eastAsia" w:ascii="Times New Roman" w:hAnsi="Times New Roman" w:eastAsia="仿宋_GB2312" w:cs="Times New Roman"/>
          <w:color w:val="auto"/>
          <w:kern w:val="2"/>
          <w:sz w:val="32"/>
          <w:szCs w:val="32"/>
          <w:highlight w:val="none"/>
          <w:lang w:val="en-US" w:eastAsia="zh-CN" w:bidi="ar-SA"/>
        </w:rPr>
        <w:t>.卫生健康支出（210）行政事业单位医疗（</w:t>
      </w:r>
      <w:r>
        <w:rPr>
          <w:rFonts w:hint="eastAsia" w:eastAsia="仿宋_GB2312" w:cs="Times New Roman"/>
          <w:color w:val="auto"/>
          <w:kern w:val="2"/>
          <w:sz w:val="32"/>
          <w:szCs w:val="32"/>
          <w:highlight w:val="none"/>
          <w:lang w:val="en-US" w:eastAsia="zh-CN" w:bidi="ar-SA"/>
        </w:rPr>
        <w:t>11</w:t>
      </w:r>
      <w:r>
        <w:rPr>
          <w:rFonts w:hint="eastAsia" w:ascii="Times New Roman" w:hAnsi="Times New Roman" w:eastAsia="仿宋_GB2312" w:cs="Times New Roman"/>
          <w:color w:val="auto"/>
          <w:kern w:val="2"/>
          <w:sz w:val="32"/>
          <w:szCs w:val="32"/>
          <w:highlight w:val="none"/>
          <w:lang w:val="en-US" w:eastAsia="zh-CN" w:bidi="ar-SA"/>
        </w:rPr>
        <w:t>）事业单位医疗（</w:t>
      </w:r>
      <w:r>
        <w:rPr>
          <w:rFonts w:hint="eastAsia" w:eastAsia="仿宋_GB2312" w:cs="Times New Roman"/>
          <w:color w:val="auto"/>
          <w:kern w:val="2"/>
          <w:sz w:val="32"/>
          <w:szCs w:val="32"/>
          <w:highlight w:val="none"/>
          <w:lang w:val="en-US" w:eastAsia="zh-CN" w:bidi="ar-SA"/>
        </w:rPr>
        <w:t>02</w:t>
      </w:r>
      <w:r>
        <w:rPr>
          <w:rFonts w:hint="eastAsia" w:ascii="Times New Roman" w:hAnsi="Times New Roman" w:eastAsia="仿宋_GB2312" w:cs="Times New Roman"/>
          <w:color w:val="auto"/>
          <w:kern w:val="2"/>
          <w:sz w:val="32"/>
          <w:szCs w:val="32"/>
          <w:highlight w:val="none"/>
          <w:lang w:val="en-US" w:eastAsia="zh-CN" w:bidi="ar-SA"/>
        </w:rPr>
        <w:t>）：</w:t>
      </w:r>
      <w:r>
        <w:rPr>
          <w:rFonts w:hint="eastAsia" w:eastAsia="仿宋_GB2312" w:cs="Times New Roman"/>
          <w:color w:val="auto"/>
          <w:kern w:val="2"/>
          <w:sz w:val="32"/>
          <w:szCs w:val="32"/>
          <w:highlight w:val="none"/>
          <w:lang w:val="en-US" w:eastAsia="zh-CN" w:bidi="ar-SA"/>
        </w:rPr>
        <w:t>反映财政部门集中安排的事业单位基本医疗保险缴费经费，未参加医疗保险的事业单位的公费医疗经费，按国家规定享受离休人员待遇的医疗经费</w:t>
      </w:r>
      <w:r>
        <w:rPr>
          <w:rFonts w:hint="eastAsia" w:ascii="Times New Roman" w:hAnsi="Times New Roman" w:eastAsia="仿宋_GB2312" w:cs="Times New Roman"/>
          <w:color w:val="auto"/>
          <w:kern w:val="2"/>
          <w:sz w:val="32"/>
          <w:szCs w:val="32"/>
          <w:highlight w:val="none"/>
          <w:lang w:val="en-US" w:eastAsia="zh-CN" w:bidi="ar-SA"/>
        </w:rPr>
        <w:t>；</w:t>
      </w:r>
    </w:p>
    <w:p>
      <w:pPr>
        <w:autoSpaceDE w:val="0"/>
        <w:autoSpaceDN w:val="0"/>
        <w:adjustRightInd w:val="0"/>
        <w:spacing w:line="600" w:lineRule="exact"/>
        <w:ind w:firstLine="640" w:firstLineChars="200"/>
        <w:jc w:val="left"/>
        <w:rPr>
          <w:rFonts w:hint="default"/>
          <w:color w:val="auto"/>
          <w:lang w:val="en-US" w:eastAsia="zh-CN"/>
        </w:rPr>
      </w:pPr>
      <w:r>
        <w:rPr>
          <w:rFonts w:hint="eastAsia" w:ascii="Times New Roman" w:hAnsi="Times New Roman" w:eastAsia="仿宋_GB2312" w:cs="Times New Roman"/>
          <w:color w:val="auto"/>
          <w:kern w:val="2"/>
          <w:sz w:val="32"/>
          <w:szCs w:val="32"/>
          <w:highlight w:val="none"/>
          <w:lang w:val="en-US" w:eastAsia="zh-CN" w:bidi="ar-SA"/>
        </w:rPr>
        <w:t>2</w:t>
      </w:r>
      <w:r>
        <w:rPr>
          <w:rFonts w:hint="eastAsia" w:eastAsia="仿宋_GB2312" w:cs="Times New Roman"/>
          <w:color w:val="auto"/>
          <w:kern w:val="2"/>
          <w:sz w:val="32"/>
          <w:szCs w:val="32"/>
          <w:highlight w:val="none"/>
          <w:lang w:val="en-US" w:eastAsia="zh-CN" w:bidi="ar-SA"/>
        </w:rPr>
        <w:t>5</w:t>
      </w:r>
      <w:r>
        <w:rPr>
          <w:rFonts w:hint="eastAsia" w:ascii="Times New Roman" w:hAnsi="Times New Roman" w:eastAsia="仿宋_GB2312" w:cs="Times New Roman"/>
          <w:color w:val="auto"/>
          <w:kern w:val="2"/>
          <w:sz w:val="32"/>
          <w:szCs w:val="32"/>
          <w:highlight w:val="none"/>
          <w:lang w:val="en-US" w:eastAsia="zh-CN" w:bidi="ar-SA"/>
        </w:rPr>
        <w:t>.卫生健康支出（210）行政事业单位医疗（</w:t>
      </w:r>
      <w:r>
        <w:rPr>
          <w:rFonts w:hint="eastAsia" w:eastAsia="仿宋_GB2312" w:cs="Times New Roman"/>
          <w:color w:val="auto"/>
          <w:kern w:val="2"/>
          <w:sz w:val="32"/>
          <w:szCs w:val="32"/>
          <w:highlight w:val="none"/>
          <w:lang w:val="en-US" w:eastAsia="zh-CN" w:bidi="ar-SA"/>
        </w:rPr>
        <w:t>11</w:t>
      </w:r>
      <w:r>
        <w:rPr>
          <w:rFonts w:hint="eastAsia" w:ascii="Times New Roman" w:hAnsi="Times New Roman" w:eastAsia="仿宋_GB2312" w:cs="Times New Roman"/>
          <w:color w:val="auto"/>
          <w:kern w:val="2"/>
          <w:sz w:val="32"/>
          <w:szCs w:val="32"/>
          <w:highlight w:val="none"/>
          <w:lang w:val="en-US" w:eastAsia="zh-CN" w:bidi="ar-SA"/>
        </w:rPr>
        <w:t>）公务员医疗补助（</w:t>
      </w:r>
      <w:r>
        <w:rPr>
          <w:rFonts w:hint="eastAsia" w:eastAsia="仿宋_GB2312" w:cs="Times New Roman"/>
          <w:color w:val="auto"/>
          <w:kern w:val="2"/>
          <w:sz w:val="32"/>
          <w:szCs w:val="32"/>
          <w:highlight w:val="none"/>
          <w:lang w:val="en-US" w:eastAsia="zh-CN" w:bidi="ar-SA"/>
        </w:rPr>
        <w:t>03</w:t>
      </w:r>
      <w:r>
        <w:rPr>
          <w:rFonts w:hint="eastAsia" w:ascii="Times New Roman" w:hAnsi="Times New Roman" w:eastAsia="仿宋_GB2312" w:cs="Times New Roman"/>
          <w:color w:val="auto"/>
          <w:kern w:val="2"/>
          <w:sz w:val="32"/>
          <w:szCs w:val="32"/>
          <w:highlight w:val="none"/>
          <w:lang w:val="en-US" w:eastAsia="zh-CN" w:bidi="ar-SA"/>
        </w:rPr>
        <w:t>）：</w:t>
      </w:r>
      <w:r>
        <w:rPr>
          <w:rFonts w:hint="eastAsia" w:eastAsia="仿宋_GB2312" w:cs="Times New Roman"/>
          <w:color w:val="auto"/>
          <w:kern w:val="2"/>
          <w:sz w:val="32"/>
          <w:szCs w:val="32"/>
          <w:highlight w:val="none"/>
          <w:lang w:val="en-US" w:eastAsia="zh-CN" w:bidi="ar-SA"/>
        </w:rPr>
        <w:t>反映财政部门集中安排的公务员医疗补助经费</w:t>
      </w:r>
      <w:r>
        <w:rPr>
          <w:rFonts w:hint="eastAsia" w:ascii="Times New Roman" w:hAnsi="Times New Roman" w:eastAsia="仿宋_GB2312" w:cs="Times New Roman"/>
          <w:color w:val="auto"/>
          <w:kern w:val="2"/>
          <w:sz w:val="32"/>
          <w:szCs w:val="32"/>
          <w:highlight w:val="none"/>
          <w:lang w:val="en-US" w:eastAsia="zh-CN" w:bidi="ar-SA"/>
        </w:rPr>
        <w:t>；</w:t>
      </w:r>
    </w:p>
    <w:p>
      <w:pPr>
        <w:autoSpaceDE w:val="0"/>
        <w:autoSpaceDN w:val="0"/>
        <w:adjustRightInd w:val="0"/>
        <w:spacing w:line="600" w:lineRule="exact"/>
        <w:ind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2</w:t>
      </w:r>
      <w:r>
        <w:rPr>
          <w:rFonts w:hint="eastAsia" w:eastAsia="仿宋_GB2312" w:cs="Times New Roman"/>
          <w:color w:val="auto"/>
          <w:kern w:val="2"/>
          <w:sz w:val="32"/>
          <w:szCs w:val="32"/>
          <w:highlight w:val="none"/>
          <w:lang w:val="en-US" w:eastAsia="zh-CN" w:bidi="ar-SA"/>
        </w:rPr>
        <w:t>6</w:t>
      </w:r>
      <w:r>
        <w:rPr>
          <w:rFonts w:hint="eastAsia" w:ascii="Times New Roman" w:hAnsi="Times New Roman" w:eastAsia="仿宋_GB2312" w:cs="Times New Roman"/>
          <w:color w:val="auto"/>
          <w:kern w:val="2"/>
          <w:sz w:val="32"/>
          <w:szCs w:val="32"/>
          <w:highlight w:val="none"/>
          <w:lang w:val="en-US" w:eastAsia="zh-CN" w:bidi="ar-SA"/>
        </w:rPr>
        <w:t>.城乡社区支出（212）城乡社区管理事务（01）其他城乡社区管理事务支出（99）：反映除上述项目以外其他用于城乡社区管理事务方面的支出；</w:t>
      </w:r>
    </w:p>
    <w:p>
      <w:pPr>
        <w:autoSpaceDE w:val="0"/>
        <w:autoSpaceDN w:val="0"/>
        <w:adjustRightInd w:val="0"/>
        <w:spacing w:line="600" w:lineRule="exact"/>
        <w:ind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2</w:t>
      </w:r>
      <w:r>
        <w:rPr>
          <w:rFonts w:hint="eastAsia" w:eastAsia="仿宋_GB2312" w:cs="Times New Roman"/>
          <w:color w:val="auto"/>
          <w:kern w:val="2"/>
          <w:sz w:val="32"/>
          <w:szCs w:val="32"/>
          <w:highlight w:val="none"/>
          <w:lang w:val="en-US" w:eastAsia="zh-CN" w:bidi="ar-SA"/>
        </w:rPr>
        <w:t>7</w:t>
      </w:r>
      <w:r>
        <w:rPr>
          <w:rFonts w:hint="eastAsia" w:ascii="Times New Roman" w:hAnsi="Times New Roman" w:eastAsia="仿宋_GB2312" w:cs="Times New Roman"/>
          <w:color w:val="auto"/>
          <w:kern w:val="2"/>
          <w:sz w:val="32"/>
          <w:szCs w:val="32"/>
          <w:highlight w:val="none"/>
          <w:lang w:val="en-US" w:eastAsia="zh-CN" w:bidi="ar-SA"/>
        </w:rPr>
        <w:t>. 城乡社区支出（212）城乡社区环境卫生（05）城乡社区环境卫生（01）：反映城乡社区道路清扫、垃圾清运与处理、公厕建设与维护、园林绿化等方面的支出；</w:t>
      </w:r>
    </w:p>
    <w:p>
      <w:pPr>
        <w:autoSpaceDE w:val="0"/>
        <w:autoSpaceDN w:val="0"/>
        <w:adjustRightInd w:val="0"/>
        <w:spacing w:line="600" w:lineRule="exact"/>
        <w:ind w:firstLine="640" w:firstLineChars="200"/>
        <w:jc w:val="left"/>
        <w:rPr>
          <w:rFonts w:hint="eastAsia"/>
          <w:color w:val="auto"/>
          <w:lang w:val="en-US" w:eastAsia="zh-CN"/>
        </w:rPr>
      </w:pPr>
      <w:r>
        <w:rPr>
          <w:rFonts w:hint="eastAsia" w:ascii="Times New Roman" w:hAnsi="Times New Roman" w:eastAsia="仿宋_GB2312" w:cs="Times New Roman"/>
          <w:color w:val="auto"/>
          <w:kern w:val="2"/>
          <w:sz w:val="32"/>
          <w:szCs w:val="32"/>
          <w:highlight w:val="none"/>
          <w:lang w:val="en-US" w:eastAsia="zh-CN" w:bidi="ar-SA"/>
        </w:rPr>
        <w:t>2</w:t>
      </w:r>
      <w:r>
        <w:rPr>
          <w:rFonts w:hint="eastAsia" w:eastAsia="仿宋_GB2312" w:cs="Times New Roman"/>
          <w:color w:val="auto"/>
          <w:kern w:val="2"/>
          <w:sz w:val="32"/>
          <w:szCs w:val="32"/>
          <w:highlight w:val="none"/>
          <w:lang w:val="en-US" w:eastAsia="zh-CN" w:bidi="ar-SA"/>
        </w:rPr>
        <w:t>8</w:t>
      </w:r>
      <w:r>
        <w:rPr>
          <w:rFonts w:hint="eastAsia" w:ascii="Times New Roman" w:hAnsi="Times New Roman" w:eastAsia="仿宋_GB2312" w:cs="Times New Roman"/>
          <w:color w:val="auto"/>
          <w:kern w:val="2"/>
          <w:sz w:val="32"/>
          <w:szCs w:val="32"/>
          <w:highlight w:val="none"/>
          <w:lang w:val="en-US" w:eastAsia="zh-CN" w:bidi="ar-SA"/>
        </w:rPr>
        <w:t>. 城乡社区支出（212）国有土地使用权出让收入安排的支出（0</w:t>
      </w:r>
      <w:r>
        <w:rPr>
          <w:rFonts w:hint="eastAsia" w:eastAsia="仿宋_GB2312" w:cs="Times New Roman"/>
          <w:color w:val="auto"/>
          <w:kern w:val="2"/>
          <w:sz w:val="32"/>
          <w:szCs w:val="32"/>
          <w:highlight w:val="none"/>
          <w:lang w:val="en-US" w:eastAsia="zh-CN" w:bidi="ar-SA"/>
        </w:rPr>
        <w:t>8</w:t>
      </w:r>
      <w:r>
        <w:rPr>
          <w:rFonts w:hint="eastAsia" w:ascii="Times New Roman" w:hAnsi="Times New Roman" w:eastAsia="仿宋_GB2312" w:cs="Times New Roman"/>
          <w:color w:val="auto"/>
          <w:kern w:val="2"/>
          <w:sz w:val="32"/>
          <w:szCs w:val="32"/>
          <w:highlight w:val="none"/>
          <w:lang w:val="en-US" w:eastAsia="zh-CN" w:bidi="ar-SA"/>
        </w:rPr>
        <w:t>）征地和拆迁补偿支出（01）：</w:t>
      </w:r>
      <w:r>
        <w:rPr>
          <w:rFonts w:hint="eastAsia" w:eastAsia="仿宋_GB2312" w:cs="Times New Roman"/>
          <w:color w:val="auto"/>
          <w:kern w:val="2"/>
          <w:sz w:val="32"/>
          <w:szCs w:val="32"/>
          <w:highlight w:val="none"/>
          <w:lang w:val="en-US" w:eastAsia="zh-CN" w:bidi="ar-SA"/>
        </w:rPr>
        <w:t>反应地方人民政府在征地和收购土地过程中支付的土地补偿费、安置补助费、地上附着物和青苗补偿费、拆迁补偿费支出</w:t>
      </w:r>
      <w:r>
        <w:rPr>
          <w:rFonts w:hint="eastAsia" w:ascii="Times New Roman" w:hAnsi="Times New Roman" w:eastAsia="仿宋_GB2312" w:cs="Times New Roman"/>
          <w:color w:val="auto"/>
          <w:kern w:val="2"/>
          <w:sz w:val="32"/>
          <w:szCs w:val="32"/>
          <w:highlight w:val="none"/>
          <w:lang w:val="en-US" w:eastAsia="zh-CN" w:bidi="ar-SA"/>
        </w:rPr>
        <w:t>；</w:t>
      </w:r>
    </w:p>
    <w:p>
      <w:pPr>
        <w:autoSpaceDE w:val="0"/>
        <w:autoSpaceDN w:val="0"/>
        <w:adjustRightInd w:val="0"/>
        <w:spacing w:line="600" w:lineRule="exact"/>
        <w:ind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29. 城乡社区支出（212）其他城乡社区支出（99）其他城乡社区支出（99）：反映除上述项目以外其他用于城乡社区方面的支出；</w:t>
      </w:r>
    </w:p>
    <w:p>
      <w:pPr>
        <w:autoSpaceDE w:val="0"/>
        <w:autoSpaceDN w:val="0"/>
        <w:adjustRightInd w:val="0"/>
        <w:spacing w:line="600" w:lineRule="exact"/>
        <w:ind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30.农林水支出（213）农业农村（01）事业运行（04）：反映用于农业事业单位基本支出，事业单位设施、系统运行与资产维护等方面的支出；</w:t>
      </w:r>
    </w:p>
    <w:p>
      <w:pPr>
        <w:autoSpaceDE w:val="0"/>
        <w:autoSpaceDN w:val="0"/>
        <w:adjustRightInd w:val="0"/>
        <w:spacing w:line="600" w:lineRule="exact"/>
        <w:ind w:firstLine="640" w:firstLineChars="200"/>
        <w:jc w:val="left"/>
        <w:rPr>
          <w:rFonts w:hint="default"/>
          <w:lang w:val="en-US" w:eastAsia="zh-CN"/>
        </w:rPr>
      </w:pPr>
      <w:r>
        <w:rPr>
          <w:rFonts w:hint="eastAsia" w:eastAsia="仿宋_GB2312" w:cs="Times New Roman"/>
          <w:color w:val="auto"/>
          <w:kern w:val="2"/>
          <w:sz w:val="32"/>
          <w:szCs w:val="32"/>
          <w:highlight w:val="none"/>
          <w:lang w:val="en-US" w:eastAsia="zh-CN" w:bidi="ar-SA"/>
        </w:rPr>
        <w:t>31.</w:t>
      </w:r>
      <w:r>
        <w:rPr>
          <w:rFonts w:hint="eastAsia" w:ascii="Times New Roman" w:hAnsi="Times New Roman" w:eastAsia="仿宋_GB2312" w:cs="Times New Roman"/>
          <w:color w:val="auto"/>
          <w:kern w:val="2"/>
          <w:sz w:val="32"/>
          <w:szCs w:val="32"/>
          <w:highlight w:val="none"/>
          <w:lang w:val="en-US" w:eastAsia="zh-CN" w:bidi="ar-SA"/>
        </w:rPr>
        <w:t>农林水支出（213）农业农村（01）农村道路建设（</w:t>
      </w:r>
      <w:r>
        <w:rPr>
          <w:rFonts w:hint="eastAsia" w:eastAsia="仿宋_GB2312" w:cs="Times New Roman"/>
          <w:color w:val="auto"/>
          <w:kern w:val="2"/>
          <w:sz w:val="32"/>
          <w:szCs w:val="32"/>
          <w:highlight w:val="none"/>
          <w:lang w:val="en-US" w:eastAsia="zh-CN" w:bidi="ar-SA"/>
        </w:rPr>
        <w:t>42</w:t>
      </w:r>
      <w:r>
        <w:rPr>
          <w:rFonts w:hint="eastAsia" w:ascii="Times New Roman" w:hAnsi="Times New Roman" w:eastAsia="仿宋_GB2312" w:cs="Times New Roman"/>
          <w:color w:val="auto"/>
          <w:kern w:val="2"/>
          <w:sz w:val="32"/>
          <w:szCs w:val="32"/>
          <w:highlight w:val="none"/>
          <w:lang w:val="en-US" w:eastAsia="zh-CN" w:bidi="ar-SA"/>
        </w:rPr>
        <w:t>）：</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w:t>
      </w:r>
    </w:p>
    <w:p>
      <w:pPr>
        <w:autoSpaceDE w:val="0"/>
        <w:autoSpaceDN w:val="0"/>
        <w:adjustRightInd w:val="0"/>
        <w:spacing w:line="600" w:lineRule="exact"/>
        <w:ind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3</w:t>
      </w:r>
      <w:r>
        <w:rPr>
          <w:rFonts w:hint="eastAsia" w:eastAsia="仿宋_GB2312" w:cs="Times New Roman"/>
          <w:color w:val="auto"/>
          <w:kern w:val="2"/>
          <w:sz w:val="32"/>
          <w:szCs w:val="32"/>
          <w:highlight w:val="none"/>
          <w:lang w:val="en-US" w:eastAsia="zh-CN" w:bidi="ar-SA"/>
        </w:rPr>
        <w:t>2</w:t>
      </w:r>
      <w:r>
        <w:rPr>
          <w:rFonts w:hint="eastAsia" w:ascii="Times New Roman" w:hAnsi="Times New Roman" w:eastAsia="仿宋_GB2312" w:cs="Times New Roman"/>
          <w:color w:val="auto"/>
          <w:kern w:val="2"/>
          <w:sz w:val="32"/>
          <w:szCs w:val="32"/>
          <w:highlight w:val="none"/>
          <w:lang w:val="en-US" w:eastAsia="zh-CN" w:bidi="ar-SA"/>
        </w:rPr>
        <w:t>. 农林水支出（213）农业农村（01）其他农业支出（99）：反映除上述项目以外其他用于农业方面的支出；</w:t>
      </w:r>
    </w:p>
    <w:p>
      <w:pPr>
        <w:autoSpaceDE w:val="0"/>
        <w:autoSpaceDN w:val="0"/>
        <w:adjustRightInd w:val="0"/>
        <w:spacing w:line="600" w:lineRule="exact"/>
        <w:ind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3</w:t>
      </w:r>
      <w:r>
        <w:rPr>
          <w:rFonts w:hint="eastAsia" w:eastAsia="仿宋_GB2312" w:cs="Times New Roman"/>
          <w:color w:val="auto"/>
          <w:kern w:val="2"/>
          <w:sz w:val="32"/>
          <w:szCs w:val="32"/>
          <w:highlight w:val="none"/>
          <w:lang w:val="en-US" w:eastAsia="zh-CN" w:bidi="ar-SA"/>
        </w:rPr>
        <w:t>3</w:t>
      </w:r>
      <w:r>
        <w:rPr>
          <w:rFonts w:hint="eastAsia" w:ascii="Times New Roman" w:hAnsi="Times New Roman" w:eastAsia="仿宋_GB2312" w:cs="Times New Roman"/>
          <w:color w:val="auto"/>
          <w:kern w:val="2"/>
          <w:sz w:val="32"/>
          <w:szCs w:val="32"/>
          <w:highlight w:val="none"/>
          <w:lang w:val="en-US" w:eastAsia="zh-CN" w:bidi="ar-SA"/>
        </w:rPr>
        <w:t>. 农林水支出（213）巩固脱贫衔接乡村振兴（05）其他巩固脱贫衔接乡村振兴支出（99）：反映除上述项目以外其他用于扶贫方面的支出；</w:t>
      </w:r>
    </w:p>
    <w:p>
      <w:pPr>
        <w:autoSpaceDE w:val="0"/>
        <w:autoSpaceDN w:val="0"/>
        <w:adjustRightInd w:val="0"/>
        <w:spacing w:line="600" w:lineRule="exact"/>
        <w:ind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3</w:t>
      </w:r>
      <w:r>
        <w:rPr>
          <w:rFonts w:hint="eastAsia" w:eastAsia="仿宋_GB2312" w:cs="Times New Roman"/>
          <w:color w:val="auto"/>
          <w:kern w:val="2"/>
          <w:sz w:val="32"/>
          <w:szCs w:val="32"/>
          <w:highlight w:val="none"/>
          <w:lang w:val="en-US" w:eastAsia="zh-CN" w:bidi="ar-SA"/>
        </w:rPr>
        <w:t>4</w:t>
      </w:r>
      <w:r>
        <w:rPr>
          <w:rFonts w:hint="eastAsia" w:ascii="Times New Roman" w:hAnsi="Times New Roman" w:eastAsia="仿宋_GB2312" w:cs="Times New Roman"/>
          <w:color w:val="auto"/>
          <w:kern w:val="2"/>
          <w:sz w:val="32"/>
          <w:szCs w:val="32"/>
          <w:highlight w:val="none"/>
          <w:lang w:val="en-US" w:eastAsia="zh-CN" w:bidi="ar-SA"/>
        </w:rPr>
        <w:t>. 农林水支出（213）农村综合改革（07）对村级公益事业建设的补助（01）：反映农村税费改革后对村级公益事业建设一事一议的补助支出；</w:t>
      </w:r>
    </w:p>
    <w:p>
      <w:pPr>
        <w:autoSpaceDE w:val="0"/>
        <w:autoSpaceDN w:val="0"/>
        <w:adjustRightInd w:val="0"/>
        <w:spacing w:line="600" w:lineRule="exact"/>
        <w:ind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3</w:t>
      </w:r>
      <w:r>
        <w:rPr>
          <w:rFonts w:hint="eastAsia" w:eastAsia="仿宋_GB2312" w:cs="Times New Roman"/>
          <w:color w:val="auto"/>
          <w:kern w:val="2"/>
          <w:sz w:val="32"/>
          <w:szCs w:val="32"/>
          <w:highlight w:val="none"/>
          <w:lang w:val="en-US" w:eastAsia="zh-CN" w:bidi="ar-SA"/>
        </w:rPr>
        <w:t>5</w:t>
      </w:r>
      <w:r>
        <w:rPr>
          <w:rFonts w:hint="eastAsia" w:ascii="Times New Roman" w:hAnsi="Times New Roman" w:eastAsia="仿宋_GB2312" w:cs="Times New Roman"/>
          <w:color w:val="auto"/>
          <w:kern w:val="2"/>
          <w:sz w:val="32"/>
          <w:szCs w:val="32"/>
          <w:highlight w:val="none"/>
          <w:lang w:val="en-US" w:eastAsia="zh-CN" w:bidi="ar-SA"/>
        </w:rPr>
        <w:t>. 农林水支出（213）农村综合改革（07）对村民委员会和村党支部的补助（05）：反映各级财政对村民委员会和村党支部的补助支出以及支持建立县级基本财力保障机制安排的村级组织运转奖补资金；</w:t>
      </w:r>
    </w:p>
    <w:p>
      <w:pPr>
        <w:autoSpaceDE w:val="0"/>
        <w:autoSpaceDN w:val="0"/>
        <w:adjustRightInd w:val="0"/>
        <w:spacing w:line="600" w:lineRule="exact"/>
        <w:ind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3</w:t>
      </w:r>
      <w:r>
        <w:rPr>
          <w:rFonts w:hint="eastAsia" w:eastAsia="仿宋_GB2312" w:cs="Times New Roman"/>
          <w:color w:val="auto"/>
          <w:kern w:val="2"/>
          <w:sz w:val="32"/>
          <w:szCs w:val="32"/>
          <w:highlight w:val="none"/>
          <w:lang w:val="en-US" w:eastAsia="zh-CN" w:bidi="ar-SA"/>
        </w:rPr>
        <w:t>6</w:t>
      </w:r>
      <w:r>
        <w:rPr>
          <w:rFonts w:hint="eastAsia" w:ascii="Times New Roman" w:hAnsi="Times New Roman" w:eastAsia="仿宋_GB2312" w:cs="Times New Roman"/>
          <w:color w:val="auto"/>
          <w:kern w:val="2"/>
          <w:sz w:val="32"/>
          <w:szCs w:val="32"/>
          <w:highlight w:val="none"/>
          <w:lang w:val="en-US" w:eastAsia="zh-CN" w:bidi="ar-SA"/>
        </w:rPr>
        <w:t>. 农林水支出（213）农村综合改革（07）农村综合改革示范试点补助（07）：反映各级财政对农村综合改革示范试点、新型农业社会化服务体系建设等补助支出；</w:t>
      </w:r>
    </w:p>
    <w:p>
      <w:pPr>
        <w:autoSpaceDE w:val="0"/>
        <w:autoSpaceDN w:val="0"/>
        <w:adjustRightInd w:val="0"/>
        <w:spacing w:line="600" w:lineRule="exact"/>
        <w:ind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3</w:t>
      </w:r>
      <w:r>
        <w:rPr>
          <w:rFonts w:hint="eastAsia" w:eastAsia="仿宋_GB2312" w:cs="Times New Roman"/>
          <w:color w:val="auto"/>
          <w:kern w:val="2"/>
          <w:sz w:val="32"/>
          <w:szCs w:val="32"/>
          <w:highlight w:val="none"/>
          <w:lang w:val="en-US" w:eastAsia="zh-CN" w:bidi="ar-SA"/>
        </w:rPr>
        <w:t>7</w:t>
      </w:r>
      <w:r>
        <w:rPr>
          <w:rFonts w:hint="eastAsia" w:ascii="Times New Roman" w:hAnsi="Times New Roman" w:eastAsia="仿宋_GB2312" w:cs="Times New Roman"/>
          <w:color w:val="auto"/>
          <w:kern w:val="2"/>
          <w:sz w:val="32"/>
          <w:szCs w:val="32"/>
          <w:highlight w:val="none"/>
          <w:lang w:val="en-US" w:eastAsia="zh-CN" w:bidi="ar-SA"/>
        </w:rPr>
        <w:t>.交通运输支出（214）公路水路运输（01）公路养护（06）：反映公路养护支出；</w:t>
      </w:r>
    </w:p>
    <w:p>
      <w:pPr>
        <w:autoSpaceDE w:val="0"/>
        <w:autoSpaceDN w:val="0"/>
        <w:adjustRightInd w:val="0"/>
        <w:spacing w:line="600" w:lineRule="exact"/>
        <w:ind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3</w:t>
      </w:r>
      <w:r>
        <w:rPr>
          <w:rFonts w:hint="eastAsia" w:eastAsia="仿宋_GB2312" w:cs="Times New Roman"/>
          <w:color w:val="auto"/>
          <w:kern w:val="2"/>
          <w:sz w:val="32"/>
          <w:szCs w:val="32"/>
          <w:highlight w:val="none"/>
          <w:lang w:val="en-US" w:eastAsia="zh-CN" w:bidi="ar-SA"/>
        </w:rPr>
        <w:t>8</w:t>
      </w:r>
      <w:r>
        <w:rPr>
          <w:rFonts w:hint="eastAsia" w:ascii="Times New Roman" w:hAnsi="Times New Roman" w:eastAsia="仿宋_GB2312" w:cs="Times New Roman"/>
          <w:color w:val="auto"/>
          <w:kern w:val="2"/>
          <w:sz w:val="32"/>
          <w:szCs w:val="32"/>
          <w:highlight w:val="none"/>
          <w:lang w:val="en-US" w:eastAsia="zh-CN" w:bidi="ar-SA"/>
        </w:rPr>
        <w:t>. 交通运输支出（214）公路水路运输（01）其他公路水路运输支出（99）：反映除上述项目以外其他用于公路水路运输方面的支出；</w:t>
      </w:r>
    </w:p>
    <w:p>
      <w:pPr>
        <w:autoSpaceDE w:val="0"/>
        <w:autoSpaceDN w:val="0"/>
        <w:adjustRightInd w:val="0"/>
        <w:spacing w:line="600" w:lineRule="exact"/>
        <w:ind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eastAsia="仿宋_GB2312" w:cs="Times New Roman"/>
          <w:color w:val="auto"/>
          <w:kern w:val="2"/>
          <w:sz w:val="32"/>
          <w:szCs w:val="32"/>
          <w:highlight w:val="none"/>
          <w:lang w:val="en-US" w:eastAsia="zh-CN" w:bidi="ar-SA"/>
        </w:rPr>
        <w:t>39</w:t>
      </w:r>
      <w:r>
        <w:rPr>
          <w:rFonts w:hint="eastAsia" w:ascii="Times New Roman" w:hAnsi="Times New Roman" w:eastAsia="仿宋_GB2312" w:cs="Times New Roman"/>
          <w:color w:val="auto"/>
          <w:kern w:val="2"/>
          <w:sz w:val="32"/>
          <w:szCs w:val="32"/>
          <w:highlight w:val="none"/>
          <w:lang w:val="en-US" w:eastAsia="zh-CN" w:bidi="ar-SA"/>
        </w:rPr>
        <w:t>.住房保障支出（221）住房保障改革支出（02）住房公积金（01）：反映行政事业单位按人力资源和社会保障部、财政部规定的基本工资和津补贴以及规定比例为职工缴纳的住房公积金；</w:t>
      </w:r>
    </w:p>
    <w:p>
      <w:pPr>
        <w:autoSpaceDE w:val="0"/>
        <w:autoSpaceDN w:val="0"/>
        <w:adjustRightInd w:val="0"/>
        <w:spacing w:line="600" w:lineRule="exact"/>
        <w:ind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eastAsia="仿宋_GB2312" w:cs="Times New Roman"/>
          <w:color w:val="auto"/>
          <w:kern w:val="2"/>
          <w:sz w:val="32"/>
          <w:szCs w:val="32"/>
          <w:highlight w:val="none"/>
          <w:lang w:val="en-US" w:eastAsia="zh-CN" w:bidi="ar-SA"/>
        </w:rPr>
        <w:t>40</w:t>
      </w:r>
      <w:r>
        <w:rPr>
          <w:rFonts w:hint="eastAsia" w:ascii="Times New Roman" w:hAnsi="Times New Roman" w:eastAsia="仿宋_GB2312" w:cs="Times New Roman"/>
          <w:color w:val="auto"/>
          <w:kern w:val="2"/>
          <w:sz w:val="32"/>
          <w:szCs w:val="32"/>
          <w:highlight w:val="none"/>
          <w:lang w:val="en-US" w:eastAsia="zh-CN" w:bidi="ar-SA"/>
        </w:rPr>
        <w:t>.灾害防治及应急管理支出（2</w:t>
      </w:r>
      <w:r>
        <w:rPr>
          <w:rFonts w:hint="eastAsia" w:eastAsia="仿宋_GB2312" w:cs="Times New Roman"/>
          <w:color w:val="auto"/>
          <w:kern w:val="2"/>
          <w:sz w:val="32"/>
          <w:szCs w:val="32"/>
          <w:highlight w:val="none"/>
          <w:lang w:val="en-US" w:eastAsia="zh-CN" w:bidi="ar-SA"/>
        </w:rPr>
        <w:t>24</w:t>
      </w:r>
      <w:r>
        <w:rPr>
          <w:rFonts w:hint="eastAsia" w:ascii="Times New Roman" w:hAnsi="Times New Roman" w:eastAsia="仿宋_GB2312" w:cs="Times New Roman"/>
          <w:color w:val="auto"/>
          <w:kern w:val="2"/>
          <w:sz w:val="32"/>
          <w:szCs w:val="32"/>
          <w:highlight w:val="none"/>
          <w:lang w:val="en-US" w:eastAsia="zh-CN" w:bidi="ar-SA"/>
        </w:rPr>
        <w:t>）其他灾害防治及应急管理支出（</w:t>
      </w:r>
      <w:r>
        <w:rPr>
          <w:rFonts w:hint="eastAsia" w:eastAsia="仿宋_GB2312" w:cs="Times New Roman"/>
          <w:color w:val="auto"/>
          <w:kern w:val="2"/>
          <w:sz w:val="32"/>
          <w:szCs w:val="32"/>
          <w:highlight w:val="none"/>
          <w:lang w:val="en-US" w:eastAsia="zh-CN" w:bidi="ar-SA"/>
        </w:rPr>
        <w:t>99</w:t>
      </w:r>
      <w:r>
        <w:rPr>
          <w:rFonts w:hint="eastAsia" w:ascii="Times New Roman" w:hAnsi="Times New Roman" w:eastAsia="仿宋_GB2312" w:cs="Times New Roman"/>
          <w:color w:val="auto"/>
          <w:kern w:val="2"/>
          <w:sz w:val="32"/>
          <w:szCs w:val="32"/>
          <w:highlight w:val="none"/>
          <w:lang w:val="en-US" w:eastAsia="zh-CN" w:bidi="ar-SA"/>
        </w:rPr>
        <w:t>）其他灾害防治及应急管理支出（</w:t>
      </w:r>
      <w:r>
        <w:rPr>
          <w:rFonts w:hint="eastAsia" w:eastAsia="仿宋_GB2312" w:cs="Times New Roman"/>
          <w:color w:val="auto"/>
          <w:kern w:val="2"/>
          <w:sz w:val="32"/>
          <w:szCs w:val="32"/>
          <w:highlight w:val="none"/>
          <w:lang w:val="en-US" w:eastAsia="zh-CN" w:bidi="ar-SA"/>
        </w:rPr>
        <w:t>99</w:t>
      </w:r>
      <w:r>
        <w:rPr>
          <w:rFonts w:hint="eastAsia" w:ascii="Times New Roman"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反映除上述项目以外其他用于灾害防治及应急管理</w:t>
      </w:r>
      <w:r>
        <w:rPr>
          <w:rFonts w:hint="eastAsia" w:ascii="Times New Roman" w:hAnsi="Times New Roman" w:eastAsia="仿宋_GB2312" w:cs="Times New Roman"/>
          <w:color w:val="auto"/>
          <w:kern w:val="2"/>
          <w:sz w:val="32"/>
          <w:szCs w:val="32"/>
          <w:highlight w:val="none"/>
          <w:lang w:val="en-US" w:eastAsia="zh-CN" w:bidi="ar-SA"/>
        </w:rPr>
        <w:t>方面的支出；</w:t>
      </w:r>
    </w:p>
    <w:p>
      <w:pPr>
        <w:autoSpaceDE w:val="0"/>
        <w:autoSpaceDN w:val="0"/>
        <w:adjustRightInd w:val="0"/>
        <w:spacing w:line="600" w:lineRule="exact"/>
        <w:ind w:firstLine="640" w:firstLineChars="200"/>
        <w:jc w:val="left"/>
        <w:rPr>
          <w:rFonts w:hint="eastAsia" w:eastAsia="仿宋_GB2312" w:cs="Times New Roman"/>
          <w:color w:val="auto"/>
          <w:kern w:val="2"/>
          <w:sz w:val="32"/>
          <w:szCs w:val="32"/>
          <w:highlight w:val="none"/>
          <w:lang w:val="en-US" w:eastAsia="zh-CN" w:bidi="ar-SA"/>
        </w:rPr>
      </w:pPr>
      <w:r>
        <w:rPr>
          <w:rFonts w:hint="eastAsia" w:eastAsia="仿宋_GB2312" w:cs="Times New Roman"/>
          <w:color w:val="auto"/>
          <w:kern w:val="2"/>
          <w:sz w:val="32"/>
          <w:szCs w:val="32"/>
          <w:highlight w:val="none"/>
          <w:lang w:val="en-US" w:eastAsia="zh-CN" w:bidi="ar-SA"/>
        </w:rPr>
        <w:t>41</w:t>
      </w:r>
      <w:r>
        <w:rPr>
          <w:rFonts w:hint="eastAsia" w:ascii="Times New Roman" w:hAnsi="Times New Roman" w:eastAsia="仿宋_GB2312" w:cs="Times New Roman"/>
          <w:color w:val="auto"/>
          <w:kern w:val="2"/>
          <w:sz w:val="32"/>
          <w:szCs w:val="32"/>
          <w:highlight w:val="none"/>
          <w:lang w:val="en-US" w:eastAsia="zh-CN" w:bidi="ar-SA"/>
        </w:rPr>
        <w:t>.其他支出（229）彩票公益及对应专项债务收入安排的支出（60）用于社会福利的彩票公益金支出（0</w:t>
      </w:r>
      <w:r>
        <w:rPr>
          <w:rFonts w:hint="eastAsia" w:eastAsia="仿宋_GB2312" w:cs="Times New Roman"/>
          <w:color w:val="auto"/>
          <w:kern w:val="2"/>
          <w:sz w:val="32"/>
          <w:szCs w:val="32"/>
          <w:highlight w:val="none"/>
          <w:lang w:val="en-US" w:eastAsia="zh-CN" w:bidi="ar-SA"/>
        </w:rPr>
        <w:t>2</w:t>
      </w:r>
      <w:r>
        <w:rPr>
          <w:rFonts w:hint="eastAsia" w:ascii="Times New Roman" w:hAnsi="Times New Roman" w:eastAsia="仿宋_GB2312" w:cs="Times New Roman"/>
          <w:color w:val="auto"/>
          <w:kern w:val="2"/>
          <w:sz w:val="32"/>
          <w:szCs w:val="32"/>
          <w:highlight w:val="none"/>
          <w:lang w:val="en-US" w:eastAsia="zh-CN" w:bidi="ar-SA"/>
        </w:rPr>
        <w:t>）:</w:t>
      </w:r>
      <w:r>
        <w:rPr>
          <w:rFonts w:hint="eastAsia" w:eastAsia="仿宋_GB2312" w:cs="Times New Roman"/>
          <w:color w:val="auto"/>
          <w:kern w:val="2"/>
          <w:sz w:val="32"/>
          <w:szCs w:val="32"/>
          <w:highlight w:val="none"/>
          <w:lang w:val="en-US" w:eastAsia="zh-CN" w:bidi="ar-SA"/>
        </w:rPr>
        <w:t>反应用于社会福利和社会救助的</w:t>
      </w:r>
      <w:r>
        <w:rPr>
          <w:rFonts w:hint="eastAsia" w:ascii="Times New Roman" w:hAnsi="Times New Roman" w:eastAsia="仿宋_GB2312" w:cs="Times New Roman"/>
          <w:color w:val="auto"/>
          <w:kern w:val="2"/>
          <w:sz w:val="32"/>
          <w:szCs w:val="32"/>
          <w:highlight w:val="none"/>
          <w:lang w:val="en-US" w:eastAsia="zh-CN" w:bidi="ar-SA"/>
        </w:rPr>
        <w:t>彩票公益金</w:t>
      </w:r>
      <w:r>
        <w:rPr>
          <w:rFonts w:hint="eastAsia" w:eastAsia="仿宋_GB2312" w:cs="Times New Roman"/>
          <w:color w:val="auto"/>
          <w:kern w:val="2"/>
          <w:sz w:val="32"/>
          <w:szCs w:val="32"/>
          <w:highlight w:val="none"/>
          <w:lang w:val="en-US" w:eastAsia="zh-CN" w:bidi="ar-SA"/>
        </w:rPr>
        <w:t>支出</w:t>
      </w:r>
      <w:r>
        <w:rPr>
          <w:rFonts w:hint="eastAsia" w:ascii="Times New Roman" w:hAnsi="Times New Roman" w:eastAsia="仿宋_GB2312" w:cs="Times New Roman"/>
          <w:color w:val="auto"/>
          <w:kern w:val="2"/>
          <w:sz w:val="32"/>
          <w:szCs w:val="32"/>
          <w:highlight w:val="none"/>
          <w:lang w:val="en-US" w:eastAsia="zh-CN" w:bidi="ar-SA"/>
        </w:rPr>
        <w:t>；</w:t>
      </w:r>
      <w:r>
        <w:rPr>
          <w:rFonts w:hint="eastAsia" w:eastAsia="仿宋_GB2312" w:cs="Times New Roman"/>
          <w:color w:val="auto"/>
          <w:kern w:val="2"/>
          <w:sz w:val="32"/>
          <w:szCs w:val="32"/>
          <w:highlight w:val="none"/>
          <w:lang w:val="en-US" w:eastAsia="zh-CN" w:bidi="ar-SA"/>
        </w:rPr>
        <w:t xml:space="preserve"> </w:t>
      </w:r>
    </w:p>
    <w:p>
      <w:pPr>
        <w:autoSpaceDE w:val="0"/>
        <w:autoSpaceDN w:val="0"/>
        <w:adjustRightInd w:val="0"/>
        <w:spacing w:line="600" w:lineRule="exact"/>
        <w:ind w:firstLine="640" w:firstLineChars="200"/>
        <w:jc w:val="left"/>
        <w:rPr>
          <w:rFonts w:hint="eastAsia"/>
          <w:color w:val="auto"/>
          <w:lang w:val="en-US" w:eastAsia="zh-CN"/>
        </w:rPr>
      </w:pPr>
      <w:r>
        <w:rPr>
          <w:rFonts w:hint="eastAsia" w:eastAsia="仿宋_GB2312" w:cs="Times New Roman"/>
          <w:color w:val="auto"/>
          <w:kern w:val="2"/>
          <w:sz w:val="32"/>
          <w:szCs w:val="32"/>
          <w:highlight w:val="none"/>
          <w:lang w:val="en-US" w:eastAsia="zh-CN" w:bidi="ar-SA"/>
        </w:rPr>
        <w:t>42</w:t>
      </w:r>
      <w:r>
        <w:rPr>
          <w:rFonts w:hint="eastAsia" w:ascii="Times New Roman" w:hAnsi="Times New Roman" w:eastAsia="仿宋_GB2312" w:cs="Times New Roman"/>
          <w:color w:val="auto"/>
          <w:kern w:val="2"/>
          <w:sz w:val="32"/>
          <w:szCs w:val="32"/>
          <w:highlight w:val="none"/>
          <w:lang w:val="en-US" w:eastAsia="zh-CN" w:bidi="ar-SA"/>
        </w:rPr>
        <w:t>.其他支出（229）其他支出（</w:t>
      </w:r>
      <w:r>
        <w:rPr>
          <w:rFonts w:hint="eastAsia" w:eastAsia="仿宋_GB2312" w:cs="Times New Roman"/>
          <w:color w:val="auto"/>
          <w:kern w:val="2"/>
          <w:sz w:val="32"/>
          <w:szCs w:val="32"/>
          <w:highlight w:val="none"/>
          <w:lang w:val="en-US" w:eastAsia="zh-CN" w:bidi="ar-SA"/>
        </w:rPr>
        <w:t>99</w:t>
      </w:r>
      <w:r>
        <w:rPr>
          <w:rFonts w:hint="eastAsia" w:ascii="Times New Roman" w:hAnsi="Times New Roman" w:eastAsia="仿宋_GB2312" w:cs="Times New Roman"/>
          <w:color w:val="auto"/>
          <w:kern w:val="2"/>
          <w:sz w:val="32"/>
          <w:szCs w:val="32"/>
          <w:highlight w:val="none"/>
          <w:lang w:val="en-US" w:eastAsia="zh-CN" w:bidi="ar-SA"/>
        </w:rPr>
        <w:t>）其他支出（</w:t>
      </w:r>
      <w:r>
        <w:rPr>
          <w:rFonts w:hint="eastAsia" w:eastAsia="仿宋_GB2312" w:cs="Times New Roman"/>
          <w:color w:val="auto"/>
          <w:kern w:val="2"/>
          <w:sz w:val="32"/>
          <w:szCs w:val="32"/>
          <w:highlight w:val="none"/>
          <w:lang w:val="en-US" w:eastAsia="zh-CN" w:bidi="ar-SA"/>
        </w:rPr>
        <w:t>99</w:t>
      </w:r>
      <w:r>
        <w:rPr>
          <w:rFonts w:hint="eastAsia" w:ascii="Times New Roman" w:hAnsi="Times New Roman" w:eastAsia="仿宋_GB2312" w:cs="Times New Roman"/>
          <w:color w:val="auto"/>
          <w:kern w:val="2"/>
          <w:sz w:val="32"/>
          <w:szCs w:val="32"/>
          <w:highlight w:val="none"/>
          <w:lang w:val="en-US" w:eastAsia="zh-CN" w:bidi="ar-SA"/>
        </w:rPr>
        <w:t>）:</w:t>
      </w:r>
      <w:r>
        <w:rPr>
          <w:rFonts w:hint="eastAsia" w:eastAsia="仿宋_GB2312" w:cs="Times New Roman"/>
          <w:color w:val="auto"/>
          <w:kern w:val="2"/>
          <w:sz w:val="32"/>
          <w:szCs w:val="32"/>
          <w:highlight w:val="none"/>
          <w:lang w:val="en-US" w:eastAsia="zh-CN" w:bidi="ar-SA"/>
        </w:rPr>
        <w:t>反应用于其他社会公益事业的</w:t>
      </w:r>
      <w:r>
        <w:rPr>
          <w:rFonts w:hint="eastAsia" w:ascii="Times New Roman" w:hAnsi="Times New Roman" w:eastAsia="仿宋_GB2312" w:cs="Times New Roman"/>
          <w:color w:val="auto"/>
          <w:kern w:val="2"/>
          <w:sz w:val="32"/>
          <w:szCs w:val="32"/>
          <w:highlight w:val="none"/>
          <w:lang w:val="en-US" w:eastAsia="zh-CN" w:bidi="ar-SA"/>
        </w:rPr>
        <w:t>彩票公益金</w:t>
      </w:r>
      <w:r>
        <w:rPr>
          <w:rFonts w:hint="eastAsia" w:eastAsia="仿宋_GB2312" w:cs="Times New Roman"/>
          <w:color w:val="auto"/>
          <w:kern w:val="2"/>
          <w:sz w:val="32"/>
          <w:szCs w:val="32"/>
          <w:highlight w:val="none"/>
          <w:lang w:val="en-US" w:eastAsia="zh-CN" w:bidi="ar-SA"/>
        </w:rPr>
        <w:t>支出</w:t>
      </w:r>
      <w:r>
        <w:rPr>
          <w:rFonts w:hint="eastAsia" w:ascii="Times New Roman" w:hAnsi="Times New Roman" w:eastAsia="仿宋_GB2312" w:cs="Times New Roman"/>
          <w:color w:val="auto"/>
          <w:kern w:val="2"/>
          <w:sz w:val="32"/>
          <w:szCs w:val="32"/>
          <w:highlight w:val="none"/>
          <w:lang w:val="en-US" w:eastAsia="zh-CN" w:bidi="ar-SA"/>
        </w:rPr>
        <w:t>；</w:t>
      </w:r>
    </w:p>
    <w:p>
      <w:pPr>
        <w:ind w:firstLine="640" w:firstLineChars="200"/>
        <w:rPr>
          <w:rFonts w:ascii="仿宋_GB2312" w:eastAsia="仿宋_GB2312"/>
          <w:color w:val="auto"/>
          <w:sz w:val="32"/>
          <w:szCs w:val="32"/>
          <w:highlight w:val="none"/>
        </w:rPr>
      </w:pPr>
    </w:p>
    <w:p>
      <w:pPr>
        <w:spacing w:line="600" w:lineRule="exact"/>
        <w:ind w:firstLine="640"/>
        <w:rPr>
          <w:rFonts w:ascii="仿宋" w:hAnsi="仿宋" w:eastAsia="仿宋"/>
          <w:b/>
          <w:color w:val="auto"/>
          <w:sz w:val="32"/>
          <w:szCs w:val="32"/>
          <w:highlight w:val="none"/>
        </w:rPr>
      </w:pPr>
      <w:r>
        <w:rPr>
          <w:rFonts w:hint="eastAsia" w:ascii="仿宋" w:hAnsi="仿宋" w:eastAsia="仿宋"/>
          <w:b/>
          <w:color w:val="auto"/>
          <w:sz w:val="32"/>
          <w:szCs w:val="32"/>
          <w:highlight w:val="none"/>
        </w:rPr>
        <w:t>（解释本</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决算报表中</w:t>
      </w:r>
      <w:r>
        <w:rPr>
          <w:rFonts w:hint="eastAsia" w:ascii="仿宋" w:hAnsi="仿宋" w:eastAsia="仿宋"/>
          <w:b/>
          <w:color w:val="auto"/>
          <w:sz w:val="32"/>
          <w:szCs w:val="32"/>
          <w:highlight w:val="none"/>
          <w:lang w:eastAsia="zh-CN"/>
        </w:rPr>
        <w:t>涉及的</w:t>
      </w:r>
      <w:r>
        <w:rPr>
          <w:rFonts w:hint="eastAsia" w:ascii="仿宋" w:hAnsi="仿宋" w:eastAsia="仿宋"/>
          <w:b/>
          <w:color w:val="auto"/>
          <w:sz w:val="32"/>
          <w:szCs w:val="32"/>
          <w:highlight w:val="none"/>
        </w:rPr>
        <w:t>全部功能分类科目至项级，</w:t>
      </w:r>
      <w:r>
        <w:rPr>
          <w:rFonts w:hint="eastAsia" w:ascii="仿宋" w:hAnsi="仿宋" w:eastAsia="仿宋"/>
          <w:b/>
          <w:color w:val="auto"/>
          <w:sz w:val="32"/>
          <w:szCs w:val="32"/>
          <w:highlight w:val="none"/>
          <w:lang w:eastAsia="zh-CN"/>
        </w:rPr>
        <w:t>不涉及的科目请自行删除。</w:t>
      </w:r>
      <w:r>
        <w:rPr>
          <w:rFonts w:hint="eastAsia" w:ascii="仿宋" w:hAnsi="仿宋" w:eastAsia="仿宋"/>
          <w:b/>
          <w:color w:val="auto"/>
          <w:sz w:val="32"/>
          <w:szCs w:val="32"/>
          <w:highlight w:val="none"/>
        </w:rPr>
        <w:t>请参照《</w:t>
      </w:r>
      <w:r>
        <w:rPr>
          <w:rFonts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年政府收支分类科目》增减内容。）</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43</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44</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45</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46</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31.</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40" w:firstLineChars="200"/>
        <w:rPr>
          <w:rFonts w:ascii="仿宋_GB2312" w:eastAsia="仿宋_GB2312" w:cs="黑体"/>
          <w:color w:val="auto"/>
          <w:sz w:val="32"/>
          <w:szCs w:val="32"/>
          <w:highlight w:val="none"/>
        </w:rPr>
      </w:pPr>
    </w:p>
    <w:p>
      <w:pPr>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（名词解释部分请根据各</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实际列支情况罗列，并根据本</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职责职能增减名词解释内容。）</w:t>
      </w:r>
    </w:p>
    <w:p>
      <w:pPr>
        <w:spacing w:line="600" w:lineRule="exact"/>
        <w:jc w:val="center"/>
        <w:outlineLvl w:val="0"/>
        <w:rPr>
          <w:rStyle w:val="25"/>
          <w:rFonts w:ascii="黑体" w:hAnsi="黑体" w:eastAsia="黑体"/>
          <w:b w:val="0"/>
          <w:color w:val="auto"/>
          <w:highlight w:val="none"/>
        </w:rPr>
      </w:pPr>
      <w:bookmarkStart w:id="56" w:name="_Toc15377226"/>
      <w:r>
        <w:rPr>
          <w:rFonts w:ascii="宋体"/>
          <w:b/>
          <w:color w:val="auto"/>
          <w:sz w:val="44"/>
          <w:szCs w:val="44"/>
          <w:highlight w:val="none"/>
        </w:rPr>
        <w:br w:type="page"/>
      </w:r>
      <w:bookmarkStart w:id="57" w:name="_Toc15396614"/>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四部分 附件</w:t>
      </w:r>
      <w:bookmarkEnd w:id="57"/>
    </w:p>
    <w:p>
      <w:pPr>
        <w:keepNext w:val="0"/>
        <w:keepLines w:val="0"/>
        <w:pageBreakBefore w:val="0"/>
        <w:kinsoku/>
        <w:wordWrap/>
        <w:overflowPunct/>
        <w:topLinePunct w:val="0"/>
        <w:autoSpaceDE/>
        <w:autoSpaceDN/>
        <w:bidi w:val="0"/>
        <w:spacing w:line="572" w:lineRule="exact"/>
        <w:jc w:val="left"/>
        <w:textAlignment w:val="auto"/>
        <w:outlineLvl w:val="0"/>
        <w:rPr>
          <w:rFonts w:ascii="仿宋_GB2312" w:hAnsi="仿宋_GB2312" w:eastAsia="仿宋_GB2312" w:cs="仿宋_GB2312"/>
          <w:color w:val="auto"/>
          <w:sz w:val="32"/>
          <w:szCs w:val="32"/>
          <w:highlight w:val="none"/>
        </w:rPr>
      </w:pPr>
    </w:p>
    <w:p>
      <w:pPr>
        <w:spacing w:line="600" w:lineRule="exact"/>
        <w:jc w:val="center"/>
        <w:outlineLvl w:val="0"/>
        <w:rPr>
          <w:rFonts w:hint="eastAsia" w:ascii="宋体" w:hAnsi="宋体" w:eastAsia="宋体" w:cs="宋体"/>
          <w:color w:val="auto"/>
          <w:kern w:val="0"/>
          <w:sz w:val="32"/>
          <w:szCs w:val="32"/>
          <w:highlight w:val="none"/>
          <w:lang w:val="en-US" w:eastAsia="zh-CN" w:bidi="ar-SA"/>
        </w:rPr>
      </w:pPr>
      <w:bookmarkStart w:id="58" w:name="_Toc15396618"/>
      <w:r>
        <w:rPr>
          <w:rFonts w:hint="eastAsia" w:ascii="宋体" w:hAnsi="宋体" w:eastAsia="宋体" w:cs="宋体"/>
          <w:color w:val="auto"/>
          <w:kern w:val="0"/>
          <w:sz w:val="32"/>
          <w:szCs w:val="32"/>
          <w:highlight w:val="none"/>
          <w:lang w:val="en-US" w:eastAsia="zh-CN" w:bidi="ar-SA"/>
        </w:rPr>
        <w:t>部门预算项目支出绩效自评表（2022年度）</w:t>
      </w:r>
    </w:p>
    <w:p>
      <w:pPr>
        <w:spacing w:line="600" w:lineRule="exact"/>
        <w:jc w:val="left"/>
        <w:outlineLvl w:val="0"/>
        <w:rPr>
          <w:rFonts w:hint="eastAsia" w:ascii="仿宋_GB2312" w:hAnsi="Calibri" w:eastAsia="仿宋_GB2312" w:cs="仿宋"/>
          <w:color w:val="auto"/>
          <w:kern w:val="0"/>
          <w:sz w:val="32"/>
          <w:szCs w:val="32"/>
          <w:highlight w:val="none"/>
          <w:lang w:val="en-US" w:eastAsia="zh-CN" w:bidi="ar-SA"/>
        </w:rPr>
      </w:pPr>
    </w:p>
    <w:p>
      <w:pPr>
        <w:spacing w:line="600" w:lineRule="exact"/>
        <w:ind w:firstLine="640" w:firstLineChars="200"/>
        <w:jc w:val="left"/>
        <w:outlineLvl w:val="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（备注：按照绩效自评工作安排，各单位可在预算管理一体化系统—综合报表查询—预算绩效报表模块中下载本单位“部门预算项目支出绩效自评表（2022年度）”，该表格应作为附件予以公开。）</w:t>
      </w:r>
    </w:p>
    <w:tbl>
      <w:tblPr>
        <w:tblW w:w="808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52"/>
        <w:gridCol w:w="763"/>
        <w:gridCol w:w="914"/>
        <w:gridCol w:w="923"/>
        <w:gridCol w:w="543"/>
        <w:gridCol w:w="756"/>
        <w:gridCol w:w="396"/>
        <w:gridCol w:w="862"/>
        <w:gridCol w:w="486"/>
        <w:gridCol w:w="533"/>
        <w:gridCol w:w="12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8083"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bdr w:val="none" w:color="auto" w:sz="0" w:space="0"/>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41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项目名称</w:t>
            </w:r>
          </w:p>
        </w:tc>
        <w:tc>
          <w:tcPr>
            <w:tcW w:w="6668"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51172422T000006578250-大庙寨红色文化旅游村落建设房屋拆迁补偿资金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41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主管部门</w:t>
            </w:r>
          </w:p>
        </w:tc>
        <w:tc>
          <w:tcPr>
            <w:tcW w:w="3532"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大竹县杨通乡人民政府部门</w:t>
            </w:r>
          </w:p>
        </w:tc>
        <w:tc>
          <w:tcPr>
            <w:tcW w:w="862" w:type="dxa"/>
            <w:tcBorders>
              <w:top w:val="nil"/>
              <w:left w:val="nil"/>
              <w:bottom w:val="nil"/>
              <w:right w:val="nil"/>
            </w:tcBorders>
            <w:shd w:val="clear"/>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bdr w:val="none" w:color="auto" w:sz="0" w:space="0"/>
                <w:lang w:val="en-US" w:eastAsia="zh-CN" w:bidi="ar"/>
              </w:rPr>
              <w:t>实施单位 （盖章）</w:t>
            </w:r>
          </w:p>
        </w:tc>
        <w:tc>
          <w:tcPr>
            <w:tcW w:w="2274"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大竹县杨通乡人民政府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项目基本情况</w:t>
            </w:r>
          </w:p>
        </w:tc>
        <w:tc>
          <w:tcPr>
            <w:tcW w:w="76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1.项目年度目标完成情况</w:t>
            </w:r>
          </w:p>
        </w:tc>
        <w:tc>
          <w:tcPr>
            <w:tcW w:w="3532"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项目年度目标</w:t>
            </w:r>
          </w:p>
        </w:tc>
        <w:tc>
          <w:tcPr>
            <w:tcW w:w="3136"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bdr w:val="none" w:color="auto" w:sz="0" w:space="0"/>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3532" w:type="dxa"/>
            <w:gridSpan w:val="5"/>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3136"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bdr w:val="none" w:color="auto" w:sz="0" w:space="0"/>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2.项目实施内容及过程概述</w:t>
            </w:r>
          </w:p>
        </w:tc>
        <w:tc>
          <w:tcPr>
            <w:tcW w:w="6668" w:type="dxa"/>
            <w:gridSpan w:val="9"/>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预算执行情况（10分）</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年度预算数（万元）</w:t>
            </w:r>
          </w:p>
        </w:tc>
        <w:tc>
          <w:tcPr>
            <w:tcW w:w="9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年初预算</w:t>
            </w:r>
          </w:p>
        </w:tc>
        <w:tc>
          <w:tcPr>
            <w:tcW w:w="9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调整后预算数</w:t>
            </w:r>
          </w:p>
        </w:tc>
        <w:tc>
          <w:tcPr>
            <w:tcW w:w="169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预算执行数</w:t>
            </w:r>
          </w:p>
        </w:tc>
        <w:tc>
          <w:tcPr>
            <w:tcW w:w="8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预算执行率</w:t>
            </w:r>
          </w:p>
        </w:tc>
        <w:tc>
          <w:tcPr>
            <w:tcW w:w="4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权重</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得分</w:t>
            </w:r>
          </w:p>
        </w:tc>
        <w:tc>
          <w:tcPr>
            <w:tcW w:w="12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总额</w:t>
            </w:r>
          </w:p>
        </w:tc>
        <w:tc>
          <w:tcPr>
            <w:tcW w:w="9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0.00</w:t>
            </w:r>
          </w:p>
        </w:tc>
        <w:tc>
          <w:tcPr>
            <w:tcW w:w="9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150.92</w:t>
            </w:r>
          </w:p>
        </w:tc>
        <w:tc>
          <w:tcPr>
            <w:tcW w:w="169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150.92</w:t>
            </w:r>
          </w:p>
        </w:tc>
        <w:tc>
          <w:tcPr>
            <w:tcW w:w="8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100.00%</w:t>
            </w:r>
          </w:p>
        </w:tc>
        <w:tc>
          <w:tcPr>
            <w:tcW w:w="4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bdr w:val="none" w:color="auto" w:sz="0" w:space="0"/>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其中：财政资金</w:t>
            </w:r>
          </w:p>
        </w:tc>
        <w:tc>
          <w:tcPr>
            <w:tcW w:w="9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0.00</w:t>
            </w:r>
          </w:p>
        </w:tc>
        <w:tc>
          <w:tcPr>
            <w:tcW w:w="9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150.92</w:t>
            </w:r>
          </w:p>
        </w:tc>
        <w:tc>
          <w:tcPr>
            <w:tcW w:w="169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150.92</w:t>
            </w:r>
          </w:p>
        </w:tc>
        <w:tc>
          <w:tcPr>
            <w:tcW w:w="8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100.00%</w:t>
            </w:r>
          </w:p>
        </w:tc>
        <w:tc>
          <w:tcPr>
            <w:tcW w:w="4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125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财政专户管理资金</w:t>
            </w:r>
          </w:p>
        </w:tc>
        <w:tc>
          <w:tcPr>
            <w:tcW w:w="9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0.00</w:t>
            </w:r>
          </w:p>
        </w:tc>
        <w:tc>
          <w:tcPr>
            <w:tcW w:w="9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0.00</w:t>
            </w:r>
          </w:p>
        </w:tc>
        <w:tc>
          <w:tcPr>
            <w:tcW w:w="169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0.00</w:t>
            </w:r>
          </w:p>
        </w:tc>
        <w:tc>
          <w:tcPr>
            <w:tcW w:w="8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0.00%</w:t>
            </w:r>
          </w:p>
        </w:tc>
        <w:tc>
          <w:tcPr>
            <w:tcW w:w="4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125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单位资金</w:t>
            </w:r>
          </w:p>
        </w:tc>
        <w:tc>
          <w:tcPr>
            <w:tcW w:w="9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0.00</w:t>
            </w:r>
          </w:p>
        </w:tc>
        <w:tc>
          <w:tcPr>
            <w:tcW w:w="9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0.00</w:t>
            </w:r>
          </w:p>
        </w:tc>
        <w:tc>
          <w:tcPr>
            <w:tcW w:w="169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0.00</w:t>
            </w:r>
          </w:p>
        </w:tc>
        <w:tc>
          <w:tcPr>
            <w:tcW w:w="8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0.00%</w:t>
            </w:r>
          </w:p>
        </w:tc>
        <w:tc>
          <w:tcPr>
            <w:tcW w:w="4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125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其他资金</w:t>
            </w:r>
          </w:p>
        </w:tc>
        <w:tc>
          <w:tcPr>
            <w:tcW w:w="91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92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1695"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8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4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125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绩效指标（90分）</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一级指标</w:t>
            </w:r>
          </w:p>
        </w:tc>
        <w:tc>
          <w:tcPr>
            <w:tcW w:w="9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二级指标</w:t>
            </w:r>
          </w:p>
        </w:tc>
        <w:tc>
          <w:tcPr>
            <w:tcW w:w="9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三级指标</w:t>
            </w:r>
          </w:p>
        </w:tc>
        <w:tc>
          <w:tcPr>
            <w:tcW w:w="5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指标性质</w:t>
            </w:r>
          </w:p>
        </w:tc>
        <w:tc>
          <w:tcPr>
            <w:tcW w:w="7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指标值</w:t>
            </w:r>
          </w:p>
        </w:tc>
        <w:tc>
          <w:tcPr>
            <w:tcW w:w="3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度量单位</w:t>
            </w:r>
          </w:p>
        </w:tc>
        <w:tc>
          <w:tcPr>
            <w:tcW w:w="8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完成值</w:t>
            </w:r>
          </w:p>
        </w:tc>
        <w:tc>
          <w:tcPr>
            <w:tcW w:w="4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权重</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得分</w:t>
            </w:r>
          </w:p>
        </w:tc>
        <w:tc>
          <w:tcPr>
            <w:tcW w:w="12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产出指标</w:t>
            </w:r>
          </w:p>
        </w:tc>
        <w:tc>
          <w:tcPr>
            <w:tcW w:w="91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数量指标</w:t>
            </w:r>
          </w:p>
        </w:tc>
        <w:tc>
          <w:tcPr>
            <w:tcW w:w="92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房屋拆除面积</w:t>
            </w:r>
          </w:p>
        </w:tc>
        <w:tc>
          <w:tcPr>
            <w:tcW w:w="54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75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788.79</w:t>
            </w:r>
          </w:p>
        </w:tc>
        <w:tc>
          <w:tcPr>
            <w:tcW w:w="3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w:t>
            </w:r>
          </w:p>
        </w:tc>
        <w:tc>
          <w:tcPr>
            <w:tcW w:w="8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微软雅黑" w:hAnsi="微软雅黑" w:eastAsia="微软雅黑" w:cs="微软雅黑"/>
                <w:i/>
                <w:iCs/>
                <w:color w:val="000000"/>
                <w:sz w:val="16"/>
                <w:szCs w:val="16"/>
                <w:u w:val="none"/>
                <w:lang w:val="en-US" w:eastAsia="zh-CN"/>
              </w:rPr>
            </w:pPr>
            <w:r>
              <w:rPr>
                <w:rFonts w:hint="eastAsia" w:ascii="微软雅黑" w:hAnsi="微软雅黑" w:eastAsia="微软雅黑" w:cs="微软雅黑"/>
                <w:i/>
                <w:iCs/>
                <w:color w:val="000000"/>
                <w:sz w:val="16"/>
                <w:szCs w:val="16"/>
                <w:u w:val="none"/>
                <w:lang w:val="en-US" w:eastAsia="zh-CN"/>
              </w:rPr>
              <w:t>100%</w:t>
            </w:r>
          </w:p>
        </w:tc>
        <w:tc>
          <w:tcPr>
            <w:tcW w:w="4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2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产出指标</w:t>
            </w:r>
          </w:p>
        </w:tc>
        <w:tc>
          <w:tcPr>
            <w:tcW w:w="91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数量指标</w:t>
            </w:r>
          </w:p>
        </w:tc>
        <w:tc>
          <w:tcPr>
            <w:tcW w:w="92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征地面积</w:t>
            </w:r>
          </w:p>
        </w:tc>
        <w:tc>
          <w:tcPr>
            <w:tcW w:w="54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75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19.59</w:t>
            </w:r>
          </w:p>
        </w:tc>
        <w:tc>
          <w:tcPr>
            <w:tcW w:w="3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亩</w:t>
            </w:r>
          </w:p>
        </w:tc>
        <w:tc>
          <w:tcPr>
            <w:tcW w:w="8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微软雅黑" w:hAnsi="微软雅黑" w:eastAsia="微软雅黑" w:cs="微软雅黑"/>
                <w:i/>
                <w:iCs/>
                <w:color w:val="000000"/>
                <w:sz w:val="16"/>
                <w:szCs w:val="16"/>
                <w:u w:val="none"/>
                <w:lang w:val="en-US" w:eastAsia="zh-CN"/>
              </w:rPr>
            </w:pPr>
            <w:r>
              <w:rPr>
                <w:rFonts w:hint="eastAsia" w:ascii="微软雅黑" w:hAnsi="微软雅黑" w:eastAsia="微软雅黑" w:cs="微软雅黑"/>
                <w:i/>
                <w:iCs/>
                <w:color w:val="000000"/>
                <w:sz w:val="16"/>
                <w:szCs w:val="16"/>
                <w:u w:val="none"/>
                <w:lang w:val="en-US" w:eastAsia="zh-CN"/>
              </w:rPr>
              <w:t>100%</w:t>
            </w:r>
          </w:p>
        </w:tc>
        <w:tc>
          <w:tcPr>
            <w:tcW w:w="4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15</w:t>
            </w:r>
          </w:p>
        </w:tc>
        <w:tc>
          <w:tcPr>
            <w:tcW w:w="12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产出指标</w:t>
            </w:r>
          </w:p>
        </w:tc>
        <w:tc>
          <w:tcPr>
            <w:tcW w:w="91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时效指标</w:t>
            </w:r>
          </w:p>
        </w:tc>
        <w:tc>
          <w:tcPr>
            <w:tcW w:w="92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资金及时发放</w:t>
            </w:r>
          </w:p>
        </w:tc>
        <w:tc>
          <w:tcPr>
            <w:tcW w:w="54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定性</w:t>
            </w:r>
          </w:p>
        </w:tc>
        <w:tc>
          <w:tcPr>
            <w:tcW w:w="75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好坏</w:t>
            </w:r>
          </w:p>
        </w:tc>
        <w:tc>
          <w:tcPr>
            <w:tcW w:w="3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4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15</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15</w:t>
            </w:r>
          </w:p>
        </w:tc>
        <w:tc>
          <w:tcPr>
            <w:tcW w:w="12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产出指标</w:t>
            </w:r>
          </w:p>
        </w:tc>
        <w:tc>
          <w:tcPr>
            <w:tcW w:w="91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安全指标</w:t>
            </w:r>
          </w:p>
        </w:tc>
        <w:tc>
          <w:tcPr>
            <w:tcW w:w="92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房屋征拆工作安全有序进行</w:t>
            </w:r>
          </w:p>
        </w:tc>
        <w:tc>
          <w:tcPr>
            <w:tcW w:w="54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定性</w:t>
            </w:r>
          </w:p>
        </w:tc>
        <w:tc>
          <w:tcPr>
            <w:tcW w:w="75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优良中低差</w:t>
            </w:r>
          </w:p>
        </w:tc>
        <w:tc>
          <w:tcPr>
            <w:tcW w:w="3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4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15</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15</w:t>
            </w:r>
          </w:p>
        </w:tc>
        <w:tc>
          <w:tcPr>
            <w:tcW w:w="12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效益指标</w:t>
            </w:r>
          </w:p>
        </w:tc>
        <w:tc>
          <w:tcPr>
            <w:tcW w:w="91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可持续发展指标</w:t>
            </w:r>
          </w:p>
        </w:tc>
        <w:tc>
          <w:tcPr>
            <w:tcW w:w="92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4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定性</w:t>
            </w:r>
          </w:p>
        </w:tc>
        <w:tc>
          <w:tcPr>
            <w:tcW w:w="75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好坏</w:t>
            </w:r>
          </w:p>
        </w:tc>
        <w:tc>
          <w:tcPr>
            <w:tcW w:w="3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4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15</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15</w:t>
            </w:r>
          </w:p>
        </w:tc>
        <w:tc>
          <w:tcPr>
            <w:tcW w:w="12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满意度指标</w:t>
            </w:r>
          </w:p>
        </w:tc>
        <w:tc>
          <w:tcPr>
            <w:tcW w:w="91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服务对象满意度指标</w:t>
            </w:r>
          </w:p>
        </w:tc>
        <w:tc>
          <w:tcPr>
            <w:tcW w:w="92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群众满保障大庙寨二期工程按时开工意度</w:t>
            </w:r>
          </w:p>
        </w:tc>
        <w:tc>
          <w:tcPr>
            <w:tcW w:w="54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75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95</w:t>
            </w:r>
          </w:p>
        </w:tc>
        <w:tc>
          <w:tcPr>
            <w:tcW w:w="3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8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4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15</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15</w:t>
            </w:r>
          </w:p>
        </w:tc>
        <w:tc>
          <w:tcPr>
            <w:tcW w:w="12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5809"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合计</w:t>
            </w:r>
          </w:p>
        </w:tc>
        <w:tc>
          <w:tcPr>
            <w:tcW w:w="4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100</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125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评价结论</w:t>
            </w:r>
          </w:p>
        </w:tc>
        <w:tc>
          <w:tcPr>
            <w:tcW w:w="7431" w:type="dxa"/>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bdr w:val="none" w:color="auto" w:sz="0" w:space="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6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存在问题</w:t>
            </w:r>
          </w:p>
        </w:tc>
        <w:tc>
          <w:tcPr>
            <w:tcW w:w="7431" w:type="dxa"/>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bdr w:val="none" w:color="auto" w:sz="0" w:space="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改进措施</w:t>
            </w:r>
          </w:p>
        </w:tc>
        <w:tc>
          <w:tcPr>
            <w:tcW w:w="7431" w:type="dxa"/>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bdr w:val="none" w:color="auto" w:sz="0" w:space="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79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bdr w:val="none" w:color="auto" w:sz="0" w:space="0"/>
                <w:lang w:val="en-US" w:eastAsia="zh-CN" w:bidi="ar"/>
              </w:rPr>
              <w:t>项目负责人：</w:t>
            </w:r>
          </w:p>
        </w:tc>
        <w:tc>
          <w:tcPr>
            <w:tcW w:w="4288"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bdr w:val="none" w:color="auto" w:sz="0" w:space="0"/>
                <w:lang w:val="en-US" w:eastAsia="zh-CN" w:bidi="ar"/>
              </w:rPr>
              <w:t>财务负责人：</w:t>
            </w:r>
          </w:p>
        </w:tc>
      </w:tr>
    </w:tbl>
    <w:p>
      <w:pPr>
        <w:pStyle w:val="6"/>
        <w:rPr>
          <w:rFonts w:hint="eastAsia" w:ascii="仿宋_GB2312" w:hAnsi="Calibri" w:eastAsia="仿宋_GB2312" w:cs="仿宋"/>
          <w:color w:val="auto"/>
          <w:kern w:val="0"/>
          <w:sz w:val="32"/>
          <w:szCs w:val="32"/>
          <w:highlight w:val="none"/>
          <w:lang w:val="en-US" w:eastAsia="zh-CN" w:bidi="ar-SA"/>
        </w:rPr>
      </w:pPr>
    </w:p>
    <w:p>
      <w:pPr>
        <w:pStyle w:val="6"/>
        <w:rPr>
          <w:rFonts w:hint="eastAsia" w:ascii="仿宋_GB2312" w:hAnsi="Calibri" w:eastAsia="仿宋_GB2312" w:cs="仿宋"/>
          <w:color w:val="auto"/>
          <w:kern w:val="0"/>
          <w:sz w:val="32"/>
          <w:szCs w:val="32"/>
          <w:highlight w:val="none"/>
          <w:lang w:val="en-US" w:eastAsia="zh-CN" w:bidi="ar-SA"/>
        </w:rPr>
      </w:pPr>
    </w:p>
    <w:p>
      <w:pPr>
        <w:pStyle w:val="6"/>
        <w:rPr>
          <w:rFonts w:hint="eastAsia" w:ascii="仿宋_GB2312" w:hAnsi="Calibri" w:eastAsia="仿宋_GB2312" w:cs="仿宋"/>
          <w:color w:val="auto"/>
          <w:kern w:val="0"/>
          <w:sz w:val="32"/>
          <w:szCs w:val="32"/>
          <w:highlight w:val="none"/>
          <w:lang w:val="en-US" w:eastAsia="zh-CN" w:bidi="ar-SA"/>
        </w:rPr>
      </w:pPr>
    </w:p>
    <w:p>
      <w:pPr>
        <w:pStyle w:val="6"/>
        <w:rPr>
          <w:rFonts w:hint="eastAsia" w:ascii="仿宋_GB2312" w:hAnsi="Calibri" w:eastAsia="仿宋_GB2312" w:cs="仿宋"/>
          <w:color w:val="auto"/>
          <w:kern w:val="0"/>
          <w:sz w:val="32"/>
          <w:szCs w:val="32"/>
          <w:highlight w:val="none"/>
          <w:lang w:val="en-US" w:eastAsia="zh-CN" w:bidi="ar-SA"/>
        </w:rPr>
      </w:pPr>
    </w:p>
    <w:p>
      <w:pPr>
        <w:pStyle w:val="6"/>
        <w:rPr>
          <w:rFonts w:hint="eastAsia" w:ascii="仿宋_GB2312" w:hAnsi="Calibri" w:eastAsia="仿宋_GB2312" w:cs="仿宋"/>
          <w:color w:val="auto"/>
          <w:kern w:val="0"/>
          <w:sz w:val="32"/>
          <w:szCs w:val="32"/>
          <w:highlight w:val="none"/>
          <w:lang w:val="en-US" w:eastAsia="zh-CN" w:bidi="ar-SA"/>
        </w:rPr>
      </w:pPr>
    </w:p>
    <w:p>
      <w:pPr>
        <w:pStyle w:val="6"/>
        <w:rPr>
          <w:rFonts w:hint="eastAsia" w:ascii="仿宋_GB2312" w:hAnsi="Calibri" w:eastAsia="仿宋_GB2312" w:cs="仿宋"/>
          <w:color w:val="auto"/>
          <w:kern w:val="0"/>
          <w:sz w:val="32"/>
          <w:szCs w:val="32"/>
          <w:highlight w:val="none"/>
          <w:lang w:val="en-US" w:eastAsia="zh-CN" w:bidi="ar-SA"/>
        </w:rPr>
      </w:pPr>
    </w:p>
    <w:p>
      <w:pPr>
        <w:keepNext w:val="0"/>
        <w:keepLines w:val="0"/>
        <w:pageBreakBefore w:val="0"/>
        <w:widowControl/>
        <w:kinsoku/>
        <w:wordWrap/>
        <w:overflowPunct/>
        <w:topLinePunct w:val="0"/>
        <w:bidi w:val="0"/>
        <w:spacing w:line="578" w:lineRule="exact"/>
        <w:contextualSpacing/>
        <w:jc w:val="both"/>
        <w:textAlignment w:val="auto"/>
        <w:rPr>
          <w:rFonts w:hint="default" w:ascii="Times New Roman" w:hAnsi="Times New Roman" w:eastAsia="宋体" w:cs="Times New Roman"/>
          <w:b/>
          <w:sz w:val="44"/>
          <w:szCs w:val="44"/>
          <w:shd w:val="clear" w:color="auto" w:fill="FFFFFF"/>
          <w:lang w:val="en-US" w:eastAsia="zh-CN"/>
        </w:rPr>
      </w:pPr>
    </w:p>
    <w:p>
      <w:pPr>
        <w:keepNext w:val="0"/>
        <w:keepLines w:val="0"/>
        <w:pageBreakBefore w:val="0"/>
        <w:widowControl/>
        <w:kinsoku/>
        <w:wordWrap/>
        <w:overflowPunct/>
        <w:topLinePunct w:val="0"/>
        <w:bidi w:val="0"/>
        <w:spacing w:line="578" w:lineRule="exact"/>
        <w:contextualSpacing/>
        <w:jc w:val="center"/>
        <w:textAlignment w:val="auto"/>
        <w:rPr>
          <w:rFonts w:hint="default" w:ascii="Times New Roman" w:hAnsi="Times New Roman" w:eastAsia="方正小标宋_GBK" w:cs="Times New Roman"/>
          <w:b w:val="0"/>
          <w:bCs/>
          <w:sz w:val="44"/>
          <w:szCs w:val="44"/>
          <w:shd w:val="clear" w:color="auto" w:fill="FFFFFF"/>
          <w:lang w:val="en-US" w:eastAsia="zh-CN"/>
        </w:rPr>
      </w:pPr>
      <w:r>
        <w:rPr>
          <w:rFonts w:hint="default" w:ascii="Times New Roman" w:hAnsi="Times New Roman" w:eastAsia="方正小标宋_GBK" w:cs="Times New Roman"/>
          <w:b w:val="0"/>
          <w:bCs/>
          <w:sz w:val="44"/>
          <w:szCs w:val="44"/>
          <w:shd w:val="clear" w:color="auto" w:fill="FFFFFF"/>
          <w:lang w:val="en-US" w:eastAsia="zh-CN"/>
        </w:rPr>
        <w:t>大竹县</w:t>
      </w:r>
      <w:r>
        <w:rPr>
          <w:rFonts w:hint="eastAsia" w:eastAsia="方正小标宋_GBK" w:cs="Times New Roman"/>
          <w:b w:val="0"/>
          <w:bCs/>
          <w:sz w:val="44"/>
          <w:szCs w:val="44"/>
          <w:shd w:val="clear" w:color="auto" w:fill="FFFFFF"/>
          <w:lang w:val="en-US" w:eastAsia="zh-CN"/>
        </w:rPr>
        <w:t>杨通乡</w:t>
      </w:r>
      <w:r>
        <w:rPr>
          <w:rFonts w:hint="default" w:ascii="Times New Roman" w:hAnsi="Times New Roman" w:eastAsia="方正小标宋_GBK" w:cs="Times New Roman"/>
          <w:b w:val="0"/>
          <w:bCs/>
          <w:sz w:val="44"/>
          <w:szCs w:val="44"/>
          <w:shd w:val="clear" w:color="auto" w:fill="FFFFFF"/>
          <w:lang w:val="en-US" w:eastAsia="zh-CN"/>
        </w:rPr>
        <w:t>人民政府</w:t>
      </w:r>
    </w:p>
    <w:p>
      <w:pPr>
        <w:keepNext w:val="0"/>
        <w:keepLines w:val="0"/>
        <w:pageBreakBefore w:val="0"/>
        <w:widowControl/>
        <w:kinsoku/>
        <w:wordWrap/>
        <w:overflowPunct/>
        <w:topLinePunct w:val="0"/>
        <w:bidi w:val="0"/>
        <w:spacing w:line="578" w:lineRule="exact"/>
        <w:contextualSpacing/>
        <w:jc w:val="center"/>
        <w:textAlignment w:val="auto"/>
        <w:rPr>
          <w:rFonts w:hint="default" w:ascii="Times New Roman" w:hAnsi="Times New Roman" w:eastAsia="方正小标宋_GBK" w:cs="Times New Roman"/>
          <w:b w:val="0"/>
          <w:bCs/>
          <w:sz w:val="44"/>
          <w:szCs w:val="44"/>
          <w:shd w:val="clear" w:color="auto" w:fill="FFFFFF"/>
        </w:rPr>
      </w:pPr>
      <w:r>
        <w:rPr>
          <w:rFonts w:hint="default" w:ascii="Times New Roman" w:hAnsi="Times New Roman" w:eastAsia="方正小标宋_GBK" w:cs="Times New Roman"/>
          <w:b w:val="0"/>
          <w:bCs/>
          <w:sz w:val="44"/>
          <w:szCs w:val="44"/>
          <w:shd w:val="clear" w:color="auto" w:fill="FFFFFF"/>
        </w:rPr>
        <w:t>20</w:t>
      </w:r>
      <w:r>
        <w:rPr>
          <w:rFonts w:hint="default" w:ascii="Times New Roman" w:hAnsi="Times New Roman" w:eastAsia="方正小标宋_GBK" w:cs="Times New Roman"/>
          <w:b w:val="0"/>
          <w:bCs/>
          <w:sz w:val="44"/>
          <w:szCs w:val="44"/>
          <w:shd w:val="clear" w:color="auto" w:fill="FFFFFF"/>
          <w:lang w:val="en-US" w:eastAsia="zh-CN"/>
        </w:rPr>
        <w:t>22</w:t>
      </w:r>
      <w:r>
        <w:rPr>
          <w:rFonts w:hint="default" w:ascii="Times New Roman" w:hAnsi="Times New Roman" w:eastAsia="方正小标宋_GBK" w:cs="Times New Roman"/>
          <w:b w:val="0"/>
          <w:bCs/>
          <w:sz w:val="44"/>
          <w:szCs w:val="44"/>
          <w:shd w:val="clear" w:color="auto" w:fill="FFFFFF"/>
        </w:rPr>
        <w:t>年部门整体支出绩效评价报告</w:t>
      </w:r>
    </w:p>
    <w:p>
      <w:pPr>
        <w:keepNext w:val="0"/>
        <w:keepLines w:val="0"/>
        <w:pageBreakBefore w:val="0"/>
        <w:widowControl/>
        <w:kinsoku/>
        <w:wordWrap/>
        <w:overflowPunct/>
        <w:topLinePunct w:val="0"/>
        <w:bidi w:val="0"/>
        <w:spacing w:line="558" w:lineRule="exact"/>
        <w:contextualSpacing/>
        <w:jc w:val="center"/>
        <w:textAlignment w:val="auto"/>
        <w:rPr>
          <w:rFonts w:hint="default" w:ascii="Times New Roman" w:hAnsi="Times New Roman" w:eastAsia="宋体" w:cs="Times New Roman"/>
          <w:b/>
          <w:sz w:val="44"/>
          <w:szCs w:val="44"/>
          <w:shd w:val="clear" w:color="auto" w:fill="FFFFFF"/>
        </w:rPr>
      </w:pPr>
    </w:p>
    <w:p>
      <w:pPr>
        <w:keepNext w:val="0"/>
        <w:keepLines w:val="0"/>
        <w:pageBreakBefore w:val="0"/>
        <w:widowControl/>
        <w:kinsoku/>
        <w:wordWrap/>
        <w:overflowPunct/>
        <w:topLinePunct w:val="0"/>
        <w:bidi w:val="0"/>
        <w:adjustRightInd w:val="0"/>
        <w:snapToGrid w:val="0"/>
        <w:spacing w:line="558" w:lineRule="exact"/>
        <w:ind w:firstLine="640" w:firstLineChars="200"/>
        <w:contextualSpacing/>
        <w:jc w:val="left"/>
        <w:textAlignment w:val="auto"/>
        <w:rPr>
          <w:rFonts w:hint="default" w:ascii="Times New Roman" w:hAnsi="Times New Roman" w:eastAsia="黑体" w:cs="Times New Roman"/>
          <w:color w:val="000000"/>
          <w:kern w:val="0"/>
          <w:sz w:val="32"/>
          <w:szCs w:val="32"/>
          <w:shd w:val="clear" w:color="auto" w:fill="FFFFFF"/>
          <w:lang w:val="zh-CN"/>
        </w:rPr>
      </w:pPr>
      <w:r>
        <w:rPr>
          <w:rFonts w:hint="default" w:ascii="Times New Roman" w:hAnsi="Times New Roman" w:eastAsia="黑体" w:cs="Times New Roman"/>
          <w:color w:val="000000"/>
          <w:kern w:val="0"/>
          <w:sz w:val="32"/>
          <w:szCs w:val="32"/>
          <w:shd w:val="clear" w:color="auto" w:fill="FFFFFF"/>
        </w:rPr>
        <w:t>一、</w:t>
      </w:r>
      <w:r>
        <w:rPr>
          <w:rFonts w:hint="default" w:ascii="Times New Roman" w:hAnsi="Times New Roman" w:eastAsia="黑体" w:cs="Times New Roman"/>
          <w:color w:val="000000"/>
          <w:kern w:val="0"/>
          <w:sz w:val="32"/>
          <w:szCs w:val="32"/>
          <w:shd w:val="clear" w:color="auto" w:fill="FFFFFF"/>
          <w:lang w:val="zh-CN"/>
        </w:rPr>
        <w:t>单位概况</w:t>
      </w:r>
    </w:p>
    <w:p>
      <w:pPr>
        <w:keepNext w:val="0"/>
        <w:keepLines w:val="0"/>
        <w:pageBreakBefore w:val="0"/>
        <w:widowControl/>
        <w:kinsoku/>
        <w:wordWrap/>
        <w:overflowPunct/>
        <w:topLinePunct w:val="0"/>
        <w:bidi w:val="0"/>
        <w:adjustRightInd w:val="0"/>
        <w:snapToGrid w:val="0"/>
        <w:spacing w:line="558" w:lineRule="exact"/>
        <w:ind w:firstLine="640" w:firstLineChars="200"/>
        <w:contextualSpacing/>
        <w:jc w:val="left"/>
        <w:textAlignment w:val="auto"/>
        <w:rPr>
          <w:rFonts w:hint="eastAsia" w:ascii="楷体" w:hAnsi="楷体" w:eastAsia="楷体" w:cs="楷体"/>
          <w:color w:val="000000"/>
          <w:kern w:val="0"/>
          <w:sz w:val="32"/>
          <w:szCs w:val="32"/>
          <w:shd w:val="clear" w:color="auto" w:fill="FFFFFF"/>
          <w:lang w:val="zh-CN"/>
        </w:rPr>
      </w:pPr>
      <w:r>
        <w:rPr>
          <w:rFonts w:hint="eastAsia" w:ascii="楷体" w:hAnsi="楷体" w:eastAsia="楷体" w:cs="楷体"/>
          <w:color w:val="000000"/>
          <w:kern w:val="0"/>
          <w:sz w:val="32"/>
          <w:szCs w:val="32"/>
          <w:shd w:val="clear" w:color="auto" w:fill="FFFFFF"/>
          <w:lang w:val="zh-CN"/>
        </w:rPr>
        <w:t>（一）机构组成</w:t>
      </w:r>
    </w:p>
    <w:p>
      <w:pPr>
        <w:keepNext w:val="0"/>
        <w:keepLines w:val="0"/>
        <w:pageBreakBefore w:val="0"/>
        <w:kinsoku/>
        <w:wordWrap/>
        <w:overflowPunct/>
        <w:topLinePunct w:val="0"/>
        <w:autoSpaceDE w:val="0"/>
        <w:autoSpaceDN w:val="0"/>
        <w:bidi w:val="0"/>
        <w:spacing w:line="558" w:lineRule="exact"/>
        <w:ind w:left="0" w:leftChars="0" w:right="0" w:rightChars="0" w:firstLine="640" w:firstLineChars="200"/>
        <w:textAlignment w:val="auto"/>
        <w:rPr>
          <w:rFonts w:hint="default" w:ascii="Times New Roman" w:hAnsi="Times New Roman" w:eastAsia="仿宋_GB2312" w:cs="Times New Roman"/>
          <w:bCs/>
          <w:sz w:val="32"/>
          <w:szCs w:val="32"/>
          <w:lang w:val="zh-CN" w:eastAsia="zh-CN"/>
        </w:rPr>
      </w:pPr>
      <w:r>
        <w:rPr>
          <w:rFonts w:hint="eastAsia" w:ascii="Times New Roman" w:hAnsi="Times New Roman" w:eastAsia="仿宋_GB2312" w:cs="Times New Roman"/>
          <w:bCs/>
          <w:sz w:val="32"/>
          <w:szCs w:val="32"/>
          <w:lang w:val="en-US" w:eastAsia="zh-CN"/>
        </w:rPr>
        <w:t>杨通乡人民政府下属二级预算单位11个，其中行政单位7个，事业单位4个。分别是杨通乡办公室（依法治理办公室）、党建办公室、综合执法办公室、经济发展办公室（乡村振兴办公室、统计工作站）、社会事务办公室（生态环境办公室）、财政所、社会治安综合治理中心（应急管理办公室），便民服务中心（退役军人服务站）、农民工服务中心、农业综合服务中心、社会事务服务中心（宣传文化服务中心）。</w:t>
      </w:r>
    </w:p>
    <w:p>
      <w:pPr>
        <w:keepNext w:val="0"/>
        <w:keepLines w:val="0"/>
        <w:pageBreakBefore w:val="0"/>
        <w:widowControl/>
        <w:numPr>
          <w:ilvl w:val="0"/>
          <w:numId w:val="6"/>
        </w:numPr>
        <w:kinsoku/>
        <w:wordWrap/>
        <w:overflowPunct/>
        <w:topLinePunct w:val="0"/>
        <w:bidi w:val="0"/>
        <w:adjustRightInd w:val="0"/>
        <w:snapToGrid w:val="0"/>
        <w:spacing w:line="558" w:lineRule="exact"/>
        <w:ind w:firstLine="640" w:firstLineChars="200"/>
        <w:contextualSpacing/>
        <w:jc w:val="left"/>
        <w:textAlignment w:val="auto"/>
        <w:rPr>
          <w:rFonts w:hint="eastAsia" w:ascii="楷体" w:hAnsi="楷体" w:eastAsia="楷体" w:cs="楷体"/>
          <w:color w:val="000000"/>
          <w:kern w:val="0"/>
          <w:sz w:val="32"/>
          <w:szCs w:val="32"/>
          <w:shd w:val="clear" w:color="auto" w:fill="FFFFFF"/>
          <w:lang w:val="zh-CN"/>
        </w:rPr>
      </w:pPr>
      <w:r>
        <w:rPr>
          <w:rFonts w:hint="eastAsia" w:ascii="楷体" w:hAnsi="楷体" w:eastAsia="楷体" w:cs="楷体"/>
          <w:color w:val="000000"/>
          <w:kern w:val="0"/>
          <w:sz w:val="32"/>
          <w:szCs w:val="32"/>
          <w:shd w:val="clear" w:color="auto" w:fill="FFFFFF"/>
          <w:lang w:val="zh-CN"/>
        </w:rPr>
        <w:t>机构职能</w:t>
      </w:r>
    </w:p>
    <w:p>
      <w:pPr>
        <w:keepNext w:val="0"/>
        <w:keepLines w:val="0"/>
        <w:pageBreakBefore w:val="0"/>
        <w:kinsoku/>
        <w:wordWrap/>
        <w:overflowPunct/>
        <w:topLinePunct w:val="0"/>
        <w:autoSpaceDE w:val="0"/>
        <w:autoSpaceDN w:val="0"/>
        <w:bidi w:val="0"/>
        <w:spacing w:line="558" w:lineRule="exact"/>
        <w:ind w:left="0" w:leftChars="0" w:right="0" w:rightChars="0" w:firstLine="640" w:firstLineChars="200"/>
        <w:textAlignment w:val="auto"/>
        <w:rPr>
          <w:rFonts w:hint="default" w:ascii="Times New Roman" w:hAnsi="Times New Roman" w:eastAsia="仿宋_GB2312" w:cs="Times New Roman"/>
          <w:bCs/>
          <w:sz w:val="32"/>
          <w:szCs w:val="32"/>
          <w:lang w:val="zh-CN" w:eastAsia="zh-CN"/>
        </w:rPr>
      </w:pPr>
      <w:r>
        <w:rPr>
          <w:rFonts w:hint="eastAsia" w:ascii="Times New Roman" w:hAnsi="Times New Roman" w:eastAsia="仿宋_GB2312" w:cs="Times New Roman"/>
          <w:bCs/>
          <w:sz w:val="32"/>
          <w:szCs w:val="32"/>
          <w:lang w:val="en-US" w:eastAsia="zh-CN"/>
        </w:rPr>
        <w:t>杨通乡政府的基本职能：贯彻党的路线、方针、政策，承担各项财政收支管理责任，监督财政性经济发展支出，加强社会管理、提供好公共服务、维护社会稳定和巩固基层政权，推动政治文明、精神文明、物质文明协调发展，执行本级党代会人代会的决议和上级党委政府的决定和命令。</w:t>
      </w:r>
    </w:p>
    <w:p>
      <w:pPr>
        <w:keepNext w:val="0"/>
        <w:keepLines w:val="0"/>
        <w:pageBreakBefore w:val="0"/>
        <w:widowControl/>
        <w:kinsoku/>
        <w:wordWrap/>
        <w:overflowPunct/>
        <w:topLinePunct w:val="0"/>
        <w:bidi w:val="0"/>
        <w:adjustRightInd w:val="0"/>
        <w:snapToGrid w:val="0"/>
        <w:spacing w:line="558" w:lineRule="exact"/>
        <w:ind w:firstLine="720"/>
        <w:jc w:val="left"/>
        <w:textAlignment w:val="auto"/>
        <w:outlineLvl w:val="0"/>
        <w:rPr>
          <w:rFonts w:hint="default" w:ascii="Times New Roman" w:hAnsi="Times New Roman" w:eastAsia="楷体_GB2312" w:cs="Times New Roman"/>
          <w:b w:val="0"/>
          <w:bCs/>
          <w:kern w:val="0"/>
          <w:sz w:val="32"/>
          <w:lang w:val="zh-CN"/>
        </w:rPr>
      </w:pPr>
      <w:r>
        <w:rPr>
          <w:rFonts w:hint="default" w:ascii="Times New Roman" w:hAnsi="Times New Roman" w:eastAsia="楷体_GB2312" w:cs="Times New Roman"/>
          <w:b w:val="0"/>
          <w:bCs/>
          <w:kern w:val="0"/>
          <w:sz w:val="32"/>
          <w:lang w:val="zh-CN"/>
        </w:rPr>
        <w:t>（三）人员概况。</w:t>
      </w:r>
    </w:p>
    <w:p>
      <w:pPr>
        <w:keepNext w:val="0"/>
        <w:keepLines w:val="0"/>
        <w:pageBreakBefore w:val="0"/>
        <w:kinsoku/>
        <w:wordWrap/>
        <w:overflowPunct/>
        <w:topLinePunct w:val="0"/>
        <w:autoSpaceDE w:val="0"/>
        <w:autoSpaceDN w:val="0"/>
        <w:bidi w:val="0"/>
        <w:spacing w:line="558" w:lineRule="exact"/>
        <w:ind w:left="0" w:leftChars="0" w:right="0" w:rightChars="0" w:firstLine="640" w:firstLineChars="200"/>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截</w:t>
      </w:r>
      <w:r>
        <w:rPr>
          <w:rFonts w:hint="eastAsia" w:eastAsia="仿宋_GB2312" w:cs="Times New Roman"/>
          <w:bCs/>
          <w:sz w:val="32"/>
          <w:szCs w:val="32"/>
          <w:lang w:val="en-US" w:eastAsia="zh-CN"/>
        </w:rPr>
        <w:t>至</w:t>
      </w:r>
      <w:r>
        <w:rPr>
          <w:rFonts w:hint="default" w:ascii="Times New Roman" w:hAnsi="Times New Roman" w:eastAsia="仿宋_GB2312" w:cs="Times New Roman"/>
          <w:bCs/>
          <w:sz w:val="32"/>
          <w:szCs w:val="32"/>
          <w:lang w:val="en-US" w:eastAsia="zh-CN"/>
        </w:rPr>
        <w:t>202</w:t>
      </w:r>
      <w:r>
        <w:rPr>
          <w:rFonts w:hint="eastAsia" w:ascii="Times New Roman" w:hAnsi="Times New Roman" w:eastAsia="仿宋_GB2312" w:cs="Times New Roman"/>
          <w:bCs/>
          <w:sz w:val="32"/>
          <w:szCs w:val="32"/>
          <w:lang w:val="en-US" w:eastAsia="zh-CN"/>
        </w:rPr>
        <w:t>1</w:t>
      </w:r>
      <w:r>
        <w:rPr>
          <w:rFonts w:hint="default" w:ascii="Times New Roman" w:hAnsi="Times New Roman" w:eastAsia="仿宋_GB2312" w:cs="Times New Roman"/>
          <w:bCs/>
          <w:sz w:val="32"/>
          <w:szCs w:val="32"/>
          <w:lang w:val="en-US" w:eastAsia="zh-CN"/>
        </w:rPr>
        <w:t>年12月31日，</w:t>
      </w:r>
      <w:r>
        <w:rPr>
          <w:rFonts w:hint="eastAsia" w:ascii="Times New Roman" w:hAnsi="Times New Roman" w:eastAsia="仿宋_GB2312" w:cs="Times New Roman"/>
          <w:bCs/>
          <w:sz w:val="32"/>
          <w:szCs w:val="32"/>
          <w:lang w:val="en-US" w:eastAsia="zh-CN"/>
        </w:rPr>
        <w:t>杨通乡</w:t>
      </w:r>
      <w:r>
        <w:rPr>
          <w:rFonts w:hint="default" w:ascii="Times New Roman" w:hAnsi="Times New Roman" w:eastAsia="仿宋_GB2312" w:cs="Times New Roman"/>
          <w:bCs/>
          <w:sz w:val="32"/>
          <w:szCs w:val="32"/>
          <w:lang w:val="en-US" w:eastAsia="zh-CN"/>
        </w:rPr>
        <w:t>经县编委核定的编制人数为</w:t>
      </w:r>
      <w:r>
        <w:rPr>
          <w:rFonts w:hint="eastAsia" w:ascii="Times New Roman" w:hAnsi="Times New Roman" w:eastAsia="仿宋_GB2312" w:cs="Times New Roman"/>
          <w:bCs/>
          <w:sz w:val="32"/>
          <w:szCs w:val="32"/>
          <w:lang w:val="en-US" w:eastAsia="zh-CN"/>
        </w:rPr>
        <w:t>37</w:t>
      </w:r>
      <w:r>
        <w:rPr>
          <w:rFonts w:hint="default" w:ascii="Times New Roman" w:hAnsi="Times New Roman" w:eastAsia="仿宋_GB2312" w:cs="Times New Roman"/>
          <w:bCs/>
          <w:sz w:val="32"/>
          <w:szCs w:val="32"/>
          <w:lang w:val="en-US" w:eastAsia="zh-CN"/>
        </w:rPr>
        <w:t>人(其中行政编制</w:t>
      </w:r>
      <w:r>
        <w:rPr>
          <w:rFonts w:hint="eastAsia" w:ascii="Times New Roman" w:hAnsi="Times New Roman" w:eastAsia="仿宋_GB2312" w:cs="Times New Roman"/>
          <w:bCs/>
          <w:sz w:val="32"/>
          <w:szCs w:val="32"/>
          <w:lang w:val="en-US" w:eastAsia="zh-CN"/>
        </w:rPr>
        <w:t>19</w:t>
      </w:r>
      <w:r>
        <w:rPr>
          <w:rFonts w:hint="default" w:ascii="Times New Roman" w:hAnsi="Times New Roman" w:eastAsia="仿宋_GB2312" w:cs="Times New Roman"/>
          <w:bCs/>
          <w:sz w:val="32"/>
          <w:szCs w:val="32"/>
          <w:lang w:val="en-US" w:eastAsia="zh-CN"/>
        </w:rPr>
        <w:t>人、行政工勤编制2个，事业编制</w:t>
      </w:r>
      <w:r>
        <w:rPr>
          <w:rFonts w:hint="eastAsia" w:ascii="Times New Roman" w:hAnsi="Times New Roman" w:eastAsia="仿宋_GB2312" w:cs="Times New Roman"/>
          <w:bCs/>
          <w:sz w:val="32"/>
          <w:szCs w:val="32"/>
          <w:lang w:val="en-US" w:eastAsia="zh-CN"/>
        </w:rPr>
        <w:t>16</w:t>
      </w:r>
      <w:r>
        <w:rPr>
          <w:rFonts w:hint="default" w:ascii="Times New Roman" w:hAnsi="Times New Roman" w:eastAsia="仿宋_GB2312" w:cs="Times New Roman"/>
          <w:bCs/>
          <w:sz w:val="32"/>
          <w:szCs w:val="32"/>
          <w:lang w:val="en-US" w:eastAsia="zh-CN"/>
        </w:rPr>
        <w:t>人)，实有行政人员</w:t>
      </w:r>
      <w:r>
        <w:rPr>
          <w:rFonts w:hint="eastAsia" w:ascii="Times New Roman" w:hAnsi="Times New Roman" w:eastAsia="仿宋_GB2312" w:cs="Times New Roman"/>
          <w:bCs/>
          <w:sz w:val="32"/>
          <w:szCs w:val="32"/>
          <w:lang w:val="en-US" w:eastAsia="zh-CN"/>
        </w:rPr>
        <w:t>17</w:t>
      </w:r>
      <w:r>
        <w:rPr>
          <w:rFonts w:hint="default" w:ascii="Times New Roman" w:hAnsi="Times New Roman" w:eastAsia="仿宋_GB2312" w:cs="Times New Roman"/>
          <w:bCs/>
          <w:sz w:val="32"/>
          <w:szCs w:val="32"/>
          <w:lang w:val="en-US" w:eastAsia="zh-CN"/>
        </w:rPr>
        <w:t>人，事业人员</w:t>
      </w:r>
      <w:r>
        <w:rPr>
          <w:rFonts w:hint="eastAsia" w:ascii="Times New Roman" w:hAnsi="Times New Roman" w:eastAsia="仿宋_GB2312" w:cs="Times New Roman"/>
          <w:bCs/>
          <w:sz w:val="32"/>
          <w:szCs w:val="32"/>
          <w:lang w:val="en-US" w:eastAsia="zh-CN"/>
        </w:rPr>
        <w:t>10</w:t>
      </w:r>
      <w:r>
        <w:rPr>
          <w:rFonts w:hint="default" w:ascii="Times New Roman" w:hAnsi="Times New Roman" w:eastAsia="仿宋_GB2312" w:cs="Times New Roman"/>
          <w:bCs/>
          <w:sz w:val="32"/>
          <w:szCs w:val="32"/>
          <w:lang w:val="en-US" w:eastAsia="zh-CN"/>
        </w:rPr>
        <w:t>人。</w:t>
      </w:r>
    </w:p>
    <w:p>
      <w:pPr>
        <w:keepNext w:val="0"/>
        <w:keepLines w:val="0"/>
        <w:pageBreakBefore w:val="0"/>
        <w:widowControl/>
        <w:kinsoku/>
        <w:wordWrap/>
        <w:overflowPunct/>
        <w:topLinePunct w:val="0"/>
        <w:bidi w:val="0"/>
        <w:adjustRightInd w:val="0"/>
        <w:snapToGrid w:val="0"/>
        <w:spacing w:line="558" w:lineRule="exact"/>
        <w:ind w:firstLine="720"/>
        <w:jc w:val="left"/>
        <w:textAlignment w:val="auto"/>
        <w:outlineLvl w:val="0"/>
        <w:rPr>
          <w:rFonts w:hint="default" w:ascii="Times New Roman" w:hAnsi="Times New Roman" w:eastAsia="黑体" w:cs="Times New Roman"/>
          <w:kern w:val="0"/>
          <w:sz w:val="32"/>
        </w:rPr>
      </w:pPr>
      <w:r>
        <w:rPr>
          <w:rFonts w:hint="default" w:ascii="Times New Roman" w:hAnsi="Times New Roman" w:eastAsia="黑体" w:cs="Times New Roman"/>
          <w:kern w:val="0"/>
          <w:sz w:val="32"/>
        </w:rPr>
        <w:t>二、部门财政资金收支情况</w:t>
      </w:r>
    </w:p>
    <w:p>
      <w:pPr>
        <w:keepNext w:val="0"/>
        <w:keepLines w:val="0"/>
        <w:pageBreakBefore w:val="0"/>
        <w:widowControl/>
        <w:kinsoku/>
        <w:wordWrap/>
        <w:overflowPunct/>
        <w:topLinePunct w:val="0"/>
        <w:bidi w:val="0"/>
        <w:adjustRightInd w:val="0"/>
        <w:snapToGrid w:val="0"/>
        <w:spacing w:line="558" w:lineRule="exact"/>
        <w:ind w:firstLine="720"/>
        <w:jc w:val="left"/>
        <w:textAlignment w:val="auto"/>
        <w:outlineLvl w:val="0"/>
        <w:rPr>
          <w:rFonts w:hint="default" w:ascii="Times New Roman" w:hAnsi="Times New Roman" w:eastAsia="楷体_GB2312" w:cs="Times New Roman"/>
          <w:b w:val="0"/>
          <w:bCs/>
          <w:kern w:val="0"/>
          <w:sz w:val="32"/>
          <w:lang w:val="zh-CN"/>
        </w:rPr>
      </w:pPr>
      <w:r>
        <w:rPr>
          <w:rFonts w:hint="default" w:ascii="Times New Roman" w:hAnsi="Times New Roman" w:eastAsia="楷体_GB2312" w:cs="Times New Roman"/>
          <w:b w:val="0"/>
          <w:bCs/>
          <w:kern w:val="0"/>
          <w:sz w:val="32"/>
          <w:lang w:val="zh-CN"/>
        </w:rPr>
        <w:t>（一）部门财政资金收入情况。本年收入，上年结转、本年支出、结转下年</w:t>
      </w:r>
    </w:p>
    <w:p>
      <w:pPr>
        <w:keepNext w:val="0"/>
        <w:keepLines w:val="0"/>
        <w:pageBreakBefore w:val="0"/>
        <w:kinsoku/>
        <w:wordWrap/>
        <w:overflowPunct/>
        <w:topLinePunct w:val="0"/>
        <w:autoSpaceDE w:val="0"/>
        <w:autoSpaceDN w:val="0"/>
        <w:bidi w:val="0"/>
        <w:spacing w:line="558" w:lineRule="exact"/>
        <w:ind w:left="0" w:leftChars="0" w:right="0" w:rightChars="0" w:firstLine="640" w:firstLineChars="200"/>
        <w:textAlignment w:val="auto"/>
        <w:rPr>
          <w:rFonts w:hint="default"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杨通乡</w:t>
      </w:r>
      <w:r>
        <w:rPr>
          <w:rFonts w:hint="default" w:ascii="Times New Roman" w:hAnsi="Times New Roman" w:eastAsia="仿宋_GB2312" w:cs="Times New Roman"/>
          <w:bCs/>
          <w:sz w:val="32"/>
          <w:szCs w:val="32"/>
          <w:lang w:val="en-US" w:eastAsia="zh-CN"/>
        </w:rPr>
        <w:t>政府为全额拨款单位，2021年初预算收入为</w:t>
      </w:r>
      <w:r>
        <w:rPr>
          <w:rFonts w:hint="eastAsia" w:ascii="仿宋_GB2312" w:hAnsi="仿宋_GB2312" w:eastAsia="仿宋_GB2312" w:cs="仿宋_GB2312"/>
          <w:sz w:val="30"/>
          <w:szCs w:val="30"/>
        </w:rPr>
        <w:t>594.651</w:t>
      </w:r>
      <w:r>
        <w:rPr>
          <w:rFonts w:hint="default" w:ascii="Times New Roman" w:hAnsi="Times New Roman" w:eastAsia="仿宋_GB2312" w:cs="Times New Roman"/>
          <w:bCs/>
          <w:sz w:val="32"/>
          <w:szCs w:val="32"/>
          <w:lang w:val="en-US" w:eastAsia="zh-CN"/>
        </w:rPr>
        <w:t>万元，年末调整决算收入</w:t>
      </w:r>
      <w:r>
        <w:rPr>
          <w:rFonts w:hint="eastAsia" w:ascii="Times New Roman" w:hAnsi="Times New Roman" w:eastAsia="仿宋_GB2312" w:cs="Times New Roman"/>
          <w:color w:val="auto"/>
          <w:sz w:val="32"/>
          <w:szCs w:val="32"/>
          <w:highlight w:val="none"/>
          <w:lang w:val="en-US" w:eastAsia="zh-CN"/>
        </w:rPr>
        <w:t>1044.3</w:t>
      </w:r>
      <w:r>
        <w:rPr>
          <w:rFonts w:hint="eastAsia" w:eastAsia="仿宋_GB2312" w:cs="Times New Roman"/>
          <w:color w:val="auto"/>
          <w:sz w:val="32"/>
          <w:szCs w:val="32"/>
          <w:highlight w:val="none"/>
          <w:lang w:val="en-US" w:eastAsia="zh-CN"/>
        </w:rPr>
        <w:t>2</w:t>
      </w:r>
      <w:r>
        <w:rPr>
          <w:rFonts w:hint="default" w:ascii="Times New Roman" w:hAnsi="Times New Roman" w:eastAsia="仿宋_GB2312" w:cs="Times New Roman"/>
          <w:bCs/>
          <w:sz w:val="32"/>
          <w:szCs w:val="32"/>
          <w:lang w:val="en-US" w:eastAsia="zh-CN"/>
        </w:rPr>
        <w:t>万元，其中全年</w:t>
      </w:r>
      <w:r>
        <w:rPr>
          <w:rFonts w:hint="eastAsia" w:ascii="Times New Roman" w:hAnsi="Times New Roman" w:eastAsia="仿宋_GB2312" w:cs="Times New Roman"/>
          <w:bCs/>
          <w:sz w:val="32"/>
          <w:szCs w:val="32"/>
          <w:lang w:val="en-US" w:eastAsia="zh-CN"/>
        </w:rPr>
        <w:t>基本支出</w:t>
      </w:r>
      <w:r>
        <w:rPr>
          <w:rFonts w:hint="default" w:ascii="Times New Roman" w:hAnsi="Times New Roman" w:eastAsia="仿宋_GB2312" w:cs="Times New Roman"/>
          <w:bCs/>
          <w:sz w:val="32"/>
          <w:szCs w:val="32"/>
          <w:lang w:val="en-US" w:eastAsia="zh-CN"/>
        </w:rPr>
        <w:t>为</w:t>
      </w:r>
      <w:r>
        <w:rPr>
          <w:rFonts w:hint="eastAsia" w:ascii="Times New Roman" w:hAnsi="Times New Roman" w:eastAsia="仿宋_GB2312" w:cs="Times New Roman"/>
          <w:color w:val="auto"/>
          <w:sz w:val="32"/>
          <w:szCs w:val="32"/>
          <w:highlight w:val="none"/>
          <w:lang w:val="en-US" w:eastAsia="zh-CN"/>
        </w:rPr>
        <w:t>414.68</w:t>
      </w:r>
      <w:r>
        <w:rPr>
          <w:rFonts w:hint="eastAsia" w:eastAsia="仿宋_GB2312" w:cs="Times New Roman"/>
          <w:color w:val="auto"/>
          <w:sz w:val="32"/>
          <w:szCs w:val="32"/>
          <w:highlight w:val="none"/>
          <w:lang w:val="en-US" w:eastAsia="zh-CN"/>
        </w:rPr>
        <w:t>万元</w:t>
      </w:r>
      <w:r>
        <w:rPr>
          <w:rFonts w:hint="default" w:ascii="Times New Roman" w:hAnsi="Times New Roman" w:eastAsia="仿宋_GB2312" w:cs="Times New Roman"/>
          <w:bCs/>
          <w:sz w:val="32"/>
          <w:szCs w:val="32"/>
          <w:lang w:val="en-US" w:eastAsia="zh-CN"/>
        </w:rPr>
        <w:t>；项目经费为</w:t>
      </w:r>
      <w:r>
        <w:rPr>
          <w:rFonts w:hint="eastAsia" w:ascii="Times New Roman" w:hAnsi="Times New Roman" w:eastAsia="仿宋_GB2312" w:cs="Times New Roman"/>
          <w:color w:val="auto"/>
          <w:sz w:val="32"/>
          <w:szCs w:val="32"/>
          <w:highlight w:val="none"/>
        </w:rPr>
        <w:t>629.64</w:t>
      </w:r>
      <w:r>
        <w:rPr>
          <w:rFonts w:hint="default" w:ascii="Times New Roman" w:hAnsi="Times New Roman" w:eastAsia="仿宋_GB2312" w:cs="Times New Roman"/>
          <w:bCs/>
          <w:sz w:val="32"/>
          <w:szCs w:val="32"/>
          <w:lang w:val="en-US" w:eastAsia="zh-CN"/>
        </w:rPr>
        <w:t>万元。</w:t>
      </w:r>
      <w:r>
        <w:rPr>
          <w:rFonts w:hint="default" w:ascii="Times New Roman" w:hAnsi="Times New Roman" w:eastAsia="仿宋_GB2312" w:cs="Times New Roman"/>
          <w:bCs/>
          <w:sz w:val="32"/>
          <w:szCs w:val="32"/>
          <w:lang w:val="zh-CN" w:eastAsia="zh-CN"/>
        </w:rPr>
        <w:t>上年结转</w:t>
      </w:r>
      <w:r>
        <w:rPr>
          <w:rFonts w:hint="default" w:ascii="Times New Roman" w:hAnsi="Times New Roman" w:eastAsia="仿宋_GB2312" w:cs="Times New Roman"/>
          <w:bCs/>
          <w:sz w:val="32"/>
          <w:szCs w:val="32"/>
          <w:lang w:val="en-US" w:eastAsia="zh-CN"/>
        </w:rPr>
        <w:t>资金</w:t>
      </w:r>
      <w:r>
        <w:rPr>
          <w:rFonts w:hint="eastAsia" w:ascii="Times New Roman" w:hAnsi="Times New Roman" w:eastAsia="仿宋_GB2312" w:cs="Times New Roman"/>
          <w:bCs/>
          <w:sz w:val="32"/>
          <w:szCs w:val="32"/>
          <w:lang w:val="en-US" w:eastAsia="zh-CN"/>
        </w:rPr>
        <w:t>0</w:t>
      </w:r>
      <w:r>
        <w:rPr>
          <w:rFonts w:hint="default" w:ascii="Times New Roman" w:hAnsi="Times New Roman" w:eastAsia="仿宋_GB2312" w:cs="Times New Roman"/>
          <w:bCs/>
          <w:sz w:val="32"/>
          <w:szCs w:val="32"/>
          <w:lang w:val="en-US" w:eastAsia="zh-CN"/>
        </w:rPr>
        <w:t>万元。</w:t>
      </w:r>
    </w:p>
    <w:p>
      <w:pPr>
        <w:keepNext w:val="0"/>
        <w:keepLines w:val="0"/>
        <w:pageBreakBefore w:val="0"/>
        <w:kinsoku/>
        <w:wordWrap/>
        <w:overflowPunct/>
        <w:topLinePunct w:val="0"/>
        <w:autoSpaceDE w:val="0"/>
        <w:autoSpaceDN w:val="0"/>
        <w:bidi w:val="0"/>
        <w:spacing w:line="558" w:lineRule="exact"/>
        <w:ind w:left="0" w:leftChars="0" w:right="0" w:rightChars="0" w:firstLine="640" w:firstLineChars="200"/>
        <w:textAlignment w:val="auto"/>
        <w:rPr>
          <w:rFonts w:hint="default" w:ascii="Times New Roman" w:hAnsi="Times New Roman" w:eastAsia="仿宋_GB2312" w:cs="Times New Roman"/>
          <w:bCs/>
          <w:sz w:val="32"/>
          <w:szCs w:val="32"/>
          <w:lang w:val="zh-CN" w:eastAsia="zh-CN"/>
        </w:rPr>
      </w:pPr>
      <w:r>
        <w:rPr>
          <w:rFonts w:hint="default" w:ascii="Times New Roman" w:hAnsi="Times New Roman" w:eastAsia="仿宋_GB2312" w:cs="Times New Roman"/>
          <w:bCs/>
          <w:sz w:val="32"/>
          <w:szCs w:val="32"/>
          <w:lang w:val="zh-CN" w:eastAsia="zh-CN"/>
        </w:rPr>
        <w:t>（二）部门财政资金支出情况。</w:t>
      </w:r>
    </w:p>
    <w:p>
      <w:pPr>
        <w:keepNext w:val="0"/>
        <w:keepLines w:val="0"/>
        <w:pageBreakBefore w:val="0"/>
        <w:kinsoku/>
        <w:wordWrap/>
        <w:overflowPunct/>
        <w:topLinePunct w:val="0"/>
        <w:autoSpaceDE w:val="0"/>
        <w:autoSpaceDN w:val="0"/>
        <w:bidi w:val="0"/>
        <w:spacing w:line="558" w:lineRule="exact"/>
        <w:ind w:left="0" w:leftChars="0" w:right="0" w:rightChars="0" w:firstLine="640" w:firstLineChars="200"/>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2021年初预算支出为</w:t>
      </w:r>
      <w:r>
        <w:rPr>
          <w:rFonts w:hint="eastAsia" w:ascii="Times New Roman" w:hAnsi="Times New Roman" w:eastAsia="仿宋_GB2312" w:cs="Times New Roman"/>
          <w:bCs/>
          <w:sz w:val="32"/>
          <w:szCs w:val="32"/>
          <w:lang w:val="zh-CN" w:eastAsia="zh-CN"/>
        </w:rPr>
        <w:t>594.651</w:t>
      </w:r>
      <w:r>
        <w:rPr>
          <w:rFonts w:hint="default" w:ascii="Times New Roman" w:hAnsi="Times New Roman" w:eastAsia="仿宋_GB2312" w:cs="Times New Roman"/>
          <w:bCs/>
          <w:sz w:val="32"/>
          <w:szCs w:val="32"/>
          <w:lang w:val="en-US" w:eastAsia="zh-CN"/>
        </w:rPr>
        <w:t>万元，年末调整决算支出</w:t>
      </w:r>
      <w:r>
        <w:rPr>
          <w:rFonts w:hint="eastAsia" w:ascii="Times New Roman" w:hAnsi="Times New Roman" w:eastAsia="仿宋_GB2312" w:cs="Times New Roman"/>
          <w:bCs/>
          <w:sz w:val="32"/>
          <w:szCs w:val="32"/>
          <w:lang w:val="en-US" w:eastAsia="zh-CN"/>
        </w:rPr>
        <w:t>1044.32</w:t>
      </w:r>
      <w:r>
        <w:rPr>
          <w:rFonts w:hint="default" w:ascii="Times New Roman" w:hAnsi="Times New Roman" w:eastAsia="仿宋_GB2312" w:cs="Times New Roman"/>
          <w:bCs/>
          <w:sz w:val="32"/>
          <w:szCs w:val="32"/>
          <w:lang w:val="en-US" w:eastAsia="zh-CN"/>
        </w:rPr>
        <w:t>万元，年末决算数为</w:t>
      </w:r>
      <w:r>
        <w:rPr>
          <w:rFonts w:hint="eastAsia" w:ascii="Times New Roman" w:hAnsi="Times New Roman" w:eastAsia="仿宋_GB2312" w:cs="Times New Roman"/>
          <w:bCs/>
          <w:sz w:val="32"/>
          <w:szCs w:val="32"/>
          <w:lang w:val="en-US" w:eastAsia="zh-CN"/>
        </w:rPr>
        <w:t>1044.32</w:t>
      </w:r>
      <w:r>
        <w:rPr>
          <w:rFonts w:hint="default" w:ascii="Times New Roman" w:hAnsi="Times New Roman" w:eastAsia="仿宋_GB2312" w:cs="Times New Roman"/>
          <w:bCs/>
          <w:sz w:val="32"/>
          <w:szCs w:val="32"/>
          <w:lang w:val="en-US" w:eastAsia="zh-CN"/>
        </w:rPr>
        <w:t>万元，其中全年人员经费为</w:t>
      </w:r>
      <w:r>
        <w:rPr>
          <w:rFonts w:hint="eastAsia" w:ascii="Times New Roman" w:hAnsi="Times New Roman" w:eastAsia="仿宋_GB2312" w:cs="Times New Roman"/>
          <w:bCs/>
          <w:sz w:val="32"/>
          <w:szCs w:val="32"/>
          <w:lang w:val="en-US" w:eastAsia="zh-CN"/>
        </w:rPr>
        <w:t>368.21</w:t>
      </w:r>
      <w:r>
        <w:rPr>
          <w:rFonts w:hint="default" w:ascii="Times New Roman" w:hAnsi="Times New Roman" w:eastAsia="仿宋_GB2312" w:cs="Times New Roman"/>
          <w:bCs/>
          <w:sz w:val="32"/>
          <w:szCs w:val="32"/>
          <w:lang w:val="en-US" w:eastAsia="zh-CN"/>
        </w:rPr>
        <w:t>万元；公用经费为</w:t>
      </w:r>
      <w:r>
        <w:rPr>
          <w:rFonts w:hint="eastAsia" w:ascii="Times New Roman" w:hAnsi="Times New Roman" w:eastAsia="仿宋_GB2312" w:cs="Times New Roman"/>
          <w:bCs/>
          <w:sz w:val="32"/>
          <w:szCs w:val="32"/>
          <w:lang w:val="en-US" w:eastAsia="zh-CN"/>
        </w:rPr>
        <w:t>46.47</w:t>
      </w:r>
      <w:r>
        <w:rPr>
          <w:rFonts w:hint="default" w:ascii="Times New Roman" w:hAnsi="Times New Roman" w:eastAsia="仿宋_GB2312" w:cs="Times New Roman"/>
          <w:bCs/>
          <w:sz w:val="32"/>
          <w:szCs w:val="32"/>
          <w:lang w:val="en-US" w:eastAsia="zh-CN"/>
        </w:rPr>
        <w:t>万元；项目经费为</w:t>
      </w:r>
      <w:r>
        <w:rPr>
          <w:rFonts w:hint="eastAsia" w:ascii="Times New Roman" w:hAnsi="Times New Roman" w:eastAsia="仿宋_GB2312" w:cs="Times New Roman"/>
          <w:bCs/>
          <w:sz w:val="32"/>
          <w:szCs w:val="32"/>
          <w:lang w:val="zh-CN" w:eastAsia="zh-CN"/>
        </w:rPr>
        <w:t>629.64</w:t>
      </w:r>
      <w:r>
        <w:rPr>
          <w:rFonts w:hint="default" w:ascii="Times New Roman" w:hAnsi="Times New Roman" w:eastAsia="仿宋_GB2312" w:cs="Times New Roman"/>
          <w:bCs/>
          <w:sz w:val="32"/>
          <w:szCs w:val="32"/>
          <w:lang w:val="en-US" w:eastAsia="zh-CN"/>
        </w:rPr>
        <w:t>万元。结转下年资金</w:t>
      </w:r>
      <w:r>
        <w:rPr>
          <w:rFonts w:hint="eastAsia" w:ascii="Times New Roman" w:hAnsi="Times New Roman" w:eastAsia="仿宋_GB2312" w:cs="Times New Roman"/>
          <w:bCs/>
          <w:sz w:val="32"/>
          <w:szCs w:val="32"/>
          <w:lang w:val="en-US" w:eastAsia="zh-CN"/>
        </w:rPr>
        <w:t>0</w:t>
      </w:r>
      <w:r>
        <w:rPr>
          <w:rFonts w:hint="default" w:ascii="Times New Roman" w:hAnsi="Times New Roman" w:eastAsia="仿宋_GB2312" w:cs="Times New Roman"/>
          <w:bCs/>
          <w:sz w:val="32"/>
          <w:szCs w:val="32"/>
          <w:lang w:val="en-US" w:eastAsia="zh-CN"/>
        </w:rPr>
        <w:t xml:space="preserve">万元。 </w:t>
      </w:r>
    </w:p>
    <w:p>
      <w:pPr>
        <w:keepNext w:val="0"/>
        <w:keepLines w:val="0"/>
        <w:pageBreakBefore w:val="0"/>
        <w:kinsoku/>
        <w:wordWrap/>
        <w:overflowPunct/>
        <w:topLinePunct w:val="0"/>
        <w:autoSpaceDE w:val="0"/>
        <w:autoSpaceDN w:val="0"/>
        <w:bidi w:val="0"/>
        <w:spacing w:line="558" w:lineRule="exact"/>
        <w:ind w:left="0" w:leftChars="0" w:right="0" w:rightChars="0" w:firstLine="640" w:firstLineChars="200"/>
        <w:textAlignment w:val="auto"/>
        <w:rPr>
          <w:rFonts w:hint="default" w:ascii="Times New Roman" w:hAnsi="Times New Roman" w:eastAsia="仿宋_GB2312" w:cs="Times New Roman"/>
          <w:bCs/>
          <w:sz w:val="32"/>
          <w:szCs w:val="32"/>
          <w:lang w:val="zh-CN" w:eastAsia="zh-CN"/>
        </w:rPr>
      </w:pPr>
      <w:r>
        <w:rPr>
          <w:rFonts w:hint="default" w:ascii="Times New Roman" w:hAnsi="Times New Roman" w:eastAsia="仿宋_GB2312" w:cs="Times New Roman"/>
          <w:bCs/>
          <w:sz w:val="32"/>
          <w:szCs w:val="32"/>
          <w:lang w:val="zh-CN" w:eastAsia="zh-CN"/>
        </w:rPr>
        <w:t>三、部门财政支出管理情况</w:t>
      </w:r>
    </w:p>
    <w:p>
      <w:pPr>
        <w:keepNext w:val="0"/>
        <w:keepLines w:val="0"/>
        <w:pageBreakBefore w:val="0"/>
        <w:kinsoku/>
        <w:wordWrap/>
        <w:overflowPunct/>
        <w:topLinePunct w:val="0"/>
        <w:bidi w:val="0"/>
        <w:spacing w:line="558" w:lineRule="exact"/>
        <w:ind w:firstLine="640" w:firstLineChars="200"/>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rPr>
        <w:t>（一）预算编制情况</w:t>
      </w:r>
      <w:r>
        <w:rPr>
          <w:rFonts w:hint="default" w:ascii="Times New Roman" w:hAnsi="Times New Roman" w:eastAsia="楷体_GB2312" w:cs="Times New Roman"/>
          <w:color w:val="auto"/>
          <w:sz w:val="32"/>
          <w:szCs w:val="32"/>
          <w:lang w:eastAsia="zh-CN"/>
        </w:rPr>
        <w:t>。</w:t>
      </w:r>
    </w:p>
    <w:p>
      <w:pPr>
        <w:keepNext w:val="0"/>
        <w:keepLines w:val="0"/>
        <w:pageBreakBefore w:val="0"/>
        <w:kinsoku/>
        <w:wordWrap/>
        <w:overflowPunct/>
        <w:topLinePunct w:val="0"/>
        <w:autoSpaceDE w:val="0"/>
        <w:autoSpaceDN w:val="0"/>
        <w:bidi w:val="0"/>
        <w:spacing w:line="558" w:lineRule="exact"/>
        <w:ind w:left="0" w:leftChars="0" w:right="0" w:rightChars="0"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我单位预算编制严格按照县级部门预算编制的通知和有关要求，准确编制并根据规定及时向政府、人大提交预算方案，同时在规定的时间内及时向社会公开。</w:t>
      </w:r>
    </w:p>
    <w:p>
      <w:pPr>
        <w:keepNext w:val="0"/>
        <w:keepLines w:val="0"/>
        <w:pageBreakBefore w:val="0"/>
        <w:kinsoku/>
        <w:wordWrap/>
        <w:overflowPunct/>
        <w:topLinePunct w:val="0"/>
        <w:autoSpaceDE w:val="0"/>
        <w:autoSpaceDN w:val="0"/>
        <w:bidi w:val="0"/>
        <w:spacing w:line="558" w:lineRule="exact"/>
        <w:ind w:left="0" w:leftChars="0" w:right="0" w:rightChars="0"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绩效目标方面我们根据相关性、效率性、效益性、</w:t>
      </w:r>
      <w:r>
        <w:rPr>
          <w:rFonts w:hint="eastAsia" w:eastAsia="仿宋_GB2312" w:cs="Times New Roman"/>
          <w:bCs/>
          <w:sz w:val="32"/>
          <w:szCs w:val="32"/>
          <w:lang w:val="en-US" w:eastAsia="zh-CN"/>
        </w:rPr>
        <w:t>公允</w:t>
      </w:r>
      <w:r>
        <w:rPr>
          <w:rFonts w:hint="eastAsia" w:ascii="Times New Roman" w:hAnsi="Times New Roman" w:eastAsia="仿宋_GB2312" w:cs="Times New Roman"/>
          <w:bCs/>
          <w:sz w:val="32"/>
          <w:szCs w:val="32"/>
          <w:lang w:val="en-US" w:eastAsia="zh-CN"/>
        </w:rPr>
        <w:t>性、可持续性的原则编制绩效目标，对重点的项目绩效目标进行了量化和明确。</w:t>
      </w:r>
    </w:p>
    <w:p>
      <w:pPr>
        <w:keepNext w:val="0"/>
        <w:keepLines w:val="0"/>
        <w:pageBreakBefore w:val="0"/>
        <w:kinsoku/>
        <w:wordWrap/>
        <w:overflowPunct/>
        <w:topLinePunct w:val="0"/>
        <w:autoSpaceDE w:val="0"/>
        <w:autoSpaceDN w:val="0"/>
        <w:bidi w:val="0"/>
        <w:spacing w:line="558" w:lineRule="exact"/>
        <w:ind w:left="0" w:leftChars="0" w:right="0" w:rightChars="0" w:firstLine="640" w:firstLineChars="200"/>
        <w:textAlignment w:val="auto"/>
        <w:rPr>
          <w:rFonts w:hint="default"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我单位不涉及转移支付提前下达及专项转移支付分地区分项目编制的情况。</w:t>
      </w:r>
    </w:p>
    <w:p>
      <w:pPr>
        <w:keepNext w:val="0"/>
        <w:keepLines w:val="0"/>
        <w:pageBreakBefore w:val="0"/>
        <w:kinsoku/>
        <w:wordWrap/>
        <w:overflowPunct/>
        <w:topLinePunct w:val="0"/>
        <w:bidi w:val="0"/>
        <w:spacing w:line="558" w:lineRule="exact"/>
        <w:ind w:firstLine="640" w:firstLineChars="200"/>
        <w:textAlignment w:val="auto"/>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rPr>
        <w:t>（二）结果应用情况</w:t>
      </w:r>
      <w:r>
        <w:rPr>
          <w:rFonts w:hint="default" w:ascii="Times New Roman" w:hAnsi="Times New Roman" w:eastAsia="楷体_GB2312" w:cs="Times New Roman"/>
          <w:color w:val="auto"/>
          <w:sz w:val="32"/>
          <w:szCs w:val="32"/>
          <w:lang w:eastAsia="zh-CN"/>
        </w:rPr>
        <w:t>。</w:t>
      </w:r>
    </w:p>
    <w:p>
      <w:pPr>
        <w:keepNext w:val="0"/>
        <w:keepLines w:val="0"/>
        <w:pageBreakBefore w:val="0"/>
        <w:kinsoku/>
        <w:wordWrap/>
        <w:overflowPunct/>
        <w:topLinePunct w:val="0"/>
        <w:autoSpaceDE w:val="0"/>
        <w:autoSpaceDN w:val="0"/>
        <w:bidi w:val="0"/>
        <w:spacing w:line="558" w:lineRule="exact"/>
        <w:ind w:left="0" w:leftChars="0" w:right="0" w:rightChars="0"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资产管理方面：资产落实专人管理、登记，及时在财政资产管理</w:t>
      </w:r>
      <w:r>
        <w:rPr>
          <w:rFonts w:hint="eastAsia" w:eastAsia="仿宋_GB2312" w:cs="Times New Roman"/>
          <w:bCs/>
          <w:sz w:val="32"/>
          <w:szCs w:val="32"/>
          <w:lang w:val="en-US" w:eastAsia="zh-CN"/>
        </w:rPr>
        <w:t>系统</w:t>
      </w:r>
      <w:r>
        <w:rPr>
          <w:rFonts w:hint="eastAsia" w:ascii="Times New Roman" w:hAnsi="Times New Roman" w:eastAsia="仿宋_GB2312" w:cs="Times New Roman"/>
          <w:bCs/>
          <w:sz w:val="32"/>
          <w:szCs w:val="32"/>
          <w:lang w:val="en-US" w:eastAsia="zh-CN"/>
        </w:rPr>
        <w:t>进行更新数据确保资产账卡相符、账账相符、账实相符，截止到目前为止，未出现国有资产被他人占用、流失、违规处置的现象；</w:t>
      </w:r>
    </w:p>
    <w:p>
      <w:pPr>
        <w:keepNext w:val="0"/>
        <w:keepLines w:val="0"/>
        <w:pageBreakBefore w:val="0"/>
        <w:kinsoku/>
        <w:wordWrap/>
        <w:overflowPunct/>
        <w:topLinePunct w:val="0"/>
        <w:autoSpaceDE w:val="0"/>
        <w:autoSpaceDN w:val="0"/>
        <w:bidi w:val="0"/>
        <w:spacing w:line="558" w:lineRule="exact"/>
        <w:ind w:left="0" w:leftChars="0" w:right="0" w:rightChars="0"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依法接受财政的监督对出现的问题在规定时间内及时整改，形成完整的整改报告，并以此为例、举一反三、自查自纠将问题制止在摇篮中。</w:t>
      </w:r>
    </w:p>
    <w:p>
      <w:pPr>
        <w:keepNext w:val="0"/>
        <w:keepLines w:val="0"/>
        <w:pageBreakBefore w:val="0"/>
        <w:kinsoku/>
        <w:wordWrap/>
        <w:overflowPunct/>
        <w:topLinePunct w:val="0"/>
        <w:autoSpaceDE w:val="0"/>
        <w:autoSpaceDN w:val="0"/>
        <w:bidi w:val="0"/>
        <w:spacing w:line="558" w:lineRule="exact"/>
        <w:ind w:left="0" w:leftChars="0" w:right="0" w:rightChars="0" w:firstLine="640" w:firstLineChars="200"/>
        <w:textAlignment w:val="auto"/>
        <w:rPr>
          <w:rFonts w:hint="default"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我单位无收入来源；政</w:t>
      </w:r>
      <w:r>
        <w:rPr>
          <w:rFonts w:hint="eastAsia" w:eastAsia="仿宋_GB2312" w:cs="Times New Roman"/>
          <w:bCs/>
          <w:sz w:val="32"/>
          <w:szCs w:val="32"/>
          <w:lang w:val="en-US" w:eastAsia="zh-CN"/>
        </w:rPr>
        <w:t>府</w:t>
      </w:r>
      <w:r>
        <w:rPr>
          <w:rFonts w:hint="eastAsia" w:ascii="Times New Roman" w:hAnsi="Times New Roman" w:eastAsia="仿宋_GB2312" w:cs="Times New Roman"/>
          <w:bCs/>
          <w:sz w:val="32"/>
          <w:szCs w:val="32"/>
          <w:lang w:val="en-US" w:eastAsia="zh-CN"/>
        </w:rPr>
        <w:t>采购年初无预算。</w:t>
      </w:r>
    </w:p>
    <w:p>
      <w:pPr>
        <w:keepNext w:val="0"/>
        <w:keepLines w:val="0"/>
        <w:pageBreakBefore w:val="0"/>
        <w:widowControl/>
        <w:kinsoku/>
        <w:wordWrap/>
        <w:overflowPunct/>
        <w:topLinePunct w:val="0"/>
        <w:bidi w:val="0"/>
        <w:adjustRightInd w:val="0"/>
        <w:snapToGrid w:val="0"/>
        <w:spacing w:line="558" w:lineRule="exact"/>
        <w:ind w:firstLine="720"/>
        <w:jc w:val="left"/>
        <w:textAlignment w:val="auto"/>
        <w:rPr>
          <w:rFonts w:hint="default" w:ascii="Times New Roman" w:hAnsi="Times New Roman" w:eastAsia="黑体" w:cs="Times New Roman"/>
          <w:kern w:val="0"/>
          <w:sz w:val="32"/>
        </w:rPr>
      </w:pPr>
      <w:r>
        <w:rPr>
          <w:rFonts w:hint="default" w:ascii="Times New Roman" w:hAnsi="Times New Roman" w:eastAsia="黑体" w:cs="Times New Roman"/>
          <w:kern w:val="0"/>
          <w:sz w:val="32"/>
        </w:rPr>
        <w:t>四、评价结论及建议</w:t>
      </w:r>
    </w:p>
    <w:p>
      <w:pPr>
        <w:keepNext w:val="0"/>
        <w:keepLines w:val="0"/>
        <w:pageBreakBefore w:val="0"/>
        <w:widowControl/>
        <w:kinsoku/>
        <w:wordWrap/>
        <w:overflowPunct/>
        <w:topLinePunct w:val="0"/>
        <w:bidi w:val="0"/>
        <w:adjustRightInd w:val="0"/>
        <w:snapToGrid w:val="0"/>
        <w:spacing w:line="558" w:lineRule="exact"/>
        <w:ind w:firstLine="720"/>
        <w:jc w:val="left"/>
        <w:textAlignment w:val="auto"/>
        <w:outlineLvl w:val="0"/>
        <w:rPr>
          <w:rFonts w:hint="default" w:ascii="Times New Roman" w:hAnsi="Times New Roman" w:eastAsia="楷体_GB2312" w:cs="Times New Roman"/>
          <w:b w:val="0"/>
          <w:bCs/>
          <w:kern w:val="0"/>
          <w:sz w:val="32"/>
          <w:lang w:val="zh-CN"/>
        </w:rPr>
      </w:pPr>
      <w:r>
        <w:rPr>
          <w:rFonts w:hint="default" w:ascii="Times New Roman" w:hAnsi="Times New Roman" w:eastAsia="楷体_GB2312" w:cs="Times New Roman"/>
          <w:b w:val="0"/>
          <w:bCs/>
          <w:kern w:val="0"/>
          <w:sz w:val="32"/>
          <w:lang w:val="zh-CN"/>
        </w:rPr>
        <w:t>（一）评价结论。</w:t>
      </w:r>
    </w:p>
    <w:p>
      <w:pPr>
        <w:keepNext w:val="0"/>
        <w:keepLines w:val="0"/>
        <w:pageBreakBefore w:val="0"/>
        <w:kinsoku/>
        <w:wordWrap/>
        <w:overflowPunct/>
        <w:topLinePunct w:val="0"/>
        <w:autoSpaceDE w:val="0"/>
        <w:autoSpaceDN w:val="0"/>
        <w:bidi w:val="0"/>
        <w:spacing w:line="558" w:lineRule="exact"/>
        <w:ind w:left="0" w:leftChars="0" w:right="0" w:rightChars="0" w:firstLine="640" w:firstLineChars="200"/>
        <w:textAlignment w:val="auto"/>
        <w:rPr>
          <w:rFonts w:hint="default" w:ascii="Times New Roman" w:hAnsi="Times New Roman" w:eastAsia="仿宋_GB2312" w:cs="Times New Roman"/>
          <w:bCs/>
          <w:sz w:val="32"/>
          <w:szCs w:val="32"/>
          <w:lang w:val="en-US"/>
        </w:rPr>
      </w:pPr>
      <w:r>
        <w:rPr>
          <w:rFonts w:hint="eastAsia" w:ascii="Times New Roman" w:hAnsi="Times New Roman" w:eastAsia="仿宋_GB2312" w:cs="Times New Roman"/>
          <w:bCs/>
          <w:sz w:val="32"/>
          <w:szCs w:val="32"/>
          <w:lang w:val="en-US" w:eastAsia="zh-CN"/>
        </w:rPr>
        <w:t>杨通乡</w:t>
      </w:r>
      <w:r>
        <w:rPr>
          <w:rFonts w:hint="eastAsia" w:ascii="Times New Roman" w:hAnsi="Times New Roman" w:eastAsia="仿宋_GB2312" w:cs="Times New Roman"/>
          <w:bCs/>
          <w:sz w:val="32"/>
          <w:szCs w:val="32"/>
          <w:lang w:val="zh-CN" w:eastAsia="zh-CN"/>
        </w:rPr>
        <w:t>政府</w:t>
      </w:r>
      <w:r>
        <w:rPr>
          <w:rFonts w:hint="eastAsia" w:ascii="Times New Roman" w:hAnsi="Times New Roman" w:eastAsia="仿宋_GB2312" w:cs="Times New Roman"/>
          <w:bCs/>
          <w:sz w:val="32"/>
          <w:szCs w:val="32"/>
          <w:lang w:val="en-US" w:eastAsia="zh-CN"/>
        </w:rPr>
        <w:t>2021年部门整体支出绩效评价总分值为89分。</w:t>
      </w:r>
    </w:p>
    <w:p>
      <w:pPr>
        <w:keepNext w:val="0"/>
        <w:keepLines w:val="0"/>
        <w:pageBreakBefore w:val="0"/>
        <w:widowControl/>
        <w:kinsoku/>
        <w:wordWrap/>
        <w:overflowPunct/>
        <w:topLinePunct w:val="0"/>
        <w:bidi w:val="0"/>
        <w:adjustRightInd w:val="0"/>
        <w:snapToGrid w:val="0"/>
        <w:spacing w:line="558" w:lineRule="exact"/>
        <w:ind w:firstLine="720"/>
        <w:jc w:val="left"/>
        <w:textAlignment w:val="auto"/>
        <w:outlineLvl w:val="0"/>
        <w:rPr>
          <w:rFonts w:hint="default" w:ascii="Times New Roman" w:hAnsi="Times New Roman" w:eastAsia="楷体_GB2312" w:cs="Times New Roman"/>
          <w:b w:val="0"/>
          <w:bCs/>
          <w:kern w:val="0"/>
          <w:sz w:val="32"/>
          <w:lang w:val="zh-CN"/>
        </w:rPr>
      </w:pPr>
      <w:r>
        <w:rPr>
          <w:rFonts w:hint="default" w:ascii="Times New Roman" w:hAnsi="Times New Roman" w:eastAsia="楷体_GB2312" w:cs="Times New Roman"/>
          <w:b w:val="0"/>
          <w:bCs/>
          <w:kern w:val="0"/>
          <w:sz w:val="32"/>
          <w:lang w:val="zh-CN"/>
        </w:rPr>
        <w:t>（二）存在问题。</w:t>
      </w:r>
    </w:p>
    <w:p>
      <w:pPr>
        <w:keepNext w:val="0"/>
        <w:keepLines w:val="0"/>
        <w:pageBreakBefore w:val="0"/>
        <w:kinsoku/>
        <w:wordWrap/>
        <w:overflowPunct/>
        <w:topLinePunct w:val="0"/>
        <w:autoSpaceDE w:val="0"/>
        <w:autoSpaceDN w:val="0"/>
        <w:bidi w:val="0"/>
        <w:spacing w:line="558" w:lineRule="exact"/>
        <w:ind w:left="0" w:leftChars="0" w:right="0" w:rightChars="0" w:firstLine="640" w:firstLineChars="200"/>
        <w:textAlignment w:val="auto"/>
        <w:rPr>
          <w:rFonts w:hint="default"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1.预算经费较少，难以满足乡镇支出的需求。一方面实行基数加增长的方法进行总体规范控制，另一方面对新增预算进行细化，部门没有任何调剂手段，导致一些财政支出一直得不到应有的保障，建议财政增加投入，统筹解决问题。2.乡干部人员工资较低，人手少工作繁重，一人身兼多职为常态，工作量大综合性较强，加大了基层工作人员的工作压力和积极性。3.对绩效目标评价工作认识不够，工作开展形成了一定阻力。</w:t>
      </w:r>
    </w:p>
    <w:p>
      <w:pPr>
        <w:keepNext w:val="0"/>
        <w:keepLines w:val="0"/>
        <w:pageBreakBefore w:val="0"/>
        <w:kinsoku/>
        <w:wordWrap/>
        <w:overflowPunct/>
        <w:topLinePunct w:val="0"/>
        <w:autoSpaceDE w:val="0"/>
        <w:autoSpaceDN w:val="0"/>
        <w:bidi w:val="0"/>
        <w:spacing w:line="558" w:lineRule="exact"/>
        <w:ind w:left="0" w:leftChars="0" w:right="0" w:rightChars="0" w:firstLine="640" w:firstLineChars="200"/>
        <w:textAlignment w:val="auto"/>
        <w:rPr>
          <w:rFonts w:hint="default" w:ascii="Times New Roman" w:hAnsi="Times New Roman" w:eastAsia="仿宋_GB2312" w:cs="Times New Roman"/>
          <w:bCs/>
          <w:sz w:val="32"/>
          <w:szCs w:val="32"/>
          <w:lang w:val="zh-CN" w:eastAsia="zh-CN"/>
        </w:rPr>
      </w:pPr>
      <w:r>
        <w:rPr>
          <w:rFonts w:hint="default" w:ascii="Times New Roman" w:hAnsi="Times New Roman" w:eastAsia="仿宋_GB2312" w:cs="Times New Roman"/>
          <w:bCs/>
          <w:sz w:val="32"/>
          <w:szCs w:val="32"/>
          <w:lang w:val="zh-CN" w:eastAsia="zh-CN"/>
        </w:rPr>
        <w:t>（三）改进建议。</w:t>
      </w:r>
    </w:p>
    <w:p>
      <w:pPr>
        <w:keepNext w:val="0"/>
        <w:keepLines w:val="0"/>
        <w:pageBreakBefore w:val="0"/>
        <w:kinsoku/>
        <w:wordWrap/>
        <w:overflowPunct/>
        <w:topLinePunct w:val="0"/>
        <w:autoSpaceDE w:val="0"/>
        <w:autoSpaceDN w:val="0"/>
        <w:bidi w:val="0"/>
        <w:spacing w:line="558" w:lineRule="exact"/>
        <w:ind w:left="0" w:leftChars="0" w:right="0" w:rightChars="0"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ascii="Times New Roman" w:hAnsi="Times New Roman" w:eastAsia="仿宋_GB2312" w:cs="Times New Roman"/>
          <w:bCs/>
          <w:sz w:val="32"/>
          <w:szCs w:val="32"/>
          <w:lang w:val="en-US" w:eastAsia="zh-CN"/>
        </w:rPr>
        <w:t>坚</w:t>
      </w:r>
      <w:r>
        <w:rPr>
          <w:rFonts w:hint="eastAsia" w:ascii="Times New Roman" w:hAnsi="Times New Roman" w:eastAsia="仿宋_GB2312" w:cs="Times New Roman"/>
          <w:bCs/>
          <w:sz w:val="32"/>
          <w:szCs w:val="32"/>
          <w:lang w:val="zh-CN" w:eastAsia="zh-CN"/>
        </w:rPr>
        <w:t>持把绩效评价理念贯穿管理全过程，</w:t>
      </w:r>
      <w:r>
        <w:rPr>
          <w:rFonts w:hint="eastAsia" w:ascii="Times New Roman" w:hAnsi="Times New Roman" w:eastAsia="仿宋_GB2312" w:cs="Times New Roman"/>
          <w:bCs/>
          <w:sz w:val="32"/>
          <w:szCs w:val="32"/>
          <w:lang w:val="en-US" w:eastAsia="zh-CN"/>
        </w:rPr>
        <w:t>在今后的工作中加强对</w:t>
      </w:r>
      <w:r>
        <w:rPr>
          <w:rFonts w:hint="eastAsia" w:ascii="Times New Roman" w:hAnsi="Times New Roman" w:eastAsia="仿宋_GB2312" w:cs="Times New Roman"/>
          <w:bCs/>
          <w:sz w:val="32"/>
          <w:szCs w:val="32"/>
          <w:lang w:val="zh-CN" w:eastAsia="zh-CN"/>
        </w:rPr>
        <w:t>绩效评价的认识，用绩效评价的各种方法考核工作每个细节、每个指标，</w:t>
      </w:r>
      <w:r>
        <w:rPr>
          <w:rFonts w:hint="eastAsia" w:ascii="Times New Roman" w:hAnsi="Times New Roman" w:eastAsia="仿宋_GB2312" w:cs="Times New Roman"/>
          <w:bCs/>
          <w:sz w:val="32"/>
          <w:szCs w:val="32"/>
          <w:lang w:val="en-US" w:eastAsia="zh-CN"/>
        </w:rPr>
        <w:t>我们将进一步提高工作效率将工作开展在前克服人手少的问题，把有限的资金用在刀刃上，为全乡经济和社会事业发展更好地服务。</w:t>
      </w: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五部分 附表</w:t>
      </w:r>
      <w:bookmarkEnd w:id="56"/>
      <w:bookmarkEnd w:id="58"/>
      <w:bookmarkStart w:id="59"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6"/>
          <w:rFonts w:hint="eastAsia" w:ascii="仿宋" w:hAnsi="仿宋" w:eastAsia="仿宋"/>
          <w:b w:val="0"/>
          <w:bCs w:val="0"/>
          <w:color w:val="auto"/>
          <w:highlight w:val="none"/>
        </w:rPr>
        <w:t>入支出决算总表</w:t>
      </w:r>
      <w:bookmarkEnd w:id="59"/>
    </w:p>
    <w:p>
      <w:pPr>
        <w:pStyle w:val="4"/>
        <w:rPr>
          <w:rFonts w:ascii="仿宋" w:hAnsi="仿宋" w:eastAsia="仿宋"/>
          <w:color w:val="auto"/>
          <w:highlight w:val="none"/>
        </w:rPr>
      </w:pPr>
      <w:bookmarkStart w:id="60" w:name="_Toc15396620"/>
      <w:r>
        <w:rPr>
          <w:rFonts w:hint="eastAsia" w:ascii="仿宋" w:hAnsi="仿宋" w:eastAsia="仿宋"/>
          <w:b w:val="0"/>
          <w:color w:val="auto"/>
          <w:highlight w:val="none"/>
        </w:rPr>
        <w:t>二、收</w:t>
      </w:r>
      <w:r>
        <w:rPr>
          <w:rStyle w:val="26"/>
          <w:rFonts w:hint="eastAsia" w:ascii="仿宋" w:hAnsi="仿宋" w:eastAsia="仿宋"/>
          <w:b w:val="0"/>
          <w:bCs w:val="0"/>
          <w:color w:val="auto"/>
          <w:highlight w:val="none"/>
        </w:rPr>
        <w:t>入决算表</w:t>
      </w:r>
      <w:bookmarkEnd w:id="60"/>
    </w:p>
    <w:p>
      <w:pPr>
        <w:pStyle w:val="4"/>
        <w:rPr>
          <w:rFonts w:ascii="仿宋" w:hAnsi="仿宋" w:eastAsia="仿宋"/>
          <w:color w:val="auto"/>
          <w:highlight w:val="none"/>
        </w:rPr>
      </w:pPr>
      <w:bookmarkStart w:id="61" w:name="_Toc15396621"/>
      <w:r>
        <w:rPr>
          <w:rStyle w:val="26"/>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6"/>
          <w:rFonts w:hint="eastAsia" w:ascii="仿宋" w:hAnsi="仿宋" w:eastAsia="仿宋"/>
          <w:b w:val="0"/>
          <w:bCs w:val="0"/>
          <w:color w:val="auto"/>
          <w:highlight w:val="none"/>
        </w:rPr>
        <w:t>出决算表</w:t>
      </w:r>
      <w:bookmarkEnd w:id="61"/>
    </w:p>
    <w:p>
      <w:pPr>
        <w:pStyle w:val="4"/>
        <w:rPr>
          <w:rFonts w:ascii="仿宋" w:hAnsi="仿宋" w:eastAsia="仿宋"/>
          <w:b w:val="0"/>
          <w:color w:val="auto"/>
          <w:highlight w:val="none"/>
        </w:rPr>
      </w:pPr>
      <w:bookmarkStart w:id="62" w:name="_Toc15396622"/>
      <w:r>
        <w:rPr>
          <w:rStyle w:val="26"/>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政拨款收入支出决算总表</w:t>
      </w:r>
      <w:bookmarkEnd w:id="62"/>
    </w:p>
    <w:p>
      <w:pPr>
        <w:pStyle w:val="4"/>
        <w:rPr>
          <w:rStyle w:val="26"/>
          <w:rFonts w:ascii="仿宋" w:hAnsi="仿宋" w:eastAsia="仿宋"/>
          <w:b w:val="0"/>
          <w:bCs w:val="0"/>
          <w:color w:val="auto"/>
          <w:highlight w:val="none"/>
        </w:rPr>
      </w:pPr>
      <w:bookmarkStart w:id="63" w:name="_Toc15396623"/>
      <w:r>
        <w:rPr>
          <w:rStyle w:val="26"/>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政拨款支出决算明细表</w:t>
      </w:r>
      <w:bookmarkEnd w:id="63"/>
      <w:bookmarkStart w:id="64" w:name="_Toc15396624"/>
    </w:p>
    <w:p>
      <w:pPr>
        <w:pStyle w:val="4"/>
        <w:rPr>
          <w:rFonts w:ascii="仿宋" w:hAnsi="仿宋" w:eastAsia="仿宋"/>
          <w:color w:val="auto"/>
          <w:highlight w:val="none"/>
        </w:rPr>
      </w:pPr>
      <w:r>
        <w:rPr>
          <w:rStyle w:val="26"/>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般公共预算财政拨款支出决算表</w:t>
      </w:r>
      <w:bookmarkEnd w:id="64"/>
    </w:p>
    <w:p>
      <w:pPr>
        <w:pStyle w:val="4"/>
        <w:rPr>
          <w:rFonts w:ascii="仿宋" w:hAnsi="仿宋" w:eastAsia="仿宋"/>
          <w:color w:val="auto"/>
          <w:highlight w:val="none"/>
        </w:rPr>
      </w:pPr>
      <w:bookmarkStart w:id="65" w:name="_Toc15396625"/>
      <w:r>
        <w:rPr>
          <w:rStyle w:val="26"/>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般公共预算财政拨款支出决算明细表</w:t>
      </w:r>
      <w:bookmarkEnd w:id="65"/>
    </w:p>
    <w:p>
      <w:pPr>
        <w:pStyle w:val="4"/>
        <w:rPr>
          <w:rFonts w:ascii="仿宋" w:hAnsi="仿宋" w:eastAsia="仿宋"/>
          <w:color w:val="auto"/>
          <w:highlight w:val="none"/>
        </w:rPr>
      </w:pPr>
      <w:bookmarkStart w:id="66" w:name="_Toc15396626"/>
      <w:r>
        <w:rPr>
          <w:rStyle w:val="26"/>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般公共预算财政拨款基本支出决算表</w:t>
      </w:r>
      <w:bookmarkEnd w:id="66"/>
    </w:p>
    <w:p>
      <w:pPr>
        <w:pStyle w:val="4"/>
        <w:rPr>
          <w:rFonts w:ascii="仿宋" w:hAnsi="仿宋" w:eastAsia="仿宋"/>
          <w:color w:val="auto"/>
          <w:highlight w:val="none"/>
        </w:rPr>
      </w:pPr>
      <w:bookmarkStart w:id="67" w:name="_Toc15396627"/>
      <w:r>
        <w:rPr>
          <w:rStyle w:val="26"/>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般公共预算财政拨款项目支出决算表</w:t>
      </w:r>
      <w:bookmarkEnd w:id="67"/>
    </w:p>
    <w:p>
      <w:pPr>
        <w:pStyle w:val="4"/>
        <w:rPr>
          <w:rFonts w:ascii="仿宋" w:hAnsi="仿宋" w:eastAsia="仿宋"/>
          <w:color w:val="auto"/>
          <w:highlight w:val="none"/>
        </w:rPr>
      </w:pPr>
      <w:bookmarkStart w:id="68" w:name="_Toc15396628"/>
      <w:r>
        <w:rPr>
          <w:rStyle w:val="26"/>
          <w:rFonts w:hint="eastAsia" w:ascii="仿宋" w:hAnsi="仿宋" w:eastAsia="仿宋"/>
          <w:b w:val="0"/>
          <w:bCs w:val="0"/>
          <w:color w:val="auto"/>
          <w:highlight w:val="none"/>
        </w:rPr>
        <w:t>十、</w:t>
      </w:r>
      <w:bookmarkEnd w:id="68"/>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府性基金预算财政拨款收入支出决算表</w:t>
      </w:r>
    </w:p>
    <w:p>
      <w:pPr>
        <w:pStyle w:val="4"/>
        <w:rPr>
          <w:rFonts w:ascii="仿宋" w:hAnsi="仿宋" w:eastAsia="仿宋"/>
          <w:color w:val="auto"/>
          <w:highlight w:val="none"/>
        </w:rPr>
      </w:pPr>
      <w:bookmarkStart w:id="69" w:name="_Toc15396629"/>
      <w:r>
        <w:rPr>
          <w:rStyle w:val="26"/>
          <w:rFonts w:hint="eastAsia" w:ascii="仿宋" w:hAnsi="仿宋" w:eastAsia="仿宋"/>
          <w:b w:val="0"/>
          <w:bCs w:val="0"/>
          <w:color w:val="auto"/>
          <w:highlight w:val="none"/>
        </w:rPr>
        <w:t>十一、</w:t>
      </w:r>
      <w:bookmarkEnd w:id="69"/>
      <w:r>
        <w:rPr>
          <w:rFonts w:hint="eastAsia" w:ascii="仿宋" w:hAnsi="仿宋" w:eastAsia="仿宋"/>
          <w:b w:val="0"/>
          <w:color w:val="auto"/>
          <w:highlight w:val="none"/>
        </w:rPr>
        <w:t>国</w:t>
      </w:r>
      <w:r>
        <w:rPr>
          <w:rStyle w:val="26"/>
          <w:rFonts w:hint="eastAsia" w:ascii="仿宋" w:hAnsi="仿宋" w:eastAsia="仿宋"/>
          <w:b w:val="0"/>
          <w:bCs w:val="0"/>
          <w:color w:val="auto"/>
          <w:highlight w:val="none"/>
        </w:rPr>
        <w:t>有资本经营预算</w:t>
      </w:r>
      <w:r>
        <w:rPr>
          <w:rStyle w:val="26"/>
          <w:rFonts w:hint="eastAsia" w:ascii="仿宋" w:hAnsi="仿宋" w:eastAsia="仿宋"/>
          <w:b w:val="0"/>
          <w:bCs w:val="0"/>
          <w:color w:val="auto"/>
          <w:highlight w:val="none"/>
          <w:lang w:eastAsia="zh-CN"/>
        </w:rPr>
        <w:t>财政拨款收入</w:t>
      </w:r>
      <w:r>
        <w:rPr>
          <w:rStyle w:val="26"/>
          <w:rFonts w:hint="eastAsia" w:ascii="仿宋" w:hAnsi="仿宋" w:eastAsia="仿宋"/>
          <w:b w:val="0"/>
          <w:bCs w:val="0"/>
          <w:color w:val="auto"/>
          <w:highlight w:val="none"/>
        </w:rPr>
        <w:t>支出决算表</w:t>
      </w:r>
    </w:p>
    <w:p>
      <w:pPr>
        <w:pStyle w:val="4"/>
        <w:rPr>
          <w:rFonts w:ascii="仿宋" w:hAnsi="仿宋" w:eastAsia="仿宋"/>
          <w:color w:val="auto"/>
          <w:highlight w:val="none"/>
        </w:rPr>
      </w:pPr>
      <w:bookmarkStart w:id="70" w:name="_Toc15396630"/>
      <w:r>
        <w:rPr>
          <w:rStyle w:val="26"/>
          <w:rFonts w:hint="eastAsia" w:ascii="仿宋" w:hAnsi="仿宋" w:eastAsia="仿宋"/>
          <w:b w:val="0"/>
          <w:bCs w:val="0"/>
          <w:color w:val="auto"/>
          <w:highlight w:val="none"/>
        </w:rPr>
        <w:t>十二、</w:t>
      </w:r>
      <w:bookmarkEnd w:id="70"/>
      <w:r>
        <w:rPr>
          <w:rStyle w:val="26"/>
          <w:rFonts w:hint="eastAsia" w:ascii="仿宋" w:hAnsi="仿宋" w:eastAsia="仿宋"/>
          <w:b w:val="0"/>
          <w:bCs w:val="0"/>
          <w:color w:val="auto"/>
          <w:highlight w:val="none"/>
          <w:lang w:eastAsia="zh-CN"/>
        </w:rPr>
        <w:t>国有资本经营预算财政拨款支出决算表</w:t>
      </w:r>
    </w:p>
    <w:p>
      <w:pPr>
        <w:pStyle w:val="4"/>
        <w:rPr>
          <w:rFonts w:hint="eastAsia" w:eastAsia="仿宋"/>
          <w:color w:val="auto"/>
          <w:highlight w:val="none"/>
          <w:lang w:eastAsia="zh-CN"/>
        </w:rPr>
      </w:pPr>
      <w:bookmarkStart w:id="71" w:name="_Toc15396631"/>
      <w:r>
        <w:rPr>
          <w:rStyle w:val="26"/>
          <w:rFonts w:hint="eastAsia" w:ascii="仿宋" w:hAnsi="仿宋" w:eastAsia="仿宋"/>
          <w:b w:val="0"/>
          <w:bCs w:val="0"/>
          <w:color w:val="auto"/>
          <w:highlight w:val="none"/>
        </w:rPr>
        <w:t>十三、</w:t>
      </w:r>
      <w:bookmarkEnd w:id="71"/>
      <w:r>
        <w:rPr>
          <w:rStyle w:val="26"/>
          <w:rFonts w:hint="eastAsia" w:ascii="仿宋" w:hAnsi="仿宋" w:eastAsia="仿宋"/>
          <w:b w:val="0"/>
          <w:bCs w:val="0"/>
          <w:color w:val="auto"/>
          <w:highlight w:val="none"/>
          <w:lang w:eastAsia="zh-CN"/>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8A72B0F-A0F1-434A-9340-58D6215CAC7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036DA31C-A8D6-4163-B6AF-7465E0F65B5C}"/>
  </w:font>
  <w:font w:name="Cambria">
    <w:panose1 w:val="02040503050406030204"/>
    <w:charset w:val="00"/>
    <w:family w:val="roman"/>
    <w:pitch w:val="default"/>
    <w:sig w:usb0="E00002FF" w:usb1="400004FF" w:usb2="00000000" w:usb3="00000000" w:csb0="2000019F" w:csb1="00000000"/>
    <w:embedRegular r:id="rId3" w:fontKey="{094B2812-91A1-4085-AEFA-7F3EBA329016}"/>
  </w:font>
  <w:font w:name="仿宋_GB2312">
    <w:altName w:val="仿宋"/>
    <w:panose1 w:val="02010609030101010101"/>
    <w:charset w:val="86"/>
    <w:family w:val="modern"/>
    <w:pitch w:val="default"/>
    <w:sig w:usb0="00000000" w:usb1="00000000" w:usb2="00000000" w:usb3="00000000" w:csb0="00040000" w:csb1="00000000"/>
    <w:embedRegular r:id="rId4" w:fontKey="{E8AE3DF7-6C99-4CE4-ACCE-82BC6066A67C}"/>
  </w:font>
  <w:font w:name="仿宋">
    <w:panose1 w:val="02010609060101010101"/>
    <w:charset w:val="86"/>
    <w:family w:val="modern"/>
    <w:pitch w:val="default"/>
    <w:sig w:usb0="800002BF" w:usb1="38CF7CFA" w:usb2="00000016" w:usb3="00000000" w:csb0="00040001" w:csb1="00000000"/>
    <w:embedRegular r:id="rId5" w:fontKey="{EC8CB051-D1C8-4D55-8B60-E13C131B06CA}"/>
  </w:font>
  <w:font w:name="方正小标宋简体">
    <w:panose1 w:val="03000509000000000000"/>
    <w:charset w:val="86"/>
    <w:family w:val="script"/>
    <w:pitch w:val="default"/>
    <w:sig w:usb0="00000001" w:usb1="080E0000" w:usb2="00000000" w:usb3="00000000" w:csb0="00040000" w:csb1="00000000"/>
    <w:embedRegular r:id="rId6" w:fontKey="{E53F6E03-8C60-469C-AE18-2B48069EC644}"/>
  </w:font>
  <w:font w:name="微软雅黑">
    <w:panose1 w:val="020B0503020204020204"/>
    <w:charset w:val="86"/>
    <w:family w:val="auto"/>
    <w:pitch w:val="default"/>
    <w:sig w:usb0="80000287" w:usb1="280F3C52" w:usb2="00000016" w:usb3="00000000" w:csb0="0004001F" w:csb1="00000000"/>
    <w:embedRegular r:id="rId7" w:fontKey="{9F71D24F-B7A2-491C-ABDD-4B6500400981}"/>
  </w:font>
  <w:font w:name="方正小标宋_GBK">
    <w:panose1 w:val="02000000000000000000"/>
    <w:charset w:val="86"/>
    <w:family w:val="auto"/>
    <w:pitch w:val="default"/>
    <w:sig w:usb0="A00002BF" w:usb1="38CF7CFA" w:usb2="00082016" w:usb3="00000000" w:csb0="00040001" w:csb1="00000000"/>
    <w:embedRegular r:id="rId8" w:fontKey="{B37CE744-700C-4D34-BC59-A5222D1A10EE}"/>
  </w:font>
  <w:font w:name="楷体">
    <w:panose1 w:val="02010609060101010101"/>
    <w:charset w:val="86"/>
    <w:family w:val="auto"/>
    <w:pitch w:val="default"/>
    <w:sig w:usb0="800002BF" w:usb1="38CF7CFA" w:usb2="00000016" w:usb3="00000000" w:csb0="00040001" w:csb1="00000000"/>
    <w:embedRegular r:id="rId9" w:fontKey="{9B17B85B-D7FC-455D-BD6F-7F7EC8859B38}"/>
  </w:font>
  <w:font w:name="楷体_GB2312">
    <w:altName w:val="楷体"/>
    <w:panose1 w:val="02010609030101010101"/>
    <w:charset w:val="86"/>
    <w:family w:val="modern"/>
    <w:pitch w:val="default"/>
    <w:sig w:usb0="00000000" w:usb1="00000000" w:usb2="00000000" w:usb3="00000000" w:csb0="00040000" w:csb1="00000000"/>
    <w:embedRegular r:id="rId10" w:fontKey="{E2B50B9C-D3E5-439D-AE96-9E63CF0C019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ED7BCD26"/>
    <w:multiLevelType w:val="singleLevel"/>
    <w:tmpl w:val="ED7BCD26"/>
    <w:lvl w:ilvl="0" w:tentative="0">
      <w:start w:val="2"/>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3818A09A"/>
    <w:multiLevelType w:val="singleLevel"/>
    <w:tmpl w:val="3818A09A"/>
    <w:lvl w:ilvl="0" w:tentative="0">
      <w:start w:val="1"/>
      <w:numFmt w:val="chineseCounting"/>
      <w:suff w:val="nothing"/>
      <w:lvlText w:val="%1、"/>
      <w:lvlJc w:val="left"/>
      <w:rPr>
        <w:rFonts w:hint="eastAsia"/>
      </w:rPr>
    </w:lvl>
  </w:abstractNum>
  <w:abstractNum w:abstractNumId="5">
    <w:nsid w:val="4530F3E6"/>
    <w:multiLevelType w:val="singleLevel"/>
    <w:tmpl w:val="4530F3E6"/>
    <w:lvl w:ilvl="0" w:tentative="0">
      <w:start w:val="1"/>
      <w:numFmt w:val="decimal"/>
      <w:lvlText w:val="%1."/>
      <w:lvlJc w:val="left"/>
      <w:pPr>
        <w:tabs>
          <w:tab w:val="left" w:pos="312"/>
        </w:tabs>
      </w:pPr>
      <w:rPr>
        <w:rFonts w:hint="default"/>
        <w:sz w:val="32"/>
        <w:szCs w:val="32"/>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yNTg2MjY0MzExYjVkMjc0MDllM2EyYjYzYjNiOT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C20BC1"/>
    <w:rsid w:val="01F12408"/>
    <w:rsid w:val="053A62B5"/>
    <w:rsid w:val="07CA6A21"/>
    <w:rsid w:val="0A2032A3"/>
    <w:rsid w:val="0B8A37D8"/>
    <w:rsid w:val="10A52FCC"/>
    <w:rsid w:val="10C055FF"/>
    <w:rsid w:val="118107EC"/>
    <w:rsid w:val="11DD6519"/>
    <w:rsid w:val="165453C2"/>
    <w:rsid w:val="16BB723D"/>
    <w:rsid w:val="16FF1D6C"/>
    <w:rsid w:val="18015F3F"/>
    <w:rsid w:val="1B49591A"/>
    <w:rsid w:val="1BE8440E"/>
    <w:rsid w:val="1D155CEE"/>
    <w:rsid w:val="20F57F95"/>
    <w:rsid w:val="240371BF"/>
    <w:rsid w:val="25711CC6"/>
    <w:rsid w:val="25C741E6"/>
    <w:rsid w:val="27842671"/>
    <w:rsid w:val="29FD04D3"/>
    <w:rsid w:val="2ABE7A3E"/>
    <w:rsid w:val="2CA234A8"/>
    <w:rsid w:val="2D3D51E2"/>
    <w:rsid w:val="2D9E28CA"/>
    <w:rsid w:val="2EFA178C"/>
    <w:rsid w:val="30B017EF"/>
    <w:rsid w:val="30B46D73"/>
    <w:rsid w:val="31024672"/>
    <w:rsid w:val="319F7F4E"/>
    <w:rsid w:val="345C5657"/>
    <w:rsid w:val="36EC1C61"/>
    <w:rsid w:val="383D272C"/>
    <w:rsid w:val="39AE70AB"/>
    <w:rsid w:val="3C0C0783"/>
    <w:rsid w:val="3F9F3A96"/>
    <w:rsid w:val="424B6CAC"/>
    <w:rsid w:val="44CD20C7"/>
    <w:rsid w:val="48BF60AB"/>
    <w:rsid w:val="493C27E9"/>
    <w:rsid w:val="496F39ED"/>
    <w:rsid w:val="49FF41D3"/>
    <w:rsid w:val="4BE068DB"/>
    <w:rsid w:val="4BF6002B"/>
    <w:rsid w:val="4ECE2238"/>
    <w:rsid w:val="51DB4B86"/>
    <w:rsid w:val="55333C3E"/>
    <w:rsid w:val="5F5B57D7"/>
    <w:rsid w:val="613B496A"/>
    <w:rsid w:val="64CA39A1"/>
    <w:rsid w:val="64DB4B3E"/>
    <w:rsid w:val="69630ADE"/>
    <w:rsid w:val="6C4A05C8"/>
    <w:rsid w:val="6D3B1A89"/>
    <w:rsid w:val="714B50B3"/>
    <w:rsid w:val="71BF4EC2"/>
    <w:rsid w:val="72734D90"/>
    <w:rsid w:val="7412278C"/>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6">
    <w:name w:val="Body Text"/>
    <w:basedOn w:val="1"/>
    <w:next w:val="1"/>
    <w:link w:val="22"/>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paragraph" w:customStyle="1" w:styleId="16">
    <w:name w:val="正文2"/>
    <w:basedOn w:val="1"/>
    <w:next w:val="1"/>
    <w:qFormat/>
    <w:uiPriority w:val="0"/>
  </w:style>
  <w:style w:type="character" w:customStyle="1" w:styleId="17">
    <w:name w:val="Header Char"/>
    <w:basedOn w:val="13"/>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3"/>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3"/>
    <w:semiHidden/>
    <w:qFormat/>
    <w:uiPriority w:val="99"/>
    <w:rPr>
      <w:rFonts w:ascii="Times New Roman" w:hAnsi="Times New Roman"/>
      <w:szCs w:val="24"/>
    </w:rPr>
  </w:style>
  <w:style w:type="character" w:customStyle="1" w:styleId="22">
    <w:name w:val="正文文本 Char"/>
    <w:link w:val="6"/>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3"/>
    <w:link w:val="3"/>
    <w:qFormat/>
    <w:uiPriority w:val="9"/>
    <w:rPr>
      <w:rFonts w:ascii="Times New Roman" w:hAnsi="Times New Roman"/>
      <w:b/>
      <w:bCs/>
      <w:kern w:val="44"/>
      <w:sz w:val="44"/>
      <w:szCs w:val="44"/>
    </w:rPr>
  </w:style>
  <w:style w:type="character" w:customStyle="1" w:styleId="26">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3"/>
    <w:link w:val="8"/>
    <w:semiHidden/>
    <w:qFormat/>
    <w:uiPriority w:val="99"/>
    <w:rPr>
      <w:rFonts w:ascii="Times New Roman" w:hAnsi="Times New Roman"/>
      <w:kern w:val="2"/>
      <w:sz w:val="18"/>
      <w:szCs w:val="18"/>
    </w:rPr>
  </w:style>
  <w:style w:type="character" w:customStyle="1" w:styleId="29">
    <w:name w:val="标题 3 Char"/>
    <w:basedOn w:val="13"/>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收、支决算总计变动情况图</a:t>
            </a:r>
          </a:p>
        </c:rich>
      </c:tx>
      <c:layout>
        <c:manualLayout>
          <c:xMode val="edge"/>
          <c:yMode val="edge"/>
          <c:x val="0.309132640734477"/>
          <c:y val="0.0350616234594135"/>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2022年</c:v>
                </c:pt>
              </c:strCache>
            </c:strRef>
          </c:tx>
          <c:spPr>
            <a:solidFill>
              <a:schemeClr val="accent1"/>
            </a:solidFill>
            <a:ln>
              <a:noFill/>
            </a:ln>
            <a:effectLst/>
          </c:spPr>
          <c:invertIfNegative val="0"/>
          <c:dLbls>
            <c:delete val="1"/>
          </c:dLbls>
          <c:cat>
            <c:strRef>
              <c:extLst>
                <c:ext xmlns:c15="http://schemas.microsoft.com/office/drawing/2012/chart" uri="{02D57815-91ED-43cb-92C2-25804820EDAC}">
                  <c15:fullRef>
                    <c15:sqref>Sheet1!$A$2:$A$5</c15:sqref>
                  </c15:fullRef>
                </c:ext>
              </c:extLst>
              <c:f>Sheet1!$A$2:$A$3</c:f>
              <c:strCache>
                <c:ptCount val="2"/>
                <c:pt idx="0">
                  <c:v>收入</c:v>
                </c:pt>
                <c:pt idx="1">
                  <c:v>支出</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899.85</c:v>
                </c:pt>
                <c:pt idx="1">
                  <c:v>1217.39</c:v>
                </c:pt>
              </c:numCache>
            </c:numRef>
          </c:val>
        </c:ser>
        <c:ser>
          <c:idx val="1"/>
          <c:order val="1"/>
          <c:tx>
            <c:strRef>
              <c:f>Sheet1!$D$1</c:f>
              <c:strCache>
                <c:ptCount val="1"/>
                <c:pt idx="0">
                  <c:v>2021年</c:v>
                </c:pt>
              </c:strCache>
            </c:strRef>
          </c:tx>
          <c:spPr>
            <a:solidFill>
              <a:schemeClr val="accent2"/>
            </a:solidFill>
            <a:ln>
              <a:noFill/>
            </a:ln>
            <a:effectLst/>
          </c:spPr>
          <c:invertIfNegative val="0"/>
          <c:dLbls>
            <c:delete val="1"/>
          </c:dLbls>
          <c:cat>
            <c:strRef>
              <c:extLst>
                <c:ext xmlns:c15="http://schemas.microsoft.com/office/drawing/2012/chart" uri="{02D57815-91ED-43cb-92C2-25804820EDAC}">
                  <c15:fullRef>
                    <c15:sqref>Sheet1!$A$2:$A$5</c15:sqref>
                  </c15:fullRef>
                </c:ext>
              </c:extLst>
              <c:f>Sheet1!$A$2:$A$3</c:f>
              <c:strCache>
                <c:ptCount val="2"/>
                <c:pt idx="0">
                  <c:v>收入</c:v>
                </c:pt>
                <c:pt idx="1">
                  <c:v>支出</c:v>
                </c:pt>
              </c:strCache>
            </c:strRef>
          </c:cat>
          <c:val>
            <c:numRef>
              <c:extLst>
                <c:ext xmlns:c15="http://schemas.microsoft.com/office/drawing/2012/chart" uri="{02D57815-91ED-43cb-92C2-25804820EDAC}">
                  <c15:fullRef>
                    <c15:sqref>Sheet1!$D$2:$D$5</c15:sqref>
                  </c15:fullRef>
                </c:ext>
              </c:extLst>
              <c:f>Sheet1!$D$2:$D$3</c:f>
              <c:numCache>
                <c:formatCode>General</c:formatCode>
                <c:ptCount val="2"/>
                <c:pt idx="0">
                  <c:v>1044.32</c:v>
                </c:pt>
                <c:pt idx="1">
                  <c:v>1044.32</c:v>
                </c:pt>
              </c:numCache>
            </c:numRef>
          </c:val>
        </c:ser>
        <c:dLbls>
          <c:showLegendKey val="0"/>
          <c:showVal val="0"/>
          <c:showCatName val="0"/>
          <c:showSerName val="0"/>
          <c:showPercent val="0"/>
          <c:showBubbleSize val="0"/>
        </c:dLbls>
        <c:gapWidth val="246"/>
        <c:overlap val="-28"/>
        <c:axId val="423256911"/>
        <c:axId val="57359424"/>
      </c:barChart>
      <c:catAx>
        <c:axId val="42325691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b" anchorCtr="0"/>
          <a:lstStyle/>
          <a:p>
            <a:pPr>
              <a:defRPr lang="zh-CN" sz="900" b="0" i="0" u="none" strike="noStrike" kern="1200" baseline="0">
                <a:solidFill>
                  <a:schemeClr val="tx1">
                    <a:lumMod val="65000"/>
                    <a:lumOff val="35000"/>
                  </a:schemeClr>
                </a:solidFill>
                <a:latin typeface="+mn-lt"/>
                <a:ea typeface="+mn-ea"/>
                <a:cs typeface="+mn-cs"/>
              </a:defRPr>
            </a:pPr>
          </a:p>
        </c:txPr>
        <c:crossAx val="57359424"/>
        <c:crosses val="autoZero"/>
        <c:auto val="1"/>
        <c:lblAlgn val="ctr"/>
        <c:lblOffset val="100"/>
        <c:noMultiLvlLbl val="0"/>
      </c:catAx>
      <c:valAx>
        <c:axId val="57359424"/>
        <c:scaling>
          <c:orientation val="minMax"/>
        </c:scaling>
        <c:delete val="0"/>
        <c:axPos val="l"/>
        <c:majorGridlines>
          <c:spPr>
            <a:ln w="9525" cap="flat" cmpd="sng" algn="ctr">
              <a:solidFill>
                <a:schemeClr val="bg1">
                  <a:lumMod val="902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单位：万元</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325691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收入决算结构图（单位：万元）</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政府性基金预算财政拨款收入</c:v>
                </c:pt>
              </c:strCache>
            </c:strRef>
          </c:cat>
          <c:val>
            <c:numRef>
              <c:f>Sheet1!$B$2:$B$3</c:f>
              <c:numCache>
                <c:formatCode>General</c:formatCode>
                <c:ptCount val="2"/>
                <c:pt idx="0">
                  <c:v>740.93</c:v>
                </c:pt>
                <c:pt idx="1">
                  <c:v>158.92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支出情况（单位：万元）</a:t>
            </a:r>
          </a:p>
        </c:rich>
      </c:tx>
      <c:layout/>
      <c:overlay val="0"/>
      <c:spPr>
        <a:noFill/>
        <a:ln>
          <a:noFill/>
        </a:ln>
        <a:effectLst/>
      </c:spPr>
    </c:title>
    <c:autoTitleDeleted val="0"/>
    <c:plotArea>
      <c:layout/>
      <c:pieChart>
        <c:varyColors val="1"/>
        <c:ser>
          <c:idx val="0"/>
          <c:order val="0"/>
          <c:tx>
            <c:strRef>
              <c:f>Sheet1!$B$1</c:f>
              <c:strCache>
                <c:ptCount val="1"/>
                <c:pt idx="0">
                  <c:v>支出情况(单位：万元）</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638.07</c:v>
                </c:pt>
                <c:pt idx="1">
                  <c:v>579.32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收支总计变动情况</a:t>
            </a:r>
          </a:p>
        </c:rich>
      </c:tx>
      <c:layout>
        <c:manualLayout>
          <c:xMode val="edge"/>
          <c:yMode val="edge"/>
          <c:x val="0.393526405451448"/>
          <c:y val="0.891613932905659"/>
        </c:manualLayout>
      </c:layout>
      <c:overlay val="0"/>
      <c:spPr>
        <a:noFill/>
        <a:ln>
          <a:noFill/>
        </a:ln>
        <a:effectLst/>
      </c:spPr>
    </c:title>
    <c:autoTitleDeleted val="0"/>
    <c:plotArea>
      <c:layout>
        <c:manualLayout>
          <c:layoutTarget val="inner"/>
          <c:xMode val="edge"/>
          <c:yMode val="edge"/>
          <c:x val="0.133558830635419"/>
          <c:y val="0.0407069102462272"/>
          <c:w val="0.731384392365306"/>
          <c:h val="0.778077839555203"/>
        </c:manualLayout>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Sheet1!$A$2:$A$3</c:f>
              <c:strCache>
                <c:ptCount val="2"/>
                <c:pt idx="0">
                  <c:v>收入</c:v>
                </c:pt>
                <c:pt idx="1">
                  <c:v>支出</c:v>
                </c:pt>
              </c:strCache>
            </c:strRef>
          </c:cat>
          <c:val>
            <c:numRef>
              <c:f>Sheet1!$B$2:$B$3</c:f>
              <c:numCache>
                <c:formatCode>General</c:formatCode>
                <c:ptCount val="2"/>
                <c:pt idx="0">
                  <c:v>1044.32</c:v>
                </c:pt>
                <c:pt idx="1">
                  <c:v>1044.32</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Sheet1!$A$2:$A$3</c:f>
              <c:strCache>
                <c:ptCount val="2"/>
                <c:pt idx="0">
                  <c:v>收入</c:v>
                </c:pt>
                <c:pt idx="1">
                  <c:v>支出</c:v>
                </c:pt>
              </c:strCache>
            </c:strRef>
          </c:cat>
          <c:val>
            <c:numRef>
              <c:f>Sheet1!$C$2:$C$3</c:f>
              <c:numCache>
                <c:formatCode>General</c:formatCode>
                <c:ptCount val="2"/>
                <c:pt idx="0">
                  <c:v>899.85</c:v>
                </c:pt>
                <c:pt idx="1">
                  <c:v>1217.39</c:v>
                </c:pt>
              </c:numCache>
            </c:numRef>
          </c:val>
        </c:ser>
        <c:dLbls>
          <c:showLegendKey val="0"/>
          <c:showVal val="0"/>
          <c:showCatName val="0"/>
          <c:showSerName val="0"/>
          <c:showPercent val="0"/>
          <c:showBubbleSize val="0"/>
        </c:dLbls>
        <c:gapWidth val="246"/>
        <c:overlap val="-28"/>
        <c:axId val="384294917"/>
        <c:axId val="356670311"/>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strRef>
                    <c:extLst>
                      <c:ext uri="{02D57815-91ED-43cb-92C2-25804820EDAC}">
                        <c15:fullRef>
                          <c15:sqref/>
                        </c15:fullRef>
                        <c15:formulaRef>
                          <c15:sqref>Sheet1!$A$2:$A$3</c15:sqref>
                        </c15:formulaRef>
                      </c:ext>
                    </c:extLst>
                    <c:strCache>
                      <c:ptCount val="2"/>
                      <c:pt idx="0">
                        <c:v>收入</c:v>
                      </c:pt>
                      <c:pt idx="1">
                        <c:v>支出</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384294917"/>
        <c:scaling>
          <c:orientation val="minMax"/>
        </c:scaling>
        <c:delete val="0"/>
        <c:axPos val="b"/>
        <c:title>
          <c:layout>
            <c:manualLayout>
              <c:xMode val="edge"/>
              <c:yMode val="edge"/>
              <c:x val="0.838628004184828"/>
              <c:y val="0.836904574448289"/>
            </c:manualLayout>
          </c:layout>
          <c:overlay val="0"/>
          <c:spPr>
            <a:noFill/>
            <a:ln>
              <a:noFill/>
            </a:ln>
            <a:effectLst/>
          </c:spPr>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6670311"/>
        <c:crosses val="autoZero"/>
        <c:auto val="1"/>
        <c:lblAlgn val="ctr"/>
        <c:lblOffset val="100"/>
        <c:noMultiLvlLbl val="0"/>
      </c:catAx>
      <c:valAx>
        <c:axId val="356670311"/>
        <c:scaling>
          <c:orientation val="minMax"/>
        </c:scaling>
        <c:delete val="0"/>
        <c:axPos val="l"/>
        <c:majorGridlines>
          <c:spPr>
            <a:ln w="9525" cap="flat" cmpd="sng" algn="ctr">
              <a:solidFill>
                <a:schemeClr val="bg1">
                  <a:lumMod val="902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万元</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4294917"/>
        <c:crosses val="autoZero"/>
        <c:crossBetween val="between"/>
      </c:valAx>
      <c:spPr>
        <a:noFill/>
        <a:ln>
          <a:noFill/>
        </a:ln>
        <a:effectLst/>
      </c:spPr>
    </c:plotArea>
    <c:legend>
      <c:legendPos val="r"/>
      <c:layout>
        <c:manualLayout>
          <c:xMode val="edge"/>
          <c:yMode val="edge"/>
          <c:x val="0.884271563179512"/>
          <c:y val="0.44400764980875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Sheet1!$B$2:$B$3</c:f>
              <c:numCache>
                <c:formatCode>General</c:formatCode>
                <c:ptCount val="2"/>
                <c:pt idx="0">
                  <c:v>1044.32</c:v>
                </c:pt>
                <c:pt idx="1">
                  <c:v>1217.39</c:v>
                </c:pt>
              </c:numCache>
            </c:numRef>
          </c:val>
        </c:ser>
        <c:dLbls>
          <c:showLegendKey val="0"/>
          <c:showVal val="1"/>
          <c:showCatName val="0"/>
          <c:showSerName val="0"/>
          <c:showPercent val="0"/>
          <c:showBubbleSize val="0"/>
        </c:dLbls>
        <c:gapWidth val="246"/>
        <c:overlap val="-28"/>
        <c:axId val="827996040"/>
        <c:axId val="276798640"/>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Sheet1!$A$2:$A$3</c15:sqref>
                        </c15:formulaRef>
                      </c:ext>
                    </c:extLst>
                    <c:strCache>
                      <c:ptCount val="2"/>
                      <c:pt idx="0">
                        <c:v>2021年</c:v>
                      </c:pt>
                      <c:pt idx="1">
                        <c:v>2022年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Sheet1!$A$2:$A$3</c15:sqref>
                        </c15:formulaRef>
                      </c:ext>
                    </c:extLst>
                    <c:strCache>
                      <c:ptCount val="2"/>
                      <c:pt idx="0">
                        <c:v>2021年</c:v>
                      </c:pt>
                      <c:pt idx="1">
                        <c:v>2022年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827996040"/>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年份</a:t>
                </a:r>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6798640"/>
        <c:crosses val="autoZero"/>
        <c:auto val="1"/>
        <c:lblAlgn val="ctr"/>
        <c:lblOffset val="100"/>
        <c:noMultiLvlLbl val="0"/>
      </c:catAx>
      <c:valAx>
        <c:axId val="276798640"/>
        <c:scaling>
          <c:orientation val="minMax"/>
        </c:scaling>
        <c:delete val="0"/>
        <c:axPos val="l"/>
        <c:majorGridlines>
          <c:spPr>
            <a:ln w="9525" cap="flat" cmpd="sng" algn="ctr">
              <a:solidFill>
                <a:schemeClr val="bg1">
                  <a:lumMod val="902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万元</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799604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一般公共预算财政拨款支出决算情况</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Pt>
            <c:idx val="4"/>
            <c:bubble3D val="0"/>
            <c:spPr>
              <a:solidFill>
                <a:schemeClr val="accent5"/>
              </a:solidFill>
              <a:ln>
                <a:solidFill>
                  <a:schemeClr val="bg1"/>
                </a:solidFill>
              </a:ln>
              <a:effectLst/>
            </c:spPr>
          </c:dPt>
          <c:dPt>
            <c:idx val="5"/>
            <c:bubble3D val="0"/>
            <c:spPr>
              <a:solidFill>
                <a:schemeClr val="accent6"/>
              </a:solidFill>
              <a:ln>
                <a:solidFill>
                  <a:schemeClr val="bg1"/>
                </a:solidFill>
              </a:ln>
              <a:effectLst/>
            </c:spPr>
          </c:dPt>
          <c:dPt>
            <c:idx val="6"/>
            <c:bubble3D val="0"/>
            <c:spPr>
              <a:solidFill>
                <a:schemeClr val="accent1">
                  <a:lumMod val="60000"/>
                </a:schemeClr>
              </a:solidFill>
              <a:ln>
                <a:solidFill>
                  <a:schemeClr val="bg1"/>
                </a:solidFill>
              </a:ln>
              <a:effectLst/>
            </c:spPr>
          </c:dPt>
          <c:dPt>
            <c:idx val="7"/>
            <c:bubble3D val="0"/>
            <c:spPr>
              <a:solidFill>
                <a:schemeClr val="accent2">
                  <a:lumMod val="60000"/>
                </a:schemeClr>
              </a:solidFill>
              <a:ln>
                <a:solidFill>
                  <a:schemeClr val="bg1"/>
                </a:solidFill>
              </a:ln>
              <a:effectLst/>
            </c:spPr>
          </c:dPt>
          <c:dPt>
            <c:idx val="8"/>
            <c:bubble3D val="0"/>
            <c:spPr>
              <a:solidFill>
                <a:schemeClr val="accent3">
                  <a:lumMod val="60000"/>
                </a:schemeClr>
              </a:solidFill>
              <a:ln>
                <a:solidFill>
                  <a:schemeClr val="bg1"/>
                </a:solidFill>
              </a:ln>
              <a:effectLst/>
            </c:spPr>
          </c:dPt>
          <c:dPt>
            <c:idx val="9"/>
            <c:bubble3D val="0"/>
            <c:spPr>
              <a:solidFill>
                <a:schemeClr val="accent4">
                  <a:lumMod val="60000"/>
                </a:schemeClr>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一般公共服务支出</c:v>
                </c:pt>
                <c:pt idx="1">
                  <c:v>文化旅游体育与传媒支出</c:v>
                </c:pt>
                <c:pt idx="2">
                  <c:v>社会保障和就业支出</c:v>
                </c:pt>
                <c:pt idx="3">
                  <c:v>卫生健康支出</c:v>
                </c:pt>
                <c:pt idx="4">
                  <c:v>城乡社区支出</c:v>
                </c:pt>
                <c:pt idx="5">
                  <c:v>农林水支出</c:v>
                </c:pt>
                <c:pt idx="6">
                  <c:v>交通运输支出</c:v>
                </c:pt>
                <c:pt idx="7">
                  <c:v>住房保障支出</c:v>
                </c:pt>
                <c:pt idx="8">
                  <c:v>灾害防治及应急管理支出</c:v>
                </c:pt>
                <c:pt idx="9">
                  <c:v>其他支出</c:v>
                </c:pt>
              </c:strCache>
            </c:strRef>
          </c:cat>
          <c:val>
            <c:numRef>
              <c:f>Sheet1!$B$2:$B$11</c:f>
              <c:numCache>
                <c:formatCode>General</c:formatCode>
                <c:ptCount val="10"/>
                <c:pt idx="0">
                  <c:v>252.54</c:v>
                </c:pt>
                <c:pt idx="1">
                  <c:v>3</c:v>
                </c:pt>
                <c:pt idx="2">
                  <c:v>49.58</c:v>
                </c:pt>
                <c:pt idx="3">
                  <c:v>17.43</c:v>
                </c:pt>
                <c:pt idx="4">
                  <c:v>178.96</c:v>
                </c:pt>
                <c:pt idx="5">
                  <c:v>456.74</c:v>
                </c:pt>
                <c:pt idx="6">
                  <c:v>11.16</c:v>
                </c:pt>
                <c:pt idx="7">
                  <c:v>26.98</c:v>
                </c:pt>
                <c:pt idx="8">
                  <c:v>29</c:v>
                </c:pt>
                <c:pt idx="9">
                  <c:v>192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“三公”经费支出情况</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Sheet1!$A$2:$A$4</c15:sqref>
                  </c15:fullRef>
                </c:ext>
              </c:extLst>
              <c:f>Sheet1!$A$2:$A$4</c:f>
              <c:strCache>
                <c:ptCount val="3"/>
                <c:pt idx="0">
                  <c:v>因公出国（境）费</c:v>
                </c:pt>
                <c:pt idx="1">
                  <c:v>公务用车购置及运行维护费支出</c:v>
                </c:pt>
                <c:pt idx="2">
                  <c:v>公务接待费支出</c:v>
                </c:pt>
              </c:strCache>
            </c:strRef>
          </c:cat>
          <c:val>
            <c:numRef>
              <c:extLst>
                <c:ext xmlns:c15="http://schemas.microsoft.com/office/drawing/2012/chart" uri="{02D57815-91ED-43cb-92C2-25804820EDAC}">
                  <c15:fullRef>
                    <c15:sqref>Sheet1!$B$2:$B$4</c15:sqref>
                  </c15:fullRef>
                </c:ext>
              </c:extLst>
              <c:f>Sheet1!$B$2:$B$4</c:f>
              <c:numCache>
                <c:formatCode>General</c:formatCode>
                <c:ptCount val="3"/>
                <c:pt idx="0">
                  <c:v>0</c:v>
                </c:pt>
                <c:pt idx="1">
                  <c:v>0</c:v>
                </c:pt>
                <c:pt idx="2">
                  <c:v>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1</TotalTime>
  <ScaleCrop>false</ScaleCrop>
  <LinksUpToDate>false</LinksUpToDate>
  <CharactersWithSpaces>8692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墨染</cp:lastModifiedBy>
  <cp:lastPrinted>2023-10-10T02:36:13Z</cp:lastPrinted>
  <dcterms:modified xsi:type="dcterms:W3CDTF">2023-10-10T02:52:17Z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A073FD3C69C041D894D321F618A930EC_12</vt:lpwstr>
  </property>
</Properties>
</file>